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outlineLvl w:val="0"/>
        <w:rPr>
          <w:b/>
          <w:bCs/>
          <w:sz w:val="72"/>
          <w:szCs w:val="72"/>
        </w:rPr>
      </w:pPr>
    </w:p>
    <w:p>
      <w:pPr>
        <w:adjustRightInd w:val="0"/>
        <w:snapToGrid w:val="0"/>
        <w:jc w:val="center"/>
        <w:outlineLvl w:val="0"/>
        <w:rPr>
          <w:b/>
          <w:bCs/>
          <w:sz w:val="72"/>
          <w:szCs w:val="72"/>
        </w:rPr>
      </w:pPr>
    </w:p>
    <w:p>
      <w:pPr>
        <w:adjustRightInd w:val="0"/>
        <w:snapToGrid w:val="0"/>
        <w:jc w:val="center"/>
        <w:outlineLvl w:val="0"/>
        <w:rPr>
          <w:b/>
          <w:bCs/>
          <w:sz w:val="72"/>
          <w:szCs w:val="72"/>
        </w:rPr>
      </w:pPr>
    </w:p>
    <w:p>
      <w:pPr>
        <w:adjustRightInd w:val="0"/>
        <w:snapToGrid w:val="0"/>
        <w:jc w:val="center"/>
        <w:outlineLvl w:val="0"/>
        <w:rPr>
          <w:b/>
          <w:bCs/>
          <w:sz w:val="72"/>
          <w:szCs w:val="72"/>
        </w:rPr>
      </w:pPr>
      <w:r>
        <w:rPr>
          <w:b/>
          <w:bCs/>
          <w:sz w:val="72"/>
          <w:szCs w:val="72"/>
        </w:rPr>
        <w:t>建设项目环境影响报告表</w:t>
      </w:r>
    </w:p>
    <w:p>
      <w:pPr>
        <w:adjustRightInd w:val="0"/>
        <w:snapToGrid w:val="0"/>
        <w:spacing w:before="192" w:beforeLines="80"/>
        <w:jc w:val="center"/>
        <w:rPr>
          <w:b/>
          <w:bCs/>
          <w:sz w:val="48"/>
          <w:szCs w:val="48"/>
        </w:rPr>
      </w:pPr>
      <w:r>
        <w:rPr>
          <w:b/>
          <w:bCs/>
          <w:sz w:val="48"/>
          <w:szCs w:val="48"/>
        </w:rPr>
        <w:t>（污染影响类）</w:t>
      </w:r>
    </w:p>
    <w:p>
      <w:pPr>
        <w:adjustRightInd w:val="0"/>
        <w:snapToGrid w:val="0"/>
        <w:spacing w:line="288" w:lineRule="auto"/>
        <w:jc w:val="center"/>
        <w:rPr>
          <w:kern w:val="44"/>
          <w:sz w:val="44"/>
          <w:szCs w:val="44"/>
        </w:rPr>
      </w:pPr>
    </w:p>
    <w:p>
      <w:pPr>
        <w:jc w:val="center"/>
        <w:rPr>
          <w:sz w:val="52"/>
          <w:szCs w:val="52"/>
        </w:rPr>
      </w:pPr>
    </w:p>
    <w:p>
      <w:pPr>
        <w:ind w:firstLine="1040"/>
        <w:rPr>
          <w:sz w:val="44"/>
          <w:szCs w:val="44"/>
        </w:rPr>
      </w:pPr>
    </w:p>
    <w:p>
      <w:pPr>
        <w:ind w:firstLine="1040"/>
        <w:rPr>
          <w:sz w:val="44"/>
          <w:szCs w:val="44"/>
        </w:rPr>
      </w:pPr>
    </w:p>
    <w:p>
      <w:pPr>
        <w:ind w:firstLine="1040"/>
        <w:rPr>
          <w:sz w:val="44"/>
          <w:szCs w:val="44"/>
        </w:rPr>
      </w:pPr>
    </w:p>
    <w:p>
      <w:pPr>
        <w:spacing w:line="312" w:lineRule="auto"/>
        <w:ind w:firstLine="1040"/>
        <w:rPr>
          <w:sz w:val="44"/>
          <w:szCs w:val="44"/>
        </w:rPr>
      </w:pPr>
    </w:p>
    <w:p>
      <w:pPr>
        <w:adjustRightInd w:val="0"/>
        <w:snapToGrid w:val="0"/>
        <w:spacing w:line="312" w:lineRule="auto"/>
        <w:jc w:val="center"/>
        <w:rPr>
          <w:b/>
          <w:sz w:val="32"/>
          <w:szCs w:val="32"/>
          <w:u w:val="single"/>
        </w:rPr>
      </w:pPr>
      <w:r>
        <w:rPr>
          <w:rFonts w:hint="eastAsia"/>
          <w:b/>
          <w:sz w:val="32"/>
          <w:szCs w:val="36"/>
        </w:rPr>
        <w:t xml:space="preserve">   </w:t>
      </w:r>
      <w:r>
        <w:rPr>
          <w:b/>
          <w:sz w:val="32"/>
          <w:szCs w:val="36"/>
        </w:rPr>
        <w:t>项目名称：</w:t>
      </w:r>
      <w:r>
        <w:rPr>
          <w:rFonts w:hint="eastAsia"/>
          <w:b/>
          <w:sz w:val="32"/>
          <w:szCs w:val="32"/>
          <w:u w:val="single"/>
        </w:rPr>
        <w:t>惠州市力迈电子有限公司建设项目</w:t>
      </w:r>
    </w:p>
    <w:p>
      <w:pPr>
        <w:adjustRightInd w:val="0"/>
        <w:snapToGrid w:val="0"/>
        <w:spacing w:line="312" w:lineRule="auto"/>
        <w:ind w:left="601" w:leftChars="286" w:firstLine="321" w:firstLineChars="100"/>
        <w:jc w:val="center"/>
        <w:rPr>
          <w:b/>
          <w:sz w:val="32"/>
          <w:szCs w:val="36"/>
          <w:u w:val="single"/>
        </w:rPr>
      </w:pPr>
      <w:r>
        <w:rPr>
          <w:b/>
          <w:sz w:val="32"/>
          <w:szCs w:val="36"/>
        </w:rPr>
        <w:t>建设单位（盖章）：：</w:t>
      </w:r>
      <w:r>
        <w:rPr>
          <w:rFonts w:hint="eastAsia"/>
          <w:b/>
          <w:sz w:val="32"/>
          <w:szCs w:val="32"/>
          <w:u w:val="single"/>
        </w:rPr>
        <w:t>惠州市力迈电子有限公司</w:t>
      </w:r>
    </w:p>
    <w:p>
      <w:pPr>
        <w:adjustRightInd w:val="0"/>
        <w:snapToGrid w:val="0"/>
        <w:spacing w:line="312" w:lineRule="auto"/>
        <w:ind w:firstLine="2409" w:firstLineChars="750"/>
        <w:rPr>
          <w:rFonts w:ascii="宋体" w:hAnsi="宋体"/>
          <w:b/>
          <w:sz w:val="32"/>
          <w:szCs w:val="36"/>
          <w:u w:val="single"/>
        </w:rPr>
      </w:pPr>
      <w:r>
        <w:rPr>
          <w:rFonts w:ascii="宋体" w:hAnsi="宋体"/>
          <w:b/>
          <w:sz w:val="32"/>
          <w:szCs w:val="36"/>
        </w:rPr>
        <w:t>编制日期：</w:t>
      </w:r>
      <w:r>
        <w:rPr>
          <w:rFonts w:ascii="宋体" w:hAnsi="宋体"/>
          <w:b/>
          <w:sz w:val="32"/>
          <w:szCs w:val="36"/>
          <w:u w:val="single"/>
        </w:rPr>
        <w:t xml:space="preserve"> 2022年11月</w:t>
      </w:r>
    </w:p>
    <w:p>
      <w:pPr>
        <w:adjustRightInd w:val="0"/>
        <w:snapToGrid w:val="0"/>
        <w:spacing w:line="480" w:lineRule="auto"/>
        <w:ind w:firstLine="1040"/>
        <w:rPr>
          <w:b/>
          <w:sz w:val="36"/>
          <w:szCs w:val="36"/>
          <w:u w:val="single"/>
        </w:rPr>
      </w:pPr>
      <w:bookmarkStart w:id="0" w:name="_Hlk57884087"/>
    </w:p>
    <w:p>
      <w:pPr>
        <w:adjustRightInd w:val="0"/>
        <w:snapToGrid w:val="0"/>
        <w:spacing w:line="288" w:lineRule="auto"/>
        <w:ind w:firstLine="1040"/>
        <w:rPr>
          <w:b/>
          <w:sz w:val="36"/>
          <w:szCs w:val="36"/>
        </w:rPr>
      </w:pPr>
    </w:p>
    <w:p>
      <w:pPr>
        <w:adjustRightInd w:val="0"/>
        <w:snapToGrid w:val="0"/>
        <w:spacing w:line="288" w:lineRule="auto"/>
        <w:ind w:firstLine="1040"/>
        <w:rPr>
          <w:b/>
          <w:sz w:val="36"/>
          <w:szCs w:val="36"/>
        </w:rPr>
      </w:pPr>
    </w:p>
    <w:p>
      <w:pPr>
        <w:adjustRightInd w:val="0"/>
        <w:snapToGrid w:val="0"/>
        <w:spacing w:line="288" w:lineRule="auto"/>
        <w:ind w:firstLine="1040"/>
        <w:rPr>
          <w:b/>
          <w:sz w:val="36"/>
          <w:szCs w:val="36"/>
        </w:rPr>
      </w:pPr>
    </w:p>
    <w:p>
      <w:pPr>
        <w:adjustRightInd w:val="0"/>
        <w:snapToGrid w:val="0"/>
        <w:spacing w:line="288" w:lineRule="auto"/>
        <w:ind w:firstLine="1040"/>
        <w:rPr>
          <w:b/>
          <w:sz w:val="36"/>
          <w:szCs w:val="36"/>
        </w:rPr>
      </w:pPr>
    </w:p>
    <w:bookmarkEnd w:id="0"/>
    <w:p>
      <w:pPr>
        <w:adjustRightInd w:val="0"/>
        <w:snapToGrid w:val="0"/>
        <w:spacing w:line="288" w:lineRule="auto"/>
        <w:jc w:val="center"/>
        <w:rPr>
          <w:b/>
          <w:sz w:val="36"/>
          <w:szCs w:val="36"/>
        </w:rPr>
      </w:pPr>
      <w:r>
        <w:rPr>
          <w:b/>
          <w:sz w:val="36"/>
          <w:szCs w:val="36"/>
        </w:rPr>
        <w:t>中华人民共和国生态环境部制</w:t>
      </w:r>
    </w:p>
    <w:p>
      <w:pPr>
        <w:jc w:val="center"/>
        <w:rPr>
          <w:sz w:val="36"/>
          <w:szCs w:val="36"/>
        </w:rPr>
      </w:pPr>
    </w:p>
    <w:p>
      <w:pPr>
        <w:pStyle w:val="44"/>
        <w:rPr>
          <w:rFonts w:ascii="Times New Roman" w:hAnsi="Times New Roman"/>
          <w:color w:val="auto"/>
        </w:rPr>
      </w:pPr>
    </w:p>
    <w:p>
      <w:pPr>
        <w:adjustRightInd w:val="0"/>
        <w:snapToGrid w:val="0"/>
        <w:spacing w:line="288" w:lineRule="auto"/>
        <w:rPr>
          <w:rFonts w:eastAsia="仿宋_GB2312"/>
          <w:sz w:val="36"/>
          <w:szCs w:val="36"/>
        </w:rPr>
        <w:sectPr>
          <w:footerReference r:id="rId3" w:type="default"/>
          <w:footerReference r:id="rId4" w:type="even"/>
          <w:pgSz w:w="11906" w:h="16838"/>
          <w:pgMar w:top="720" w:right="720" w:bottom="720" w:left="720" w:header="851" w:footer="1077" w:gutter="0"/>
          <w:pgNumType w:start="3"/>
          <w:cols w:space="720" w:num="1"/>
          <w:docGrid w:linePitch="312" w:charSpace="0"/>
        </w:sectPr>
      </w:pPr>
    </w:p>
    <w:p>
      <w:pPr>
        <w:pStyle w:val="26"/>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一、建设项目基本情况</w:t>
      </w:r>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415"/>
        <w:gridCol w:w="2434"/>
        <w:gridCol w:w="1859"/>
        <w:gridCol w:w="353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766" w:type="pct"/>
            <w:tcMar>
              <w:top w:w="16" w:type="dxa"/>
              <w:left w:w="16" w:type="dxa"/>
              <w:right w:w="16" w:type="dxa"/>
            </w:tcMar>
            <w:vAlign w:val="center"/>
          </w:tcPr>
          <w:p>
            <w:pPr>
              <w:adjustRightInd w:val="0"/>
              <w:snapToGrid w:val="0"/>
              <w:jc w:val="center"/>
              <w:rPr>
                <w:szCs w:val="21"/>
              </w:rPr>
            </w:pPr>
            <w:r>
              <w:rPr>
                <w:szCs w:val="21"/>
              </w:rPr>
              <w:t>建设项目名称</w:t>
            </w:r>
          </w:p>
        </w:tc>
        <w:tc>
          <w:tcPr>
            <w:tcW w:w="4234" w:type="pct"/>
            <w:gridSpan w:val="3"/>
            <w:vAlign w:val="center"/>
          </w:tcPr>
          <w:p>
            <w:pPr>
              <w:adjustRightInd w:val="0"/>
              <w:snapToGrid w:val="0"/>
              <w:jc w:val="center"/>
              <w:rPr>
                <w:szCs w:val="21"/>
              </w:rPr>
            </w:pPr>
            <w:r>
              <w:rPr>
                <w:szCs w:val="21"/>
              </w:rPr>
              <w:t>惠州市力迈电子有限公司建设项目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766" w:type="pct"/>
            <w:tcMar>
              <w:top w:w="16" w:type="dxa"/>
              <w:left w:w="16" w:type="dxa"/>
              <w:right w:w="16" w:type="dxa"/>
            </w:tcMar>
            <w:vAlign w:val="center"/>
          </w:tcPr>
          <w:p>
            <w:pPr>
              <w:adjustRightInd w:val="0"/>
              <w:snapToGrid w:val="0"/>
              <w:jc w:val="center"/>
              <w:rPr>
                <w:szCs w:val="21"/>
              </w:rPr>
            </w:pPr>
            <w:r>
              <w:rPr>
                <w:szCs w:val="21"/>
              </w:rPr>
              <w:t>项目代码</w:t>
            </w:r>
          </w:p>
        </w:tc>
        <w:tc>
          <w:tcPr>
            <w:tcW w:w="4234" w:type="pct"/>
            <w:gridSpan w:val="3"/>
            <w:vAlign w:val="center"/>
          </w:tcPr>
          <w:p>
            <w:pPr>
              <w:adjustRightInd w:val="0"/>
              <w:snapToGrid w:val="0"/>
              <w:jc w:val="center"/>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766" w:type="pct"/>
            <w:tcMar>
              <w:top w:w="16" w:type="dxa"/>
              <w:left w:w="16" w:type="dxa"/>
              <w:right w:w="16" w:type="dxa"/>
            </w:tcMar>
            <w:vAlign w:val="center"/>
          </w:tcPr>
          <w:p>
            <w:pPr>
              <w:adjustRightInd w:val="0"/>
              <w:snapToGrid w:val="0"/>
              <w:jc w:val="center"/>
              <w:rPr>
                <w:szCs w:val="21"/>
              </w:rPr>
            </w:pPr>
            <w:r>
              <w:rPr>
                <w:szCs w:val="21"/>
              </w:rPr>
              <w:t>建设单位联系人</w:t>
            </w:r>
          </w:p>
        </w:tc>
        <w:tc>
          <w:tcPr>
            <w:tcW w:w="1317" w:type="pct"/>
            <w:vAlign w:val="center"/>
          </w:tcPr>
          <w:p>
            <w:pPr>
              <w:adjustRightInd w:val="0"/>
              <w:snapToGrid w:val="0"/>
              <w:jc w:val="center"/>
              <w:rPr>
                <w:szCs w:val="21"/>
              </w:rPr>
            </w:pPr>
            <w:r>
              <w:rPr>
                <w:rFonts w:hint="eastAsia"/>
                <w:szCs w:val="21"/>
              </w:rPr>
              <w:t>陈华</w:t>
            </w:r>
          </w:p>
        </w:tc>
        <w:tc>
          <w:tcPr>
            <w:tcW w:w="1006" w:type="pct"/>
            <w:vAlign w:val="center"/>
          </w:tcPr>
          <w:p>
            <w:pPr>
              <w:adjustRightInd w:val="0"/>
              <w:snapToGrid w:val="0"/>
              <w:jc w:val="center"/>
              <w:rPr>
                <w:szCs w:val="21"/>
              </w:rPr>
            </w:pPr>
            <w:r>
              <w:rPr>
                <w:szCs w:val="21"/>
              </w:rPr>
              <w:t>联系方式</w:t>
            </w:r>
          </w:p>
        </w:tc>
        <w:tc>
          <w:tcPr>
            <w:tcW w:w="1911" w:type="pct"/>
            <w:vAlign w:val="center"/>
          </w:tcPr>
          <w:p>
            <w:pPr>
              <w:adjustRightInd w:val="0"/>
              <w:snapToGrid w:val="0"/>
              <w:jc w:val="center"/>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766" w:type="pct"/>
            <w:tcMar>
              <w:top w:w="16" w:type="dxa"/>
              <w:left w:w="16" w:type="dxa"/>
              <w:right w:w="16" w:type="dxa"/>
            </w:tcMar>
            <w:vAlign w:val="center"/>
          </w:tcPr>
          <w:p>
            <w:pPr>
              <w:adjustRightInd w:val="0"/>
              <w:snapToGrid w:val="0"/>
              <w:jc w:val="center"/>
              <w:rPr>
                <w:szCs w:val="21"/>
              </w:rPr>
            </w:pPr>
            <w:r>
              <w:rPr>
                <w:szCs w:val="21"/>
              </w:rPr>
              <w:t>建设地点</w:t>
            </w:r>
          </w:p>
        </w:tc>
        <w:tc>
          <w:tcPr>
            <w:tcW w:w="4234" w:type="pct"/>
            <w:gridSpan w:val="3"/>
            <w:vAlign w:val="center"/>
          </w:tcPr>
          <w:p>
            <w:pPr>
              <w:adjustRightInd w:val="0"/>
              <w:snapToGrid w:val="0"/>
              <w:jc w:val="center"/>
              <w:rPr>
                <w:szCs w:val="21"/>
              </w:rPr>
            </w:pPr>
            <w:r>
              <w:rPr>
                <w:kern w:val="44"/>
              </w:rPr>
              <w:t>广东省惠州市博罗县</w:t>
            </w:r>
            <w:r>
              <w:rPr>
                <w:rFonts w:hint="eastAsia"/>
                <w:kern w:val="44"/>
              </w:rPr>
              <w:t>园洲镇河北片绿化二路东侧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766" w:type="pct"/>
            <w:tcMar>
              <w:top w:w="16" w:type="dxa"/>
              <w:left w:w="16" w:type="dxa"/>
              <w:right w:w="16" w:type="dxa"/>
            </w:tcMar>
            <w:vAlign w:val="center"/>
          </w:tcPr>
          <w:p>
            <w:pPr>
              <w:adjustRightInd w:val="0"/>
              <w:snapToGrid w:val="0"/>
              <w:jc w:val="center"/>
              <w:rPr>
                <w:szCs w:val="21"/>
              </w:rPr>
            </w:pPr>
            <w:r>
              <w:rPr>
                <w:szCs w:val="21"/>
              </w:rPr>
              <w:t>地理坐标</w:t>
            </w:r>
          </w:p>
        </w:tc>
        <w:tc>
          <w:tcPr>
            <w:tcW w:w="4234" w:type="pct"/>
            <w:gridSpan w:val="3"/>
            <w:vAlign w:val="center"/>
          </w:tcPr>
          <w:p>
            <w:pPr>
              <w:jc w:val="center"/>
              <w:rPr>
                <w:szCs w:val="21"/>
              </w:rPr>
            </w:pPr>
            <w:r>
              <w:rPr>
                <w:szCs w:val="21"/>
              </w:rPr>
              <w:t>（东经</w:t>
            </w:r>
            <w:r>
              <w:rPr>
                <w:kern w:val="44"/>
                <w:szCs w:val="21"/>
                <w:u w:val="single"/>
              </w:rPr>
              <w:t>113</w:t>
            </w:r>
            <w:r>
              <w:rPr>
                <w:kern w:val="44"/>
                <w:szCs w:val="21"/>
              </w:rPr>
              <w:t>度</w:t>
            </w:r>
            <w:r>
              <w:rPr>
                <w:kern w:val="44"/>
                <w:szCs w:val="21"/>
                <w:u w:val="single"/>
              </w:rPr>
              <w:t xml:space="preserve"> 59 </w:t>
            </w:r>
            <w:r>
              <w:rPr>
                <w:kern w:val="44"/>
                <w:szCs w:val="21"/>
              </w:rPr>
              <w:t>分</w:t>
            </w:r>
            <w:r>
              <w:rPr>
                <w:kern w:val="44"/>
                <w:szCs w:val="21"/>
                <w:u w:val="single"/>
              </w:rPr>
              <w:t xml:space="preserve"> 2.364</w:t>
            </w:r>
            <w:r>
              <w:rPr>
                <w:kern w:val="44"/>
                <w:szCs w:val="21"/>
              </w:rPr>
              <w:t>秒</w:t>
            </w:r>
            <w:r>
              <w:rPr>
                <w:szCs w:val="21"/>
              </w:rPr>
              <w:t>，北纬</w:t>
            </w:r>
            <w:r>
              <w:rPr>
                <w:szCs w:val="21"/>
                <w:u w:val="single"/>
              </w:rPr>
              <w:t xml:space="preserve"> </w:t>
            </w:r>
            <w:r>
              <w:rPr>
                <w:kern w:val="44"/>
                <w:szCs w:val="21"/>
                <w:u w:val="single"/>
              </w:rPr>
              <w:t>23</w:t>
            </w:r>
            <w:r>
              <w:rPr>
                <w:kern w:val="44"/>
                <w:szCs w:val="21"/>
              </w:rPr>
              <w:t>度</w:t>
            </w:r>
            <w:r>
              <w:rPr>
                <w:kern w:val="44"/>
                <w:szCs w:val="21"/>
                <w:u w:val="single"/>
              </w:rPr>
              <w:t xml:space="preserve"> 9</w:t>
            </w:r>
            <w:r>
              <w:rPr>
                <w:kern w:val="44"/>
                <w:szCs w:val="21"/>
              </w:rPr>
              <w:t>分</w:t>
            </w:r>
            <w:r>
              <w:rPr>
                <w:kern w:val="44"/>
                <w:szCs w:val="21"/>
                <w:u w:val="single"/>
              </w:rPr>
              <w:t>57.996</w:t>
            </w:r>
            <w:r>
              <w:rPr>
                <w:kern w:val="44"/>
                <w:szCs w:val="21"/>
              </w:rPr>
              <w:t>秒</w:t>
            </w:r>
            <w:r>
              <w:rPr>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766" w:type="pct"/>
            <w:tcMar>
              <w:top w:w="16" w:type="dxa"/>
              <w:left w:w="16" w:type="dxa"/>
              <w:right w:w="16" w:type="dxa"/>
            </w:tcMar>
            <w:vAlign w:val="center"/>
          </w:tcPr>
          <w:p>
            <w:pPr>
              <w:adjustRightInd w:val="0"/>
              <w:snapToGrid w:val="0"/>
              <w:jc w:val="center"/>
              <w:rPr>
                <w:szCs w:val="21"/>
              </w:rPr>
            </w:pPr>
            <w:r>
              <w:rPr>
                <w:szCs w:val="21"/>
              </w:rPr>
              <w:t>国民经济</w:t>
            </w:r>
          </w:p>
          <w:p>
            <w:pPr>
              <w:adjustRightInd w:val="0"/>
              <w:snapToGrid w:val="0"/>
              <w:jc w:val="center"/>
              <w:rPr>
                <w:szCs w:val="21"/>
              </w:rPr>
            </w:pPr>
            <w:r>
              <w:rPr>
                <w:szCs w:val="21"/>
              </w:rPr>
              <w:t>行业类别</w:t>
            </w:r>
          </w:p>
        </w:tc>
        <w:tc>
          <w:tcPr>
            <w:tcW w:w="1317" w:type="pct"/>
            <w:vAlign w:val="center"/>
          </w:tcPr>
          <w:p>
            <w:pPr>
              <w:adjustRightInd w:val="0"/>
              <w:snapToGrid w:val="0"/>
              <w:jc w:val="center"/>
              <w:rPr>
                <w:szCs w:val="21"/>
              </w:rPr>
            </w:pPr>
            <w:r>
              <w:rPr>
                <w:szCs w:val="21"/>
              </w:rPr>
              <w:t>C3972半导体分立器件制造</w:t>
            </w:r>
          </w:p>
        </w:tc>
        <w:tc>
          <w:tcPr>
            <w:tcW w:w="1006" w:type="pct"/>
            <w:vAlign w:val="center"/>
          </w:tcPr>
          <w:p>
            <w:pPr>
              <w:adjustRightInd w:val="0"/>
              <w:snapToGrid w:val="0"/>
              <w:jc w:val="center"/>
              <w:rPr>
                <w:szCs w:val="21"/>
              </w:rPr>
            </w:pPr>
            <w:bookmarkStart w:id="1" w:name="_Hlk49843745"/>
            <w:r>
              <w:rPr>
                <w:szCs w:val="21"/>
              </w:rPr>
              <w:t>建设项目</w:t>
            </w:r>
          </w:p>
          <w:p>
            <w:pPr>
              <w:adjustRightInd w:val="0"/>
              <w:snapToGrid w:val="0"/>
              <w:jc w:val="center"/>
              <w:rPr>
                <w:szCs w:val="21"/>
              </w:rPr>
            </w:pPr>
            <w:r>
              <w:rPr>
                <w:szCs w:val="21"/>
              </w:rPr>
              <w:t>行业类别</w:t>
            </w:r>
            <w:bookmarkEnd w:id="1"/>
          </w:p>
        </w:tc>
        <w:tc>
          <w:tcPr>
            <w:tcW w:w="1911" w:type="pct"/>
            <w:vAlign w:val="center"/>
          </w:tcPr>
          <w:p>
            <w:pPr>
              <w:adjustRightInd w:val="0"/>
              <w:snapToGrid w:val="0"/>
              <w:jc w:val="center"/>
              <w:rPr>
                <w:kern w:val="0"/>
                <w:szCs w:val="21"/>
              </w:rPr>
            </w:pPr>
            <w:r>
              <w:rPr>
                <w:szCs w:val="21"/>
              </w:rPr>
              <w:t>三十六、计算机、通信和其他电子设备制造业 80电子器件制造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766" w:type="pct"/>
            <w:tcMar>
              <w:top w:w="16" w:type="dxa"/>
              <w:left w:w="16" w:type="dxa"/>
              <w:right w:w="16" w:type="dxa"/>
            </w:tcMar>
            <w:vAlign w:val="center"/>
          </w:tcPr>
          <w:p>
            <w:pPr>
              <w:adjustRightInd w:val="0"/>
              <w:snapToGrid w:val="0"/>
              <w:jc w:val="center"/>
              <w:rPr>
                <w:szCs w:val="21"/>
              </w:rPr>
            </w:pPr>
            <w:r>
              <w:rPr>
                <w:szCs w:val="21"/>
              </w:rPr>
              <w:t>建设性质</w:t>
            </w:r>
          </w:p>
        </w:tc>
        <w:tc>
          <w:tcPr>
            <w:tcW w:w="1317" w:type="pct"/>
            <w:vAlign w:val="center"/>
          </w:tcPr>
          <w:p>
            <w:pPr>
              <w:jc w:val="left"/>
              <w:rPr>
                <w:szCs w:val="21"/>
              </w:rPr>
            </w:pPr>
            <w:r>
              <w:rPr>
                <w:szCs w:val="21"/>
              </w:rPr>
              <w:sym w:font="Wingdings 2" w:char="0052"/>
            </w:r>
            <w:r>
              <w:rPr>
                <w:szCs w:val="21"/>
              </w:rPr>
              <w:t>新建（迁建）</w:t>
            </w:r>
          </w:p>
          <w:p>
            <w:pPr>
              <w:jc w:val="left"/>
              <w:rPr>
                <w:szCs w:val="21"/>
              </w:rPr>
            </w:pPr>
            <w:r>
              <w:rPr>
                <w:szCs w:val="21"/>
              </w:rPr>
              <w:t>□改建</w:t>
            </w:r>
          </w:p>
          <w:p>
            <w:pPr>
              <w:jc w:val="left"/>
              <w:rPr>
                <w:szCs w:val="21"/>
              </w:rPr>
            </w:pPr>
            <w:r>
              <w:rPr>
                <w:szCs w:val="21"/>
              </w:rPr>
              <w:t>□扩建</w:t>
            </w:r>
          </w:p>
          <w:p>
            <w:pPr>
              <w:jc w:val="left"/>
              <w:rPr>
                <w:szCs w:val="21"/>
              </w:rPr>
            </w:pPr>
            <w:r>
              <w:rPr>
                <w:szCs w:val="21"/>
              </w:rPr>
              <w:t>□技术改造</w:t>
            </w:r>
          </w:p>
        </w:tc>
        <w:tc>
          <w:tcPr>
            <w:tcW w:w="1006" w:type="pct"/>
            <w:vAlign w:val="center"/>
          </w:tcPr>
          <w:p>
            <w:pPr>
              <w:adjustRightInd w:val="0"/>
              <w:snapToGrid w:val="0"/>
              <w:jc w:val="center"/>
              <w:rPr>
                <w:szCs w:val="21"/>
              </w:rPr>
            </w:pPr>
            <w:r>
              <w:rPr>
                <w:szCs w:val="21"/>
              </w:rPr>
              <w:t>建设项目</w:t>
            </w:r>
          </w:p>
          <w:p>
            <w:pPr>
              <w:adjustRightInd w:val="0"/>
              <w:snapToGrid w:val="0"/>
              <w:jc w:val="center"/>
              <w:rPr>
                <w:szCs w:val="21"/>
              </w:rPr>
            </w:pPr>
            <w:r>
              <w:rPr>
                <w:szCs w:val="21"/>
              </w:rPr>
              <w:t>申报情形</w:t>
            </w:r>
          </w:p>
        </w:tc>
        <w:tc>
          <w:tcPr>
            <w:tcW w:w="1911" w:type="pct"/>
            <w:vAlign w:val="center"/>
          </w:tcPr>
          <w:p>
            <w:pPr>
              <w:jc w:val="left"/>
              <w:rPr>
                <w:szCs w:val="21"/>
              </w:rPr>
            </w:pPr>
            <w:r>
              <w:rPr>
                <w:szCs w:val="21"/>
              </w:rPr>
              <w:sym w:font="Wingdings 2" w:char="0052"/>
            </w:r>
            <w:r>
              <w:rPr>
                <w:szCs w:val="21"/>
              </w:rPr>
              <w:t xml:space="preserve">首次申报项目             </w:t>
            </w:r>
          </w:p>
          <w:p>
            <w:pPr>
              <w:jc w:val="left"/>
              <w:rPr>
                <w:szCs w:val="21"/>
              </w:rPr>
            </w:pPr>
            <w:r>
              <w:rPr>
                <w:szCs w:val="21"/>
              </w:rPr>
              <w:t>□不予批准后再次申报项目</w:t>
            </w:r>
          </w:p>
          <w:p>
            <w:pPr>
              <w:jc w:val="left"/>
              <w:rPr>
                <w:szCs w:val="21"/>
              </w:rPr>
            </w:pPr>
            <w:r>
              <w:rPr>
                <w:szCs w:val="21"/>
              </w:rPr>
              <w:t xml:space="preserve">□超五年重新审核项目     </w:t>
            </w:r>
          </w:p>
          <w:p>
            <w:pPr>
              <w:jc w:val="left"/>
              <w:rPr>
                <w:szCs w:val="21"/>
              </w:rPr>
            </w:pPr>
            <w:r>
              <w:rPr>
                <w:szCs w:val="21"/>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766" w:type="pct"/>
            <w:tcMar>
              <w:top w:w="16" w:type="dxa"/>
              <w:left w:w="16" w:type="dxa"/>
              <w:right w:w="16" w:type="dxa"/>
            </w:tcMar>
            <w:vAlign w:val="center"/>
          </w:tcPr>
          <w:p>
            <w:pPr>
              <w:adjustRightInd w:val="0"/>
              <w:snapToGrid w:val="0"/>
              <w:jc w:val="center"/>
              <w:rPr>
                <w:szCs w:val="21"/>
              </w:rPr>
            </w:pPr>
            <w:r>
              <w:rPr>
                <w:szCs w:val="21"/>
              </w:rPr>
              <w:t>项目审批（核准/备案）部门</w:t>
            </w:r>
          </w:p>
        </w:tc>
        <w:tc>
          <w:tcPr>
            <w:tcW w:w="1317" w:type="pct"/>
            <w:vAlign w:val="center"/>
          </w:tcPr>
          <w:p>
            <w:pPr>
              <w:adjustRightInd w:val="0"/>
              <w:snapToGrid w:val="0"/>
              <w:jc w:val="center"/>
              <w:rPr>
                <w:szCs w:val="21"/>
              </w:rPr>
            </w:pPr>
            <w:r>
              <w:rPr>
                <w:szCs w:val="21"/>
              </w:rPr>
              <w:t>/</w:t>
            </w:r>
          </w:p>
        </w:tc>
        <w:tc>
          <w:tcPr>
            <w:tcW w:w="1006" w:type="pct"/>
            <w:vAlign w:val="center"/>
          </w:tcPr>
          <w:p>
            <w:pPr>
              <w:adjustRightInd w:val="0"/>
              <w:snapToGrid w:val="0"/>
              <w:jc w:val="center"/>
              <w:rPr>
                <w:szCs w:val="21"/>
              </w:rPr>
            </w:pPr>
            <w:r>
              <w:rPr>
                <w:szCs w:val="21"/>
              </w:rPr>
              <w:t>项目审批（核准/备案）文号</w:t>
            </w:r>
          </w:p>
        </w:tc>
        <w:tc>
          <w:tcPr>
            <w:tcW w:w="1911" w:type="pct"/>
            <w:vAlign w:val="center"/>
          </w:tcPr>
          <w:p>
            <w:pPr>
              <w:adjustRightInd w:val="0"/>
              <w:snapToGrid w:val="0"/>
              <w:jc w:val="center"/>
              <w:rPr>
                <w:szCs w:val="21"/>
              </w:rPr>
            </w:pPr>
            <w:r>
              <w:rPr>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766" w:type="pct"/>
            <w:tcMar>
              <w:top w:w="16" w:type="dxa"/>
              <w:left w:w="16" w:type="dxa"/>
              <w:right w:w="16" w:type="dxa"/>
            </w:tcMar>
            <w:vAlign w:val="center"/>
          </w:tcPr>
          <w:p>
            <w:pPr>
              <w:adjustRightInd w:val="0"/>
              <w:snapToGrid w:val="0"/>
              <w:jc w:val="center"/>
              <w:rPr>
                <w:szCs w:val="21"/>
              </w:rPr>
            </w:pPr>
            <w:r>
              <w:rPr>
                <w:szCs w:val="21"/>
              </w:rPr>
              <w:t>总投资（万元）</w:t>
            </w:r>
          </w:p>
        </w:tc>
        <w:tc>
          <w:tcPr>
            <w:tcW w:w="1317" w:type="pct"/>
            <w:vAlign w:val="center"/>
          </w:tcPr>
          <w:p>
            <w:pPr>
              <w:adjustRightInd w:val="0"/>
              <w:snapToGrid w:val="0"/>
              <w:jc w:val="center"/>
              <w:rPr>
                <w:szCs w:val="21"/>
              </w:rPr>
            </w:pPr>
            <w:r>
              <w:rPr>
                <w:szCs w:val="21"/>
              </w:rPr>
              <w:t>28000</w:t>
            </w:r>
          </w:p>
        </w:tc>
        <w:tc>
          <w:tcPr>
            <w:tcW w:w="1006" w:type="pct"/>
            <w:tcMar>
              <w:top w:w="16" w:type="dxa"/>
              <w:left w:w="16" w:type="dxa"/>
              <w:right w:w="16" w:type="dxa"/>
            </w:tcMar>
            <w:vAlign w:val="center"/>
          </w:tcPr>
          <w:p>
            <w:pPr>
              <w:adjustRightInd w:val="0"/>
              <w:snapToGrid w:val="0"/>
              <w:jc w:val="center"/>
              <w:rPr>
                <w:szCs w:val="21"/>
              </w:rPr>
            </w:pPr>
            <w:r>
              <w:rPr>
                <w:szCs w:val="21"/>
              </w:rPr>
              <w:t>环保投资（万元）</w:t>
            </w:r>
          </w:p>
        </w:tc>
        <w:tc>
          <w:tcPr>
            <w:tcW w:w="1911" w:type="pct"/>
            <w:vAlign w:val="center"/>
          </w:tcPr>
          <w:p>
            <w:pPr>
              <w:adjustRightInd w:val="0"/>
              <w:snapToGrid w:val="0"/>
              <w:jc w:val="center"/>
              <w:rPr>
                <w:szCs w:val="21"/>
              </w:rPr>
            </w:pPr>
            <w:r>
              <w:rPr>
                <w:szCs w:val="21"/>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766" w:type="pct"/>
            <w:tcMar>
              <w:top w:w="16" w:type="dxa"/>
              <w:left w:w="16" w:type="dxa"/>
              <w:right w:w="16" w:type="dxa"/>
            </w:tcMar>
            <w:vAlign w:val="center"/>
          </w:tcPr>
          <w:p>
            <w:pPr>
              <w:adjustRightInd w:val="0"/>
              <w:snapToGrid w:val="0"/>
              <w:jc w:val="center"/>
              <w:rPr>
                <w:szCs w:val="21"/>
              </w:rPr>
            </w:pPr>
            <w:r>
              <w:rPr>
                <w:szCs w:val="21"/>
              </w:rPr>
              <w:t>环保投资占比（%）</w:t>
            </w:r>
          </w:p>
        </w:tc>
        <w:tc>
          <w:tcPr>
            <w:tcW w:w="1317" w:type="pct"/>
            <w:vAlign w:val="center"/>
          </w:tcPr>
          <w:p>
            <w:pPr>
              <w:adjustRightInd w:val="0"/>
              <w:snapToGrid w:val="0"/>
              <w:jc w:val="center"/>
              <w:rPr>
                <w:szCs w:val="21"/>
              </w:rPr>
            </w:pPr>
            <w:r>
              <w:rPr>
                <w:szCs w:val="21"/>
              </w:rPr>
              <w:t>0.18</w:t>
            </w:r>
          </w:p>
        </w:tc>
        <w:tc>
          <w:tcPr>
            <w:tcW w:w="1006" w:type="pct"/>
            <w:tcMar>
              <w:top w:w="16" w:type="dxa"/>
              <w:left w:w="16" w:type="dxa"/>
              <w:right w:w="16" w:type="dxa"/>
            </w:tcMar>
            <w:vAlign w:val="center"/>
          </w:tcPr>
          <w:p>
            <w:pPr>
              <w:adjustRightInd w:val="0"/>
              <w:snapToGrid w:val="0"/>
              <w:jc w:val="center"/>
              <w:rPr>
                <w:szCs w:val="21"/>
              </w:rPr>
            </w:pPr>
            <w:r>
              <w:rPr>
                <w:szCs w:val="21"/>
              </w:rPr>
              <w:t>施工工期</w:t>
            </w:r>
          </w:p>
        </w:tc>
        <w:tc>
          <w:tcPr>
            <w:tcW w:w="1911" w:type="pct"/>
            <w:vAlign w:val="center"/>
          </w:tcPr>
          <w:p>
            <w:pPr>
              <w:adjustRightInd w:val="0"/>
              <w:snapToGrid w:val="0"/>
              <w:jc w:val="center"/>
              <w:rPr>
                <w:szCs w:val="21"/>
              </w:rPr>
            </w:pPr>
            <w:r>
              <w:rPr>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766" w:type="pct"/>
            <w:tcMar>
              <w:top w:w="16" w:type="dxa"/>
              <w:left w:w="16" w:type="dxa"/>
              <w:right w:w="16" w:type="dxa"/>
            </w:tcMar>
            <w:vAlign w:val="center"/>
          </w:tcPr>
          <w:p>
            <w:pPr>
              <w:adjustRightInd w:val="0"/>
              <w:snapToGrid w:val="0"/>
              <w:jc w:val="center"/>
              <w:rPr>
                <w:szCs w:val="21"/>
              </w:rPr>
            </w:pPr>
            <w:r>
              <w:rPr>
                <w:szCs w:val="21"/>
              </w:rPr>
              <w:t>是否开工建设</w:t>
            </w:r>
          </w:p>
        </w:tc>
        <w:tc>
          <w:tcPr>
            <w:tcW w:w="1317" w:type="pct"/>
            <w:vAlign w:val="center"/>
          </w:tcPr>
          <w:p>
            <w:pPr>
              <w:adjustRightInd w:val="0"/>
              <w:snapToGrid w:val="0"/>
              <w:rPr>
                <w:szCs w:val="21"/>
              </w:rPr>
            </w:pPr>
            <w:r>
              <w:rPr>
                <w:szCs w:val="21"/>
              </w:rPr>
              <w:sym w:font="Wingdings 2" w:char="0052"/>
            </w:r>
            <w:r>
              <w:rPr>
                <w:szCs w:val="21"/>
              </w:rPr>
              <w:t>否</w:t>
            </w:r>
          </w:p>
          <w:p>
            <w:pPr>
              <w:adjustRightInd w:val="0"/>
              <w:snapToGrid w:val="0"/>
              <w:rPr>
                <w:szCs w:val="21"/>
              </w:rPr>
            </w:pPr>
            <w:r>
              <w:rPr>
                <w:szCs w:val="21"/>
              </w:rPr>
              <w:sym w:font="Wingdings 2" w:char="00A3"/>
            </w:r>
            <w:r>
              <w:rPr>
                <w:szCs w:val="21"/>
              </w:rPr>
              <w:t>是：</w:t>
            </w:r>
            <w:r>
              <w:rPr>
                <w:szCs w:val="21"/>
                <w:u w:val="single"/>
              </w:rPr>
              <w:t xml:space="preserve">             </w:t>
            </w:r>
          </w:p>
        </w:tc>
        <w:tc>
          <w:tcPr>
            <w:tcW w:w="1006" w:type="pct"/>
            <w:tcMar>
              <w:top w:w="16" w:type="dxa"/>
              <w:left w:w="16" w:type="dxa"/>
              <w:right w:w="16" w:type="dxa"/>
            </w:tcMar>
            <w:vAlign w:val="center"/>
          </w:tcPr>
          <w:p>
            <w:pPr>
              <w:adjustRightInd w:val="0"/>
              <w:snapToGrid w:val="0"/>
              <w:jc w:val="center"/>
              <w:rPr>
                <w:spacing w:val="-6"/>
                <w:szCs w:val="21"/>
              </w:rPr>
            </w:pPr>
            <w:r>
              <w:rPr>
                <w:spacing w:val="-6"/>
                <w:szCs w:val="21"/>
              </w:rPr>
              <w:t>用地（用海）</w:t>
            </w:r>
          </w:p>
          <w:p>
            <w:pPr>
              <w:adjustRightInd w:val="0"/>
              <w:snapToGrid w:val="0"/>
              <w:jc w:val="center"/>
              <w:rPr>
                <w:szCs w:val="21"/>
              </w:rPr>
            </w:pPr>
            <w:r>
              <w:rPr>
                <w:spacing w:val="-6"/>
                <w:szCs w:val="21"/>
              </w:rPr>
              <w:t>面积（m</w:t>
            </w:r>
            <w:r>
              <w:rPr>
                <w:spacing w:val="-6"/>
                <w:szCs w:val="21"/>
                <w:vertAlign w:val="superscript"/>
              </w:rPr>
              <w:t>2</w:t>
            </w:r>
            <w:r>
              <w:rPr>
                <w:spacing w:val="-6"/>
                <w:szCs w:val="21"/>
              </w:rPr>
              <w:t>）</w:t>
            </w:r>
          </w:p>
        </w:tc>
        <w:tc>
          <w:tcPr>
            <w:tcW w:w="1911" w:type="pct"/>
            <w:vAlign w:val="center"/>
          </w:tcPr>
          <w:p>
            <w:pPr>
              <w:adjustRightInd w:val="0"/>
              <w:snapToGrid w:val="0"/>
              <w:jc w:val="center"/>
              <w:rPr>
                <w:szCs w:val="21"/>
              </w:rPr>
            </w:pPr>
            <w:r>
              <w:rPr>
                <w:rFonts w:hint="eastAsia"/>
                <w:szCs w:val="21"/>
              </w:rPr>
              <w:t>13700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766" w:type="pct"/>
            <w:vAlign w:val="center"/>
          </w:tcPr>
          <w:p>
            <w:pPr>
              <w:autoSpaceDE w:val="0"/>
              <w:autoSpaceDN w:val="0"/>
              <w:adjustRightInd w:val="0"/>
              <w:snapToGrid w:val="0"/>
              <w:jc w:val="center"/>
              <w:rPr>
                <w:kern w:val="0"/>
                <w:szCs w:val="21"/>
              </w:rPr>
            </w:pPr>
            <w:r>
              <w:rPr>
                <w:kern w:val="0"/>
                <w:szCs w:val="21"/>
              </w:rPr>
              <w:t>专项评价设置情况</w:t>
            </w:r>
          </w:p>
        </w:tc>
        <w:tc>
          <w:tcPr>
            <w:tcW w:w="4234" w:type="pct"/>
            <w:gridSpan w:val="3"/>
            <w:vAlign w:val="center"/>
          </w:tcPr>
          <w:p>
            <w:pPr>
              <w:autoSpaceDE w:val="0"/>
              <w:autoSpaceDN w:val="0"/>
              <w:adjustRightInd w:val="0"/>
              <w:snapToGrid w:val="0"/>
              <w:jc w:val="center"/>
              <w:rPr>
                <w:kern w:val="0"/>
                <w:szCs w:val="21"/>
              </w:rPr>
            </w:pPr>
            <w:r>
              <w:rPr>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766" w:type="pct"/>
            <w:vAlign w:val="center"/>
          </w:tcPr>
          <w:p>
            <w:pPr>
              <w:autoSpaceDE w:val="0"/>
              <w:autoSpaceDN w:val="0"/>
              <w:adjustRightInd w:val="0"/>
              <w:snapToGrid w:val="0"/>
              <w:jc w:val="center"/>
              <w:rPr>
                <w:kern w:val="0"/>
                <w:szCs w:val="21"/>
              </w:rPr>
            </w:pPr>
            <w:r>
              <w:rPr>
                <w:szCs w:val="21"/>
              </w:rPr>
              <w:t>规划情况</w:t>
            </w:r>
          </w:p>
        </w:tc>
        <w:tc>
          <w:tcPr>
            <w:tcW w:w="4234" w:type="pct"/>
            <w:gridSpan w:val="3"/>
            <w:vAlign w:val="center"/>
          </w:tcPr>
          <w:p>
            <w:pPr>
              <w:autoSpaceDE w:val="0"/>
              <w:autoSpaceDN w:val="0"/>
              <w:adjustRightInd w:val="0"/>
              <w:snapToGrid w:val="0"/>
              <w:jc w:val="center"/>
              <w:rPr>
                <w:kern w:val="0"/>
                <w:szCs w:val="21"/>
              </w:rPr>
            </w:pPr>
            <w:r>
              <w:rPr>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766" w:type="pct"/>
            <w:vAlign w:val="center"/>
          </w:tcPr>
          <w:p>
            <w:pPr>
              <w:adjustRightInd w:val="0"/>
              <w:snapToGrid w:val="0"/>
              <w:jc w:val="center"/>
              <w:rPr>
                <w:szCs w:val="21"/>
              </w:rPr>
            </w:pPr>
            <w:r>
              <w:rPr>
                <w:szCs w:val="21"/>
              </w:rPr>
              <w:t>规划环境影响评价情况</w:t>
            </w:r>
          </w:p>
        </w:tc>
        <w:tc>
          <w:tcPr>
            <w:tcW w:w="4234" w:type="pct"/>
            <w:gridSpan w:val="3"/>
            <w:vAlign w:val="center"/>
          </w:tcPr>
          <w:p>
            <w:pPr>
              <w:autoSpaceDE w:val="0"/>
              <w:autoSpaceDN w:val="0"/>
              <w:adjustRightInd w:val="0"/>
              <w:snapToGrid w:val="0"/>
              <w:jc w:val="center"/>
              <w:rPr>
                <w:kern w:val="0"/>
                <w:szCs w:val="21"/>
              </w:rPr>
            </w:pPr>
            <w:r>
              <w:rPr>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766" w:type="pct"/>
            <w:vAlign w:val="center"/>
          </w:tcPr>
          <w:p>
            <w:pPr>
              <w:autoSpaceDE w:val="0"/>
              <w:autoSpaceDN w:val="0"/>
              <w:adjustRightInd w:val="0"/>
              <w:snapToGrid w:val="0"/>
              <w:jc w:val="center"/>
              <w:rPr>
                <w:kern w:val="0"/>
                <w:szCs w:val="21"/>
              </w:rPr>
            </w:pPr>
            <w:r>
              <w:rPr>
                <w:kern w:val="0"/>
                <w:szCs w:val="21"/>
              </w:rPr>
              <w:t>规划及规划环境影响评价符合性分析</w:t>
            </w:r>
          </w:p>
        </w:tc>
        <w:tc>
          <w:tcPr>
            <w:tcW w:w="4234" w:type="pct"/>
            <w:gridSpan w:val="3"/>
            <w:vAlign w:val="center"/>
          </w:tcPr>
          <w:p>
            <w:pPr>
              <w:autoSpaceDE w:val="0"/>
              <w:autoSpaceDN w:val="0"/>
              <w:adjustRightInd w:val="0"/>
              <w:snapToGrid w:val="0"/>
              <w:jc w:val="center"/>
              <w:rPr>
                <w:kern w:val="0"/>
                <w:szCs w:val="21"/>
              </w:rPr>
            </w:pPr>
            <w:r>
              <w:rPr>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60" w:hRule="atLeast"/>
          <w:jc w:val="center"/>
        </w:trPr>
        <w:tc>
          <w:tcPr>
            <w:tcW w:w="766" w:type="pct"/>
            <w:vAlign w:val="center"/>
          </w:tcPr>
          <w:p>
            <w:pPr>
              <w:autoSpaceDE w:val="0"/>
              <w:autoSpaceDN w:val="0"/>
              <w:adjustRightInd w:val="0"/>
              <w:snapToGrid w:val="0"/>
              <w:jc w:val="center"/>
              <w:rPr>
                <w:kern w:val="0"/>
                <w:szCs w:val="21"/>
              </w:rPr>
            </w:pPr>
            <w:r>
              <w:rPr>
                <w:kern w:val="0"/>
                <w:szCs w:val="21"/>
              </w:rPr>
              <w:t>其他符合性分析</w:t>
            </w:r>
          </w:p>
        </w:tc>
        <w:tc>
          <w:tcPr>
            <w:tcW w:w="4234" w:type="pct"/>
            <w:gridSpan w:val="3"/>
            <w:vAlign w:val="center"/>
          </w:tcPr>
          <w:p>
            <w:pPr>
              <w:adjustRightInd w:val="0"/>
              <w:snapToGrid w:val="0"/>
              <w:spacing w:line="360" w:lineRule="auto"/>
              <w:ind w:firstLine="482"/>
              <w:rPr>
                <w:b/>
                <w:szCs w:val="21"/>
              </w:rPr>
            </w:pPr>
            <w:r>
              <w:rPr>
                <w:b/>
                <w:szCs w:val="21"/>
              </w:rPr>
              <w:t>1、“三线一单”相符性分析</w:t>
            </w:r>
          </w:p>
          <w:p>
            <w:pPr>
              <w:spacing w:line="360" w:lineRule="auto"/>
              <w:ind w:firstLine="420" w:firstLineChars="200"/>
            </w:pPr>
            <w:r>
              <w:t>本项目位于</w:t>
            </w:r>
            <w:r>
              <w:rPr>
                <w:kern w:val="44"/>
              </w:rPr>
              <w:t>惠州市博罗县</w:t>
            </w:r>
            <w:r>
              <w:rPr>
                <w:rFonts w:hint="eastAsia"/>
                <w:kern w:val="44"/>
              </w:rPr>
              <w:t>博罗县园洲镇河北片绿化二路东侧</w:t>
            </w:r>
            <w:r>
              <w:t>，</w:t>
            </w:r>
            <w:r>
              <w:rPr>
                <w:bCs/>
                <w:kern w:val="0"/>
              </w:rPr>
              <w:t>根据惠州市生态环境局博罗分局发布的《博罗县分类环境管控单元及环境准入负面清单》，</w:t>
            </w:r>
            <w:r>
              <w:t>项目所在地属于博罗</w:t>
            </w:r>
            <w:r>
              <w:rPr>
                <w:rFonts w:hint="eastAsia"/>
              </w:rPr>
              <w:t>沙河流域</w:t>
            </w:r>
            <w:r>
              <w:t>重点管控单元（ZH44132220001），项目与相应的管控要求相符性分析见下表。</w:t>
            </w:r>
          </w:p>
          <w:p>
            <w:pPr>
              <w:numPr>
                <w:ilvl w:val="0"/>
                <w:numId w:val="2"/>
              </w:numPr>
              <w:adjustRightInd w:val="0"/>
              <w:snapToGrid w:val="0"/>
              <w:spacing w:line="360" w:lineRule="auto"/>
              <w:ind w:left="322"/>
              <w:jc w:val="center"/>
              <w:rPr>
                <w:b/>
                <w:bCs/>
              </w:rPr>
            </w:pPr>
            <w:r>
              <w:rPr>
                <w:b/>
                <w:bCs/>
              </w:rPr>
              <w:t>项目与</w:t>
            </w:r>
            <w:r>
              <w:rPr>
                <w:b/>
                <w:szCs w:val="21"/>
              </w:rPr>
              <w:t>《博罗县分类环境管控单元及环境准入负面清单》</w:t>
            </w:r>
            <w:r>
              <w:rPr>
                <w:b/>
                <w:bCs/>
              </w:rPr>
              <w:t>相符性分析一览表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
              <w:gridCol w:w="4254"/>
              <w:gridCol w:w="2149"/>
              <w:gridCol w:w="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3056" w:type="pct"/>
                  <w:gridSpan w:val="2"/>
                  <w:vAlign w:val="center"/>
                </w:tcPr>
                <w:p>
                  <w:pPr>
                    <w:jc w:val="center"/>
                    <w:rPr>
                      <w:b/>
                      <w:bCs/>
                      <w:szCs w:val="21"/>
                    </w:rPr>
                  </w:pPr>
                  <w:r>
                    <w:rPr>
                      <w:b/>
                      <w:bCs/>
                      <w:szCs w:val="21"/>
                    </w:rPr>
                    <w:t>管控要求</w:t>
                  </w:r>
                </w:p>
              </w:tc>
              <w:tc>
                <w:tcPr>
                  <w:tcW w:w="1414" w:type="pct"/>
                  <w:vAlign w:val="center"/>
                </w:tcPr>
                <w:p>
                  <w:pPr>
                    <w:jc w:val="center"/>
                    <w:rPr>
                      <w:b/>
                      <w:bCs/>
                      <w:szCs w:val="21"/>
                    </w:rPr>
                  </w:pPr>
                  <w:r>
                    <w:rPr>
                      <w:b/>
                      <w:bCs/>
                      <w:szCs w:val="21"/>
                    </w:rPr>
                    <w:t>本项目情况</w:t>
                  </w:r>
                </w:p>
              </w:tc>
              <w:tc>
                <w:tcPr>
                  <w:tcW w:w="530" w:type="pct"/>
                  <w:vAlign w:val="center"/>
                </w:tcPr>
                <w:p>
                  <w:pPr>
                    <w:jc w:val="center"/>
                    <w:rPr>
                      <w:b/>
                      <w:bCs/>
                      <w:szCs w:val="21"/>
                    </w:rPr>
                  </w:pPr>
                  <w:r>
                    <w:rPr>
                      <w:b/>
                      <w:bCs/>
                      <w:szCs w:val="21"/>
                    </w:rPr>
                    <w:t>符合性结论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5000" w:type="pct"/>
                  <w:gridSpan w:val="4"/>
                  <w:vAlign w:val="center"/>
                </w:tcPr>
                <w:p>
                  <w:pPr>
                    <w:jc w:val="center"/>
                    <w:rPr>
                      <w:b/>
                      <w:bCs/>
                      <w:sz w:val="24"/>
                    </w:rPr>
                  </w:pPr>
                  <w:r>
                    <w:rPr>
                      <w:b/>
                      <w:bCs/>
                      <w:szCs w:val="21"/>
                    </w:rPr>
                    <w:t>一、生态保护红线相符性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3056" w:type="pct"/>
                  <w:gridSpan w:val="2"/>
                  <w:vAlign w:val="center"/>
                </w:tcPr>
                <w:p>
                  <w:pPr>
                    <w:ind w:firstLine="360" w:firstLineChars="200"/>
                    <w:jc w:val="left"/>
                    <w:rPr>
                      <w:sz w:val="18"/>
                      <w:szCs w:val="18"/>
                    </w:rPr>
                  </w:pPr>
                  <w:r>
                    <w:rPr>
                      <w:sz w:val="18"/>
                      <w:szCs w:val="18"/>
                    </w:rPr>
                    <w:t>博罗县生态空间优先保护区总面积为752.514km</w:t>
                  </w:r>
                  <w:r>
                    <w:rPr>
                      <w:sz w:val="18"/>
                      <w:szCs w:val="18"/>
                      <w:vertAlign w:val="superscript"/>
                    </w:rPr>
                    <w:t>2</w:t>
                  </w:r>
                  <w:r>
                    <w:rPr>
                      <w:sz w:val="18"/>
                      <w:szCs w:val="18"/>
                    </w:rPr>
                    <w:t>，占区域国土总面积的26.36%。根据山系、水系将生态空间优先保护区进行分区，按照生态保护红线和一般生态空间进行分类，得到10个生态空间优先保护区斑块。</w:t>
                  </w:r>
                </w:p>
                <w:p>
                  <w:pPr>
                    <w:ind w:firstLine="360" w:firstLineChars="200"/>
                    <w:jc w:val="left"/>
                    <w:rPr>
                      <w:sz w:val="18"/>
                      <w:szCs w:val="18"/>
                    </w:rPr>
                  </w:pPr>
                  <w:r>
                    <w:rPr>
                      <w:sz w:val="18"/>
                      <w:szCs w:val="18"/>
                    </w:rPr>
                    <w:t>根据县区将生态空间一般管控区进行分区，得到为1个生态空间一般管控区斑块。</w:t>
                  </w:r>
                </w:p>
                <w:p>
                  <w:pPr>
                    <w:ind w:firstLine="361" w:firstLineChars="200"/>
                    <w:jc w:val="left"/>
                    <w:rPr>
                      <w:b/>
                      <w:bCs/>
                      <w:sz w:val="18"/>
                      <w:szCs w:val="18"/>
                    </w:rPr>
                  </w:pPr>
                  <w:r>
                    <w:rPr>
                      <w:b/>
                      <w:bCs/>
                      <w:sz w:val="18"/>
                      <w:szCs w:val="18"/>
                    </w:rPr>
                    <w:t>生态空间管控要求：</w:t>
                  </w:r>
                </w:p>
                <w:p>
                  <w:pPr>
                    <w:ind w:firstLine="360" w:firstLineChars="200"/>
                    <w:jc w:val="left"/>
                    <w:rPr>
                      <w:sz w:val="18"/>
                      <w:szCs w:val="18"/>
                    </w:rPr>
                  </w:pPr>
                  <w:r>
                    <w:rPr>
                      <w:sz w:val="18"/>
                      <w:szCs w:val="18"/>
                    </w:rPr>
                    <w:t>（1）生态保护红线</w:t>
                  </w:r>
                </w:p>
                <w:p>
                  <w:pPr>
                    <w:ind w:firstLine="360" w:firstLineChars="200"/>
                    <w:jc w:val="left"/>
                    <w:rPr>
                      <w:sz w:val="18"/>
                      <w:szCs w:val="18"/>
                    </w:rPr>
                  </w:pPr>
                  <w:r>
                    <w:rPr>
                      <w:sz w:val="18"/>
                      <w:szCs w:val="18"/>
                    </w:rPr>
                    <w:t>生态保护红线的根据《关于在国土空间规划中统筹划定落实三条控制线的指导意见》中的相关要求进行管控，自然保护地核心保护区原则上禁止人为活动，其他区域严格禁止开发性、生产性建设活动，在符合现行法律法规前提下，除国家重大战略项目外，仅允许对生态功能不造成破坏的有限人为活动，包括零星的原住民在不扩大现有建设用地和耕地规模前提下，修缮生产生活设施，保留生活必需的少量种植、放牧、捕捞、养殖；因国家重大能源资源安全需要开展的战略性能源资源勘查，公益性自然资源调查和地质勘查；自然资源、生态环境监测和执法包括水文水资源监测及涉水违法事件的查处等，灾害防治和应急抢险活动；经依法批准进行的非破坏性科学研究观测、标本采集；经依法批准的考古调查发掘和文物保护活动；不破坏生态功能的适度参观旅游和相关的必要公共设施建设；必须且无法避让、符合县级以上国土空间规划的线性基础设施建设、防洪和供水设施建设与运行维护；重要生态修复工程。</w:t>
                  </w:r>
                </w:p>
                <w:p>
                  <w:pPr>
                    <w:ind w:firstLine="360" w:firstLineChars="200"/>
                    <w:jc w:val="left"/>
                    <w:rPr>
                      <w:sz w:val="18"/>
                      <w:szCs w:val="18"/>
                    </w:rPr>
                  </w:pPr>
                  <w:r>
                    <w:rPr>
                      <w:sz w:val="18"/>
                      <w:szCs w:val="18"/>
                    </w:rPr>
                    <w:t>（2）一般生态空间管控要求</w:t>
                  </w:r>
                </w:p>
                <w:p>
                  <w:pPr>
                    <w:ind w:firstLine="360" w:firstLineChars="200"/>
                    <w:jc w:val="left"/>
                    <w:rPr>
                      <w:b/>
                      <w:bCs/>
                      <w:sz w:val="18"/>
                      <w:szCs w:val="18"/>
                    </w:rPr>
                  </w:pPr>
                  <w:r>
                    <w:rPr>
                      <w:sz w:val="18"/>
                      <w:szCs w:val="18"/>
                    </w:rPr>
                    <w:t>一般生态空间根据《广东省“三线一单”生态环境分区管控方案》进行管控，一般生态空间内可开展生态保护红线内允许的活动，在不影响主导生态功能的前提下，还可开展国家和省规定不纳入环评管理的项目建设，以及生态旅游、畜禽养殖、基础设施建设、村庄建设等人为活动。</w:t>
                  </w:r>
                </w:p>
              </w:tc>
              <w:tc>
                <w:tcPr>
                  <w:tcW w:w="1414" w:type="pct"/>
                  <w:vAlign w:val="center"/>
                </w:tcPr>
                <w:p>
                  <w:pPr>
                    <w:ind w:firstLine="360" w:firstLineChars="200"/>
                    <w:jc w:val="left"/>
                    <w:rPr>
                      <w:b/>
                      <w:bCs/>
                      <w:sz w:val="18"/>
                      <w:szCs w:val="18"/>
                    </w:rPr>
                  </w:pPr>
                  <w:r>
                    <w:rPr>
                      <w:sz w:val="18"/>
                      <w:szCs w:val="18"/>
                    </w:rPr>
                    <w:t>本项目位于惠州市博罗县园洲镇河北片绿化二路东侧，根据《博罗县生态空间最终划定情况图》</w:t>
                  </w:r>
                  <w:r>
                    <w:rPr>
                      <w:rFonts w:hint="eastAsia"/>
                      <w:sz w:val="18"/>
                      <w:szCs w:val="18"/>
                    </w:rPr>
                    <w:t>（附图1</w:t>
                  </w:r>
                  <w:r>
                    <w:rPr>
                      <w:sz w:val="18"/>
                      <w:szCs w:val="18"/>
                    </w:rPr>
                    <w:t>2</w:t>
                  </w:r>
                  <w:r>
                    <w:rPr>
                      <w:rFonts w:hint="eastAsia"/>
                      <w:sz w:val="18"/>
                      <w:szCs w:val="18"/>
                    </w:rPr>
                    <w:t>）</w:t>
                  </w:r>
                  <w:r>
                    <w:rPr>
                      <w:sz w:val="18"/>
                      <w:szCs w:val="18"/>
                    </w:rPr>
                    <w:t>以及《博罗县三线一单生态环境分区管控研究报告》表3.3-2，本项目不位于生态保护红线和一般生态空间内，属于生态空间一般管控区。</w:t>
                  </w:r>
                </w:p>
              </w:tc>
              <w:tc>
                <w:tcPr>
                  <w:tcW w:w="530" w:type="pct"/>
                  <w:vAlign w:val="center"/>
                </w:tcPr>
                <w:p>
                  <w:pPr>
                    <w:jc w:val="center"/>
                    <w:rPr>
                      <w:b/>
                      <w:bCs/>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5000" w:type="pct"/>
                  <w:gridSpan w:val="4"/>
                  <w:vAlign w:val="center"/>
                </w:tcPr>
                <w:p>
                  <w:pPr>
                    <w:jc w:val="center"/>
                    <w:rPr>
                      <w:b/>
                      <w:bCs/>
                      <w:sz w:val="24"/>
                    </w:rPr>
                  </w:pPr>
                  <w:r>
                    <w:rPr>
                      <w:b/>
                      <w:bCs/>
                      <w:szCs w:val="21"/>
                    </w:rPr>
                    <w:t>二、环境质量底线相符性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4" w:hRule="atLeast"/>
                <w:jc w:val="center"/>
              </w:trPr>
              <w:tc>
                <w:tcPr>
                  <w:tcW w:w="257" w:type="pct"/>
                  <w:vAlign w:val="center"/>
                </w:tcPr>
                <w:p>
                  <w:pPr>
                    <w:jc w:val="center"/>
                    <w:rPr>
                      <w:b/>
                      <w:bCs/>
                      <w:sz w:val="24"/>
                    </w:rPr>
                  </w:pPr>
                  <w:r>
                    <w:rPr>
                      <w:sz w:val="18"/>
                      <w:szCs w:val="18"/>
                    </w:rPr>
                    <w:t>水环境质量底线</w:t>
                  </w:r>
                </w:p>
              </w:tc>
              <w:tc>
                <w:tcPr>
                  <w:tcW w:w="2799" w:type="pct"/>
                  <w:vAlign w:val="center"/>
                </w:tcPr>
                <w:p>
                  <w:pPr>
                    <w:ind w:firstLine="360" w:firstLineChars="200"/>
                    <w:rPr>
                      <w:sz w:val="18"/>
                      <w:szCs w:val="18"/>
                    </w:rPr>
                  </w:pPr>
                  <w:r>
                    <w:rPr>
                      <w:sz w:val="18"/>
                      <w:szCs w:val="18"/>
                    </w:rPr>
                    <w:t>博罗县水环境重点管控区主要根据水环境评价和污染源分析结果，将水质现状未达到水质目标的水体的集水范围纳入重点管控区。</w:t>
                  </w:r>
                </w:p>
                <w:p>
                  <w:pPr>
                    <w:ind w:firstLine="360" w:firstLineChars="200"/>
                    <w:rPr>
                      <w:sz w:val="18"/>
                      <w:szCs w:val="18"/>
                    </w:rPr>
                  </w:pPr>
                  <w:r>
                    <w:rPr>
                      <w:sz w:val="18"/>
                      <w:szCs w:val="18"/>
                    </w:rPr>
                    <w:t>未涉及到优先保护区和重点管控区的范围即为一般管控区，未涉及到优先保护区和重点管控区的范围即为一般管控区，最终博罗县水环境优先管控区面积330.971 km</w:t>
                  </w:r>
                  <w:r>
                    <w:rPr>
                      <w:sz w:val="18"/>
                      <w:szCs w:val="18"/>
                      <w:vertAlign w:val="superscript"/>
                    </w:rPr>
                    <w:t>2</w:t>
                  </w:r>
                  <w:r>
                    <w:rPr>
                      <w:sz w:val="18"/>
                      <w:szCs w:val="18"/>
                    </w:rPr>
                    <w:t>，占县域国土面积的11.59%。</w:t>
                  </w:r>
                </w:p>
                <w:p>
                  <w:pPr>
                    <w:ind w:firstLine="361" w:firstLineChars="200"/>
                    <w:rPr>
                      <w:b/>
                      <w:bCs/>
                      <w:sz w:val="18"/>
                      <w:szCs w:val="18"/>
                    </w:rPr>
                  </w:pPr>
                  <w:r>
                    <w:rPr>
                      <w:b/>
                      <w:bCs/>
                      <w:sz w:val="18"/>
                      <w:szCs w:val="18"/>
                    </w:rPr>
                    <w:t>水环境管控分区管控要求</w:t>
                  </w:r>
                </w:p>
                <w:p>
                  <w:pPr>
                    <w:ind w:firstLine="360" w:firstLineChars="200"/>
                    <w:rPr>
                      <w:sz w:val="18"/>
                      <w:szCs w:val="18"/>
                    </w:rPr>
                  </w:pPr>
                  <w:r>
                    <w:rPr>
                      <w:sz w:val="18"/>
                      <w:szCs w:val="18"/>
                    </w:rPr>
                    <w:t>（1）区域布局管控要求</w:t>
                  </w:r>
                </w:p>
                <w:p>
                  <w:pPr>
                    <w:ind w:firstLine="360" w:firstLineChars="200"/>
                    <w:rPr>
                      <w:sz w:val="18"/>
                      <w:szCs w:val="18"/>
                    </w:rPr>
                  </w:pPr>
                  <w:r>
                    <w:rPr>
                      <w:sz w:val="18"/>
                      <w:szCs w:val="18"/>
                    </w:rPr>
                    <w:t>加强涉水项目环境准入管理。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禁止在东江干流和一级支流两岸最高水位线水平外延五百米范围内新建废弃物堆放场和处理场。饮用水水源保护区全面加强水源涵养，强化源头控制，禁止新建排污口，严格防范水源污染风险，切实保障饮用水安全，一级保护区内禁止新建、改建、扩建与供水设施和保护水源无关的建设项目；二级保护区内禁止新建、改建、扩建排放污染物的建设项目。饮用水水源准保护区内禁止新建、扩建对水体污染严重的建设项目。</w:t>
                  </w:r>
                </w:p>
                <w:p>
                  <w:pPr>
                    <w:ind w:firstLine="360" w:firstLineChars="200"/>
                    <w:rPr>
                      <w:sz w:val="18"/>
                      <w:szCs w:val="18"/>
                    </w:rPr>
                  </w:pPr>
                  <w:r>
                    <w:rPr>
                      <w:sz w:val="18"/>
                      <w:szCs w:val="18"/>
                    </w:rPr>
                    <w:t>（2）能源资源利用要求</w:t>
                  </w:r>
                </w:p>
                <w:p>
                  <w:pPr>
                    <w:ind w:firstLine="360" w:firstLineChars="200"/>
                    <w:rPr>
                      <w:sz w:val="18"/>
                      <w:szCs w:val="18"/>
                    </w:rPr>
                  </w:pPr>
                  <w:r>
                    <w:rPr>
                      <w:sz w:val="18"/>
                      <w:szCs w:val="18"/>
                    </w:rPr>
                    <w:t>强化水资源节约集约利用。推动农业节水增效；推进工业节水减排；开展城镇节水降损；保障江河湖库生态流量。</w:t>
                  </w:r>
                </w:p>
                <w:p>
                  <w:pPr>
                    <w:ind w:firstLine="360" w:firstLineChars="200"/>
                    <w:rPr>
                      <w:sz w:val="18"/>
                      <w:szCs w:val="18"/>
                    </w:rPr>
                  </w:pPr>
                  <w:r>
                    <w:rPr>
                      <w:sz w:val="18"/>
                      <w:szCs w:val="18"/>
                    </w:rPr>
                    <w:t>（3）污染物排放管控要求</w:t>
                  </w:r>
                </w:p>
                <w:p>
                  <w:pPr>
                    <w:ind w:firstLine="360" w:firstLineChars="200"/>
                    <w:rPr>
                      <w:sz w:val="18"/>
                      <w:szCs w:val="18"/>
                    </w:rPr>
                  </w:pPr>
                  <w:r>
                    <w:rPr>
                      <w:sz w:val="18"/>
                      <w:szCs w:val="18"/>
                    </w:rPr>
                    <w:t>加大水污染物防治力度。重点水污染物未达到环境质量改善目标的区域内，新建、改建、扩建项目实施减量替代。大力整治“散乱污”企业，全面整治入河排污口，系统治理河涌和黑臭水体。加快推进生活污水处理设施建设和提质增效，率先消除城中村、老旧城区和城乡结合部生活污水收集处理设施空白区。</w:t>
                  </w:r>
                </w:p>
                <w:p>
                  <w:pPr>
                    <w:ind w:firstLine="360" w:firstLineChars="200"/>
                    <w:rPr>
                      <w:sz w:val="18"/>
                      <w:szCs w:val="18"/>
                    </w:rPr>
                  </w:pPr>
                  <w:r>
                    <w:rPr>
                      <w:sz w:val="18"/>
                      <w:szCs w:val="18"/>
                    </w:rPr>
                    <w:t>（4）环境风险防控要求</w:t>
                  </w:r>
                </w:p>
                <w:p>
                  <w:pPr>
                    <w:ind w:firstLine="360" w:firstLineChars="200"/>
                    <w:rPr>
                      <w:sz w:val="18"/>
                      <w:szCs w:val="18"/>
                    </w:rPr>
                  </w:pPr>
                  <w:r>
                    <w:rPr>
                      <w:sz w:val="18"/>
                      <w:szCs w:val="18"/>
                    </w:rPr>
                    <w:t>加大水环境风险防范力度。强化饮用水水源地风险管控，加强东江等供水通道干流沿岸及饮用水水源、备用水源环境风险防控，建立完善突发环境事件应急管理体系。强化地表水、地下水和土壤污染风险协同防控，建立完善突发环境事件应急管理体系。强化涉重金属行业、工业园区和尾矿库等重点环境风险源的环境风险评估和防控。</w:t>
                  </w:r>
                </w:p>
              </w:tc>
              <w:tc>
                <w:tcPr>
                  <w:tcW w:w="1414" w:type="pct"/>
                  <w:vAlign w:val="center"/>
                </w:tcPr>
                <w:p>
                  <w:pPr>
                    <w:ind w:firstLine="360" w:firstLineChars="200"/>
                    <w:rPr>
                      <w:sz w:val="18"/>
                      <w:szCs w:val="18"/>
                    </w:rPr>
                  </w:pPr>
                  <w:r>
                    <w:rPr>
                      <w:sz w:val="18"/>
                      <w:szCs w:val="18"/>
                    </w:rPr>
                    <w:t>根据《博罗县水环境质量底线管控分区划定情况图》</w:t>
                  </w:r>
                  <w:r>
                    <w:rPr>
                      <w:rFonts w:hint="eastAsia"/>
                      <w:sz w:val="18"/>
                      <w:szCs w:val="18"/>
                    </w:rPr>
                    <w:t>（附图1</w:t>
                  </w:r>
                  <w:r>
                    <w:rPr>
                      <w:sz w:val="18"/>
                      <w:szCs w:val="18"/>
                    </w:rPr>
                    <w:t>3</w:t>
                  </w:r>
                  <w:r>
                    <w:rPr>
                      <w:rFonts w:hint="eastAsia"/>
                      <w:sz w:val="18"/>
                      <w:szCs w:val="18"/>
                    </w:rPr>
                    <w:t>）</w:t>
                  </w:r>
                  <w:r>
                    <w:rPr>
                      <w:sz w:val="18"/>
                      <w:szCs w:val="18"/>
                    </w:rPr>
                    <w:t>以及《博罗县三线一单生态环境分区管控研究报告》表4.8-2，本项目位于水环境工业污染重点管控区。</w:t>
                  </w:r>
                </w:p>
                <w:p>
                  <w:pPr>
                    <w:ind w:firstLine="360" w:firstLineChars="200"/>
                    <w:rPr>
                      <w:sz w:val="18"/>
                      <w:szCs w:val="18"/>
                    </w:rPr>
                  </w:pPr>
                  <w:r>
                    <w:rPr>
                      <w:sz w:val="18"/>
                      <w:szCs w:val="18"/>
                    </w:rPr>
                    <w:t>本项目属于</w:t>
                  </w:r>
                  <w:r>
                    <w:rPr>
                      <w:rFonts w:hint="eastAsia"/>
                      <w:sz w:val="18"/>
                      <w:szCs w:val="18"/>
                    </w:rPr>
                    <w:t>电子器件</w:t>
                  </w:r>
                  <w:r>
                    <w:rPr>
                      <w:sz w:val="18"/>
                      <w:szCs w:val="18"/>
                    </w:rPr>
                    <w:t>制造</w:t>
                  </w:r>
                  <w:r>
                    <w:rPr>
                      <w:rFonts w:hint="eastAsia"/>
                      <w:sz w:val="18"/>
                      <w:szCs w:val="18"/>
                    </w:rPr>
                    <w:t>行业</w:t>
                  </w:r>
                  <w:r>
                    <w:rPr>
                      <w:sz w:val="18"/>
                      <w:szCs w:val="18"/>
                    </w:rPr>
                    <w:t>，</w:t>
                  </w:r>
                  <w:r>
                    <w:rPr>
                      <w:rFonts w:hint="eastAsia"/>
                      <w:sz w:val="18"/>
                      <w:szCs w:val="18"/>
                    </w:rPr>
                    <w:t>电镀</w:t>
                  </w:r>
                  <w:r>
                    <w:rPr>
                      <w:sz w:val="18"/>
                      <w:szCs w:val="18"/>
                    </w:rPr>
                    <w:t>外发，不属于明文规定的限制类或淘汰类项目，且本项目不位于饮用水源保护区内。</w:t>
                  </w:r>
                </w:p>
                <w:p>
                  <w:pPr>
                    <w:ind w:firstLine="360" w:firstLineChars="200"/>
                    <w:rPr>
                      <w:sz w:val="18"/>
                      <w:szCs w:val="18"/>
                    </w:rPr>
                  </w:pPr>
                  <w:r>
                    <w:rPr>
                      <w:sz w:val="18"/>
                      <w:szCs w:val="18"/>
                    </w:rPr>
                    <w:t>本项目</w:t>
                  </w:r>
                  <w:r>
                    <w:rPr>
                      <w:rFonts w:hint="eastAsia"/>
                      <w:sz w:val="18"/>
                      <w:szCs w:val="18"/>
                    </w:rPr>
                    <w:t>清洗</w:t>
                  </w:r>
                  <w:r>
                    <w:rPr>
                      <w:sz w:val="18"/>
                      <w:szCs w:val="18"/>
                    </w:rPr>
                    <w:t>用水循环使用</w:t>
                  </w:r>
                  <w:r>
                    <w:rPr>
                      <w:rFonts w:hint="eastAsia"/>
                      <w:sz w:val="18"/>
                      <w:szCs w:val="18"/>
                    </w:rPr>
                    <w:t>，定期</w:t>
                  </w:r>
                  <w:r>
                    <w:rPr>
                      <w:sz w:val="18"/>
                      <w:szCs w:val="18"/>
                    </w:rPr>
                    <w:t>更换，</w:t>
                  </w:r>
                  <w:r>
                    <w:rPr>
                      <w:rFonts w:hint="eastAsia"/>
                      <w:sz w:val="18"/>
                      <w:szCs w:val="18"/>
                    </w:rPr>
                    <w:t>更换</w:t>
                  </w:r>
                  <w:r>
                    <w:rPr>
                      <w:sz w:val="18"/>
                      <w:szCs w:val="18"/>
                    </w:rPr>
                    <w:t>的清洗废水委托有资质单位处理，不外排。活污水经三级化粪池处理后经市政管网的排至</w:t>
                  </w:r>
                  <w:r>
                    <w:rPr>
                      <w:rFonts w:hint="eastAsia"/>
                      <w:sz w:val="18"/>
                      <w:szCs w:val="18"/>
                    </w:rPr>
                    <w:t>园洲镇第四污水处理厂</w:t>
                  </w:r>
                  <w:r>
                    <w:rPr>
                      <w:sz w:val="18"/>
                      <w:szCs w:val="18"/>
                    </w:rPr>
                    <w:t>集中处理达标排放。</w:t>
                  </w:r>
                </w:p>
                <w:p>
                  <w:pPr>
                    <w:ind w:firstLine="360" w:firstLineChars="200"/>
                    <w:rPr>
                      <w:b/>
                      <w:bCs/>
                      <w:sz w:val="24"/>
                    </w:rPr>
                  </w:pPr>
                  <w:r>
                    <w:rPr>
                      <w:sz w:val="18"/>
                      <w:szCs w:val="18"/>
                    </w:rPr>
                    <w:t>本项目不涉及重金属、工业园区、尾矿库等重点环境风险源。</w:t>
                  </w:r>
                </w:p>
              </w:tc>
              <w:tc>
                <w:tcPr>
                  <w:tcW w:w="530" w:type="pct"/>
                  <w:vAlign w:val="center"/>
                </w:tcPr>
                <w:p>
                  <w:pPr>
                    <w:jc w:val="center"/>
                    <w:rPr>
                      <w:b/>
                      <w:bCs/>
                      <w:sz w:val="24"/>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4" w:hRule="atLeast"/>
                <w:jc w:val="center"/>
              </w:trPr>
              <w:tc>
                <w:tcPr>
                  <w:tcW w:w="257" w:type="pct"/>
                  <w:vAlign w:val="center"/>
                </w:tcPr>
                <w:p>
                  <w:pPr>
                    <w:jc w:val="center"/>
                    <w:rPr>
                      <w:b/>
                      <w:bCs/>
                      <w:sz w:val="24"/>
                    </w:rPr>
                  </w:pPr>
                  <w:r>
                    <w:rPr>
                      <w:sz w:val="18"/>
                      <w:szCs w:val="18"/>
                    </w:rPr>
                    <w:t>大气环境质量底线</w:t>
                  </w:r>
                </w:p>
              </w:tc>
              <w:tc>
                <w:tcPr>
                  <w:tcW w:w="2799" w:type="pct"/>
                  <w:vAlign w:val="center"/>
                </w:tcPr>
                <w:p>
                  <w:pPr>
                    <w:ind w:firstLine="360" w:firstLineChars="200"/>
                    <w:rPr>
                      <w:sz w:val="18"/>
                      <w:szCs w:val="18"/>
                    </w:rPr>
                  </w:pPr>
                  <w:r>
                    <w:rPr>
                      <w:sz w:val="18"/>
                      <w:szCs w:val="18"/>
                    </w:rPr>
                    <w:t>博罗县大气环境优先保护区面积673.794 km</w:t>
                  </w:r>
                  <w:r>
                    <w:rPr>
                      <w:sz w:val="18"/>
                      <w:szCs w:val="18"/>
                      <w:vertAlign w:val="superscript"/>
                    </w:rPr>
                    <w:t>2</w:t>
                  </w:r>
                  <w:r>
                    <w:rPr>
                      <w:sz w:val="18"/>
                      <w:szCs w:val="18"/>
                    </w:rPr>
                    <w:t>，占博罗县面积的23.60%；4类重点管控区叠加去重叠后的面积为1226.730 km</w:t>
                  </w:r>
                  <w:r>
                    <w:rPr>
                      <w:sz w:val="18"/>
                      <w:szCs w:val="18"/>
                      <w:vertAlign w:val="superscript"/>
                    </w:rPr>
                    <w:t>2</w:t>
                  </w:r>
                  <w:r>
                    <w:rPr>
                      <w:sz w:val="18"/>
                      <w:szCs w:val="18"/>
                    </w:rPr>
                    <w:t>，占博罗县国土面积的42.96%；大气环境一般管控区面积954.681 km</w:t>
                  </w:r>
                  <w:r>
                    <w:rPr>
                      <w:sz w:val="18"/>
                      <w:szCs w:val="18"/>
                      <w:vertAlign w:val="superscript"/>
                    </w:rPr>
                    <w:t>2</w:t>
                  </w:r>
                  <w:r>
                    <w:rPr>
                      <w:sz w:val="18"/>
                      <w:szCs w:val="18"/>
                    </w:rPr>
                    <w:t>，占博罗县国土面积的33.44%。</w:t>
                  </w:r>
                </w:p>
                <w:p>
                  <w:pPr>
                    <w:ind w:firstLine="361" w:firstLineChars="200"/>
                    <w:rPr>
                      <w:b/>
                      <w:bCs/>
                      <w:sz w:val="18"/>
                      <w:szCs w:val="18"/>
                    </w:rPr>
                  </w:pPr>
                  <w:r>
                    <w:rPr>
                      <w:b/>
                      <w:bCs/>
                      <w:sz w:val="18"/>
                      <w:szCs w:val="18"/>
                    </w:rPr>
                    <w:t>大气环境管控要求</w:t>
                  </w:r>
                </w:p>
                <w:p>
                  <w:pPr>
                    <w:ind w:firstLine="360" w:firstLineChars="200"/>
                    <w:rPr>
                      <w:sz w:val="18"/>
                      <w:szCs w:val="18"/>
                    </w:rPr>
                  </w:pPr>
                  <w:r>
                    <w:rPr>
                      <w:sz w:val="18"/>
                      <w:szCs w:val="18"/>
                    </w:rPr>
                    <w:t>（1）区域布局管控要求</w:t>
                  </w:r>
                </w:p>
                <w:p>
                  <w:pPr>
                    <w:ind w:firstLine="360" w:firstLineChars="200"/>
                    <w:rPr>
                      <w:sz w:val="18"/>
                      <w:szCs w:val="18"/>
                    </w:rPr>
                  </w:pPr>
                  <w:r>
                    <w:rPr>
                      <w:sz w:val="18"/>
                      <w:szCs w:val="18"/>
                    </w:rPr>
                    <w:t>加强涉气项目环境准入管理。环境空气质量一类功能区实施严格保护，禁止新建、扩建大气污染物排放工业项目（国家和省规定不纳入环评管理的项目除外）。禁止新建、扩建燃煤燃油的火电机组（含企业自备电站），推进现有服役期满及落后老旧的燃煤火电机组有序退出；原则上不再新建燃煤锅炉，逐步淘汰生物质锅炉、集中供热管网覆盖区域内的分散供热锅炉，逐步推动高污染燃料禁燃区全覆盖。禁止新建、扩建水泥、平板玻璃、化学制浆、生皮制革以及国家规划外的钢铁、原油加工等项目。严格限制新建生产和使用高挥发性有机物原辅材料的项目。</w:t>
                  </w:r>
                </w:p>
                <w:p>
                  <w:pPr>
                    <w:ind w:firstLine="360" w:firstLineChars="200"/>
                    <w:rPr>
                      <w:sz w:val="18"/>
                      <w:szCs w:val="18"/>
                    </w:rPr>
                  </w:pPr>
                  <w:r>
                    <w:rPr>
                      <w:sz w:val="18"/>
                      <w:szCs w:val="18"/>
                    </w:rPr>
                    <w:t>（2）能源资源利用要求</w:t>
                  </w:r>
                </w:p>
                <w:p>
                  <w:pPr>
                    <w:ind w:firstLine="360" w:firstLineChars="200"/>
                    <w:rPr>
                      <w:sz w:val="18"/>
                      <w:szCs w:val="18"/>
                    </w:rPr>
                  </w:pPr>
                  <w:r>
                    <w:rPr>
                      <w:sz w:val="18"/>
                      <w:szCs w:val="18"/>
                    </w:rPr>
                    <w:t>优化调整能源结构。推进现有服役期满及落后老旧的燃煤火电机组有序退出，鼓励服役时间达30年左右燃煤机组及配套锅炉提前退役。大力压减非发电散煤消费，加大力度推进重点地区、重点行业燃煤自备电厂和燃煤自备锅炉“煤改气”工程。落实天然气大用户直供政策，拓宽供气来源，提高供气能力，降低工业用气价格，加快推动天然气管网省级园区通、重点企业通。</w:t>
                  </w:r>
                </w:p>
                <w:p>
                  <w:pPr>
                    <w:ind w:firstLine="360" w:firstLineChars="200"/>
                    <w:rPr>
                      <w:sz w:val="18"/>
                      <w:szCs w:val="18"/>
                    </w:rPr>
                  </w:pPr>
                  <w:r>
                    <w:rPr>
                      <w:sz w:val="18"/>
                      <w:szCs w:val="18"/>
                    </w:rPr>
                    <w:t>完善能源消费总量和强度“双控”制度。科学实施能源消费总量和强度“双控”，新建高能耗项目单位产品（产值）能耗达到国际国内先进水平，探索建立二氧化碳总量管理制度。</w:t>
                  </w:r>
                </w:p>
                <w:p>
                  <w:pPr>
                    <w:ind w:firstLine="360" w:firstLineChars="200"/>
                    <w:rPr>
                      <w:sz w:val="18"/>
                      <w:szCs w:val="18"/>
                    </w:rPr>
                  </w:pPr>
                  <w:r>
                    <w:rPr>
                      <w:sz w:val="18"/>
                      <w:szCs w:val="18"/>
                    </w:rPr>
                    <w:t>推动交通领域能源结构优化调整。依法依规科学合理优化调整储油库、加油站布局，加快充电桩、加气站、加氢站以及综合性能源补给站建设。大力推广使用新能源汽车。大力推进绿色港口和公用码头建设，提升岸电使用率；有序推动船舶、港业机械等“油改气”、“油改电”，降低港口柴油使用比例。</w:t>
                  </w:r>
                </w:p>
                <w:p>
                  <w:pPr>
                    <w:ind w:firstLine="360" w:firstLineChars="200"/>
                    <w:rPr>
                      <w:sz w:val="18"/>
                      <w:szCs w:val="18"/>
                    </w:rPr>
                  </w:pPr>
                  <w:r>
                    <w:rPr>
                      <w:sz w:val="18"/>
                      <w:szCs w:val="18"/>
                    </w:rPr>
                    <w:t>（3）污染物排放管控要求</w:t>
                  </w:r>
                </w:p>
                <w:p>
                  <w:pPr>
                    <w:ind w:firstLine="360" w:firstLineChars="200"/>
                    <w:rPr>
                      <w:sz w:val="18"/>
                      <w:szCs w:val="18"/>
                    </w:rPr>
                  </w:pPr>
                  <w:r>
                    <w:rPr>
                      <w:sz w:val="18"/>
                      <w:szCs w:val="18"/>
                    </w:rPr>
                    <w:t>严控大气污染物排放。在可核查、可监管的基础上，新建项目原则上实施氮氧化物等量替代，挥发性有机物倍量替代。深入开展工业炉窑和锅炉污染综合治理，火电及钢铁行业企业大气污染物达到可核查、可监管的超低排放标准；水泥、石化、化工及有色金属冶炼等行业企业大气污染物达到特别排放限值要求；深入推进石化、溶剂使用及挥发性有机液体储运销的挥发性有机物减排，通过源头替代、过程控制和末端治理实施反应活性物质、有毒有害物质、恶臭物质的协同控制。以臭氧生成潜势较大行业企业为重点，全面加强无组织排放控制，深入实施精细化治理。</w:t>
                  </w:r>
                </w:p>
                <w:p>
                  <w:pPr>
                    <w:ind w:firstLine="360" w:firstLineChars="200"/>
                    <w:rPr>
                      <w:sz w:val="18"/>
                      <w:szCs w:val="18"/>
                    </w:rPr>
                  </w:pPr>
                  <w:r>
                    <w:rPr>
                      <w:sz w:val="18"/>
                      <w:szCs w:val="18"/>
                    </w:rPr>
                    <w:t>（4）环境风险防控要求</w:t>
                  </w:r>
                </w:p>
                <w:p>
                  <w:pPr>
                    <w:ind w:firstLine="360" w:firstLineChars="200"/>
                    <w:rPr>
                      <w:sz w:val="18"/>
                      <w:szCs w:val="18"/>
                    </w:rPr>
                  </w:pPr>
                  <w:r>
                    <w:rPr>
                      <w:sz w:val="18"/>
                      <w:szCs w:val="18"/>
                    </w:rPr>
                    <w:t>加强重点园区环境风险防范。加强龙溪电镀基地、桦阳印染工业园、博罗产业转移工业园等园区的环境风险防控，建立完善污染源在线监控系统，开展有毒有害气体监测，落实环境风险应急预案。</w:t>
                  </w:r>
                </w:p>
              </w:tc>
              <w:tc>
                <w:tcPr>
                  <w:tcW w:w="1414" w:type="pct"/>
                  <w:vAlign w:val="center"/>
                </w:tcPr>
                <w:p>
                  <w:pPr>
                    <w:ind w:firstLine="360" w:firstLineChars="200"/>
                    <w:jc w:val="left"/>
                    <w:rPr>
                      <w:sz w:val="18"/>
                      <w:szCs w:val="18"/>
                    </w:rPr>
                  </w:pPr>
                  <w:r>
                    <w:rPr>
                      <w:sz w:val="18"/>
                      <w:szCs w:val="18"/>
                    </w:rPr>
                    <w:t>根据《博罗县大气环境质量底线管控分区划定情况图》</w:t>
                  </w:r>
                  <w:r>
                    <w:rPr>
                      <w:rFonts w:hint="eastAsia"/>
                      <w:sz w:val="18"/>
                      <w:szCs w:val="18"/>
                    </w:rPr>
                    <w:t>（附图1</w:t>
                  </w:r>
                  <w:r>
                    <w:rPr>
                      <w:sz w:val="18"/>
                      <w:szCs w:val="18"/>
                    </w:rPr>
                    <w:t>4</w:t>
                  </w:r>
                  <w:r>
                    <w:rPr>
                      <w:rFonts w:hint="eastAsia"/>
                      <w:sz w:val="18"/>
                      <w:szCs w:val="18"/>
                    </w:rPr>
                    <w:t>）</w:t>
                  </w:r>
                  <w:r>
                    <w:rPr>
                      <w:sz w:val="18"/>
                      <w:szCs w:val="18"/>
                    </w:rPr>
                    <w:t>以及《博罗县三线一单生态环境分区管控研究报告》表5.4-2，本项目属于大气环境</w:t>
                  </w:r>
                  <w:r>
                    <w:rPr>
                      <w:rFonts w:hint="eastAsia"/>
                      <w:sz w:val="18"/>
                      <w:szCs w:val="18"/>
                    </w:rPr>
                    <w:t>高排放重点</w:t>
                  </w:r>
                  <w:r>
                    <w:rPr>
                      <w:sz w:val="18"/>
                      <w:szCs w:val="18"/>
                    </w:rPr>
                    <w:t>管控区。</w:t>
                  </w:r>
                </w:p>
                <w:p>
                  <w:pPr>
                    <w:ind w:firstLine="360" w:firstLineChars="200"/>
                    <w:rPr>
                      <w:sz w:val="18"/>
                      <w:szCs w:val="18"/>
                    </w:rPr>
                  </w:pPr>
                  <w:r>
                    <w:rPr>
                      <w:sz w:val="18"/>
                      <w:szCs w:val="18"/>
                    </w:rPr>
                    <w:t>本项目不涉及燃煤燃油的火电机组、锅炉使用。属于</w:t>
                  </w:r>
                  <w:r>
                    <w:rPr>
                      <w:rFonts w:hint="eastAsia"/>
                      <w:sz w:val="18"/>
                      <w:szCs w:val="18"/>
                    </w:rPr>
                    <w:t>电子器件</w:t>
                  </w:r>
                  <w:r>
                    <w:rPr>
                      <w:sz w:val="18"/>
                      <w:szCs w:val="18"/>
                    </w:rPr>
                    <w:t>制造行业，不属于规定的禁止类和限制类项目。</w:t>
                  </w:r>
                </w:p>
                <w:p>
                  <w:pPr>
                    <w:ind w:firstLine="360" w:firstLineChars="200"/>
                    <w:rPr>
                      <w:sz w:val="18"/>
                      <w:szCs w:val="18"/>
                    </w:rPr>
                  </w:pPr>
                  <w:r>
                    <w:rPr>
                      <w:sz w:val="18"/>
                      <w:szCs w:val="18"/>
                    </w:rPr>
                    <w:t>本项目使用的能源仅为电能，不涉及天然气等使用。</w:t>
                  </w:r>
                </w:p>
                <w:p>
                  <w:pPr>
                    <w:ind w:firstLine="360" w:firstLineChars="200"/>
                    <w:rPr>
                      <w:sz w:val="18"/>
                      <w:szCs w:val="18"/>
                    </w:rPr>
                  </w:pPr>
                  <w:r>
                    <w:rPr>
                      <w:sz w:val="18"/>
                      <w:szCs w:val="18"/>
                    </w:rPr>
                    <w:t>本项目不涉及高VOC</w:t>
                  </w:r>
                  <w:r>
                    <w:rPr>
                      <w:sz w:val="18"/>
                      <w:szCs w:val="18"/>
                      <w:vertAlign w:val="subscript"/>
                    </w:rPr>
                    <w:t>S</w:t>
                  </w:r>
                  <w:r>
                    <w:rPr>
                      <w:sz w:val="18"/>
                      <w:szCs w:val="18"/>
                    </w:rPr>
                    <w:t>原辅料的使用，产生的有机废气收集经“两级活性炭吸附装置”处理达标后高空排放，挥发性有机物实行倍量替代。</w:t>
                  </w:r>
                </w:p>
                <w:p>
                  <w:pPr>
                    <w:ind w:firstLine="360" w:firstLineChars="200"/>
                    <w:rPr>
                      <w:b/>
                      <w:bCs/>
                      <w:sz w:val="24"/>
                    </w:rPr>
                  </w:pPr>
                  <w:r>
                    <w:rPr>
                      <w:sz w:val="18"/>
                      <w:szCs w:val="18"/>
                    </w:rPr>
                    <w:t>本项目不位于龙溪电镀基地、桦阳印染工业园、博罗产业转移工业园等园区内。</w:t>
                  </w:r>
                </w:p>
              </w:tc>
              <w:tc>
                <w:tcPr>
                  <w:tcW w:w="530" w:type="pct"/>
                  <w:vAlign w:val="center"/>
                </w:tcPr>
                <w:p>
                  <w:pPr>
                    <w:jc w:val="center"/>
                    <w:rPr>
                      <w:b/>
                      <w:bCs/>
                      <w:sz w:val="24"/>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4" w:hRule="atLeast"/>
                <w:jc w:val="center"/>
              </w:trPr>
              <w:tc>
                <w:tcPr>
                  <w:tcW w:w="257" w:type="pct"/>
                  <w:vAlign w:val="center"/>
                </w:tcPr>
                <w:p>
                  <w:pPr>
                    <w:jc w:val="right"/>
                    <w:rPr>
                      <w:sz w:val="18"/>
                      <w:szCs w:val="18"/>
                    </w:rPr>
                  </w:pPr>
                  <w:r>
                    <w:rPr>
                      <w:sz w:val="18"/>
                      <w:szCs w:val="18"/>
                    </w:rPr>
                    <w:t>土土壤环境安全利用底线</w:t>
                  </w:r>
                </w:p>
              </w:tc>
              <w:tc>
                <w:tcPr>
                  <w:tcW w:w="2799" w:type="pct"/>
                  <w:vAlign w:val="center"/>
                </w:tcPr>
                <w:p>
                  <w:pPr>
                    <w:ind w:firstLine="361" w:firstLineChars="200"/>
                    <w:rPr>
                      <w:sz w:val="18"/>
                      <w:szCs w:val="18"/>
                    </w:rPr>
                  </w:pPr>
                  <w:r>
                    <w:rPr>
                      <w:b/>
                      <w:bCs/>
                      <w:sz w:val="18"/>
                      <w:szCs w:val="18"/>
                    </w:rPr>
                    <w:t>严格控制新增重金属污染物排放。</w:t>
                  </w:r>
                  <w:r>
                    <w:rPr>
                      <w:sz w:val="18"/>
                      <w:szCs w:val="18"/>
                    </w:rPr>
                    <w:t>继续严格实施重金属污染防治分区防控策略，禁止在重点防控区内新建、改建、扩建增加重金属污染物排放总量的建设项目。重金属污染防控非重点区新建、改扩建重金属排放项目，应落实重金属总量替代与削减要求，严格控制重点行业发展规模。强化涉重金属污染行业建设项目环评审批管理，严格执行环保“三同时”制度。</w:t>
                  </w:r>
                </w:p>
                <w:p>
                  <w:pPr>
                    <w:ind w:firstLine="361" w:firstLineChars="200"/>
                    <w:rPr>
                      <w:sz w:val="18"/>
                      <w:szCs w:val="18"/>
                    </w:rPr>
                  </w:pPr>
                  <w:r>
                    <w:rPr>
                      <w:b/>
                      <w:bCs/>
                      <w:sz w:val="18"/>
                      <w:szCs w:val="18"/>
                    </w:rPr>
                    <w:t>强化土壤环境风险管控。</w:t>
                  </w:r>
                  <w:r>
                    <w:rPr>
                      <w:sz w:val="18"/>
                      <w:szCs w:val="18"/>
                    </w:rPr>
                    <w:t>实施农用地分类管理，保障农产品质量安全。严格控制在优先保护类耕地集中区域新建涉环境污染重点行业企业、污水处理厂、垃圾填埋场、垃圾焚烧厂及污染处理处置设施等公用设施。强化建设用地风险管控，防范人居环境风险。规范受污染建设用地再开发。</w:t>
                  </w:r>
                </w:p>
                <w:p>
                  <w:pPr>
                    <w:ind w:firstLine="361" w:firstLineChars="200"/>
                    <w:rPr>
                      <w:sz w:val="18"/>
                      <w:szCs w:val="18"/>
                    </w:rPr>
                  </w:pPr>
                  <w:r>
                    <w:rPr>
                      <w:b/>
                      <w:bCs/>
                      <w:sz w:val="18"/>
                      <w:szCs w:val="18"/>
                    </w:rPr>
                    <w:t>强化重金属风险管控。</w:t>
                  </w:r>
                  <w:r>
                    <w:rPr>
                      <w:sz w:val="18"/>
                      <w:szCs w:val="18"/>
                    </w:rPr>
                    <w:t>加强涉重金属污染源环境风险管控。强化涉重危险废物安全处理处置。加强污染地块风险管控，建立污染地块清单，实施污染地块分类管理，强化污染场地开发利用环境管理。</w:t>
                  </w:r>
                </w:p>
              </w:tc>
              <w:tc>
                <w:tcPr>
                  <w:tcW w:w="1414" w:type="pct"/>
                  <w:vAlign w:val="center"/>
                </w:tcPr>
                <w:p>
                  <w:pPr>
                    <w:ind w:firstLine="360" w:firstLineChars="200"/>
                    <w:rPr>
                      <w:sz w:val="18"/>
                      <w:szCs w:val="18"/>
                    </w:rPr>
                  </w:pPr>
                  <w:r>
                    <w:rPr>
                      <w:sz w:val="18"/>
                      <w:szCs w:val="18"/>
                    </w:rPr>
                    <w:t>根据《博罗县建设用地土壤管控分区划定情况图》</w:t>
                  </w:r>
                  <w:r>
                    <w:rPr>
                      <w:rFonts w:hint="eastAsia"/>
                      <w:sz w:val="18"/>
                      <w:szCs w:val="18"/>
                    </w:rPr>
                    <w:t>（附图1</w:t>
                  </w:r>
                  <w:r>
                    <w:rPr>
                      <w:sz w:val="18"/>
                      <w:szCs w:val="18"/>
                    </w:rPr>
                    <w:t>5</w:t>
                  </w:r>
                  <w:r>
                    <w:rPr>
                      <w:rFonts w:hint="eastAsia"/>
                      <w:sz w:val="18"/>
                      <w:szCs w:val="18"/>
                    </w:rPr>
                    <w:t>）</w:t>
                  </w:r>
                  <w:r>
                    <w:rPr>
                      <w:sz w:val="18"/>
                      <w:szCs w:val="18"/>
                    </w:rPr>
                    <w:t>以及《博罗县三线一单生态环境分区管控研究报告》6.1.2、6.1.3，本项目不位于建设用地污染风险重点管控区内，属于土壤环境一般管控区。</w:t>
                  </w:r>
                </w:p>
                <w:p>
                  <w:pPr>
                    <w:ind w:firstLine="360" w:firstLineChars="200"/>
                    <w:rPr>
                      <w:sz w:val="18"/>
                      <w:szCs w:val="18"/>
                    </w:rPr>
                  </w:pPr>
                  <w:r>
                    <w:rPr>
                      <w:sz w:val="18"/>
                      <w:szCs w:val="18"/>
                    </w:rPr>
                    <w:t>本项目不涉及重金属，不位于优先保护类耕地集中区域。</w:t>
                  </w:r>
                </w:p>
              </w:tc>
              <w:tc>
                <w:tcPr>
                  <w:tcW w:w="530" w:type="pct"/>
                  <w:vAlign w:val="center"/>
                </w:tcPr>
                <w:p>
                  <w:pPr>
                    <w:jc w:val="center"/>
                    <w:rPr>
                      <w:b/>
                      <w:bCs/>
                      <w:sz w:val="24"/>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5000" w:type="pct"/>
                  <w:gridSpan w:val="4"/>
                  <w:vAlign w:val="center"/>
                </w:tcPr>
                <w:p>
                  <w:pPr>
                    <w:jc w:val="center"/>
                    <w:rPr>
                      <w:b/>
                      <w:bCs/>
                      <w:sz w:val="24"/>
                    </w:rPr>
                  </w:pPr>
                  <w:r>
                    <w:rPr>
                      <w:b/>
                      <w:bCs/>
                      <w:szCs w:val="21"/>
                    </w:rPr>
                    <w:t>三、资源利用上线相符性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5000" w:type="pct"/>
                  <w:gridSpan w:val="4"/>
                  <w:vAlign w:val="center"/>
                </w:tcPr>
                <w:p>
                  <w:pPr>
                    <w:ind w:firstLine="360" w:firstLineChars="200"/>
                    <w:rPr>
                      <w:sz w:val="18"/>
                      <w:szCs w:val="18"/>
                    </w:rPr>
                  </w:pPr>
                  <w:r>
                    <w:rPr>
                      <w:sz w:val="18"/>
                      <w:szCs w:val="18"/>
                    </w:rPr>
                    <w:t>根据《博罗县资源利用上线——土地资源优先保护区划定情况图》</w:t>
                  </w:r>
                  <w:r>
                    <w:rPr>
                      <w:rFonts w:hint="eastAsia"/>
                      <w:sz w:val="18"/>
                      <w:szCs w:val="18"/>
                    </w:rPr>
                    <w:t>（附图1</w:t>
                  </w:r>
                  <w:r>
                    <w:rPr>
                      <w:sz w:val="18"/>
                      <w:szCs w:val="18"/>
                    </w:rPr>
                    <w:t>6</w:t>
                  </w:r>
                  <w:r>
                    <w:rPr>
                      <w:rFonts w:hint="eastAsia"/>
                      <w:sz w:val="18"/>
                      <w:szCs w:val="18"/>
                    </w:rPr>
                    <w:t>）</w:t>
                  </w:r>
                  <w:r>
                    <w:rPr>
                      <w:sz w:val="18"/>
                      <w:szCs w:val="18"/>
                    </w:rPr>
                    <w:t>，本项目不位于土壤资源有限保护区内；</w:t>
                  </w:r>
                </w:p>
                <w:p>
                  <w:pPr>
                    <w:ind w:firstLine="360" w:firstLineChars="200"/>
                    <w:rPr>
                      <w:sz w:val="18"/>
                      <w:szCs w:val="18"/>
                    </w:rPr>
                  </w:pPr>
                  <w:r>
                    <w:rPr>
                      <w:sz w:val="18"/>
                      <w:szCs w:val="18"/>
                    </w:rPr>
                    <w:t>根据《博罗县资源利用上线——矿产资源开发敏感区划定情况图》</w:t>
                  </w:r>
                  <w:r>
                    <w:rPr>
                      <w:rFonts w:hint="eastAsia"/>
                      <w:sz w:val="18"/>
                      <w:szCs w:val="18"/>
                    </w:rPr>
                    <w:t>（附图1</w:t>
                  </w:r>
                  <w:r>
                    <w:rPr>
                      <w:sz w:val="18"/>
                      <w:szCs w:val="18"/>
                    </w:rPr>
                    <w:t>7</w:t>
                  </w:r>
                  <w:r>
                    <w:rPr>
                      <w:rFonts w:hint="eastAsia"/>
                      <w:sz w:val="18"/>
                      <w:szCs w:val="18"/>
                    </w:rPr>
                    <w:t>）</w:t>
                  </w:r>
                  <w:r>
                    <w:rPr>
                      <w:sz w:val="18"/>
                      <w:szCs w:val="18"/>
                    </w:rPr>
                    <w:t>，本项目不位于博罗县矿产资源开发敏感区内；</w:t>
                  </w:r>
                </w:p>
                <w:p>
                  <w:pPr>
                    <w:ind w:firstLine="360" w:firstLineChars="200"/>
                    <w:rPr>
                      <w:b/>
                      <w:bCs/>
                      <w:sz w:val="24"/>
                    </w:rPr>
                  </w:pPr>
                  <w:r>
                    <w:rPr>
                      <w:sz w:val="18"/>
                      <w:szCs w:val="18"/>
                    </w:rPr>
                    <w:t>根据《博罗县资源利用上线——高污染燃料禁燃区划定情况图》</w:t>
                  </w:r>
                  <w:r>
                    <w:rPr>
                      <w:rFonts w:hint="eastAsia"/>
                      <w:sz w:val="18"/>
                      <w:szCs w:val="18"/>
                    </w:rPr>
                    <w:t>（附图1</w:t>
                  </w:r>
                  <w:r>
                    <w:rPr>
                      <w:sz w:val="18"/>
                      <w:szCs w:val="18"/>
                    </w:rPr>
                    <w:t>8</w:t>
                  </w:r>
                  <w:r>
                    <w:rPr>
                      <w:rFonts w:hint="eastAsia"/>
                      <w:sz w:val="18"/>
                      <w:szCs w:val="18"/>
                    </w:rPr>
                    <w:t>）</w:t>
                  </w:r>
                  <w:r>
                    <w:rPr>
                      <w:sz w:val="18"/>
                      <w:szCs w:val="18"/>
                    </w:rPr>
                    <w:t>，本项目不位于博罗县高污染燃料禁燃区内。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5000" w:type="pct"/>
                  <w:gridSpan w:val="4"/>
                  <w:vAlign w:val="center"/>
                </w:tcPr>
                <w:p>
                  <w:pPr>
                    <w:jc w:val="center"/>
                    <w:rPr>
                      <w:b/>
                      <w:bCs/>
                      <w:sz w:val="18"/>
                      <w:szCs w:val="18"/>
                    </w:rPr>
                  </w:pPr>
                  <w:r>
                    <w:rPr>
                      <w:b/>
                      <w:bCs/>
                      <w:szCs w:val="21"/>
                    </w:rPr>
                    <w:t>四、环境准入清单相符性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Align w:val="center"/>
                </w:tcPr>
                <w:p>
                  <w:pPr>
                    <w:jc w:val="center"/>
                    <w:rPr>
                      <w:sz w:val="18"/>
                      <w:szCs w:val="18"/>
                    </w:rPr>
                  </w:pPr>
                  <w:r>
                    <w:rPr>
                      <w:sz w:val="18"/>
                      <w:szCs w:val="18"/>
                    </w:rPr>
                    <w:t>区域布局管控</w:t>
                  </w:r>
                </w:p>
              </w:tc>
              <w:tc>
                <w:tcPr>
                  <w:tcW w:w="2799" w:type="pct"/>
                  <w:vAlign w:val="center"/>
                </w:tcPr>
                <w:p>
                  <w:pPr>
                    <w:rPr>
                      <w:sz w:val="18"/>
                      <w:szCs w:val="18"/>
                    </w:rPr>
                  </w:pPr>
                  <w:r>
                    <w:rPr>
                      <w:rFonts w:hint="eastAsia"/>
                      <w:sz w:val="18"/>
                      <w:szCs w:val="18"/>
                    </w:rPr>
                    <w:t>1-1. 【产业/鼓励引导类】饮用水水源保护区外的域，重点发展电子信息、智能家电、先进材料等产业。</w:t>
                  </w:r>
                </w:p>
                <w:p>
                  <w:pPr>
                    <w:rPr>
                      <w:sz w:val="18"/>
                      <w:szCs w:val="18"/>
                    </w:rPr>
                  </w:pPr>
                  <w:r>
                    <w:rPr>
                      <w:rFonts w:hint="eastAsia"/>
                      <w:sz w:val="18"/>
                      <w:szCs w:val="18"/>
                    </w:rPr>
                    <w:t>1-2. 【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rPr>
                      <w:sz w:val="18"/>
                      <w:szCs w:val="18"/>
                    </w:rPr>
                  </w:pPr>
                  <w:r>
                    <w:rPr>
                      <w:rFonts w:hint="eastAsia"/>
                      <w:sz w:val="18"/>
                      <w:szCs w:val="18"/>
                    </w:rPr>
                    <w:t>1-3. 【产业/限制类】严格限制化工、包装印刷、工业涂装等高 VOCs 排放建设项目。</w:t>
                  </w:r>
                </w:p>
                <w:p>
                  <w:pPr>
                    <w:rPr>
                      <w:sz w:val="18"/>
                      <w:szCs w:val="18"/>
                    </w:rPr>
                  </w:pPr>
                  <w:r>
                    <w:rPr>
                      <w:rFonts w:hint="eastAsia"/>
                      <w:sz w:val="18"/>
                      <w:szCs w:val="18"/>
                    </w:rPr>
                    <w:t>1-4. 【生态/限制类】一般生态空间内可开展生态保护红线内允许的活动，在不影响主导生态功能的前提下，还可开展国家和省规定不纳入环评管理的项目建设，以及生态旅游、基础设施建设、村庄建设等人为活动。</w:t>
                  </w:r>
                </w:p>
                <w:p>
                  <w:pPr>
                    <w:rPr>
                      <w:sz w:val="18"/>
                      <w:szCs w:val="18"/>
                    </w:rPr>
                  </w:pPr>
                  <w:r>
                    <w:rPr>
                      <w:rFonts w:hint="eastAsia"/>
                      <w:sz w:val="18"/>
                      <w:szCs w:val="18"/>
                    </w:rPr>
                    <w:t>1-5. 【水/禁止类】饮用水水源保护区涉及园洲镇东江饮用水水源保护区，饮用水水源保护区按照《广东省水污染防治条例》“第五章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pPr>
                    <w:rPr>
                      <w:sz w:val="18"/>
                      <w:szCs w:val="18"/>
                    </w:rPr>
                  </w:pPr>
                  <w:r>
                    <w:rPr>
                      <w:rFonts w:hint="eastAsia"/>
                      <w:sz w:val="18"/>
                      <w:szCs w:val="18"/>
                    </w:rPr>
                    <w:t>1-6. 【水/禁止类】禁止在东江干流和沙河干流两岸最高水位线外延五百米范围内新建废弃物堆放场和处理场。已有的堆放场和处理场需采取有效的防治污染措施，危及水体水质安全的，由县级以上人民政府责令限期搬迁。</w:t>
                  </w:r>
                </w:p>
                <w:p>
                  <w:pPr>
                    <w:rPr>
                      <w:sz w:val="18"/>
                      <w:szCs w:val="18"/>
                    </w:rPr>
                  </w:pPr>
                  <w:r>
                    <w:rPr>
                      <w:rFonts w:hint="eastAsia"/>
                      <w:sz w:val="18"/>
                      <w:szCs w:val="18"/>
                    </w:rPr>
                    <w:t>1-7. 【水/禁止类】畜禽禁养区内不得从事畜禽养殖业。</w:t>
                  </w:r>
                </w:p>
                <w:p>
                  <w:pPr>
                    <w:rPr>
                      <w:sz w:val="18"/>
                      <w:szCs w:val="18"/>
                    </w:rPr>
                  </w:pPr>
                  <w:r>
                    <w:rPr>
                      <w:rFonts w:hint="eastAsia"/>
                      <w:sz w:val="18"/>
                      <w:szCs w:val="18"/>
                    </w:rPr>
                    <w:t>1-8. 【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p>
                  <w:pPr>
                    <w:rPr>
                      <w:sz w:val="18"/>
                      <w:szCs w:val="18"/>
                    </w:rPr>
                  </w:pPr>
                  <w:r>
                    <w:rPr>
                      <w:rFonts w:hint="eastAsia"/>
                      <w:sz w:val="18"/>
                      <w:szCs w:val="18"/>
                    </w:rPr>
                    <w:t>1-9. 【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pPr>
                    <w:rPr>
                      <w:sz w:val="18"/>
                      <w:szCs w:val="18"/>
                    </w:rPr>
                  </w:pPr>
                  <w:r>
                    <w:rPr>
                      <w:rFonts w:hint="eastAsia"/>
                      <w:sz w:val="18"/>
                      <w:szCs w:val="18"/>
                    </w:rPr>
                    <w:t>1-10.  【大气/鼓励引导类】大气环境高排放重点管控区内，强化达标监管，引导工业项目落地集聚发展，有序推进区域内行业企业提标改造。</w:t>
                  </w:r>
                </w:p>
                <w:p>
                  <w:pPr>
                    <w:rPr>
                      <w:sz w:val="18"/>
                      <w:szCs w:val="18"/>
                    </w:rPr>
                  </w:pPr>
                  <w:r>
                    <w:rPr>
                      <w:rFonts w:hint="eastAsia"/>
                      <w:sz w:val="18"/>
                      <w:szCs w:val="18"/>
                    </w:rPr>
                    <w:t>1-11.  【土壤/禁止类】禁止在重金属重点防控区域内新建、改建、扩建增加重金属污染物排放总量的建设项目。</w:t>
                  </w:r>
                </w:p>
                <w:p>
                  <w:pPr>
                    <w:rPr>
                      <w:sz w:val="18"/>
                      <w:szCs w:val="18"/>
                    </w:rPr>
                  </w:pPr>
                  <w:r>
                    <w:rPr>
                      <w:rFonts w:hint="eastAsia"/>
                      <w:sz w:val="18"/>
                      <w:szCs w:val="18"/>
                    </w:rPr>
                    <w:t>1-12.  【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1414" w:type="pct"/>
                  <w:vAlign w:val="center"/>
                </w:tcPr>
                <w:p>
                  <w:pPr>
                    <w:rPr>
                      <w:sz w:val="18"/>
                      <w:szCs w:val="18"/>
                    </w:rPr>
                  </w:pPr>
                  <w:r>
                    <w:rPr>
                      <w:sz w:val="18"/>
                      <w:szCs w:val="18"/>
                    </w:rPr>
                    <w:t>1-1、1-2本项目位于饮用水水源保护区外，属于</w:t>
                  </w:r>
                  <w:r>
                    <w:rPr>
                      <w:rFonts w:hint="eastAsia"/>
                      <w:sz w:val="18"/>
                      <w:szCs w:val="18"/>
                    </w:rPr>
                    <w:t>电子</w:t>
                  </w:r>
                  <w:r>
                    <w:rPr>
                      <w:sz w:val="18"/>
                      <w:szCs w:val="18"/>
                    </w:rPr>
                    <w:t>器件制造行业，不属于《产业结构调整指导目录（2019年本）》（2021修改版）中鼓励类、限制类、淘汰类项目，属于允许类项目，也不属于《市场准入负面清单（2022年版）》</w:t>
                  </w:r>
                  <w:r>
                    <w:rPr>
                      <w:rFonts w:hint="eastAsia"/>
                      <w:sz w:val="18"/>
                      <w:szCs w:val="18"/>
                    </w:rPr>
                    <w:t>中的</w:t>
                  </w:r>
                  <w:r>
                    <w:rPr>
                      <w:sz w:val="18"/>
                      <w:szCs w:val="18"/>
                    </w:rPr>
                    <w:t>禁止准入</w:t>
                  </w:r>
                  <w:r>
                    <w:rPr>
                      <w:rFonts w:hint="eastAsia"/>
                      <w:sz w:val="18"/>
                      <w:szCs w:val="18"/>
                    </w:rPr>
                    <w:t>和</w:t>
                  </w:r>
                  <w:r>
                    <w:rPr>
                      <w:sz w:val="18"/>
                      <w:szCs w:val="18"/>
                    </w:rPr>
                    <w:t>许可准入类，不属于拆船项目。</w:t>
                  </w:r>
                </w:p>
                <w:p>
                  <w:pPr>
                    <w:rPr>
                      <w:sz w:val="18"/>
                      <w:szCs w:val="18"/>
                    </w:rPr>
                  </w:pPr>
                  <w:r>
                    <w:rPr>
                      <w:sz w:val="18"/>
                      <w:szCs w:val="18"/>
                    </w:rPr>
                    <w:t>1-3. 本项目不属于化工、包装印刷、工业涂装等高VOCs排放建设项目。</w:t>
                  </w:r>
                </w:p>
                <w:p>
                  <w:pPr>
                    <w:rPr>
                      <w:sz w:val="18"/>
                      <w:szCs w:val="18"/>
                    </w:rPr>
                  </w:pPr>
                  <w:r>
                    <w:rPr>
                      <w:sz w:val="18"/>
                      <w:szCs w:val="18"/>
                    </w:rPr>
                    <w:t>1-4. 本项目占地不在</w:t>
                  </w:r>
                  <w:r>
                    <w:rPr>
                      <w:rFonts w:hint="eastAsia"/>
                      <w:sz w:val="18"/>
                      <w:szCs w:val="18"/>
                    </w:rPr>
                    <w:t>一般</w:t>
                  </w:r>
                  <w:r>
                    <w:rPr>
                      <w:sz w:val="18"/>
                      <w:szCs w:val="18"/>
                    </w:rPr>
                    <w:t>生态空间内。</w:t>
                  </w:r>
                </w:p>
                <w:p>
                  <w:pPr>
                    <w:rPr>
                      <w:sz w:val="18"/>
                      <w:szCs w:val="18"/>
                    </w:rPr>
                  </w:pPr>
                  <w:r>
                    <w:rPr>
                      <w:sz w:val="18"/>
                      <w:szCs w:val="18"/>
                    </w:rPr>
                    <w:t>1-5. 本项目</w:t>
                  </w:r>
                  <w:r>
                    <w:rPr>
                      <w:rFonts w:hint="eastAsia"/>
                      <w:sz w:val="18"/>
                      <w:szCs w:val="18"/>
                    </w:rPr>
                    <w:t>占地</w:t>
                  </w:r>
                  <w:r>
                    <w:rPr>
                      <w:sz w:val="18"/>
                      <w:szCs w:val="18"/>
                    </w:rPr>
                    <w:t>不属于饮用水源保护区。</w:t>
                  </w:r>
                </w:p>
                <w:p>
                  <w:pPr>
                    <w:rPr>
                      <w:sz w:val="18"/>
                      <w:szCs w:val="18"/>
                    </w:rPr>
                  </w:pPr>
                  <w:r>
                    <w:rPr>
                      <w:sz w:val="18"/>
                      <w:szCs w:val="18"/>
                    </w:rPr>
                    <w:t>1-6. 本项目不属于废弃物堆放场和处理场。</w:t>
                  </w:r>
                </w:p>
                <w:p>
                  <w:pPr>
                    <w:rPr>
                      <w:sz w:val="18"/>
                      <w:szCs w:val="18"/>
                    </w:rPr>
                  </w:pPr>
                  <w:r>
                    <w:rPr>
                      <w:sz w:val="18"/>
                      <w:szCs w:val="18"/>
                    </w:rPr>
                    <w:t>1-7</w:t>
                  </w:r>
                  <w:r>
                    <w:rPr>
                      <w:rFonts w:hint="eastAsia"/>
                      <w:sz w:val="18"/>
                      <w:szCs w:val="18"/>
                    </w:rPr>
                    <w:t>、</w:t>
                  </w:r>
                  <w:r>
                    <w:rPr>
                      <w:sz w:val="18"/>
                      <w:szCs w:val="18"/>
                    </w:rPr>
                    <w:t xml:space="preserve"> 1-8.本项目不属于畜禽养殖业。</w:t>
                  </w:r>
                </w:p>
                <w:p>
                  <w:pPr>
                    <w:rPr>
                      <w:sz w:val="18"/>
                      <w:szCs w:val="18"/>
                    </w:rPr>
                  </w:pPr>
                  <w:r>
                    <w:rPr>
                      <w:sz w:val="18"/>
                      <w:szCs w:val="18"/>
                    </w:rPr>
                    <w:t>1-9. 本项目不属于</w:t>
                  </w:r>
                  <w:r>
                    <w:rPr>
                      <w:rFonts w:hint="eastAsia"/>
                      <w:sz w:val="18"/>
                      <w:szCs w:val="18"/>
                    </w:rPr>
                    <w:t>储油库项目，</w:t>
                  </w:r>
                  <w:r>
                    <w:rPr>
                      <w:sz w:val="18"/>
                      <w:szCs w:val="18"/>
                    </w:rPr>
                    <w:t>不</w:t>
                  </w:r>
                  <w:r>
                    <w:rPr>
                      <w:rFonts w:hint="eastAsia"/>
                      <w:sz w:val="18"/>
                      <w:szCs w:val="18"/>
                    </w:rPr>
                    <w:t>产生和排放有毒有害大气污染物，不使用溶剂型油墨、涂料、清洗剂、胶黏剂等高挥发性有机物原辅材料</w:t>
                  </w:r>
                  <w:r>
                    <w:rPr>
                      <w:sz w:val="18"/>
                      <w:szCs w:val="18"/>
                    </w:rPr>
                    <w:t>。</w:t>
                  </w:r>
                </w:p>
                <w:p>
                  <w:pPr>
                    <w:rPr>
                      <w:sz w:val="18"/>
                      <w:szCs w:val="18"/>
                    </w:rPr>
                  </w:pPr>
                  <w:r>
                    <w:rPr>
                      <w:sz w:val="18"/>
                      <w:szCs w:val="18"/>
                    </w:rPr>
                    <w:t>1-10. 本项目</w:t>
                  </w:r>
                  <w:r>
                    <w:rPr>
                      <w:rFonts w:hint="eastAsia"/>
                      <w:sz w:val="18"/>
                      <w:szCs w:val="18"/>
                    </w:rPr>
                    <w:t>位于大气环境高排放重点管控区，</w:t>
                  </w:r>
                  <w:r>
                    <w:rPr>
                      <w:sz w:val="18"/>
                      <w:szCs w:val="18"/>
                    </w:rPr>
                    <w:t>项目位于工业集聚区，采取有效的废气收集治理措施，</w:t>
                  </w:r>
                  <w:r>
                    <w:rPr>
                      <w:rFonts w:hint="eastAsia"/>
                      <w:sz w:val="18"/>
                      <w:szCs w:val="18"/>
                    </w:rPr>
                    <w:t>大气</w:t>
                  </w:r>
                  <w:r>
                    <w:rPr>
                      <w:sz w:val="18"/>
                      <w:szCs w:val="18"/>
                    </w:rPr>
                    <w:t>污染物排放量较小。</w:t>
                  </w:r>
                </w:p>
                <w:p>
                  <w:pPr>
                    <w:rPr>
                      <w:sz w:val="18"/>
                      <w:szCs w:val="18"/>
                    </w:rPr>
                  </w:pPr>
                  <w:r>
                    <w:rPr>
                      <w:sz w:val="18"/>
                      <w:szCs w:val="18"/>
                    </w:rPr>
                    <w:t>1-11. 1-12.本项目</w:t>
                  </w:r>
                  <w:r>
                    <w:rPr>
                      <w:rFonts w:hint="eastAsia"/>
                      <w:sz w:val="18"/>
                      <w:szCs w:val="18"/>
                    </w:rPr>
                    <w:t>不涉及重金属</w:t>
                  </w:r>
                  <w:r>
                    <w:rPr>
                      <w:sz w:val="18"/>
                      <w:szCs w:val="18"/>
                    </w:rPr>
                    <w:t>排放。</w:t>
                  </w:r>
                </w:p>
              </w:tc>
              <w:tc>
                <w:tcPr>
                  <w:tcW w:w="530" w:type="pct"/>
                  <w:vAlign w:val="center"/>
                </w:tcPr>
                <w:p>
                  <w:pPr>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Align w:val="center"/>
                </w:tcPr>
                <w:p>
                  <w:pPr>
                    <w:jc w:val="center"/>
                    <w:rPr>
                      <w:sz w:val="18"/>
                      <w:szCs w:val="18"/>
                    </w:rPr>
                  </w:pPr>
                  <w:r>
                    <w:rPr>
                      <w:sz w:val="18"/>
                      <w:szCs w:val="18"/>
                    </w:rPr>
                    <w:t>能源资源利用</w:t>
                  </w:r>
                </w:p>
              </w:tc>
              <w:tc>
                <w:tcPr>
                  <w:tcW w:w="2799" w:type="pct"/>
                  <w:vAlign w:val="center"/>
                </w:tcPr>
                <w:p>
                  <w:pPr>
                    <w:jc w:val="left"/>
                    <w:rPr>
                      <w:sz w:val="18"/>
                      <w:szCs w:val="18"/>
                    </w:rPr>
                  </w:pPr>
                  <w:r>
                    <w:rPr>
                      <w:rFonts w:hint="eastAsia"/>
                      <w:sz w:val="18"/>
                      <w:szCs w:val="18"/>
                    </w:rPr>
                    <w:t>2-1. 【能源/鼓励引导类】鼓励降低煤炭消耗、能源消耗，引导光伏等多种形式的新能源利用。</w:t>
                  </w:r>
                </w:p>
                <w:p>
                  <w:pPr>
                    <w:jc w:val="left"/>
                    <w:rPr>
                      <w:sz w:val="18"/>
                      <w:szCs w:val="18"/>
                    </w:rPr>
                  </w:pPr>
                  <w:r>
                    <w:rPr>
                      <w:rFonts w:hint="eastAsia"/>
                      <w:sz w:val="18"/>
                      <w:szCs w:val="18"/>
                    </w:rPr>
                    <w:t>2-2. 【能源/综合类】根据本地区大气环境质量改善要求逐步扩大高污染燃料禁燃区范围</w:t>
                  </w:r>
                </w:p>
              </w:tc>
              <w:tc>
                <w:tcPr>
                  <w:tcW w:w="1414" w:type="pct"/>
                  <w:vAlign w:val="center"/>
                </w:tcPr>
                <w:p>
                  <w:pPr>
                    <w:rPr>
                      <w:sz w:val="18"/>
                      <w:szCs w:val="18"/>
                    </w:rPr>
                  </w:pPr>
                  <w:r>
                    <w:rPr>
                      <w:sz w:val="18"/>
                      <w:szCs w:val="18"/>
                    </w:rPr>
                    <w:t>2-1</w:t>
                  </w:r>
                  <w:r>
                    <w:rPr>
                      <w:rFonts w:hint="eastAsia"/>
                      <w:sz w:val="18"/>
                      <w:szCs w:val="18"/>
                    </w:rPr>
                    <w:t>、</w:t>
                  </w:r>
                  <w:r>
                    <w:rPr>
                      <w:sz w:val="18"/>
                      <w:szCs w:val="18"/>
                    </w:rPr>
                    <w:t>2.2.本项目所用资源主要为电能，无煤炭消耗</w:t>
                  </w:r>
                  <w:r>
                    <w:rPr>
                      <w:rFonts w:hint="eastAsia"/>
                      <w:sz w:val="18"/>
                      <w:szCs w:val="18"/>
                    </w:rPr>
                    <w:t>，</w:t>
                  </w:r>
                  <w:r>
                    <w:rPr>
                      <w:sz w:val="18"/>
                      <w:szCs w:val="18"/>
                    </w:rPr>
                    <w:t>不使用高污染燃料。</w:t>
                  </w:r>
                </w:p>
              </w:tc>
              <w:tc>
                <w:tcPr>
                  <w:tcW w:w="530" w:type="pct"/>
                  <w:vAlign w:val="center"/>
                </w:tcPr>
                <w:p>
                  <w:pPr>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Align w:val="center"/>
                </w:tcPr>
                <w:p>
                  <w:pPr>
                    <w:jc w:val="center"/>
                    <w:rPr>
                      <w:sz w:val="18"/>
                      <w:szCs w:val="18"/>
                    </w:rPr>
                  </w:pPr>
                  <w:r>
                    <w:rPr>
                      <w:sz w:val="18"/>
                      <w:szCs w:val="18"/>
                    </w:rPr>
                    <w:t>污染物排放管控</w:t>
                  </w:r>
                </w:p>
              </w:tc>
              <w:tc>
                <w:tcPr>
                  <w:tcW w:w="2799" w:type="pct"/>
                  <w:vAlign w:val="center"/>
                </w:tcPr>
                <w:p>
                  <w:pPr>
                    <w:rPr>
                      <w:sz w:val="18"/>
                      <w:szCs w:val="18"/>
                    </w:rPr>
                  </w:pPr>
                  <w:r>
                    <w:rPr>
                      <w:rFonts w:hint="eastAsia"/>
                      <w:sz w:val="18"/>
                      <w:szCs w:val="18"/>
                    </w:rPr>
                    <w:t>3-1. 【水/限制类】单元内城镇生活污水处理厂出水水质 COD、氨氮、总磷排放执行国家《地表水环境质量》（GB3838-2002）Ⅴ类标准，其余指标执行国家《城镇污水处理厂污染物排放标》（GB18918-2002）一级 A 标准与广东省《水污染物排放限值》较严值的标准。</w:t>
                  </w:r>
                </w:p>
                <w:p>
                  <w:pPr>
                    <w:rPr>
                      <w:sz w:val="18"/>
                      <w:szCs w:val="18"/>
                    </w:rPr>
                  </w:pPr>
                  <w:r>
                    <w:rPr>
                      <w:rFonts w:hint="eastAsia"/>
                      <w:sz w:val="18"/>
                      <w:szCs w:val="18"/>
                    </w:rPr>
                    <w:t>3-2. 【水/限制类】严格控制流域内增加水污染物排放或对东江水质、水环境安全构成影响的项目。</w:t>
                  </w:r>
                </w:p>
                <w:p>
                  <w:pPr>
                    <w:rPr>
                      <w:sz w:val="18"/>
                      <w:szCs w:val="18"/>
                    </w:rPr>
                  </w:pPr>
                  <w:r>
                    <w:rPr>
                      <w:rFonts w:hint="eastAsia"/>
                      <w:sz w:val="18"/>
                      <w:szCs w:val="18"/>
                    </w:rPr>
                    <w:t>3-3.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pPr>
                    <w:rPr>
                      <w:sz w:val="18"/>
                      <w:szCs w:val="18"/>
                    </w:rPr>
                  </w:pPr>
                  <w:r>
                    <w:rPr>
                      <w:rFonts w:hint="eastAsia"/>
                      <w:sz w:val="18"/>
                      <w:szCs w:val="18"/>
                    </w:rPr>
                    <w:t>3-4. 【水/综合类】强化农业面源污染治理，控制农药化肥使用量。</w:t>
                  </w:r>
                </w:p>
                <w:p>
                  <w:pPr>
                    <w:rPr>
                      <w:sz w:val="18"/>
                      <w:szCs w:val="18"/>
                    </w:rPr>
                  </w:pPr>
                  <w:r>
                    <w:rPr>
                      <w:rFonts w:hint="eastAsia"/>
                      <w:sz w:val="18"/>
                      <w:szCs w:val="18"/>
                    </w:rPr>
                    <w:t>3-5. 【大气/限制类】重点行业新建涉 VOCs 排放的工业企业原则上应入园进区。新建项目 VOCs 实施倍量替代。</w:t>
                  </w:r>
                </w:p>
                <w:p>
                  <w:pPr>
                    <w:rPr>
                      <w:sz w:val="18"/>
                      <w:szCs w:val="18"/>
                    </w:rPr>
                  </w:pPr>
                  <w:r>
                    <w:rPr>
                      <w:rFonts w:hint="eastAsia"/>
                      <w:sz w:val="18"/>
                      <w:szCs w:val="18"/>
                    </w:rPr>
                    <w:t>3-6. 【土壤/禁止类】禁止向农用地排放重金属或者其他有毒有害物质含量超标的污水、污泥，以及可能造成土壤污染的清淤底泥、尾矿、矿渣等。</w:t>
                  </w:r>
                </w:p>
              </w:tc>
              <w:tc>
                <w:tcPr>
                  <w:tcW w:w="1414" w:type="pct"/>
                  <w:vAlign w:val="center"/>
                </w:tcPr>
                <w:p>
                  <w:pPr>
                    <w:rPr>
                      <w:sz w:val="18"/>
                      <w:szCs w:val="18"/>
                    </w:rPr>
                  </w:pPr>
                  <w:r>
                    <w:rPr>
                      <w:sz w:val="18"/>
                      <w:szCs w:val="18"/>
                    </w:rPr>
                    <w:t xml:space="preserve">3-1. </w:t>
                  </w:r>
                  <w:r>
                    <w:rPr>
                      <w:rFonts w:hint="eastAsia"/>
                      <w:sz w:val="18"/>
                      <w:szCs w:val="18"/>
                    </w:rPr>
                    <w:t>园洲镇第四污水处理厂出水</w:t>
                  </w:r>
                  <w:r>
                    <w:rPr>
                      <w:sz w:val="18"/>
                      <w:szCs w:val="18"/>
                    </w:rPr>
                    <w:t>水质</w:t>
                  </w:r>
                  <w:r>
                    <w:rPr>
                      <w:rFonts w:hint="eastAsia"/>
                      <w:sz w:val="18"/>
                      <w:szCs w:val="18"/>
                    </w:rPr>
                    <w:t>中氨氮、总磷排放执行国家《地表水环境质量》（GB3838-2002）Ⅴ类标准，其余指标执行国家《城镇污水处理厂污染物排放标》（GB18918-2002）一级 A 标准与广东省《水污染物排放限值》较严值的标准</w:t>
                  </w:r>
                  <w:r>
                    <w:rPr>
                      <w:sz w:val="18"/>
                      <w:szCs w:val="18"/>
                    </w:rPr>
                    <w:t>。</w:t>
                  </w:r>
                </w:p>
                <w:p>
                  <w:pPr>
                    <w:rPr>
                      <w:sz w:val="18"/>
                      <w:szCs w:val="18"/>
                    </w:rPr>
                  </w:pPr>
                  <w:r>
                    <w:rPr>
                      <w:sz w:val="18"/>
                      <w:szCs w:val="18"/>
                    </w:rPr>
                    <w:t>3-2. 本项目</w:t>
                  </w:r>
                  <w:r>
                    <w:rPr>
                      <w:rFonts w:hint="eastAsia"/>
                      <w:sz w:val="18"/>
                      <w:szCs w:val="18"/>
                    </w:rPr>
                    <w:t>无</w:t>
                  </w:r>
                  <w:r>
                    <w:rPr>
                      <w:sz w:val="18"/>
                      <w:szCs w:val="18"/>
                    </w:rPr>
                    <w:t>生产废水排放，生活污水纳入</w:t>
                  </w:r>
                  <w:r>
                    <w:rPr>
                      <w:rFonts w:hint="eastAsia"/>
                      <w:sz w:val="18"/>
                      <w:szCs w:val="18"/>
                    </w:rPr>
                    <w:t>园洲镇第四污水处理厂</w:t>
                  </w:r>
                  <w:r>
                    <w:rPr>
                      <w:sz w:val="18"/>
                      <w:szCs w:val="18"/>
                    </w:rPr>
                    <w:t>处理。</w:t>
                  </w:r>
                </w:p>
                <w:p>
                  <w:pPr>
                    <w:rPr>
                      <w:sz w:val="18"/>
                      <w:szCs w:val="18"/>
                    </w:rPr>
                  </w:pPr>
                  <w:r>
                    <w:rPr>
                      <w:sz w:val="18"/>
                      <w:szCs w:val="18"/>
                    </w:rPr>
                    <w:t>3-3</w:t>
                  </w:r>
                  <w:r>
                    <w:rPr>
                      <w:rFonts w:hint="eastAsia"/>
                      <w:sz w:val="18"/>
                      <w:szCs w:val="18"/>
                    </w:rPr>
                    <w:t>、3.4</w:t>
                  </w:r>
                  <w:r>
                    <w:rPr>
                      <w:sz w:val="18"/>
                      <w:szCs w:val="18"/>
                    </w:rPr>
                    <w:t>. 本项目</w:t>
                  </w:r>
                  <w:r>
                    <w:rPr>
                      <w:rFonts w:hint="eastAsia"/>
                      <w:sz w:val="18"/>
                      <w:szCs w:val="18"/>
                    </w:rPr>
                    <w:t>为工业</w:t>
                  </w:r>
                  <w:r>
                    <w:rPr>
                      <w:sz w:val="18"/>
                      <w:szCs w:val="18"/>
                    </w:rPr>
                    <w:t>项目。</w:t>
                  </w:r>
                </w:p>
                <w:p>
                  <w:pPr>
                    <w:rPr>
                      <w:sz w:val="18"/>
                      <w:szCs w:val="18"/>
                    </w:rPr>
                  </w:pPr>
                  <w:r>
                    <w:rPr>
                      <w:sz w:val="18"/>
                      <w:szCs w:val="18"/>
                    </w:rPr>
                    <w:t>3-5. 本项目属于</w:t>
                  </w:r>
                  <w:r>
                    <w:rPr>
                      <w:rFonts w:hint="eastAsia"/>
                      <w:sz w:val="18"/>
                      <w:szCs w:val="18"/>
                    </w:rPr>
                    <w:t>电子</w:t>
                  </w:r>
                  <w:r>
                    <w:rPr>
                      <w:sz w:val="18"/>
                      <w:szCs w:val="18"/>
                    </w:rPr>
                    <w:t>器件制造行业，不属于重点行业，本项目产生的有机废气收集经“</w:t>
                  </w:r>
                  <w:r>
                    <w:rPr>
                      <w:rFonts w:hint="eastAsia"/>
                      <w:sz w:val="18"/>
                      <w:szCs w:val="18"/>
                    </w:rPr>
                    <w:t>两</w:t>
                  </w:r>
                  <w:r>
                    <w:rPr>
                      <w:sz w:val="18"/>
                      <w:szCs w:val="18"/>
                    </w:rPr>
                    <w:t>级活性炭吸附装置”处理达标后高空排放，排放量较小。</w:t>
                  </w:r>
                </w:p>
                <w:p>
                  <w:pPr>
                    <w:rPr>
                      <w:sz w:val="18"/>
                      <w:szCs w:val="18"/>
                    </w:rPr>
                  </w:pPr>
                  <w:r>
                    <w:rPr>
                      <w:sz w:val="18"/>
                      <w:szCs w:val="18"/>
                    </w:rPr>
                    <w:t>3-6. 本项目不排放重金属或者其他有毒有害物质含量超标的污水、污泥，以及可能造成土壤污染的清淤底泥、尾矿、矿渣等。</w:t>
                  </w:r>
                </w:p>
              </w:tc>
              <w:tc>
                <w:tcPr>
                  <w:tcW w:w="530" w:type="pct"/>
                  <w:vAlign w:val="center"/>
                </w:tcPr>
                <w:p>
                  <w:pPr>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Align w:val="center"/>
                </w:tcPr>
                <w:p>
                  <w:pPr>
                    <w:jc w:val="center"/>
                    <w:rPr>
                      <w:sz w:val="18"/>
                      <w:szCs w:val="18"/>
                    </w:rPr>
                  </w:pPr>
                  <w:r>
                    <w:rPr>
                      <w:sz w:val="18"/>
                      <w:szCs w:val="18"/>
                    </w:rPr>
                    <w:t>环境风险防控</w:t>
                  </w:r>
                </w:p>
              </w:tc>
              <w:tc>
                <w:tcPr>
                  <w:tcW w:w="2799" w:type="pct"/>
                  <w:vAlign w:val="center"/>
                </w:tcPr>
                <w:p>
                  <w:pPr>
                    <w:jc w:val="left"/>
                    <w:rPr>
                      <w:sz w:val="18"/>
                      <w:szCs w:val="18"/>
                    </w:rPr>
                  </w:pPr>
                  <w:r>
                    <w:rPr>
                      <w:rFonts w:hint="eastAsia"/>
                      <w:sz w:val="18"/>
                      <w:szCs w:val="18"/>
                    </w:rPr>
                    <w:t>4-1. 【水/综合类】城镇污水处理厂、涉水企业应采取有效措施，防止事故废水直接排入水体。</w:t>
                  </w:r>
                </w:p>
                <w:p>
                  <w:pPr>
                    <w:jc w:val="left"/>
                    <w:rPr>
                      <w:sz w:val="18"/>
                      <w:szCs w:val="18"/>
                    </w:rPr>
                  </w:pPr>
                  <w:r>
                    <w:rPr>
                      <w:rFonts w:hint="eastAsia"/>
                      <w:sz w:val="18"/>
                      <w:szCs w:val="18"/>
                    </w:rPr>
                    <w:t>4-2. 【水/综合类】加强饮用水水源保护区内环境风险排查，开展风险评估及水环境预警监测。</w:t>
                  </w:r>
                </w:p>
                <w:p>
                  <w:pPr>
                    <w:jc w:val="left"/>
                    <w:rPr>
                      <w:sz w:val="18"/>
                      <w:szCs w:val="18"/>
                    </w:rPr>
                  </w:pPr>
                  <w:r>
                    <w:rPr>
                      <w:rFonts w:hint="eastAsia"/>
                      <w:sz w:val="18"/>
                      <w:szCs w:val="18"/>
                    </w:rPr>
                    <w:t>4-3. 【大气/综合类】建立环境监测预警制度，加强污染天气预警预报；生产、储存和使用有毒有害气体的企业（有毒有害气体的企业指列入《有毒有害大气污染物名录》的、以及其他对人体健康和</w:t>
                  </w:r>
                </w:p>
                <w:p>
                  <w:pPr>
                    <w:jc w:val="left"/>
                    <w:rPr>
                      <w:sz w:val="18"/>
                      <w:szCs w:val="18"/>
                    </w:rPr>
                  </w:pPr>
                  <w:r>
                    <w:rPr>
                      <w:rFonts w:hint="eastAsia"/>
                      <w:sz w:val="18"/>
                      <w:szCs w:val="18"/>
                    </w:rPr>
                    <w:t>生态环境造成危害的气体），需建立有毒有害气体环境风险预警体系。</w:t>
                  </w:r>
                </w:p>
              </w:tc>
              <w:tc>
                <w:tcPr>
                  <w:tcW w:w="1414" w:type="pct"/>
                  <w:vAlign w:val="center"/>
                </w:tcPr>
                <w:p>
                  <w:pPr>
                    <w:rPr>
                      <w:sz w:val="18"/>
                      <w:szCs w:val="18"/>
                    </w:rPr>
                  </w:pPr>
                  <w:r>
                    <w:rPr>
                      <w:sz w:val="18"/>
                      <w:szCs w:val="18"/>
                    </w:rPr>
                    <w:t>4-1. 本项目不属于</w:t>
                  </w:r>
                  <w:r>
                    <w:rPr>
                      <w:rFonts w:hint="eastAsia"/>
                      <w:sz w:val="18"/>
                      <w:szCs w:val="18"/>
                    </w:rPr>
                    <w:t>城镇污水处理厂和涉水企业</w:t>
                  </w:r>
                  <w:r>
                    <w:rPr>
                      <w:sz w:val="18"/>
                      <w:szCs w:val="18"/>
                    </w:rPr>
                    <w:t>。</w:t>
                  </w:r>
                </w:p>
                <w:p>
                  <w:pPr>
                    <w:rPr>
                      <w:sz w:val="18"/>
                      <w:szCs w:val="18"/>
                    </w:rPr>
                  </w:pPr>
                  <w:r>
                    <w:rPr>
                      <w:sz w:val="18"/>
                      <w:szCs w:val="18"/>
                    </w:rPr>
                    <w:t>4-2. 本项目</w:t>
                  </w:r>
                  <w:r>
                    <w:rPr>
                      <w:rFonts w:hint="eastAsia"/>
                      <w:sz w:val="18"/>
                      <w:szCs w:val="18"/>
                    </w:rPr>
                    <w:t>不涉及饮用水</w:t>
                  </w:r>
                  <w:r>
                    <w:rPr>
                      <w:sz w:val="18"/>
                      <w:szCs w:val="18"/>
                    </w:rPr>
                    <w:t>水源保护区。</w:t>
                  </w:r>
                </w:p>
                <w:p>
                  <w:pPr>
                    <w:rPr>
                      <w:sz w:val="18"/>
                      <w:szCs w:val="18"/>
                    </w:rPr>
                  </w:pPr>
                  <w:r>
                    <w:rPr>
                      <w:sz w:val="18"/>
                      <w:szCs w:val="18"/>
                    </w:rPr>
                    <w:t>4-3. 本项目</w:t>
                  </w:r>
                  <w:r>
                    <w:rPr>
                      <w:rFonts w:hint="eastAsia"/>
                      <w:sz w:val="18"/>
                      <w:szCs w:val="18"/>
                    </w:rPr>
                    <w:t>不涉及</w:t>
                  </w:r>
                  <w:r>
                    <w:rPr>
                      <w:sz w:val="18"/>
                      <w:szCs w:val="18"/>
                    </w:rPr>
                    <w:t>有毒有害气体的生产、储存和使用。</w:t>
                  </w:r>
                </w:p>
              </w:tc>
              <w:tc>
                <w:tcPr>
                  <w:tcW w:w="530" w:type="pct"/>
                  <w:vAlign w:val="center"/>
                </w:tcPr>
                <w:p>
                  <w:pPr>
                    <w:jc w:val="center"/>
                    <w:rPr>
                      <w:sz w:val="18"/>
                      <w:szCs w:val="18"/>
                    </w:rPr>
                  </w:pPr>
                  <w:r>
                    <w:rPr>
                      <w:sz w:val="18"/>
                      <w:szCs w:val="18"/>
                    </w:rPr>
                    <w:t>符合</w:t>
                  </w:r>
                </w:p>
              </w:tc>
            </w:tr>
          </w:tbl>
          <w:p>
            <w:pPr>
              <w:adjustRightInd w:val="0"/>
              <w:snapToGrid w:val="0"/>
              <w:spacing w:line="360" w:lineRule="auto"/>
              <w:ind w:firstLine="422" w:firstLineChars="200"/>
              <w:rPr>
                <w:b/>
                <w:bCs/>
                <w:szCs w:val="21"/>
              </w:rPr>
            </w:pPr>
            <w:r>
              <w:rPr>
                <w:b/>
                <w:bCs/>
                <w:szCs w:val="21"/>
              </w:rPr>
              <w:t>2、产业政策符合性分析</w:t>
            </w:r>
          </w:p>
          <w:p>
            <w:pPr>
              <w:pStyle w:val="44"/>
              <w:snapToGrid w:val="0"/>
              <w:spacing w:line="360" w:lineRule="auto"/>
              <w:ind w:firstLine="420" w:firstLineChars="200"/>
              <w:jc w:val="both"/>
              <w:rPr>
                <w:rFonts w:ascii="Times New Roman" w:hAnsi="Times New Roman"/>
                <w:color w:val="auto"/>
                <w:sz w:val="21"/>
                <w:szCs w:val="21"/>
              </w:rPr>
            </w:pPr>
            <w:r>
              <w:rPr>
                <w:rFonts w:ascii="Times New Roman" w:hAnsi="Times New Roman"/>
                <w:color w:val="auto"/>
                <w:sz w:val="21"/>
                <w:szCs w:val="21"/>
              </w:rPr>
              <w:t>本项目属于《国民经济行业分类》（GB/T4754-2017）及第1号修改单中</w:t>
            </w:r>
            <w:r>
              <w:rPr>
                <w:rFonts w:hint="eastAsia" w:ascii="Times New Roman" w:hAnsi="Times New Roman"/>
                <w:color w:val="auto"/>
                <w:sz w:val="21"/>
                <w:szCs w:val="21"/>
              </w:rPr>
              <w:t>的</w:t>
            </w:r>
            <w:r>
              <w:rPr>
                <w:rFonts w:hint="eastAsia" w:ascii="Times New Roman" w:hAnsi="Times New Roman"/>
                <w:color w:val="auto"/>
                <w:sz w:val="21"/>
              </w:rPr>
              <w:t>C3972半导体分立器件制造行业</w:t>
            </w:r>
            <w:r>
              <w:rPr>
                <w:rFonts w:ascii="Times New Roman" w:hAnsi="Times New Roman"/>
                <w:color w:val="auto"/>
                <w:sz w:val="21"/>
                <w:szCs w:val="21"/>
              </w:rPr>
              <w:t>，根据国家发改委发布的《产业结构调整指导目录（2019年本）》以及《国家发展改革委关于修改&lt;产业结构调整指导目录（2019年本）&gt;的决定》（中华人民共和国国家发展和改革委员会令 第49号，2021年12月27日），本项目不属于其中的限制类、淘汰类项目，可视为允许类项目。</w:t>
            </w:r>
          </w:p>
          <w:p>
            <w:pPr>
              <w:spacing w:line="360" w:lineRule="auto"/>
              <w:ind w:firstLine="422" w:firstLineChars="200"/>
              <w:rPr>
                <w:b/>
                <w:bCs/>
                <w:szCs w:val="21"/>
              </w:rPr>
            </w:pPr>
            <w:r>
              <w:rPr>
                <w:b/>
                <w:bCs/>
                <w:szCs w:val="21"/>
              </w:rPr>
              <w:t>3、市场准入负面清单相符性分析</w:t>
            </w:r>
          </w:p>
          <w:p>
            <w:pPr>
              <w:pStyle w:val="44"/>
              <w:snapToGrid w:val="0"/>
              <w:spacing w:line="360" w:lineRule="auto"/>
              <w:ind w:firstLine="420" w:firstLineChars="200"/>
              <w:jc w:val="both"/>
              <w:rPr>
                <w:rFonts w:ascii="Times New Roman" w:hAnsi="Times New Roman"/>
                <w:color w:val="auto"/>
                <w:sz w:val="21"/>
                <w:szCs w:val="21"/>
              </w:rPr>
            </w:pPr>
            <w:r>
              <w:rPr>
                <w:rFonts w:ascii="Times New Roman" w:hAnsi="Times New Roman"/>
                <w:color w:val="auto"/>
                <w:sz w:val="21"/>
                <w:szCs w:val="21"/>
              </w:rPr>
              <w:t>本项目属于《国民经济行业分类》（GB/T4754-2017）及第1号修改单中</w:t>
            </w:r>
            <w:r>
              <w:rPr>
                <w:rFonts w:hint="eastAsia" w:ascii="Times New Roman" w:hAnsi="Times New Roman"/>
                <w:color w:val="auto"/>
                <w:sz w:val="21"/>
                <w:szCs w:val="21"/>
              </w:rPr>
              <w:t>的</w:t>
            </w:r>
            <w:r>
              <w:rPr>
                <w:rFonts w:hint="eastAsia" w:ascii="Times New Roman" w:hAnsi="Times New Roman"/>
                <w:color w:val="auto"/>
                <w:sz w:val="21"/>
              </w:rPr>
              <w:t>C3972半导体分立器件制造行业</w:t>
            </w:r>
            <w:r>
              <w:rPr>
                <w:rFonts w:ascii="Times New Roman" w:hAnsi="Times New Roman"/>
                <w:color w:val="auto"/>
                <w:sz w:val="21"/>
                <w:szCs w:val="21"/>
              </w:rPr>
              <w:t>，不属于国家《市场准入负面清单》（2022年版）（发改体改规〔2022〕397号）中所列禁止和许可事项，根据《市场准入负面清单》（2022年版）的规定：对于市场准入负面清单以外的行业、领域、业务等，各类市场主体皆可依法平等进入，因此，本项目与《市场准入负面清单》（2022年版）是相符的。</w:t>
            </w:r>
          </w:p>
          <w:p>
            <w:pPr>
              <w:adjustRightInd w:val="0"/>
              <w:snapToGrid w:val="0"/>
              <w:spacing w:line="360" w:lineRule="auto"/>
              <w:ind w:firstLine="482"/>
              <w:rPr>
                <w:b/>
                <w:szCs w:val="21"/>
              </w:rPr>
            </w:pPr>
            <w:r>
              <w:rPr>
                <w:b/>
                <w:szCs w:val="21"/>
              </w:rPr>
              <w:t>4、用地性质相符性分析</w:t>
            </w:r>
          </w:p>
          <w:p>
            <w:pPr>
              <w:adjustRightInd w:val="0"/>
              <w:snapToGrid w:val="0"/>
              <w:spacing w:line="360" w:lineRule="auto"/>
              <w:ind w:firstLine="482"/>
              <w:rPr>
                <w:szCs w:val="21"/>
              </w:rPr>
            </w:pPr>
            <w:r>
              <w:rPr>
                <w:szCs w:val="21"/>
              </w:rPr>
              <w:t>项目位于惠州市</w:t>
            </w:r>
            <w:r>
              <w:rPr>
                <w:kern w:val="0"/>
              </w:rPr>
              <w:t>博罗县园洲镇河北片绿化二路东侧</w:t>
            </w:r>
            <w:r>
              <w:rPr>
                <w:szCs w:val="21"/>
              </w:rPr>
              <w:t>，根据</w:t>
            </w:r>
            <w:r>
              <w:rPr>
                <w:rFonts w:hint="eastAsia"/>
                <w:szCs w:val="21"/>
              </w:rPr>
              <w:t>《博罗县园洲镇</w:t>
            </w:r>
            <w:r>
              <w:rPr>
                <w:szCs w:val="21"/>
              </w:rPr>
              <w:t>总体规划修编（</w:t>
            </w:r>
            <w:r>
              <w:rPr>
                <w:rFonts w:hint="eastAsia"/>
                <w:szCs w:val="21"/>
              </w:rPr>
              <w:t>2018-2035</w:t>
            </w:r>
            <w:r>
              <w:rPr>
                <w:szCs w:val="21"/>
              </w:rPr>
              <w:t>）</w:t>
            </w:r>
            <w:r>
              <w:rPr>
                <w:rFonts w:hint="eastAsia"/>
                <w:szCs w:val="21"/>
              </w:rPr>
              <w:t>》中镇域</w:t>
            </w:r>
            <w:r>
              <w:rPr>
                <w:szCs w:val="21"/>
              </w:rPr>
              <w:t>土地利用规划图（</w:t>
            </w:r>
            <w:r>
              <w:rPr>
                <w:rFonts w:hint="eastAsia"/>
                <w:szCs w:val="21"/>
              </w:rPr>
              <w:t>详见</w:t>
            </w:r>
            <w:r>
              <w:rPr>
                <w:szCs w:val="21"/>
              </w:rPr>
              <w:t>附图</w:t>
            </w:r>
            <w:r>
              <w:rPr>
                <w:rFonts w:hint="eastAsia"/>
                <w:szCs w:val="21"/>
              </w:rPr>
              <w:t>1</w:t>
            </w:r>
            <w:r>
              <w:rPr>
                <w:szCs w:val="21"/>
              </w:rPr>
              <w:t>1）</w:t>
            </w:r>
            <w:r>
              <w:rPr>
                <w:rFonts w:hint="eastAsia"/>
                <w:szCs w:val="21"/>
              </w:rPr>
              <w:t>，</w:t>
            </w:r>
            <w:r>
              <w:rPr>
                <w:szCs w:val="21"/>
              </w:rPr>
              <w:t>项目所在地为工业用地</w:t>
            </w:r>
            <w:r>
              <w:rPr>
                <w:rFonts w:hint="eastAsia"/>
                <w:szCs w:val="21"/>
              </w:rPr>
              <w:t>；</w:t>
            </w:r>
            <w:r>
              <w:rPr>
                <w:szCs w:val="21"/>
              </w:rPr>
              <w:t>另外，建设单位提供的国土证</w:t>
            </w:r>
            <w:r>
              <w:rPr>
                <w:rFonts w:hint="eastAsia"/>
                <w:szCs w:val="21"/>
              </w:rPr>
              <w:t>和</w:t>
            </w:r>
            <w:r>
              <w:rPr>
                <w:szCs w:val="21"/>
              </w:rPr>
              <w:t>不动产权证（详见附件3），项目用地为工业用地，本项目所在区域不属于饮用水源保护区范围，项目周围没有风景名胜区、自然保护区、生态脆弱带等。综合分析，本项目的用地性质与博罗县</w:t>
            </w:r>
            <w:r>
              <w:rPr>
                <w:rFonts w:hint="eastAsia"/>
                <w:szCs w:val="21"/>
              </w:rPr>
              <w:t>园洲镇</w:t>
            </w:r>
            <w:r>
              <w:rPr>
                <w:szCs w:val="21"/>
              </w:rPr>
              <w:t>的规划是相符的。</w:t>
            </w:r>
          </w:p>
          <w:p>
            <w:pPr>
              <w:adjustRightInd w:val="0"/>
              <w:snapToGrid w:val="0"/>
              <w:spacing w:line="360" w:lineRule="auto"/>
              <w:ind w:firstLine="480"/>
              <w:rPr>
                <w:b/>
                <w:szCs w:val="21"/>
              </w:rPr>
            </w:pPr>
            <w:r>
              <w:rPr>
                <w:b/>
                <w:szCs w:val="21"/>
              </w:rPr>
              <w:t>5、区域环境功能区划符合性分析</w:t>
            </w:r>
          </w:p>
          <w:p>
            <w:pPr>
              <w:pStyle w:val="16"/>
              <w:adjustRightInd w:val="0"/>
              <w:snapToGrid w:val="0"/>
              <w:spacing w:line="360" w:lineRule="auto"/>
              <w:ind w:firstLine="420" w:firstLineChars="200"/>
              <w:jc w:val="both"/>
              <w:rPr>
                <w:sz w:val="21"/>
                <w:szCs w:val="21"/>
              </w:rPr>
            </w:pPr>
            <w:r>
              <w:rPr>
                <w:sz w:val="21"/>
                <w:szCs w:val="21"/>
              </w:rPr>
              <w:t>根据《广东省人民政府关于调整惠州市饮用水源保护区的批复》</w:t>
            </w:r>
            <w:r>
              <w:rPr>
                <w:rFonts w:hint="eastAsia"/>
                <w:sz w:val="21"/>
                <w:szCs w:val="21"/>
              </w:rPr>
              <w:t>（</w:t>
            </w:r>
            <w:r>
              <w:rPr>
                <w:sz w:val="21"/>
                <w:szCs w:val="21"/>
              </w:rPr>
              <w:t>粤府函[2014]188号</w:t>
            </w:r>
            <w:r>
              <w:rPr>
                <w:rFonts w:hint="eastAsia"/>
                <w:sz w:val="21"/>
                <w:szCs w:val="21"/>
              </w:rPr>
              <w:t>）、</w:t>
            </w:r>
            <w:r>
              <w:rPr>
                <w:sz w:val="21"/>
                <w:szCs w:val="21"/>
              </w:rPr>
              <w:t>《广东省人民政府关于调整惠州市部分饮用水水源保护区的批复》</w:t>
            </w:r>
            <w:r>
              <w:rPr>
                <w:rFonts w:hint="eastAsia"/>
                <w:sz w:val="21"/>
                <w:szCs w:val="21"/>
              </w:rPr>
              <w:t>（</w:t>
            </w:r>
            <w:r>
              <w:rPr>
                <w:sz w:val="21"/>
                <w:szCs w:val="21"/>
              </w:rPr>
              <w:t>粤府函[2019]270号</w:t>
            </w:r>
            <w:r>
              <w:rPr>
                <w:rFonts w:hint="eastAsia"/>
                <w:sz w:val="21"/>
                <w:szCs w:val="21"/>
              </w:rPr>
              <w:t>）</w:t>
            </w:r>
            <w:r>
              <w:rPr>
                <w:bCs/>
                <w:sz w:val="21"/>
                <w:szCs w:val="21"/>
              </w:rPr>
              <w:t>以及</w:t>
            </w:r>
            <w:r>
              <w:rPr>
                <w:rFonts w:hint="eastAsia"/>
                <w:bCs/>
                <w:sz w:val="21"/>
                <w:szCs w:val="21"/>
              </w:rPr>
              <w:t>《惠州市乡镇级及以下集中式饮用水水源保护区划定（调整）方案》（惠府函〔2020〕317号）</w:t>
            </w:r>
            <w:r>
              <w:rPr>
                <w:sz w:val="21"/>
                <w:szCs w:val="21"/>
              </w:rPr>
              <w:t>，本项目所在区域不属于水源保护区。</w:t>
            </w:r>
          </w:p>
          <w:p>
            <w:pPr>
              <w:adjustRightInd w:val="0"/>
              <w:snapToGrid w:val="0"/>
              <w:spacing w:line="360" w:lineRule="auto"/>
              <w:ind w:firstLine="480"/>
              <w:rPr>
                <w:szCs w:val="21"/>
              </w:rPr>
            </w:pPr>
            <w:r>
              <w:rPr>
                <w:szCs w:val="21"/>
              </w:rPr>
              <w:t>项目外排废水主要为员工生活污水，纳污水体</w:t>
            </w:r>
            <w:r>
              <w:rPr>
                <w:rFonts w:hint="eastAsia"/>
                <w:szCs w:val="21"/>
              </w:rPr>
              <w:t>为新村排渠</w:t>
            </w:r>
            <w:r>
              <w:rPr>
                <w:szCs w:val="21"/>
              </w:rPr>
              <w:t>，水质控制目标为</w:t>
            </w:r>
            <w:r>
              <w:rPr>
                <w:rFonts w:hint="eastAsia" w:ascii="宋体" w:hAnsi="宋体" w:cs="宋体"/>
                <w:szCs w:val="21"/>
              </w:rPr>
              <w:t>Ⅴ</w:t>
            </w:r>
            <w:r>
              <w:rPr>
                <w:szCs w:val="21"/>
              </w:rPr>
              <w:t>类</w:t>
            </w:r>
            <w:r>
              <w:rPr>
                <w:rFonts w:hint="eastAsia"/>
                <w:szCs w:val="21"/>
              </w:rPr>
              <w:t>，根据</w:t>
            </w:r>
            <w:r>
              <w:rPr>
                <w:szCs w:val="21"/>
              </w:rPr>
              <w:t>地表水环境现状引用监测结果，</w:t>
            </w:r>
            <w:r>
              <w:rPr>
                <w:rFonts w:hint="eastAsia"/>
                <w:szCs w:val="21"/>
              </w:rPr>
              <w:t>新村</w:t>
            </w:r>
            <w:r>
              <w:rPr>
                <w:szCs w:val="21"/>
              </w:rPr>
              <w:t>排渠的水质现状</w:t>
            </w:r>
            <w:r>
              <w:rPr>
                <w:rFonts w:hint="eastAsia"/>
                <w:szCs w:val="21"/>
              </w:rPr>
              <w:t>不能</w:t>
            </w:r>
            <w:r>
              <w:rPr>
                <w:szCs w:val="21"/>
              </w:rPr>
              <w:t>满足</w:t>
            </w:r>
            <w:r>
              <w:rPr>
                <w:rFonts w:hint="eastAsia"/>
                <w:szCs w:val="21"/>
              </w:rPr>
              <w:t>《地表水环境质量标准》（GB3838-2002）V 类标准</w:t>
            </w:r>
            <w:r>
              <w:rPr>
                <w:szCs w:val="21"/>
              </w:rPr>
              <w:t>；区域空气环境功能区划为二类区，环境空气质量达标；声环境功能区规划为2类区，声环境达标。厂址周围无国家、省、市、区重点保护的文物、古迹、无名胜风景区、自然保护区等，选址符合环境功能区划的要求。本项目废（污）水、废气、噪声和固体废物通过采取评价中提出的治理措施进行有效治理后，不会改变区域环境功能。因此，本项目的运营与区域环境功能区划是相符的。</w:t>
            </w:r>
          </w:p>
          <w:p>
            <w:pPr>
              <w:adjustRightInd w:val="0"/>
              <w:snapToGrid w:val="0"/>
              <w:spacing w:line="360" w:lineRule="auto"/>
              <w:ind w:firstLine="480"/>
              <w:rPr>
                <w:b/>
                <w:szCs w:val="21"/>
              </w:rPr>
            </w:pPr>
            <w:r>
              <w:rPr>
                <w:b/>
                <w:szCs w:val="21"/>
              </w:rPr>
              <w:t>6、其它相关环保政策相符性分析</w:t>
            </w:r>
          </w:p>
          <w:p>
            <w:pPr>
              <w:spacing w:line="360" w:lineRule="auto"/>
              <w:ind w:firstLine="422" w:firstLineChars="200"/>
              <w:rPr>
                <w:b/>
                <w:bCs/>
                <w:szCs w:val="21"/>
              </w:rPr>
            </w:pPr>
            <w:r>
              <w:rPr>
                <w:b/>
                <w:bCs/>
                <w:szCs w:val="21"/>
              </w:rPr>
              <w:t>（1）项目与《广东省人民政府关于严格限制东江流域水污染项目建设进一步做好东江水质保护工作的通知》（粤府函[2011]339号）及《广东省人民政府关于严格限制东江流域水污染项目建设进一步做好东江水质保护工作的补充通知》（粤府函[2013]231号）的相符性分析</w:t>
            </w:r>
          </w:p>
          <w:p>
            <w:pPr>
              <w:spacing w:line="360" w:lineRule="auto"/>
              <w:ind w:firstLine="420" w:firstLineChars="200"/>
              <w:rPr>
                <w:b/>
                <w:bCs/>
                <w:kern w:val="0"/>
                <w:szCs w:val="21"/>
              </w:rPr>
            </w:pPr>
            <w:r>
              <w:rPr>
                <w:bCs/>
                <w:szCs w:val="21"/>
              </w:rPr>
              <w:t>根据《广东省人民政府关于严格限制东江流域水污染项目建设进一步做好东江水质保护工作的通知》（粤府函〔2011〕339号）及《广东省人民政府关于严格限制东江流域水污染项目建设进一步做好东江水质保护工作的补充通知》（粤府函〔2013〕231号）的相关规定具体如下：</w:t>
            </w:r>
          </w:p>
          <w:p>
            <w:pPr>
              <w:spacing w:line="360" w:lineRule="auto"/>
              <w:ind w:firstLine="422" w:firstLineChars="200"/>
              <w:rPr>
                <w:kern w:val="0"/>
                <w:szCs w:val="21"/>
              </w:rPr>
            </w:pPr>
            <w:r>
              <w:rPr>
                <w:b/>
                <w:bCs/>
                <w:kern w:val="0"/>
                <w:szCs w:val="21"/>
              </w:rPr>
              <w:t>“1</w:t>
            </w:r>
            <w:r>
              <w:rPr>
                <w:b/>
                <w:kern w:val="0"/>
                <w:szCs w:val="21"/>
              </w:rPr>
              <w:t>、</w:t>
            </w:r>
            <w:r>
              <w:rPr>
                <w:b/>
                <w:bCs/>
                <w:kern w:val="0"/>
                <w:szCs w:val="21"/>
              </w:rPr>
              <w:t>严格控制重污染项目建设：</w:t>
            </w:r>
            <w:r>
              <w:rPr>
                <w:kern w:val="0"/>
                <w:szCs w:val="21"/>
              </w:rPr>
              <w:t>严格执行《广东省东江水系水质保护条例》等规定，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pPr>
              <w:spacing w:line="360" w:lineRule="auto"/>
              <w:ind w:firstLine="422" w:firstLineChars="200"/>
              <w:rPr>
                <w:kern w:val="0"/>
                <w:szCs w:val="21"/>
              </w:rPr>
            </w:pPr>
            <w:r>
              <w:rPr>
                <w:b/>
                <w:bCs/>
                <w:kern w:val="0"/>
                <w:szCs w:val="21"/>
              </w:rPr>
              <w:t>2</w:t>
            </w:r>
            <w:r>
              <w:rPr>
                <w:b/>
                <w:kern w:val="0"/>
                <w:szCs w:val="21"/>
              </w:rPr>
              <w:t>、</w:t>
            </w:r>
            <w:r>
              <w:rPr>
                <w:b/>
                <w:bCs/>
                <w:kern w:val="0"/>
                <w:szCs w:val="21"/>
              </w:rPr>
              <w:t>强化涉重金属污染项目管理：</w:t>
            </w:r>
            <w:r>
              <w:rPr>
                <w:kern w:val="0"/>
                <w:szCs w:val="21"/>
              </w:rPr>
              <w:t>东江流域内停止审批向河流排放汞、砷、镉、铬、铅等重金属污染物和持久性有机污染物的项目。</w:t>
            </w:r>
          </w:p>
          <w:p>
            <w:pPr>
              <w:spacing w:line="360" w:lineRule="auto"/>
              <w:ind w:firstLine="422" w:firstLineChars="200"/>
              <w:rPr>
                <w:kern w:val="0"/>
                <w:szCs w:val="21"/>
              </w:rPr>
            </w:pPr>
            <w:r>
              <w:rPr>
                <w:b/>
                <w:kern w:val="0"/>
                <w:szCs w:val="21"/>
              </w:rPr>
              <w:t>3、</w:t>
            </w:r>
            <w:r>
              <w:rPr>
                <w:b/>
                <w:bCs/>
                <w:kern w:val="0"/>
                <w:szCs w:val="21"/>
              </w:rPr>
              <w:t>严格控制支流污染增量</w:t>
            </w:r>
            <w:r>
              <w:rPr>
                <w:kern w:val="0"/>
                <w:szCs w:val="21"/>
              </w:rPr>
              <w:t>：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spacing w:line="360" w:lineRule="auto"/>
              <w:ind w:firstLine="420" w:firstLineChars="200"/>
              <w:rPr>
                <w:bCs/>
                <w:szCs w:val="21"/>
              </w:rPr>
            </w:pPr>
            <w:r>
              <w:rPr>
                <w:bCs/>
              </w:rPr>
              <w:t>符合下列条件之一的建设项目，不列入禁止建设和暂停审批范围：</w:t>
            </w:r>
          </w:p>
          <w:p>
            <w:pPr>
              <w:spacing w:line="360" w:lineRule="auto"/>
              <w:ind w:firstLine="420" w:firstLineChars="200"/>
              <w:rPr>
                <w:bCs/>
              </w:rPr>
            </w:pPr>
            <w:r>
              <w:rPr>
                <w:bCs/>
              </w:rPr>
              <w:t>1、建设地点位于东江流域，但不排放废水或废水不排入东江及其支流，不会对东江水质和水环境安全构成影响的项目；</w:t>
            </w:r>
          </w:p>
          <w:p>
            <w:pPr>
              <w:spacing w:line="360" w:lineRule="auto"/>
              <w:ind w:firstLine="420" w:firstLineChars="200"/>
              <w:rPr>
                <w:bCs/>
              </w:rPr>
            </w:pPr>
            <w:r>
              <w:rPr>
                <w:bCs/>
              </w:rPr>
              <w:t>2、通过提高清洁生产和污染防治水平，能够做到增产不增污、增产减污、技改减污的改（扩）建项目及同流域内迁建减污项目；</w:t>
            </w:r>
          </w:p>
          <w:p>
            <w:pPr>
              <w:spacing w:line="360" w:lineRule="auto"/>
              <w:ind w:firstLine="420" w:firstLineChars="200"/>
              <w:rPr>
                <w:bCs/>
              </w:rPr>
            </w:pPr>
            <w:r>
              <w:rPr>
                <w:bCs/>
              </w:rPr>
              <w:t xml:space="preserve">3、流域内拟迁入重污染行业统一规划、统一定点基地，且符合基地规划环评审查意见的建设项目。”  </w:t>
            </w:r>
          </w:p>
          <w:p>
            <w:pPr>
              <w:spacing w:line="360" w:lineRule="auto"/>
              <w:ind w:firstLine="422" w:firstLineChars="200"/>
              <w:rPr>
                <w:szCs w:val="21"/>
              </w:rPr>
            </w:pPr>
            <w:r>
              <w:rPr>
                <w:b/>
                <w:bCs/>
                <w:szCs w:val="21"/>
              </w:rPr>
              <w:t>符合性分析：</w:t>
            </w:r>
            <w:r>
              <w:rPr>
                <w:szCs w:val="21"/>
              </w:rPr>
              <w:t>本项目选址位于</w:t>
            </w:r>
            <w:r>
              <w:rPr>
                <w:kern w:val="0"/>
              </w:rPr>
              <w:t>惠州市博罗县园洲镇河北片绿化二路东侧</w:t>
            </w:r>
            <w:r>
              <w:rPr>
                <w:szCs w:val="21"/>
              </w:rPr>
              <w:t>，属于东江流域范围。本项目主要从事</w:t>
            </w:r>
            <w:r>
              <w:rPr>
                <w:rFonts w:hint="eastAsia"/>
                <w:szCs w:val="21"/>
              </w:rPr>
              <w:t>半导体</w:t>
            </w:r>
            <w:r>
              <w:rPr>
                <w:szCs w:val="21"/>
              </w:rPr>
              <w:t>分立器件生产，</w:t>
            </w:r>
            <w:r>
              <w:rPr>
                <w:rFonts w:hint="eastAsia"/>
                <w:szCs w:val="21"/>
              </w:rPr>
              <w:t>清洗</w:t>
            </w:r>
            <w:r>
              <w:rPr>
                <w:szCs w:val="21"/>
              </w:rPr>
              <w:t>废水不外排</w:t>
            </w:r>
            <w:r>
              <w:rPr>
                <w:rFonts w:hint="eastAsia"/>
                <w:szCs w:val="21"/>
              </w:rPr>
              <w:t>，</w:t>
            </w:r>
            <w:r>
              <w:rPr>
                <w:szCs w:val="21"/>
              </w:rPr>
              <w:t>生活污水经化粪池预处理后纳入园洲镇第四污水处理厂，处理达标后排入</w:t>
            </w:r>
            <w:r>
              <w:rPr>
                <w:rFonts w:hint="eastAsia"/>
                <w:szCs w:val="21"/>
              </w:rPr>
              <w:t>新村</w:t>
            </w:r>
            <w:r>
              <w:rPr>
                <w:szCs w:val="21"/>
              </w:rPr>
              <w:t>排渠。本项目不属于以上禁批或限批行业，因此，项目选址符合流域限批政策要求。因此</w:t>
            </w:r>
            <w:r>
              <w:rPr>
                <w:bCs/>
                <w:iCs/>
                <w:szCs w:val="21"/>
              </w:rPr>
              <w:t>，本项目选址与</w:t>
            </w:r>
            <w:r>
              <w:rPr>
                <w:spacing w:val="-6"/>
                <w:szCs w:val="21"/>
              </w:rPr>
              <w:t>《</w:t>
            </w:r>
            <w:r>
              <w:rPr>
                <w:szCs w:val="21"/>
              </w:rPr>
              <w:t>关于严格限制东江流域水污染项目建设进一步做好东江水质保护工作的通知》（粤府函〔2011〕339号）及</w:t>
            </w:r>
            <w:r>
              <w:rPr>
                <w:bCs/>
                <w:szCs w:val="21"/>
              </w:rPr>
              <w:t>《广东省人民政府关于严格限制东江流域水污染项目建设进一步做好东江水质保护工作的补充通知》</w:t>
            </w:r>
            <w:r>
              <w:rPr>
                <w:szCs w:val="21"/>
              </w:rPr>
              <w:t>（粤府函〔2013〕231号）</w:t>
            </w:r>
            <w:r>
              <w:rPr>
                <w:bCs/>
                <w:iCs/>
                <w:szCs w:val="21"/>
              </w:rPr>
              <w:t>的规定不冲突。</w:t>
            </w:r>
          </w:p>
          <w:p>
            <w:pPr>
              <w:pStyle w:val="26"/>
              <w:spacing w:before="0" w:beforeAutospacing="0" w:after="0" w:afterAutospacing="0" w:line="360" w:lineRule="auto"/>
              <w:ind w:firstLine="422" w:firstLineChars="200"/>
              <w:jc w:val="both"/>
              <w:rPr>
                <w:rFonts w:ascii="Times New Roman" w:hAnsi="Times New Roman"/>
                <w:b/>
                <w:bCs/>
                <w:sz w:val="21"/>
                <w:szCs w:val="21"/>
              </w:rPr>
            </w:pPr>
            <w:r>
              <w:rPr>
                <w:rFonts w:ascii="Times New Roman" w:hAnsi="Times New Roman"/>
                <w:b/>
                <w:bCs/>
                <w:sz w:val="21"/>
                <w:szCs w:val="21"/>
              </w:rPr>
              <w:t>（2）与《广东省水污染防治条例》的相符性分析</w:t>
            </w:r>
          </w:p>
          <w:p>
            <w:pPr>
              <w:spacing w:line="360" w:lineRule="auto"/>
              <w:ind w:firstLine="420" w:firstLineChars="200"/>
            </w:pPr>
            <w:r>
              <w:t>根据《广东省水污染防治条例》：</w:t>
            </w:r>
          </w:p>
          <w:p>
            <w:pPr>
              <w:suppressAutoHyphens/>
              <w:spacing w:line="360" w:lineRule="auto"/>
              <w:ind w:firstLine="420" w:firstLineChars="200"/>
              <w:rPr>
                <w:kern w:val="1"/>
              </w:rPr>
            </w:pPr>
            <w:r>
              <w:rPr>
                <w:kern w:val="1"/>
              </w:rPr>
              <w:t>第十七条  新建、改建、扩建直接或者间接向水体排放污染物的建设项目和其他水上设施，应当符合生态环境准入清单要求，并依法进行环境影响评价。</w:t>
            </w:r>
          </w:p>
          <w:p>
            <w:pPr>
              <w:suppressAutoHyphens/>
              <w:spacing w:line="360" w:lineRule="auto"/>
              <w:ind w:firstLine="420" w:firstLineChars="200"/>
              <w:rPr>
                <w:kern w:val="1"/>
              </w:rPr>
            </w:pPr>
            <w:r>
              <w:rPr>
                <w:kern w:val="1"/>
              </w:rPr>
              <w:t>第二十二条  排污单位应当按照经批准或者备案的环境影响评价文件要求建设水污染防治设施。水污染防治设施应当与主体工程同时设计、同时施工、同时投入使用。</w:t>
            </w:r>
          </w:p>
          <w:p>
            <w:pPr>
              <w:suppressAutoHyphens/>
              <w:spacing w:line="360" w:lineRule="auto"/>
              <w:ind w:firstLine="420" w:firstLineChars="200"/>
              <w:rPr>
                <w:kern w:val="1"/>
              </w:rPr>
            </w:pPr>
            <w:r>
              <w:rPr>
                <w:kern w:val="1"/>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pPr>
              <w:suppressAutoHyphens/>
              <w:spacing w:line="360" w:lineRule="auto"/>
              <w:ind w:firstLine="420" w:firstLineChars="200"/>
              <w:rPr>
                <w:kern w:val="1"/>
              </w:rPr>
            </w:pPr>
            <w:r>
              <w:rPr>
                <w:kern w:val="1"/>
              </w:rPr>
              <w:t>第四十三条  在饮用水水源保护区内禁止下列行为：</w:t>
            </w:r>
          </w:p>
          <w:p>
            <w:pPr>
              <w:suppressAutoHyphens/>
              <w:spacing w:line="360" w:lineRule="auto"/>
              <w:ind w:firstLine="420" w:firstLineChars="200"/>
              <w:rPr>
                <w:kern w:val="1"/>
              </w:rPr>
            </w:pPr>
            <w:r>
              <w:rPr>
                <w:kern w:val="1"/>
              </w:rPr>
              <w:t>（一）设置排污口；</w:t>
            </w:r>
          </w:p>
          <w:p>
            <w:pPr>
              <w:suppressAutoHyphens/>
              <w:spacing w:line="360" w:lineRule="auto"/>
              <w:ind w:firstLine="420" w:firstLineChars="200"/>
              <w:rPr>
                <w:kern w:val="1"/>
              </w:rPr>
            </w:pPr>
            <w:r>
              <w:rPr>
                <w:kern w:val="1"/>
              </w:rPr>
              <w:t>第四十四条  禁止在饮用水水源一级保护区内新建、改建、扩建与供水设施和保护水源无关的建设项目；已建成的与供水设施和保护水源无关的建设项目由县级以上人民政府责令拆除或者关闭。</w:t>
            </w:r>
          </w:p>
          <w:p>
            <w:pPr>
              <w:suppressAutoHyphens/>
              <w:spacing w:line="360" w:lineRule="auto"/>
              <w:ind w:firstLine="420" w:firstLineChars="200"/>
              <w:rPr>
                <w:kern w:val="1"/>
              </w:rPr>
            </w:pPr>
            <w:r>
              <w:rPr>
                <w:kern w:val="1"/>
              </w:rPr>
              <w:t>禁止在饮用水水源二级保护区内新建、改建、扩建排放污染物的建设项目。</w:t>
            </w:r>
          </w:p>
          <w:p>
            <w:pPr>
              <w:suppressAutoHyphens/>
              <w:spacing w:line="360" w:lineRule="auto"/>
              <w:ind w:firstLine="420" w:firstLineChars="200"/>
              <w:rPr>
                <w:kern w:val="1"/>
              </w:rPr>
            </w:pPr>
            <w:r>
              <w:rPr>
                <w:kern w:val="1"/>
              </w:rPr>
              <w:t>第五十条  新建、改建、扩建的项目应当符合国家产业政策规定</w:t>
            </w:r>
          </w:p>
          <w:p>
            <w:pPr>
              <w:suppressAutoHyphens/>
              <w:spacing w:line="360" w:lineRule="auto"/>
              <w:ind w:firstLine="420" w:firstLineChars="200"/>
              <w:rPr>
                <w:kern w:val="1"/>
              </w:rPr>
            </w:pPr>
            <w:r>
              <w:rPr>
                <w:kern w:val="1"/>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w:t>
            </w:r>
          </w:p>
          <w:p>
            <w:pPr>
              <w:spacing w:line="360" w:lineRule="auto"/>
              <w:ind w:firstLine="422" w:firstLineChars="200"/>
              <w:rPr>
                <w:szCs w:val="21"/>
              </w:rPr>
            </w:pPr>
            <w:r>
              <w:rPr>
                <w:b/>
                <w:bCs/>
              </w:rPr>
              <w:t>相符性分析：</w:t>
            </w:r>
            <w:r>
              <w:t>本项目位于东江流域，用地不属于饮用水水源保护区，不属于条例规定的禁止类和严格控制类生产项目，</w:t>
            </w:r>
            <w:r>
              <w:rPr>
                <w:rFonts w:hint="eastAsia"/>
              </w:rPr>
              <w:t>生产废水</w:t>
            </w:r>
            <w:r>
              <w:t>不外排，</w:t>
            </w:r>
            <w:r>
              <w:rPr>
                <w:szCs w:val="21"/>
              </w:rPr>
              <w:t>生活污水经三级化粪池预处理后，生活污水经化粪池预处理后纳入园洲镇第四污水处理厂集中处理达标后排放，</w:t>
            </w:r>
            <w:r>
              <w:t>本项目符合生态环境准入清单要求，并依法进行了环境影响评价，符合生态环境准入清单要求，因此本项目与《广东省水污染防治条例》相符。</w:t>
            </w:r>
          </w:p>
          <w:p>
            <w:pPr>
              <w:spacing w:line="360" w:lineRule="auto"/>
              <w:ind w:firstLine="422" w:firstLineChars="200"/>
              <w:rPr>
                <w:b/>
                <w:bCs/>
              </w:rPr>
            </w:pPr>
            <w:r>
              <w:rPr>
                <w:b/>
                <w:bCs/>
              </w:rPr>
              <w:t>（3）与《广东省大气污染防治条例》的相符性分析</w:t>
            </w:r>
          </w:p>
          <w:p>
            <w:pPr>
              <w:spacing w:line="360" w:lineRule="auto"/>
              <w:ind w:firstLine="420" w:firstLineChars="200"/>
            </w:pPr>
            <w:r>
              <w:t>以下内容引用自《广东省大气污染防治条例》：</w:t>
            </w:r>
          </w:p>
          <w:p>
            <w:pPr>
              <w:spacing w:line="360" w:lineRule="auto"/>
              <w:ind w:firstLine="420" w:firstLineChars="200"/>
            </w:pPr>
            <w:r>
              <w:t>第二十条 地级以上市人民政府应当组织编制区域供热规划，建设和完善供热系统，对具备条件的工业园区、产业园区、开发区的用热单位实行集中供热，并逐步扩大供热管网覆盖范围。</w:t>
            </w:r>
          </w:p>
          <w:p>
            <w:pPr>
              <w:spacing w:line="360" w:lineRule="auto"/>
              <w:ind w:firstLine="420" w:firstLineChars="200"/>
            </w:pPr>
            <w:r>
              <w:t>在集中供热管网覆盖范围内，禁止新建、扩建燃用煤炭、重油、渣油、生物质等分散供热锅炉；已建成的不能达标排放的供热锅炉应当在县级以上人民政府规定的期限内拆除。</w:t>
            </w:r>
          </w:p>
          <w:p>
            <w:pPr>
              <w:spacing w:line="360" w:lineRule="auto"/>
              <w:ind w:firstLine="420" w:firstLineChars="200"/>
            </w:pPr>
            <w:r>
              <w:t>第二十六条 新建、改建、扩建排放挥发性有机物的建设项目，应当使用污染防治先进可行技术。</w:t>
            </w:r>
          </w:p>
          <w:p>
            <w:pPr>
              <w:spacing w:line="360" w:lineRule="auto"/>
              <w:ind w:firstLine="420" w:firstLineChars="200"/>
            </w:pPr>
            <w:r>
              <w:t>第二十七条 工业涂装企业应当使用低挥发性有机物含量的涂料，并建立台账，如实记录生产原料、辅料的使用量、废弃量、去向以及挥发性有机物含量并向县级以上人民政府生态环境主管部门申报。台账保存期限不少于三年。</w:t>
            </w:r>
          </w:p>
          <w:p>
            <w:pPr>
              <w:spacing w:line="360" w:lineRule="auto"/>
              <w:ind w:firstLine="422" w:firstLineChars="200"/>
              <w:rPr>
                <w:b/>
                <w:bCs/>
              </w:rPr>
            </w:pPr>
            <w:r>
              <w:rPr>
                <w:b/>
                <w:bCs/>
              </w:rPr>
              <w:t>相符性分析：</w:t>
            </w:r>
            <w:r>
              <w:t>本项目采用电能，</w:t>
            </w:r>
            <w:r>
              <w:rPr>
                <w:kern w:val="0"/>
              </w:rPr>
              <w:t>生产过程中</w:t>
            </w:r>
            <w:r>
              <w:t>未使用高挥发性有机物原辅材料</w:t>
            </w:r>
            <w:r>
              <w:rPr>
                <w:kern w:val="0"/>
              </w:rPr>
              <w:t>，</w:t>
            </w:r>
            <w:r>
              <w:rPr>
                <w:rFonts w:hint="eastAsia"/>
              </w:rPr>
              <w:t>粘片、</w:t>
            </w:r>
            <w:r>
              <w:t>点胶</w:t>
            </w:r>
            <w:r>
              <w:rPr>
                <w:rFonts w:hint="eastAsia"/>
              </w:rPr>
              <w:t>和塑封</w:t>
            </w:r>
            <w:r>
              <w:t>固化过程</w:t>
            </w:r>
            <w:r>
              <w:rPr>
                <w:kern w:val="0"/>
              </w:rPr>
              <w:t>产生的有机废气经两级活性炭吸附设施处理后可达标排放</w:t>
            </w:r>
            <w:r>
              <w:t>，企业建成投产后将如实记录台账，因此本项目与《广东省大气污染防治条例》相符。</w:t>
            </w:r>
          </w:p>
          <w:p>
            <w:pPr>
              <w:pStyle w:val="85"/>
              <w:spacing w:line="360" w:lineRule="auto"/>
              <w:ind w:firstLine="422" w:firstLineChars="200"/>
              <w:rPr>
                <w:rFonts w:eastAsia="宋体"/>
                <w:b/>
                <w:sz w:val="21"/>
                <w:szCs w:val="21"/>
              </w:rPr>
            </w:pPr>
            <w:r>
              <w:rPr>
                <w:rFonts w:eastAsia="宋体"/>
                <w:b/>
                <w:sz w:val="21"/>
                <w:szCs w:val="21"/>
              </w:rPr>
              <w:t>（4）与《关于印发&lt;重点行业挥发性有机物综合治理方案&gt;的通知》（环大气〔2019〕53号）相符性分析</w:t>
            </w:r>
          </w:p>
          <w:p>
            <w:pPr>
              <w:pStyle w:val="85"/>
              <w:spacing w:line="360" w:lineRule="auto"/>
              <w:ind w:firstLine="420" w:firstLineChars="200"/>
              <w:rPr>
                <w:rFonts w:eastAsia="宋体"/>
                <w:bCs/>
                <w:sz w:val="21"/>
                <w:szCs w:val="21"/>
              </w:rPr>
            </w:pPr>
            <w:r>
              <w:rPr>
                <w:rFonts w:eastAsia="宋体"/>
                <w:bCs/>
                <w:sz w:val="21"/>
                <w:szCs w:val="21"/>
              </w:rPr>
              <w:t>（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w:t>
            </w:r>
          </w:p>
          <w:p>
            <w:pPr>
              <w:pStyle w:val="85"/>
              <w:spacing w:line="360" w:lineRule="auto"/>
              <w:ind w:firstLine="420" w:firstLineChars="200"/>
              <w:rPr>
                <w:rFonts w:eastAsia="宋体"/>
                <w:bCs/>
                <w:sz w:val="21"/>
                <w:szCs w:val="21"/>
              </w:rPr>
            </w:pPr>
            <w:r>
              <w:rPr>
                <w:rFonts w:eastAsia="宋体"/>
                <w:bCs/>
                <w:sz w:val="21"/>
                <w:szCs w:val="21"/>
              </w:rPr>
              <w:t>（二）全面加强无组织排放控制。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p>
            <w:pPr>
              <w:spacing w:line="360" w:lineRule="auto"/>
              <w:ind w:firstLine="422" w:firstLineChars="200"/>
              <w:rPr>
                <w:szCs w:val="21"/>
              </w:rPr>
            </w:pPr>
            <w:r>
              <w:rPr>
                <w:b/>
                <w:bCs/>
              </w:rPr>
              <w:t>相符性分析：</w:t>
            </w:r>
            <w:r>
              <w:t>本项目主要从事半导体分立器件，</w:t>
            </w:r>
            <w:r>
              <w:rPr>
                <w:rFonts w:hint="eastAsia"/>
              </w:rPr>
              <w:t>生产</w:t>
            </w:r>
            <w:r>
              <w:rPr>
                <w:kern w:val="0"/>
              </w:rPr>
              <w:t>过程中</w:t>
            </w:r>
            <w:r>
              <w:t>未使用高挥发性有机物原辅材料</w:t>
            </w:r>
            <w:r>
              <w:rPr>
                <w:kern w:val="0"/>
              </w:rPr>
              <w:t>，</w:t>
            </w:r>
            <w:r>
              <w:rPr>
                <w:rFonts w:hint="eastAsia"/>
              </w:rPr>
              <w:t>粘片、</w:t>
            </w:r>
            <w:r>
              <w:t>点胶</w:t>
            </w:r>
            <w:r>
              <w:rPr>
                <w:rFonts w:hint="eastAsia"/>
              </w:rPr>
              <w:t>和塑封</w:t>
            </w:r>
            <w:r>
              <w:t>固化过程</w:t>
            </w:r>
            <w:r>
              <w:rPr>
                <w:kern w:val="0"/>
              </w:rPr>
              <w:t>产生的有机废气经两级活性炭吸附设施处理后可达标排放</w:t>
            </w:r>
            <w:r>
              <w:t>，对周围环境影响不大。因此，本项目符合《关于印发&lt;重点行业挥发性有机物综合治理方案&gt;的通知》（环大气〔2019〕53号）的要求。</w:t>
            </w:r>
          </w:p>
          <w:p>
            <w:pPr>
              <w:adjustRightInd w:val="0"/>
              <w:snapToGrid w:val="0"/>
              <w:spacing w:line="360" w:lineRule="auto"/>
              <w:ind w:firstLine="422" w:firstLineChars="200"/>
              <w:rPr>
                <w:b/>
                <w:bCs/>
              </w:rPr>
            </w:pPr>
            <w:r>
              <w:rPr>
                <w:b/>
              </w:rPr>
              <w:t>（5）</w:t>
            </w:r>
            <w:r>
              <w:rPr>
                <w:b/>
                <w:bCs/>
              </w:rPr>
              <w:t>与《关于印发&lt;广东省涉挥发性有机物（VOCs）重点行业治理指引&gt;的通知》（粤环办〔2021〕43号）的相符性分析</w:t>
            </w:r>
          </w:p>
          <w:p>
            <w:pPr>
              <w:adjustRightInd w:val="0"/>
              <w:snapToGrid w:val="0"/>
              <w:spacing w:line="360" w:lineRule="auto"/>
              <w:ind w:firstLine="420" w:firstLineChars="200"/>
              <w:textAlignment w:val="baseline"/>
              <w:rPr>
                <w:szCs w:val="21"/>
              </w:rPr>
            </w:pPr>
            <w:r>
              <w:rPr>
                <w:szCs w:val="21"/>
              </w:rPr>
              <w:t>对照《广东省涉挥发性有机物（VOCs）重点行业治理指引》，本项目涉及“</w:t>
            </w:r>
            <w:r>
              <w:rPr>
                <w:rFonts w:hint="eastAsia"/>
                <w:szCs w:val="21"/>
              </w:rPr>
              <w:t>十一、电子元件制造行业</w:t>
            </w:r>
            <w:r>
              <w:rPr>
                <w:szCs w:val="21"/>
              </w:rPr>
              <w:t>”，</w:t>
            </w:r>
            <w:r>
              <w:t xml:space="preserve"> 本项目与文件要求相符性如下表所示</w:t>
            </w:r>
            <w:r>
              <w:rPr>
                <w:szCs w:val="21"/>
              </w:rPr>
              <w:t>。</w:t>
            </w:r>
          </w:p>
          <w:p>
            <w:pPr>
              <w:numPr>
                <w:ilvl w:val="0"/>
                <w:numId w:val="2"/>
              </w:numPr>
              <w:adjustRightInd w:val="0"/>
              <w:snapToGrid w:val="0"/>
              <w:spacing w:line="360" w:lineRule="auto"/>
              <w:ind w:left="322"/>
              <w:jc w:val="center"/>
              <w:rPr>
                <w:b/>
                <w:bCs/>
              </w:rPr>
            </w:pPr>
            <w:r>
              <w:rPr>
                <w:b/>
                <w:bCs/>
              </w:rPr>
              <w:t>与（粤环办〔2021〕43号）相符性分析一览表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854"/>
              <w:gridCol w:w="3278"/>
              <w:gridCol w:w="142"/>
              <w:gridCol w:w="2291"/>
              <w:gridCol w:w="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adjustRightInd w:val="0"/>
                    <w:snapToGrid w:val="0"/>
                    <w:jc w:val="center"/>
                    <w:rPr>
                      <w:b/>
                      <w:bCs/>
                      <w:sz w:val="18"/>
                      <w:szCs w:val="18"/>
                    </w:rPr>
                  </w:pPr>
                  <w:r>
                    <w:rPr>
                      <w:b/>
                      <w:bCs/>
                      <w:sz w:val="18"/>
                      <w:szCs w:val="18"/>
                    </w:rPr>
                    <w:t>序号</w:t>
                  </w:r>
                </w:p>
              </w:tc>
              <w:tc>
                <w:tcPr>
                  <w:tcW w:w="562" w:type="pct"/>
                  <w:shd w:val="clear" w:color="auto" w:fill="auto"/>
                  <w:vAlign w:val="center"/>
                </w:tcPr>
                <w:p>
                  <w:pPr>
                    <w:adjustRightInd w:val="0"/>
                    <w:snapToGrid w:val="0"/>
                    <w:jc w:val="center"/>
                    <w:rPr>
                      <w:b/>
                      <w:bCs/>
                      <w:sz w:val="18"/>
                      <w:szCs w:val="18"/>
                    </w:rPr>
                  </w:pPr>
                  <w:r>
                    <w:rPr>
                      <w:b/>
                      <w:bCs/>
                      <w:sz w:val="18"/>
                      <w:szCs w:val="18"/>
                    </w:rPr>
                    <w:t>环节</w:t>
                  </w:r>
                </w:p>
              </w:tc>
              <w:tc>
                <w:tcPr>
                  <w:tcW w:w="2250" w:type="pct"/>
                  <w:gridSpan w:val="2"/>
                  <w:shd w:val="clear" w:color="auto" w:fill="auto"/>
                  <w:vAlign w:val="center"/>
                </w:tcPr>
                <w:p>
                  <w:pPr>
                    <w:adjustRightInd w:val="0"/>
                    <w:snapToGrid w:val="0"/>
                    <w:jc w:val="center"/>
                    <w:rPr>
                      <w:b/>
                      <w:bCs/>
                      <w:sz w:val="18"/>
                      <w:szCs w:val="18"/>
                    </w:rPr>
                  </w:pPr>
                  <w:r>
                    <w:rPr>
                      <w:b/>
                      <w:bCs/>
                      <w:sz w:val="18"/>
                      <w:szCs w:val="18"/>
                    </w:rPr>
                    <w:t>控制要求</w:t>
                  </w:r>
                </w:p>
              </w:tc>
              <w:tc>
                <w:tcPr>
                  <w:tcW w:w="1507" w:type="pct"/>
                  <w:shd w:val="clear" w:color="auto" w:fill="auto"/>
                  <w:vAlign w:val="center"/>
                </w:tcPr>
                <w:p>
                  <w:pPr>
                    <w:adjustRightInd w:val="0"/>
                    <w:snapToGrid w:val="0"/>
                    <w:jc w:val="center"/>
                    <w:rPr>
                      <w:b/>
                      <w:bCs/>
                      <w:sz w:val="18"/>
                      <w:szCs w:val="18"/>
                    </w:rPr>
                  </w:pPr>
                  <w:r>
                    <w:rPr>
                      <w:b/>
                      <w:bCs/>
                      <w:sz w:val="18"/>
                      <w:szCs w:val="18"/>
                    </w:rPr>
                    <w:t>本项目相关情况</w:t>
                  </w:r>
                </w:p>
              </w:tc>
              <w:tc>
                <w:tcPr>
                  <w:tcW w:w="381" w:type="pct"/>
                  <w:shd w:val="clear" w:color="auto" w:fill="auto"/>
                  <w:vAlign w:val="center"/>
                </w:tcPr>
                <w:p>
                  <w:pPr>
                    <w:adjustRightInd w:val="0"/>
                    <w:snapToGrid w:val="0"/>
                    <w:jc w:val="center"/>
                    <w:rPr>
                      <w:b/>
                      <w:bCs/>
                      <w:sz w:val="18"/>
                      <w:szCs w:val="18"/>
                    </w:rPr>
                  </w:pPr>
                  <w:r>
                    <w:rPr>
                      <w:b/>
                      <w:bCs/>
                      <w:sz w:val="18"/>
                      <w:szCs w:val="18"/>
                    </w:rPr>
                    <w:t>是否</w:t>
                  </w:r>
                </w:p>
                <w:p>
                  <w:pPr>
                    <w:adjustRightInd w:val="0"/>
                    <w:snapToGrid w:val="0"/>
                    <w:jc w:val="center"/>
                    <w:rPr>
                      <w:b/>
                      <w:bCs/>
                      <w:sz w:val="18"/>
                      <w:szCs w:val="18"/>
                    </w:rPr>
                  </w:pPr>
                  <w:r>
                    <w:rPr>
                      <w:b/>
                      <w:bCs/>
                      <w:sz w:val="18"/>
                      <w:szCs w:val="18"/>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shd w:val="clear" w:color="auto" w:fill="D8D8D8"/>
                  <w:vAlign w:val="center"/>
                </w:tcPr>
                <w:p>
                  <w:pPr>
                    <w:adjustRightInd w:val="0"/>
                    <w:snapToGrid w:val="0"/>
                    <w:jc w:val="center"/>
                    <w:rPr>
                      <w:sz w:val="18"/>
                      <w:szCs w:val="18"/>
                    </w:rPr>
                  </w:pPr>
                  <w:r>
                    <w:rPr>
                      <w:b/>
                      <w:bCs/>
                      <w:sz w:val="18"/>
                      <w:szCs w:val="18"/>
                    </w:rPr>
                    <w:t>源头削减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sz w:val="18"/>
                      <w:szCs w:val="18"/>
                    </w:rPr>
                  </w:pPr>
                  <w:r>
                    <w:rPr>
                      <w:kern w:val="0"/>
                      <w:sz w:val="18"/>
                      <w:szCs w:val="18"/>
                      <w:lang w:bidi="ar"/>
                    </w:rPr>
                    <w:t>1</w:t>
                  </w:r>
                </w:p>
              </w:tc>
              <w:tc>
                <w:tcPr>
                  <w:tcW w:w="562" w:type="pct"/>
                  <w:shd w:val="clear" w:color="auto" w:fill="auto"/>
                  <w:vAlign w:val="center"/>
                </w:tcPr>
                <w:p>
                  <w:pPr>
                    <w:adjustRightInd w:val="0"/>
                    <w:snapToGrid w:val="0"/>
                    <w:jc w:val="center"/>
                    <w:rPr>
                      <w:sz w:val="18"/>
                      <w:szCs w:val="18"/>
                    </w:rPr>
                  </w:pPr>
                  <w:r>
                    <w:rPr>
                      <w:sz w:val="18"/>
                      <w:szCs w:val="18"/>
                    </w:rPr>
                    <w:t>胶黏剂</w:t>
                  </w:r>
                </w:p>
              </w:tc>
              <w:tc>
                <w:tcPr>
                  <w:tcW w:w="2157" w:type="pct"/>
                  <w:shd w:val="clear" w:color="auto" w:fill="auto"/>
                  <w:vAlign w:val="center"/>
                </w:tcPr>
                <w:p>
                  <w:pPr>
                    <w:widowControl/>
                    <w:adjustRightInd w:val="0"/>
                    <w:snapToGrid w:val="0"/>
                    <w:jc w:val="left"/>
                    <w:rPr>
                      <w:sz w:val="18"/>
                      <w:szCs w:val="18"/>
                    </w:rPr>
                  </w:pPr>
                  <w:r>
                    <w:rPr>
                      <w:sz w:val="18"/>
                      <w:szCs w:val="18"/>
                    </w:rPr>
                    <w:t>本体型胶粘剂：MS类、聚氨酯类、聚硫类、环氧树脂类、热塑类、其他VOCs含量≤50g/L；</w:t>
                  </w:r>
                </w:p>
              </w:tc>
              <w:tc>
                <w:tcPr>
                  <w:tcW w:w="1600" w:type="pct"/>
                  <w:gridSpan w:val="2"/>
                  <w:shd w:val="clear" w:color="auto" w:fill="auto"/>
                  <w:vAlign w:val="center"/>
                </w:tcPr>
                <w:p>
                  <w:pPr>
                    <w:adjustRightInd w:val="0"/>
                    <w:snapToGrid w:val="0"/>
                    <w:jc w:val="center"/>
                    <w:rPr>
                      <w:sz w:val="18"/>
                      <w:szCs w:val="18"/>
                    </w:rPr>
                  </w:pPr>
                  <w:r>
                    <w:rPr>
                      <w:rFonts w:hint="eastAsia"/>
                      <w:sz w:val="18"/>
                      <w:szCs w:val="18"/>
                    </w:rPr>
                    <w:t>本项目</w:t>
                  </w:r>
                  <w:r>
                    <w:rPr>
                      <w:sz w:val="18"/>
                      <w:szCs w:val="18"/>
                    </w:rPr>
                    <w:t>所用本体型环氧树脂类胶黏剂</w:t>
                  </w:r>
                  <w:r>
                    <w:rPr>
                      <w:rFonts w:hint="eastAsia"/>
                      <w:sz w:val="18"/>
                      <w:szCs w:val="18"/>
                    </w:rPr>
                    <w:t>VOCs含量为6</w:t>
                  </w:r>
                  <w:r>
                    <w:rPr>
                      <w:sz w:val="18"/>
                      <w:szCs w:val="18"/>
                    </w:rPr>
                    <w:t>g/kg</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tcBorders>
                    <w:top w:val="nil"/>
                  </w:tcBorders>
                  <w:shd w:val="clear" w:color="auto" w:fill="D8D8D8"/>
                  <w:vAlign w:val="center"/>
                </w:tcPr>
                <w:p>
                  <w:pPr>
                    <w:adjustRightInd w:val="0"/>
                    <w:snapToGrid w:val="0"/>
                    <w:jc w:val="center"/>
                    <w:rPr>
                      <w:b/>
                      <w:bCs/>
                      <w:sz w:val="18"/>
                      <w:szCs w:val="18"/>
                    </w:rPr>
                  </w:pPr>
                  <w:r>
                    <w:rPr>
                      <w:b/>
                      <w:bCs/>
                      <w:sz w:val="18"/>
                      <w:szCs w:val="18"/>
                    </w:rPr>
                    <w:t>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rPr>
                      <w:sz w:val="18"/>
                      <w:szCs w:val="18"/>
                    </w:rPr>
                  </w:pPr>
                  <w:r>
                    <w:rPr>
                      <w:sz w:val="18"/>
                      <w:szCs w:val="18"/>
                    </w:rPr>
                    <w:t>2</w:t>
                  </w:r>
                </w:p>
              </w:tc>
              <w:tc>
                <w:tcPr>
                  <w:tcW w:w="562" w:type="pct"/>
                  <w:vMerge w:val="restart"/>
                  <w:shd w:val="clear" w:color="auto" w:fill="auto"/>
                  <w:vAlign w:val="center"/>
                </w:tcPr>
                <w:p>
                  <w:pPr>
                    <w:widowControl/>
                    <w:adjustRightInd w:val="0"/>
                    <w:snapToGrid w:val="0"/>
                    <w:jc w:val="center"/>
                    <w:rPr>
                      <w:kern w:val="0"/>
                      <w:sz w:val="18"/>
                      <w:szCs w:val="18"/>
                      <w:lang w:bidi="ar"/>
                    </w:rPr>
                  </w:pPr>
                  <w:r>
                    <w:rPr>
                      <w:kern w:val="0"/>
                      <w:sz w:val="18"/>
                      <w:szCs w:val="18"/>
                      <w:lang w:bidi="ar"/>
                    </w:rPr>
                    <w:t>VOCs物料储存</w:t>
                  </w:r>
                </w:p>
              </w:tc>
              <w:tc>
                <w:tcPr>
                  <w:tcW w:w="2250" w:type="pct"/>
                  <w:gridSpan w:val="2"/>
                  <w:shd w:val="clear" w:color="auto" w:fill="auto"/>
                  <w:vAlign w:val="center"/>
                </w:tcPr>
                <w:p>
                  <w:pPr>
                    <w:widowControl/>
                    <w:adjustRightInd w:val="0"/>
                    <w:snapToGrid w:val="0"/>
                    <w:jc w:val="left"/>
                    <w:rPr>
                      <w:sz w:val="18"/>
                      <w:szCs w:val="18"/>
                    </w:rPr>
                  </w:pPr>
                  <w:r>
                    <w:rPr>
                      <w:sz w:val="18"/>
                      <w:szCs w:val="18"/>
                    </w:rPr>
                    <w:t>清洗剂、清洁剂、油墨、胶粘剂、固化剂、溶剂、开油水、洗网水等VOCs物料应储存于密闭的容器、包装袋、储罐、储库、料仓中。</w:t>
                  </w:r>
                </w:p>
              </w:tc>
              <w:tc>
                <w:tcPr>
                  <w:tcW w:w="1507" w:type="pct"/>
                  <w:vMerge w:val="restart"/>
                  <w:shd w:val="clear" w:color="auto" w:fill="auto"/>
                  <w:vAlign w:val="center"/>
                </w:tcPr>
                <w:p>
                  <w:pPr>
                    <w:adjustRightInd w:val="0"/>
                    <w:snapToGrid w:val="0"/>
                    <w:jc w:val="center"/>
                    <w:rPr>
                      <w:sz w:val="18"/>
                      <w:szCs w:val="18"/>
                    </w:rPr>
                  </w:pPr>
                  <w:r>
                    <w:rPr>
                      <w:sz w:val="18"/>
                      <w:szCs w:val="18"/>
                    </w:rPr>
                    <w:t>项目环氧树脂</w:t>
                  </w:r>
                  <w:r>
                    <w:rPr>
                      <w:rFonts w:hint="eastAsia"/>
                      <w:sz w:val="18"/>
                      <w:szCs w:val="18"/>
                    </w:rPr>
                    <w:t>胶用密闭包装</w:t>
                  </w:r>
                  <w:r>
                    <w:rPr>
                      <w:sz w:val="18"/>
                      <w:szCs w:val="18"/>
                    </w:rPr>
                    <w:t>罐储存，存放于室内</w:t>
                  </w:r>
                  <w:r>
                    <w:rPr>
                      <w:rFonts w:hint="eastAsia"/>
                      <w:sz w:val="18"/>
                      <w:szCs w:val="18"/>
                    </w:rPr>
                    <w:t>，</w:t>
                  </w:r>
                  <w:r>
                    <w:rPr>
                      <w:sz w:val="18"/>
                      <w:szCs w:val="18"/>
                    </w:rPr>
                    <w:t>非取用状态时封口，保持密闭</w:t>
                  </w:r>
                  <w:r>
                    <w:rPr>
                      <w:rFonts w:hint="eastAsia"/>
                      <w:sz w:val="18"/>
                      <w:szCs w:val="18"/>
                    </w:rPr>
                    <w:t>。</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rPr>
                      <w:sz w:val="18"/>
                      <w:szCs w:val="18"/>
                    </w:rPr>
                  </w:pPr>
                  <w:r>
                    <w:rPr>
                      <w:sz w:val="18"/>
                      <w:szCs w:val="18"/>
                    </w:rPr>
                    <w:t>3</w:t>
                  </w:r>
                </w:p>
              </w:tc>
              <w:tc>
                <w:tcPr>
                  <w:tcW w:w="562" w:type="pct"/>
                  <w:vMerge w:val="continue"/>
                  <w:shd w:val="clear" w:color="auto" w:fill="auto"/>
                  <w:vAlign w:val="center"/>
                </w:tcPr>
                <w:p>
                  <w:pPr>
                    <w:adjustRightInd w:val="0"/>
                    <w:snapToGrid w:val="0"/>
                    <w:jc w:val="center"/>
                    <w:rPr>
                      <w:kern w:val="0"/>
                      <w:sz w:val="18"/>
                      <w:szCs w:val="18"/>
                      <w:lang w:bidi="ar"/>
                    </w:rPr>
                  </w:pPr>
                </w:p>
              </w:tc>
              <w:tc>
                <w:tcPr>
                  <w:tcW w:w="2250" w:type="pct"/>
                  <w:gridSpan w:val="2"/>
                  <w:shd w:val="clear" w:color="auto" w:fill="auto"/>
                  <w:vAlign w:val="center"/>
                </w:tcPr>
                <w:p>
                  <w:pPr>
                    <w:snapToGrid w:val="0"/>
                    <w:jc w:val="left"/>
                    <w:rPr>
                      <w:sz w:val="18"/>
                      <w:szCs w:val="18"/>
                    </w:rPr>
                  </w:pPr>
                  <w:r>
                    <w:rPr>
                      <w:sz w:val="18"/>
                      <w:szCs w:val="18"/>
                    </w:rPr>
                    <w:t>盛装VOCs物料的容器是否存放于室内，或存放于设置有雨棚、遮阳和防渗设施的专用场地。盛装VOCs物料的容器在非取用状态时应加盖、封口，保持密闭。</w:t>
                  </w:r>
                </w:p>
              </w:tc>
              <w:tc>
                <w:tcPr>
                  <w:tcW w:w="1507" w:type="pct"/>
                  <w:vMerge w:val="continue"/>
                  <w:shd w:val="clear" w:color="auto" w:fill="auto"/>
                  <w:vAlign w:val="center"/>
                </w:tcPr>
                <w:p>
                  <w:pPr>
                    <w:adjustRightInd w:val="0"/>
                    <w:snapToGrid w:val="0"/>
                    <w:jc w:val="center"/>
                    <w:rPr>
                      <w:sz w:val="18"/>
                      <w:szCs w:val="18"/>
                    </w:rPr>
                  </w:pP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sz w:val="18"/>
                      <w:szCs w:val="18"/>
                    </w:rPr>
                  </w:pPr>
                  <w:r>
                    <w:rPr>
                      <w:kern w:val="0"/>
                      <w:sz w:val="18"/>
                      <w:szCs w:val="18"/>
                      <w:lang w:bidi="ar"/>
                    </w:rPr>
                    <w:t>4</w:t>
                  </w:r>
                </w:p>
              </w:tc>
              <w:tc>
                <w:tcPr>
                  <w:tcW w:w="562" w:type="pct"/>
                  <w:shd w:val="clear" w:color="auto" w:fill="auto"/>
                  <w:vAlign w:val="center"/>
                </w:tcPr>
                <w:p>
                  <w:pPr>
                    <w:widowControl/>
                    <w:adjustRightInd w:val="0"/>
                    <w:snapToGrid w:val="0"/>
                    <w:jc w:val="center"/>
                    <w:rPr>
                      <w:kern w:val="0"/>
                      <w:sz w:val="18"/>
                      <w:szCs w:val="18"/>
                      <w:lang w:bidi="ar"/>
                    </w:rPr>
                  </w:pPr>
                  <w:r>
                    <w:rPr>
                      <w:kern w:val="0"/>
                      <w:sz w:val="18"/>
                      <w:szCs w:val="18"/>
                      <w:lang w:bidi="ar"/>
                    </w:rPr>
                    <w:t>工艺过程</w:t>
                  </w:r>
                </w:p>
              </w:tc>
              <w:tc>
                <w:tcPr>
                  <w:tcW w:w="2250" w:type="pct"/>
                  <w:gridSpan w:val="2"/>
                  <w:shd w:val="clear" w:color="auto" w:fill="auto"/>
                  <w:vAlign w:val="center"/>
                </w:tcPr>
                <w:p>
                  <w:pPr>
                    <w:snapToGrid w:val="0"/>
                    <w:jc w:val="left"/>
                    <w:rPr>
                      <w:sz w:val="18"/>
                      <w:szCs w:val="18"/>
                    </w:rPr>
                  </w:pPr>
                  <w:r>
                    <w:rPr>
                      <w:sz w:val="18"/>
                      <w:szCs w:val="18"/>
                    </w:rPr>
                    <w:t>包封、灌封、线路印刷、防焊印刷、文字印刷、丝印、UV固化、烤版、洗网、晾干、调油、清洗等使用VOCs质量占比大于等于10%物料的过程应采用密闭设备或在密闭空间内操作，废气应排至VOCs废气收集处理系统；无法密闭的，应采取局部气体收集措施，废气排至VOCs废气收集处理系统。</w:t>
                  </w:r>
                </w:p>
              </w:tc>
              <w:tc>
                <w:tcPr>
                  <w:tcW w:w="1507" w:type="pct"/>
                  <w:shd w:val="clear" w:color="auto" w:fill="auto"/>
                  <w:vAlign w:val="center"/>
                </w:tcPr>
                <w:p>
                  <w:pPr>
                    <w:adjustRightInd w:val="0"/>
                    <w:snapToGrid w:val="0"/>
                    <w:jc w:val="center"/>
                    <w:rPr>
                      <w:sz w:val="18"/>
                      <w:szCs w:val="18"/>
                    </w:rPr>
                  </w:pPr>
                  <w:r>
                    <w:rPr>
                      <w:sz w:val="18"/>
                      <w:szCs w:val="18"/>
                    </w:rPr>
                    <w:t>项目</w:t>
                  </w:r>
                  <w:r>
                    <w:rPr>
                      <w:rFonts w:hint="eastAsia"/>
                      <w:sz w:val="18"/>
                      <w:szCs w:val="18"/>
                    </w:rPr>
                    <w:t>粘片</w:t>
                  </w:r>
                  <w:r>
                    <w:rPr>
                      <w:sz w:val="18"/>
                      <w:szCs w:val="18"/>
                    </w:rPr>
                    <w:t>、塑封固化</w:t>
                  </w:r>
                  <w:r>
                    <w:rPr>
                      <w:rFonts w:hint="eastAsia"/>
                      <w:sz w:val="18"/>
                      <w:szCs w:val="18"/>
                    </w:rPr>
                    <w:t>、</w:t>
                  </w:r>
                  <w:r>
                    <w:rPr>
                      <w:sz w:val="18"/>
                      <w:szCs w:val="18"/>
                    </w:rPr>
                    <w:t>点胶等产生</w:t>
                  </w:r>
                  <w:r>
                    <w:rPr>
                      <w:rFonts w:hint="eastAsia"/>
                      <w:sz w:val="18"/>
                      <w:szCs w:val="18"/>
                    </w:rPr>
                    <w:t>VOCs的</w:t>
                  </w:r>
                  <w:r>
                    <w:rPr>
                      <w:sz w:val="18"/>
                      <w:szCs w:val="18"/>
                    </w:rPr>
                    <w:t>工序均采取了局部气体</w:t>
                  </w:r>
                  <w:r>
                    <w:rPr>
                      <w:rFonts w:hint="eastAsia"/>
                      <w:sz w:val="18"/>
                      <w:szCs w:val="18"/>
                    </w:rPr>
                    <w:t>收集</w:t>
                  </w:r>
                  <w:r>
                    <w:rPr>
                      <w:sz w:val="18"/>
                      <w:szCs w:val="18"/>
                    </w:rPr>
                    <w:t>措施，废气排至</w:t>
                  </w:r>
                  <w:r>
                    <w:rPr>
                      <w:rFonts w:hint="eastAsia"/>
                      <w:sz w:val="18"/>
                      <w:szCs w:val="18"/>
                    </w:rPr>
                    <w:t>VOCs废气</w:t>
                  </w:r>
                  <w:r>
                    <w:rPr>
                      <w:sz w:val="18"/>
                      <w:szCs w:val="18"/>
                    </w:rPr>
                    <w:t>收集处理系统。</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kern w:val="0"/>
                      <w:sz w:val="18"/>
                      <w:szCs w:val="18"/>
                      <w:lang w:bidi="ar"/>
                    </w:rPr>
                  </w:pPr>
                  <w:r>
                    <w:rPr>
                      <w:rFonts w:hint="eastAsia"/>
                      <w:kern w:val="0"/>
                      <w:sz w:val="18"/>
                      <w:szCs w:val="18"/>
                      <w:lang w:bidi="ar"/>
                    </w:rPr>
                    <w:t>5</w:t>
                  </w:r>
                </w:p>
              </w:tc>
              <w:tc>
                <w:tcPr>
                  <w:tcW w:w="562" w:type="pct"/>
                  <w:vMerge w:val="restart"/>
                  <w:shd w:val="clear" w:color="auto" w:fill="auto"/>
                  <w:vAlign w:val="center"/>
                </w:tcPr>
                <w:p>
                  <w:pPr>
                    <w:widowControl/>
                    <w:adjustRightInd w:val="0"/>
                    <w:snapToGrid w:val="0"/>
                    <w:jc w:val="center"/>
                    <w:rPr>
                      <w:kern w:val="0"/>
                      <w:sz w:val="18"/>
                      <w:szCs w:val="18"/>
                      <w:lang w:bidi="ar"/>
                    </w:rPr>
                  </w:pPr>
                  <w:r>
                    <w:rPr>
                      <w:kern w:val="0"/>
                      <w:sz w:val="18"/>
                      <w:szCs w:val="18"/>
                      <w:lang w:bidi="ar"/>
                    </w:rPr>
                    <w:t>废气收集</w:t>
                  </w:r>
                </w:p>
              </w:tc>
              <w:tc>
                <w:tcPr>
                  <w:tcW w:w="2250" w:type="pct"/>
                  <w:gridSpan w:val="2"/>
                  <w:shd w:val="clear" w:color="auto" w:fill="auto"/>
                  <w:vAlign w:val="center"/>
                </w:tcPr>
                <w:p>
                  <w:pPr>
                    <w:snapToGrid w:val="0"/>
                    <w:jc w:val="left"/>
                    <w:rPr>
                      <w:kern w:val="0"/>
                      <w:sz w:val="18"/>
                      <w:szCs w:val="18"/>
                    </w:rPr>
                  </w:pPr>
                  <w:r>
                    <w:rPr>
                      <w:kern w:val="0"/>
                      <w:sz w:val="18"/>
                      <w:szCs w:val="18"/>
                    </w:rPr>
                    <w:t>采用外部集气罩的，距集气罩开口面最远处的VOCs无组织排放位置，控制风速不低于0.3m/s。</w:t>
                  </w:r>
                </w:p>
              </w:tc>
              <w:tc>
                <w:tcPr>
                  <w:tcW w:w="1507" w:type="pct"/>
                  <w:shd w:val="clear" w:color="auto" w:fill="auto"/>
                  <w:vAlign w:val="center"/>
                </w:tcPr>
                <w:p>
                  <w:pPr>
                    <w:adjustRightInd w:val="0"/>
                    <w:snapToGrid w:val="0"/>
                    <w:jc w:val="center"/>
                    <w:rPr>
                      <w:sz w:val="18"/>
                      <w:szCs w:val="18"/>
                    </w:rPr>
                  </w:pPr>
                  <w:r>
                    <w:rPr>
                      <w:rFonts w:hint="eastAsia"/>
                      <w:kern w:val="0"/>
                      <w:sz w:val="18"/>
                      <w:szCs w:val="18"/>
                    </w:rPr>
                    <w:t>项目</w:t>
                  </w:r>
                  <w:r>
                    <w:rPr>
                      <w:kern w:val="0"/>
                      <w:sz w:val="18"/>
                      <w:szCs w:val="18"/>
                    </w:rPr>
                    <w:t>采用外部集气罩，距集气罩开口面最远处的VOCs无组织排放位置，控制风速不低于0.5m/s</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kern w:val="0"/>
                      <w:sz w:val="18"/>
                      <w:szCs w:val="18"/>
                      <w:lang w:bidi="ar"/>
                    </w:rPr>
                  </w:pPr>
                  <w:r>
                    <w:rPr>
                      <w:rFonts w:hint="eastAsia"/>
                      <w:kern w:val="0"/>
                      <w:sz w:val="18"/>
                      <w:szCs w:val="18"/>
                      <w:lang w:bidi="ar"/>
                    </w:rPr>
                    <w:t>6</w:t>
                  </w:r>
                </w:p>
              </w:tc>
              <w:tc>
                <w:tcPr>
                  <w:tcW w:w="562" w:type="pct"/>
                  <w:vMerge w:val="continue"/>
                  <w:shd w:val="clear" w:color="auto" w:fill="auto"/>
                  <w:vAlign w:val="center"/>
                </w:tcPr>
                <w:p>
                  <w:pPr>
                    <w:widowControl/>
                    <w:adjustRightInd w:val="0"/>
                    <w:snapToGrid w:val="0"/>
                    <w:jc w:val="center"/>
                    <w:rPr>
                      <w:kern w:val="0"/>
                      <w:sz w:val="18"/>
                      <w:szCs w:val="18"/>
                      <w:lang w:bidi="ar"/>
                    </w:rPr>
                  </w:pPr>
                </w:p>
              </w:tc>
              <w:tc>
                <w:tcPr>
                  <w:tcW w:w="2250" w:type="pct"/>
                  <w:gridSpan w:val="2"/>
                  <w:shd w:val="clear" w:color="auto" w:fill="auto"/>
                  <w:vAlign w:val="center"/>
                </w:tcPr>
                <w:p>
                  <w:pPr>
                    <w:snapToGrid w:val="0"/>
                    <w:jc w:val="left"/>
                    <w:rPr>
                      <w:kern w:val="0"/>
                      <w:sz w:val="18"/>
                      <w:szCs w:val="18"/>
                    </w:rPr>
                  </w:pPr>
                  <w:r>
                    <w:rPr>
                      <w:kern w:val="0"/>
                      <w:sz w:val="18"/>
                      <w:szCs w:val="18"/>
                    </w:rPr>
                    <w:t>废气收集系统的输送管道应密闭。废气收集系统应在负压下运行，若处于正压状态，应对管道组件的密封点进行泄漏检测，泄漏检测值不应超过500μmol/mol，亦不应有感官可察觉泄漏。</w:t>
                  </w:r>
                </w:p>
              </w:tc>
              <w:tc>
                <w:tcPr>
                  <w:tcW w:w="1507" w:type="pct"/>
                  <w:shd w:val="clear" w:color="auto" w:fill="auto"/>
                  <w:vAlign w:val="center"/>
                </w:tcPr>
                <w:p>
                  <w:pPr>
                    <w:adjustRightInd w:val="0"/>
                    <w:snapToGrid w:val="0"/>
                    <w:jc w:val="center"/>
                    <w:rPr>
                      <w:sz w:val="18"/>
                      <w:szCs w:val="18"/>
                    </w:rPr>
                  </w:pPr>
                  <w:r>
                    <w:rPr>
                      <w:rFonts w:hint="eastAsia"/>
                      <w:kern w:val="0"/>
                      <w:sz w:val="18"/>
                      <w:szCs w:val="18"/>
                    </w:rPr>
                    <w:t>项目</w:t>
                  </w:r>
                  <w:r>
                    <w:rPr>
                      <w:kern w:val="0"/>
                      <w:sz w:val="18"/>
                      <w:szCs w:val="18"/>
                    </w:rPr>
                    <w:t>废气收集系统的输送管道密闭</w:t>
                  </w:r>
                  <w:r>
                    <w:rPr>
                      <w:rFonts w:hint="eastAsia"/>
                      <w:kern w:val="0"/>
                      <w:sz w:val="18"/>
                      <w:szCs w:val="18"/>
                    </w:rPr>
                    <w:t>，</w:t>
                  </w:r>
                  <w:r>
                    <w:rPr>
                      <w:kern w:val="0"/>
                      <w:sz w:val="18"/>
                      <w:szCs w:val="18"/>
                    </w:rPr>
                    <w:t>废气收集系统在负压下运</w:t>
                  </w:r>
                  <w:r>
                    <w:rPr>
                      <w:rFonts w:hint="eastAsia"/>
                      <w:kern w:val="0"/>
                      <w:sz w:val="18"/>
                      <w:szCs w:val="18"/>
                    </w:rPr>
                    <w:t>行</w:t>
                  </w:r>
                  <w:r>
                    <w:rPr>
                      <w:kern w:val="0"/>
                      <w:sz w:val="18"/>
                      <w:szCs w:val="18"/>
                    </w:rPr>
                    <w:t>。</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kern w:val="0"/>
                      <w:sz w:val="18"/>
                      <w:szCs w:val="18"/>
                      <w:lang w:bidi="ar"/>
                    </w:rPr>
                  </w:pPr>
                  <w:r>
                    <w:rPr>
                      <w:rFonts w:hint="eastAsia"/>
                      <w:kern w:val="0"/>
                      <w:sz w:val="18"/>
                      <w:szCs w:val="18"/>
                      <w:lang w:bidi="ar"/>
                    </w:rPr>
                    <w:t>7</w:t>
                  </w:r>
                </w:p>
              </w:tc>
              <w:tc>
                <w:tcPr>
                  <w:tcW w:w="562" w:type="pct"/>
                  <w:vMerge w:val="continue"/>
                  <w:shd w:val="clear" w:color="auto" w:fill="auto"/>
                  <w:vAlign w:val="center"/>
                </w:tcPr>
                <w:p>
                  <w:pPr>
                    <w:widowControl/>
                    <w:adjustRightInd w:val="0"/>
                    <w:snapToGrid w:val="0"/>
                    <w:jc w:val="center"/>
                    <w:rPr>
                      <w:kern w:val="0"/>
                      <w:sz w:val="18"/>
                      <w:szCs w:val="18"/>
                      <w:lang w:bidi="ar"/>
                    </w:rPr>
                  </w:pPr>
                </w:p>
              </w:tc>
              <w:tc>
                <w:tcPr>
                  <w:tcW w:w="2250" w:type="pct"/>
                  <w:gridSpan w:val="2"/>
                  <w:shd w:val="clear" w:color="auto" w:fill="auto"/>
                  <w:vAlign w:val="center"/>
                </w:tcPr>
                <w:p>
                  <w:pPr>
                    <w:snapToGrid w:val="0"/>
                    <w:jc w:val="left"/>
                    <w:rPr>
                      <w:sz w:val="18"/>
                      <w:szCs w:val="18"/>
                    </w:rPr>
                  </w:pPr>
                  <w:r>
                    <w:rPr>
                      <w:kern w:val="0"/>
                      <w:sz w:val="18"/>
                      <w:szCs w:val="18"/>
                    </w:rPr>
                    <w:t>废气收集系统应与生产工艺设备同步运行。废气收集系统发生故障或检修时，对应的生产工艺设备应停止运行，待检修完毕后同步投入使用；生产工艺设备不能停止运行或不能及时停止运行的，应设置废气应急处理设施或采取其他代替措施。</w:t>
                  </w:r>
                </w:p>
              </w:tc>
              <w:tc>
                <w:tcPr>
                  <w:tcW w:w="1507" w:type="pct"/>
                  <w:shd w:val="clear" w:color="auto" w:fill="auto"/>
                  <w:vAlign w:val="center"/>
                </w:tcPr>
                <w:p>
                  <w:pPr>
                    <w:adjustRightInd w:val="0"/>
                    <w:snapToGrid w:val="0"/>
                    <w:jc w:val="center"/>
                    <w:rPr>
                      <w:sz w:val="18"/>
                      <w:szCs w:val="18"/>
                    </w:rPr>
                  </w:pPr>
                  <w:r>
                    <w:rPr>
                      <w:rFonts w:hint="eastAsia"/>
                      <w:kern w:val="0"/>
                      <w:sz w:val="18"/>
                      <w:szCs w:val="18"/>
                    </w:rPr>
                    <w:t>项目</w:t>
                  </w:r>
                  <w:r>
                    <w:rPr>
                      <w:kern w:val="0"/>
                      <w:sz w:val="18"/>
                      <w:szCs w:val="18"/>
                    </w:rPr>
                    <w:t>废气收集系统应与生产工艺设备同步运行</w:t>
                  </w:r>
                  <w:r>
                    <w:rPr>
                      <w:rFonts w:hint="eastAsia"/>
                      <w:kern w:val="0"/>
                      <w:sz w:val="18"/>
                      <w:szCs w:val="18"/>
                    </w:rPr>
                    <w:t>，</w:t>
                  </w:r>
                  <w:r>
                    <w:rPr>
                      <w:kern w:val="0"/>
                      <w:sz w:val="18"/>
                      <w:szCs w:val="18"/>
                    </w:rPr>
                    <w:t>废气收集系统发生故障或检修时，对应的生产工艺设备停止运行，待检修完毕后同步投入使用。</w:t>
                  </w:r>
                </w:p>
              </w:tc>
              <w:tc>
                <w:tcPr>
                  <w:tcW w:w="381" w:type="pct"/>
                  <w:shd w:val="clear" w:color="auto" w:fill="auto"/>
                  <w:vAlign w:val="center"/>
                </w:tcPr>
                <w:p>
                  <w:pPr>
                    <w:adjustRightInd w:val="0"/>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shd w:val="clear" w:color="auto" w:fill="D8D8D8"/>
                  <w:vAlign w:val="center"/>
                </w:tcPr>
                <w:p>
                  <w:pPr>
                    <w:adjustRightInd w:val="0"/>
                    <w:snapToGrid w:val="0"/>
                    <w:jc w:val="center"/>
                    <w:rPr>
                      <w:sz w:val="18"/>
                      <w:szCs w:val="18"/>
                    </w:rPr>
                  </w:pPr>
                  <w:r>
                    <w:rPr>
                      <w:b/>
                      <w:bCs/>
                      <w:sz w:val="18"/>
                      <w:szCs w:val="18"/>
                    </w:rPr>
                    <w:t>末端治理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sz w:val="18"/>
                      <w:szCs w:val="18"/>
                    </w:rPr>
                  </w:pPr>
                  <w:r>
                    <w:rPr>
                      <w:kern w:val="0"/>
                      <w:sz w:val="18"/>
                      <w:szCs w:val="18"/>
                      <w:lang w:bidi="ar"/>
                    </w:rPr>
                    <w:t>8</w:t>
                  </w:r>
                </w:p>
              </w:tc>
              <w:tc>
                <w:tcPr>
                  <w:tcW w:w="562" w:type="pct"/>
                  <w:shd w:val="clear" w:color="auto" w:fill="auto"/>
                  <w:vAlign w:val="center"/>
                </w:tcPr>
                <w:p>
                  <w:pPr>
                    <w:widowControl/>
                    <w:adjustRightInd w:val="0"/>
                    <w:snapToGrid w:val="0"/>
                    <w:jc w:val="center"/>
                    <w:rPr>
                      <w:kern w:val="0"/>
                      <w:sz w:val="18"/>
                      <w:szCs w:val="18"/>
                      <w:lang w:bidi="ar"/>
                    </w:rPr>
                  </w:pPr>
                  <w:r>
                    <w:rPr>
                      <w:kern w:val="0"/>
                      <w:sz w:val="18"/>
                      <w:szCs w:val="18"/>
                      <w:lang w:bidi="ar"/>
                    </w:rPr>
                    <w:t>排放水平</w:t>
                  </w:r>
                </w:p>
              </w:tc>
              <w:tc>
                <w:tcPr>
                  <w:tcW w:w="2250" w:type="pct"/>
                  <w:gridSpan w:val="2"/>
                  <w:shd w:val="clear" w:color="auto" w:fill="auto"/>
                  <w:vAlign w:val="center"/>
                </w:tcPr>
                <w:p>
                  <w:pPr>
                    <w:adjustRightInd w:val="0"/>
                    <w:snapToGrid w:val="0"/>
                    <w:jc w:val="left"/>
                    <w:rPr>
                      <w:sz w:val="18"/>
                      <w:szCs w:val="18"/>
                    </w:rPr>
                  </w:pPr>
                  <w:r>
                    <w:rPr>
                      <w:sz w:val="18"/>
                      <w:szCs w:val="18"/>
                    </w:rPr>
                    <w:t>（1）2002年1月1日前的建设项目排放的工艺有机废气排放浓度执行《大气污染物排放限值》（DB4427-2001）第一时段限值；2002年1月1日起的建设项目排放的有机废气排放浓度执行《大气污染物排放限值》（DB4427-2001）第二时段限值；车间或生产设施排气中NMHC初始排放速率≥3 kg/h时，建设VOCs处理设施且处理效率≥80%。</w:t>
                  </w:r>
                </w:p>
                <w:p>
                  <w:pPr>
                    <w:adjustRightInd w:val="0"/>
                    <w:snapToGrid w:val="0"/>
                    <w:jc w:val="left"/>
                    <w:rPr>
                      <w:sz w:val="18"/>
                      <w:szCs w:val="18"/>
                    </w:rPr>
                  </w:pPr>
                  <w:r>
                    <w:rPr>
                      <w:sz w:val="18"/>
                      <w:szCs w:val="18"/>
                    </w:rPr>
                    <w:t>（2）厂区内无组织排放监控点NMHC的小时平均浓度值不超过6 mg/m</w:t>
                  </w:r>
                  <w:r>
                    <w:rPr>
                      <w:sz w:val="18"/>
                      <w:szCs w:val="18"/>
                      <w:vertAlign w:val="superscript"/>
                    </w:rPr>
                    <w:t>3</w:t>
                  </w:r>
                  <w:r>
                    <w:rPr>
                      <w:sz w:val="18"/>
                      <w:szCs w:val="18"/>
                    </w:rPr>
                    <w:t>，任意一次浓度值不超过20 mg/m</w:t>
                  </w:r>
                  <w:r>
                    <w:rPr>
                      <w:sz w:val="18"/>
                      <w:szCs w:val="18"/>
                      <w:vertAlign w:val="superscript"/>
                    </w:rPr>
                    <w:t>3</w:t>
                  </w:r>
                  <w:r>
                    <w:rPr>
                      <w:sz w:val="18"/>
                      <w:szCs w:val="18"/>
                    </w:rPr>
                    <w:t>。</w:t>
                  </w:r>
                </w:p>
              </w:tc>
              <w:tc>
                <w:tcPr>
                  <w:tcW w:w="1507" w:type="pct"/>
                  <w:shd w:val="clear" w:color="auto" w:fill="auto"/>
                  <w:vAlign w:val="center"/>
                </w:tcPr>
                <w:p>
                  <w:pPr>
                    <w:adjustRightInd w:val="0"/>
                    <w:snapToGrid w:val="0"/>
                    <w:jc w:val="center"/>
                    <w:rPr>
                      <w:sz w:val="18"/>
                      <w:szCs w:val="18"/>
                    </w:rPr>
                  </w:pPr>
                  <w:r>
                    <w:rPr>
                      <w:sz w:val="18"/>
                      <w:szCs w:val="18"/>
                    </w:rPr>
                    <w:t>项目有机废气排气筒排放浓度满足</w:t>
                  </w:r>
                  <w:r>
                    <w:rPr>
                      <w:rFonts w:hint="eastAsia"/>
                      <w:bCs/>
                      <w:sz w:val="18"/>
                      <w:szCs w:val="18"/>
                    </w:rPr>
                    <w:t>《固定污染源挥发性有机物综合排放标准》（DB442367-2022）表1的</w:t>
                  </w:r>
                  <w:r>
                    <w:rPr>
                      <w:bCs/>
                      <w:sz w:val="18"/>
                      <w:szCs w:val="18"/>
                    </w:rPr>
                    <w:t>要求；项目</w:t>
                  </w:r>
                  <w:r>
                    <w:rPr>
                      <w:sz w:val="18"/>
                      <w:szCs w:val="18"/>
                    </w:rPr>
                    <w:t>车间或生产设施排气中NMHC初始排放速率＜3 kg/h；项目厂区内无组织排放监控点NMHC的小时平均浓度值不超过6 mg/m</w:t>
                  </w:r>
                  <w:r>
                    <w:rPr>
                      <w:sz w:val="18"/>
                      <w:szCs w:val="18"/>
                      <w:vertAlign w:val="superscript"/>
                    </w:rPr>
                    <w:t>3</w:t>
                  </w:r>
                  <w:r>
                    <w:rPr>
                      <w:sz w:val="18"/>
                      <w:szCs w:val="18"/>
                    </w:rPr>
                    <w:t>，任意一次浓度值不超过20 mg/m</w:t>
                  </w:r>
                  <w:r>
                    <w:rPr>
                      <w:sz w:val="18"/>
                      <w:szCs w:val="18"/>
                      <w:vertAlign w:val="superscript"/>
                    </w:rPr>
                    <w:t>3</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sz w:val="18"/>
                      <w:szCs w:val="18"/>
                    </w:rPr>
                  </w:pPr>
                  <w:r>
                    <w:rPr>
                      <w:kern w:val="0"/>
                      <w:sz w:val="18"/>
                      <w:szCs w:val="18"/>
                      <w:lang w:bidi="ar"/>
                    </w:rPr>
                    <w:t>9</w:t>
                  </w:r>
                </w:p>
              </w:tc>
              <w:tc>
                <w:tcPr>
                  <w:tcW w:w="562" w:type="pct"/>
                  <w:vMerge w:val="restart"/>
                  <w:shd w:val="clear" w:color="auto" w:fill="auto"/>
                  <w:vAlign w:val="center"/>
                </w:tcPr>
                <w:p>
                  <w:pPr>
                    <w:widowControl/>
                    <w:adjustRightInd w:val="0"/>
                    <w:snapToGrid w:val="0"/>
                    <w:jc w:val="center"/>
                    <w:rPr>
                      <w:kern w:val="0"/>
                      <w:sz w:val="18"/>
                      <w:szCs w:val="18"/>
                      <w:lang w:bidi="ar"/>
                    </w:rPr>
                  </w:pPr>
                  <w:r>
                    <w:rPr>
                      <w:kern w:val="0"/>
                      <w:sz w:val="18"/>
                      <w:szCs w:val="18"/>
                      <w:lang w:bidi="ar"/>
                    </w:rPr>
                    <w:t>治理设施设计与运行管理</w:t>
                  </w:r>
                </w:p>
              </w:tc>
              <w:tc>
                <w:tcPr>
                  <w:tcW w:w="2250" w:type="pct"/>
                  <w:gridSpan w:val="2"/>
                  <w:shd w:val="clear" w:color="auto" w:fill="auto"/>
                  <w:vAlign w:val="center"/>
                </w:tcPr>
                <w:p>
                  <w:pPr>
                    <w:adjustRightInd w:val="0"/>
                    <w:snapToGrid w:val="0"/>
                    <w:rPr>
                      <w:sz w:val="18"/>
                      <w:szCs w:val="18"/>
                    </w:rPr>
                  </w:pPr>
                  <w:r>
                    <w:rPr>
                      <w:sz w:val="18"/>
                      <w:szCs w:val="18"/>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1507" w:type="pct"/>
                  <w:shd w:val="clear" w:color="auto" w:fill="auto"/>
                  <w:vAlign w:val="center"/>
                </w:tcPr>
                <w:p>
                  <w:pPr>
                    <w:adjustRightInd w:val="0"/>
                    <w:snapToGrid w:val="0"/>
                    <w:jc w:val="center"/>
                    <w:rPr>
                      <w:sz w:val="18"/>
                      <w:szCs w:val="18"/>
                    </w:rPr>
                  </w:pPr>
                  <w:r>
                    <w:rPr>
                      <w:sz w:val="18"/>
                      <w:szCs w:val="18"/>
                    </w:rPr>
                    <w:t>项目VOCs废气采用活性炭吸附法，活性炭装填量满足项目废气处理要求，3个月更换1次活性炭</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sz w:val="18"/>
                      <w:szCs w:val="18"/>
                    </w:rPr>
                  </w:pPr>
                  <w:r>
                    <w:rPr>
                      <w:kern w:val="0"/>
                      <w:sz w:val="18"/>
                      <w:szCs w:val="18"/>
                      <w:lang w:bidi="ar"/>
                    </w:rPr>
                    <w:t>10</w:t>
                  </w:r>
                </w:p>
              </w:tc>
              <w:tc>
                <w:tcPr>
                  <w:tcW w:w="562" w:type="pct"/>
                  <w:vMerge w:val="continue"/>
                  <w:shd w:val="clear" w:color="auto" w:fill="auto"/>
                  <w:vAlign w:val="center"/>
                </w:tcPr>
                <w:p>
                  <w:pPr>
                    <w:widowControl/>
                    <w:adjustRightInd w:val="0"/>
                    <w:snapToGrid w:val="0"/>
                    <w:jc w:val="center"/>
                    <w:rPr>
                      <w:kern w:val="0"/>
                      <w:sz w:val="18"/>
                      <w:szCs w:val="18"/>
                      <w:lang w:bidi="ar"/>
                    </w:rPr>
                  </w:pPr>
                </w:p>
              </w:tc>
              <w:tc>
                <w:tcPr>
                  <w:tcW w:w="2250" w:type="pct"/>
                  <w:gridSpan w:val="2"/>
                  <w:shd w:val="clear" w:color="auto" w:fill="auto"/>
                  <w:vAlign w:val="center"/>
                </w:tcPr>
                <w:p>
                  <w:pPr>
                    <w:adjustRightInd w:val="0"/>
                    <w:snapToGrid w:val="0"/>
                    <w:rPr>
                      <w:kern w:val="0"/>
                      <w:sz w:val="18"/>
                      <w:szCs w:val="18"/>
                    </w:rPr>
                  </w:pPr>
                  <w:r>
                    <w:rPr>
                      <w:kern w:val="0"/>
                      <w:sz w:val="18"/>
                      <w:szCs w:val="18"/>
                    </w:rPr>
                    <w:t>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1507" w:type="pct"/>
                  <w:shd w:val="clear" w:color="auto" w:fill="auto"/>
                  <w:vAlign w:val="center"/>
                </w:tcPr>
                <w:p>
                  <w:pPr>
                    <w:adjustRightInd w:val="0"/>
                    <w:snapToGrid w:val="0"/>
                    <w:jc w:val="center"/>
                    <w:rPr>
                      <w:sz w:val="18"/>
                      <w:szCs w:val="18"/>
                    </w:rPr>
                  </w:pPr>
                  <w:r>
                    <w:rPr>
                      <w:sz w:val="18"/>
                      <w:szCs w:val="18"/>
                    </w:rPr>
                    <w:t>项目VOCs治理设施与生产工艺设备同步运行，VOCs治理设施发生故障或检修时，对应的生产工艺设备停止运行，待检修完毕后同步投入使用</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kern w:val="0"/>
                      <w:sz w:val="18"/>
                      <w:szCs w:val="18"/>
                      <w:lang w:bidi="ar"/>
                    </w:rPr>
                  </w:pPr>
                  <w:r>
                    <w:rPr>
                      <w:rFonts w:hint="eastAsia"/>
                      <w:kern w:val="0"/>
                      <w:sz w:val="18"/>
                      <w:szCs w:val="18"/>
                      <w:lang w:bidi="ar"/>
                    </w:rPr>
                    <w:t>11</w:t>
                  </w:r>
                </w:p>
              </w:tc>
              <w:tc>
                <w:tcPr>
                  <w:tcW w:w="562" w:type="pct"/>
                  <w:vMerge w:val="continue"/>
                  <w:shd w:val="clear" w:color="auto" w:fill="auto"/>
                  <w:vAlign w:val="center"/>
                </w:tcPr>
                <w:p>
                  <w:pPr>
                    <w:widowControl/>
                    <w:adjustRightInd w:val="0"/>
                    <w:snapToGrid w:val="0"/>
                    <w:jc w:val="center"/>
                    <w:rPr>
                      <w:kern w:val="0"/>
                      <w:sz w:val="18"/>
                      <w:szCs w:val="18"/>
                      <w:lang w:bidi="ar"/>
                    </w:rPr>
                  </w:pPr>
                </w:p>
              </w:tc>
              <w:tc>
                <w:tcPr>
                  <w:tcW w:w="2250" w:type="pct"/>
                  <w:gridSpan w:val="2"/>
                  <w:shd w:val="clear" w:color="auto" w:fill="auto"/>
                  <w:vAlign w:val="center"/>
                </w:tcPr>
                <w:p>
                  <w:pPr>
                    <w:adjustRightInd w:val="0"/>
                    <w:snapToGrid w:val="0"/>
                    <w:rPr>
                      <w:kern w:val="0"/>
                      <w:sz w:val="18"/>
                      <w:szCs w:val="18"/>
                    </w:rPr>
                  </w:pPr>
                  <w:r>
                    <w:rPr>
                      <w:kern w:val="0"/>
                      <w:sz w:val="18"/>
                      <w:szCs w:val="18"/>
                    </w:rPr>
                    <w:t>废气污染治理设施应依据国家和地方规范进行设计。</w:t>
                  </w:r>
                </w:p>
              </w:tc>
              <w:tc>
                <w:tcPr>
                  <w:tcW w:w="1507" w:type="pct"/>
                  <w:shd w:val="clear" w:color="auto" w:fill="auto"/>
                  <w:vAlign w:val="center"/>
                </w:tcPr>
                <w:p>
                  <w:pPr>
                    <w:adjustRightInd w:val="0"/>
                    <w:snapToGrid w:val="0"/>
                    <w:jc w:val="center"/>
                    <w:rPr>
                      <w:sz w:val="18"/>
                      <w:szCs w:val="18"/>
                    </w:rPr>
                  </w:pPr>
                  <w:r>
                    <w:rPr>
                      <w:rFonts w:hint="eastAsia"/>
                      <w:kern w:val="0"/>
                      <w:sz w:val="18"/>
                      <w:szCs w:val="18"/>
                    </w:rPr>
                    <w:t>项目</w:t>
                  </w:r>
                  <w:r>
                    <w:rPr>
                      <w:kern w:val="0"/>
                      <w:sz w:val="18"/>
                      <w:szCs w:val="18"/>
                    </w:rPr>
                    <w:t>废气污染治理设施依据国家和地方规范进行设计</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kern w:val="0"/>
                      <w:sz w:val="18"/>
                      <w:szCs w:val="18"/>
                      <w:lang w:bidi="ar"/>
                    </w:rPr>
                  </w:pPr>
                  <w:r>
                    <w:rPr>
                      <w:rFonts w:hint="eastAsia"/>
                      <w:kern w:val="0"/>
                      <w:sz w:val="18"/>
                      <w:szCs w:val="18"/>
                      <w:lang w:bidi="ar"/>
                    </w:rPr>
                    <w:t>12</w:t>
                  </w:r>
                </w:p>
              </w:tc>
              <w:tc>
                <w:tcPr>
                  <w:tcW w:w="562" w:type="pct"/>
                  <w:vMerge w:val="continue"/>
                  <w:shd w:val="clear" w:color="auto" w:fill="auto"/>
                  <w:vAlign w:val="center"/>
                </w:tcPr>
                <w:p>
                  <w:pPr>
                    <w:widowControl/>
                    <w:adjustRightInd w:val="0"/>
                    <w:snapToGrid w:val="0"/>
                    <w:jc w:val="center"/>
                    <w:rPr>
                      <w:kern w:val="0"/>
                      <w:sz w:val="18"/>
                      <w:szCs w:val="18"/>
                      <w:lang w:bidi="ar"/>
                    </w:rPr>
                  </w:pPr>
                </w:p>
              </w:tc>
              <w:tc>
                <w:tcPr>
                  <w:tcW w:w="2250" w:type="pct"/>
                  <w:gridSpan w:val="2"/>
                  <w:shd w:val="clear" w:color="auto" w:fill="auto"/>
                  <w:vAlign w:val="center"/>
                </w:tcPr>
                <w:p>
                  <w:pPr>
                    <w:adjustRightInd w:val="0"/>
                    <w:snapToGrid w:val="0"/>
                    <w:rPr>
                      <w:kern w:val="0"/>
                      <w:sz w:val="18"/>
                      <w:szCs w:val="18"/>
                    </w:rPr>
                  </w:pPr>
                  <w:r>
                    <w:rPr>
                      <w:kern w:val="0"/>
                      <w:sz w:val="18"/>
                      <w:szCs w:val="18"/>
                    </w:rPr>
                    <w:t>污染治理设施应在满足设计工况的条件下运行，并根据工艺要求，定期对设备、电气、自控仪表及构筑物进行检查维护，确保污染治理设施可靠运行。</w:t>
                  </w:r>
                </w:p>
              </w:tc>
              <w:tc>
                <w:tcPr>
                  <w:tcW w:w="1507" w:type="pct"/>
                  <w:shd w:val="clear" w:color="auto" w:fill="auto"/>
                  <w:vAlign w:val="center"/>
                </w:tcPr>
                <w:p>
                  <w:pPr>
                    <w:adjustRightInd w:val="0"/>
                    <w:snapToGrid w:val="0"/>
                    <w:jc w:val="center"/>
                    <w:rPr>
                      <w:sz w:val="18"/>
                      <w:szCs w:val="18"/>
                    </w:rPr>
                  </w:pPr>
                  <w:r>
                    <w:rPr>
                      <w:rFonts w:hint="eastAsia"/>
                      <w:kern w:val="0"/>
                      <w:sz w:val="18"/>
                      <w:szCs w:val="18"/>
                    </w:rPr>
                    <w:t>项目</w:t>
                  </w:r>
                  <w:r>
                    <w:rPr>
                      <w:kern w:val="0"/>
                      <w:sz w:val="18"/>
                      <w:szCs w:val="18"/>
                    </w:rPr>
                    <w:t>建成后建设单位需保证污染治理设施在满足设计工况的条件下运行，并根据工艺要求，定期对设备、电气、自控仪表及构筑物进行检查维护，确保污染治理设施可靠运行</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kern w:val="0"/>
                      <w:sz w:val="18"/>
                      <w:szCs w:val="18"/>
                      <w:lang w:bidi="ar"/>
                    </w:rPr>
                  </w:pPr>
                  <w:r>
                    <w:rPr>
                      <w:rFonts w:hint="eastAsia"/>
                      <w:kern w:val="0"/>
                      <w:sz w:val="18"/>
                      <w:szCs w:val="18"/>
                      <w:lang w:bidi="ar"/>
                    </w:rPr>
                    <w:t>13</w:t>
                  </w:r>
                </w:p>
              </w:tc>
              <w:tc>
                <w:tcPr>
                  <w:tcW w:w="562" w:type="pct"/>
                  <w:vMerge w:val="continue"/>
                  <w:shd w:val="clear" w:color="auto" w:fill="auto"/>
                  <w:vAlign w:val="center"/>
                </w:tcPr>
                <w:p>
                  <w:pPr>
                    <w:widowControl/>
                    <w:adjustRightInd w:val="0"/>
                    <w:snapToGrid w:val="0"/>
                    <w:jc w:val="center"/>
                    <w:rPr>
                      <w:kern w:val="0"/>
                      <w:sz w:val="18"/>
                      <w:szCs w:val="18"/>
                      <w:lang w:bidi="ar"/>
                    </w:rPr>
                  </w:pPr>
                </w:p>
              </w:tc>
              <w:tc>
                <w:tcPr>
                  <w:tcW w:w="2250" w:type="pct"/>
                  <w:gridSpan w:val="2"/>
                  <w:shd w:val="clear" w:color="auto" w:fill="auto"/>
                  <w:vAlign w:val="center"/>
                </w:tcPr>
                <w:p>
                  <w:pPr>
                    <w:adjustRightInd w:val="0"/>
                    <w:snapToGrid w:val="0"/>
                    <w:rPr>
                      <w:kern w:val="0"/>
                      <w:sz w:val="18"/>
                      <w:szCs w:val="18"/>
                    </w:rPr>
                  </w:pPr>
                  <w:r>
                    <w:rPr>
                      <w:kern w:val="0"/>
                      <w:sz w:val="18"/>
                      <w:szCs w:val="18"/>
                    </w:rPr>
                    <w:t>污染治理设施编号可为电子工业排污单位内部编号，若排污单位无内部编号，则根据《排污单位编码规则》（HJ 608）进行编号。有组织排放口编号应填写地方环境保护主管部门现有编号，若排污单位无现有编号，则由电子工业排污单位根据《排污单位编码规则》（HJ 608）进行编号。</w:t>
                  </w:r>
                </w:p>
              </w:tc>
              <w:tc>
                <w:tcPr>
                  <w:tcW w:w="1507" w:type="pct"/>
                  <w:shd w:val="clear" w:color="auto" w:fill="auto"/>
                  <w:vAlign w:val="center"/>
                </w:tcPr>
                <w:p>
                  <w:pPr>
                    <w:adjustRightInd w:val="0"/>
                    <w:snapToGrid w:val="0"/>
                    <w:jc w:val="center"/>
                    <w:rPr>
                      <w:sz w:val="18"/>
                      <w:szCs w:val="18"/>
                    </w:rPr>
                  </w:pPr>
                  <w:r>
                    <w:rPr>
                      <w:rFonts w:hint="eastAsia"/>
                      <w:kern w:val="0"/>
                      <w:sz w:val="18"/>
                      <w:szCs w:val="18"/>
                    </w:rPr>
                    <w:t>项目</w:t>
                  </w:r>
                  <w:r>
                    <w:rPr>
                      <w:kern w:val="0"/>
                      <w:sz w:val="18"/>
                      <w:szCs w:val="18"/>
                    </w:rPr>
                    <w:t>污染治理设施</w:t>
                  </w:r>
                  <w:r>
                    <w:rPr>
                      <w:rFonts w:hint="eastAsia"/>
                      <w:kern w:val="0"/>
                      <w:sz w:val="18"/>
                      <w:szCs w:val="18"/>
                    </w:rPr>
                    <w:t>和排放口</w:t>
                  </w:r>
                  <w:r>
                    <w:rPr>
                      <w:kern w:val="0"/>
                      <w:sz w:val="18"/>
                      <w:szCs w:val="18"/>
                    </w:rPr>
                    <w:t>根据《排污单位编码规则》（HJ 608）进行编号。</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kern w:val="0"/>
                      <w:sz w:val="18"/>
                      <w:szCs w:val="18"/>
                      <w:lang w:bidi="ar"/>
                    </w:rPr>
                  </w:pPr>
                  <w:r>
                    <w:rPr>
                      <w:rFonts w:hint="eastAsia"/>
                      <w:kern w:val="0"/>
                      <w:sz w:val="18"/>
                      <w:szCs w:val="18"/>
                      <w:lang w:bidi="ar"/>
                    </w:rPr>
                    <w:t>14</w:t>
                  </w:r>
                </w:p>
              </w:tc>
              <w:tc>
                <w:tcPr>
                  <w:tcW w:w="562" w:type="pct"/>
                  <w:vMerge w:val="continue"/>
                  <w:shd w:val="clear" w:color="auto" w:fill="auto"/>
                  <w:vAlign w:val="center"/>
                </w:tcPr>
                <w:p>
                  <w:pPr>
                    <w:widowControl/>
                    <w:adjustRightInd w:val="0"/>
                    <w:snapToGrid w:val="0"/>
                    <w:jc w:val="center"/>
                    <w:rPr>
                      <w:kern w:val="0"/>
                      <w:sz w:val="18"/>
                      <w:szCs w:val="18"/>
                      <w:lang w:bidi="ar"/>
                    </w:rPr>
                  </w:pPr>
                </w:p>
              </w:tc>
              <w:tc>
                <w:tcPr>
                  <w:tcW w:w="2250" w:type="pct"/>
                  <w:gridSpan w:val="2"/>
                  <w:shd w:val="clear" w:color="auto" w:fill="auto"/>
                </w:tcPr>
                <w:p>
                  <w:pPr>
                    <w:adjustRightInd w:val="0"/>
                    <w:snapToGrid w:val="0"/>
                    <w:rPr>
                      <w:kern w:val="0"/>
                      <w:sz w:val="18"/>
                      <w:szCs w:val="18"/>
                    </w:rPr>
                  </w:pPr>
                  <w:r>
                    <w:rPr>
                      <w:kern w:val="0"/>
                      <w:sz w:val="18"/>
                      <w:szCs w:val="18"/>
                    </w:rPr>
                    <w:t>设置规范的处理前后采样位置，采样位置应避开对测试人员操作有危险的场所，优先选择在垂直管段，避开烟道弯头和断面急剧变化的部位，应设置在距弯头、阀门、变径管下游方向不小于6倍直径，和距上述部件上游方向不小于3倍直径处。</w:t>
                  </w:r>
                </w:p>
              </w:tc>
              <w:tc>
                <w:tcPr>
                  <w:tcW w:w="1507" w:type="pct"/>
                  <w:shd w:val="clear" w:color="auto" w:fill="auto"/>
                  <w:vAlign w:val="center"/>
                </w:tcPr>
                <w:p>
                  <w:pPr>
                    <w:adjustRightInd w:val="0"/>
                    <w:snapToGrid w:val="0"/>
                    <w:jc w:val="center"/>
                    <w:rPr>
                      <w:sz w:val="18"/>
                      <w:szCs w:val="18"/>
                    </w:rPr>
                  </w:pPr>
                  <w:r>
                    <w:rPr>
                      <w:rFonts w:hint="eastAsia"/>
                      <w:kern w:val="0"/>
                      <w:sz w:val="18"/>
                      <w:szCs w:val="18"/>
                    </w:rPr>
                    <w:t>项目</w:t>
                  </w:r>
                  <w:r>
                    <w:rPr>
                      <w:kern w:val="0"/>
                      <w:sz w:val="18"/>
                      <w:szCs w:val="18"/>
                    </w:rPr>
                    <w:t>按要求设置规范的处理前后采样位置</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kern w:val="0"/>
                      <w:sz w:val="18"/>
                      <w:szCs w:val="18"/>
                      <w:lang w:bidi="ar"/>
                    </w:rPr>
                  </w:pPr>
                  <w:r>
                    <w:rPr>
                      <w:kern w:val="0"/>
                      <w:sz w:val="18"/>
                      <w:szCs w:val="18"/>
                      <w:lang w:bidi="ar"/>
                    </w:rPr>
                    <w:t>15</w:t>
                  </w:r>
                </w:p>
              </w:tc>
              <w:tc>
                <w:tcPr>
                  <w:tcW w:w="562" w:type="pct"/>
                  <w:vMerge w:val="continue"/>
                  <w:shd w:val="clear" w:color="auto" w:fill="auto"/>
                  <w:vAlign w:val="center"/>
                </w:tcPr>
                <w:p>
                  <w:pPr>
                    <w:widowControl/>
                    <w:adjustRightInd w:val="0"/>
                    <w:snapToGrid w:val="0"/>
                    <w:jc w:val="center"/>
                    <w:rPr>
                      <w:kern w:val="0"/>
                      <w:sz w:val="18"/>
                      <w:szCs w:val="18"/>
                      <w:lang w:bidi="ar"/>
                    </w:rPr>
                  </w:pPr>
                </w:p>
              </w:tc>
              <w:tc>
                <w:tcPr>
                  <w:tcW w:w="2250" w:type="pct"/>
                  <w:gridSpan w:val="2"/>
                  <w:shd w:val="clear" w:color="auto" w:fill="auto"/>
                </w:tcPr>
                <w:p>
                  <w:pPr>
                    <w:spacing w:line="300" w:lineRule="exact"/>
                    <w:jc w:val="left"/>
                    <w:rPr>
                      <w:kern w:val="0"/>
                      <w:sz w:val="18"/>
                      <w:szCs w:val="18"/>
                    </w:rPr>
                  </w:pPr>
                  <w:r>
                    <w:rPr>
                      <w:kern w:val="0"/>
                      <w:sz w:val="18"/>
                      <w:szCs w:val="18"/>
                    </w:rPr>
                    <w:t>废气排气筒应按照《广东省污染源排污口规范化设置导则》(粤环〔2008〕42号)相关规定，设置与排污口相应的环境保护图形标志牌。</w:t>
                  </w:r>
                </w:p>
              </w:tc>
              <w:tc>
                <w:tcPr>
                  <w:tcW w:w="1507" w:type="pct"/>
                  <w:shd w:val="clear" w:color="auto" w:fill="auto"/>
                  <w:vAlign w:val="center"/>
                </w:tcPr>
                <w:p>
                  <w:pPr>
                    <w:adjustRightInd w:val="0"/>
                    <w:snapToGrid w:val="0"/>
                    <w:jc w:val="center"/>
                    <w:rPr>
                      <w:sz w:val="18"/>
                      <w:szCs w:val="18"/>
                    </w:rPr>
                  </w:pPr>
                  <w:r>
                    <w:rPr>
                      <w:rFonts w:hint="eastAsia"/>
                      <w:kern w:val="0"/>
                      <w:sz w:val="18"/>
                      <w:szCs w:val="18"/>
                    </w:rPr>
                    <w:t>项目</w:t>
                  </w:r>
                  <w:r>
                    <w:rPr>
                      <w:kern w:val="0"/>
                      <w:sz w:val="18"/>
                      <w:szCs w:val="18"/>
                    </w:rPr>
                    <w:t>废气排气筒应按照《广东省污染源排污口规范化设置导则》(粤环〔2008〕42号)相关规定，设置与排污口相应的环境保护图形标志牌。</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shd w:val="clear" w:color="auto" w:fill="D8D8D8"/>
                  <w:vAlign w:val="center"/>
                </w:tcPr>
                <w:p>
                  <w:pPr>
                    <w:adjustRightInd w:val="0"/>
                    <w:snapToGrid w:val="0"/>
                    <w:jc w:val="center"/>
                    <w:rPr>
                      <w:sz w:val="18"/>
                      <w:szCs w:val="18"/>
                    </w:rPr>
                  </w:pPr>
                  <w:r>
                    <w:rPr>
                      <w:b/>
                      <w:bCs/>
                      <w:sz w:val="18"/>
                      <w:szCs w:val="18"/>
                    </w:rPr>
                    <w:t xml:space="preserve"> 环境管理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sz w:val="18"/>
                      <w:szCs w:val="18"/>
                    </w:rPr>
                  </w:pPr>
                  <w:r>
                    <w:rPr>
                      <w:kern w:val="0"/>
                      <w:sz w:val="18"/>
                      <w:szCs w:val="18"/>
                      <w:lang w:bidi="ar"/>
                    </w:rPr>
                    <w:t>15</w:t>
                  </w:r>
                </w:p>
              </w:tc>
              <w:tc>
                <w:tcPr>
                  <w:tcW w:w="562" w:type="pct"/>
                  <w:vMerge w:val="restart"/>
                  <w:shd w:val="clear" w:color="auto" w:fill="auto"/>
                  <w:vAlign w:val="center"/>
                </w:tcPr>
                <w:p>
                  <w:pPr>
                    <w:widowControl/>
                    <w:adjustRightInd w:val="0"/>
                    <w:snapToGrid w:val="0"/>
                    <w:jc w:val="center"/>
                    <w:rPr>
                      <w:kern w:val="0"/>
                      <w:sz w:val="18"/>
                      <w:szCs w:val="18"/>
                      <w:lang w:bidi="ar"/>
                    </w:rPr>
                  </w:pPr>
                  <w:r>
                    <w:rPr>
                      <w:kern w:val="0"/>
                      <w:sz w:val="18"/>
                      <w:szCs w:val="18"/>
                      <w:lang w:bidi="ar"/>
                    </w:rPr>
                    <w:t>管理台账</w:t>
                  </w:r>
                </w:p>
              </w:tc>
              <w:tc>
                <w:tcPr>
                  <w:tcW w:w="2250" w:type="pct"/>
                  <w:gridSpan w:val="2"/>
                  <w:shd w:val="clear" w:color="auto" w:fill="auto"/>
                  <w:vAlign w:val="center"/>
                </w:tcPr>
                <w:p>
                  <w:pPr>
                    <w:adjustRightInd w:val="0"/>
                    <w:snapToGrid w:val="0"/>
                    <w:jc w:val="left"/>
                    <w:rPr>
                      <w:sz w:val="18"/>
                      <w:szCs w:val="18"/>
                    </w:rPr>
                  </w:pPr>
                  <w:r>
                    <w:rPr>
                      <w:sz w:val="18"/>
                      <w:szCs w:val="18"/>
                    </w:rPr>
                    <w:t>建立含VOCs原辅材料台账，记录含VOCs原辅材料的名称及其VOCs含量、采购量、使用量、库存量、含VOCs原辅材料回收方式及回收量。</w:t>
                  </w:r>
                </w:p>
              </w:tc>
              <w:tc>
                <w:tcPr>
                  <w:tcW w:w="1507" w:type="pct"/>
                  <w:shd w:val="clear" w:color="auto" w:fill="auto"/>
                  <w:vAlign w:val="center"/>
                </w:tcPr>
                <w:p>
                  <w:pPr>
                    <w:adjustRightInd w:val="0"/>
                    <w:snapToGrid w:val="0"/>
                    <w:jc w:val="center"/>
                    <w:rPr>
                      <w:sz w:val="18"/>
                      <w:szCs w:val="18"/>
                    </w:rPr>
                  </w:pPr>
                  <w:r>
                    <w:rPr>
                      <w:sz w:val="18"/>
                      <w:szCs w:val="18"/>
                    </w:rPr>
                    <w:t>项目运营期按要求建立含VOCs原辅材料台账，记录含VOCs原辅材料的名称及其VOCs含量、采购量、使用量、库存量、含VOCs原辅材料回收方式及回收量</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sz w:val="18"/>
                      <w:szCs w:val="18"/>
                    </w:rPr>
                  </w:pPr>
                  <w:r>
                    <w:rPr>
                      <w:kern w:val="0"/>
                      <w:sz w:val="18"/>
                      <w:szCs w:val="18"/>
                      <w:lang w:bidi="ar"/>
                    </w:rPr>
                    <w:t>14</w:t>
                  </w:r>
                </w:p>
              </w:tc>
              <w:tc>
                <w:tcPr>
                  <w:tcW w:w="562" w:type="pct"/>
                  <w:vMerge w:val="continue"/>
                  <w:shd w:val="clear" w:color="auto" w:fill="auto"/>
                  <w:vAlign w:val="center"/>
                </w:tcPr>
                <w:p>
                  <w:pPr>
                    <w:widowControl/>
                    <w:adjustRightInd w:val="0"/>
                    <w:snapToGrid w:val="0"/>
                    <w:jc w:val="center"/>
                    <w:rPr>
                      <w:kern w:val="0"/>
                      <w:sz w:val="18"/>
                      <w:szCs w:val="18"/>
                      <w:lang w:bidi="ar"/>
                    </w:rPr>
                  </w:pPr>
                </w:p>
              </w:tc>
              <w:tc>
                <w:tcPr>
                  <w:tcW w:w="2250" w:type="pct"/>
                  <w:gridSpan w:val="2"/>
                  <w:shd w:val="clear" w:color="auto" w:fill="auto"/>
                  <w:vAlign w:val="center"/>
                </w:tcPr>
                <w:p>
                  <w:pPr>
                    <w:adjustRightInd w:val="0"/>
                    <w:snapToGrid w:val="0"/>
                    <w:jc w:val="left"/>
                    <w:rPr>
                      <w:sz w:val="18"/>
                      <w:szCs w:val="18"/>
                    </w:rPr>
                  </w:pPr>
                  <w:r>
                    <w:rPr>
                      <w:sz w:val="18"/>
                      <w:szCs w:val="18"/>
                    </w:rPr>
                    <w:t>建立废气收集处理设施台账，记录废气处理设施进出口的监测数据（废气量、浓度、温度、含氧量等）、废气收集与处理设施关键参数、废气处理设施相关耗材（吸收剂、吸附剂、催化剂等）购买和处理记录。</w:t>
                  </w:r>
                </w:p>
              </w:tc>
              <w:tc>
                <w:tcPr>
                  <w:tcW w:w="1507" w:type="pct"/>
                  <w:shd w:val="clear" w:color="auto" w:fill="auto"/>
                  <w:vAlign w:val="center"/>
                </w:tcPr>
                <w:p>
                  <w:pPr>
                    <w:adjustRightInd w:val="0"/>
                    <w:snapToGrid w:val="0"/>
                    <w:jc w:val="center"/>
                    <w:rPr>
                      <w:sz w:val="18"/>
                      <w:szCs w:val="18"/>
                    </w:rPr>
                  </w:pPr>
                  <w:r>
                    <w:rPr>
                      <w:sz w:val="18"/>
                      <w:szCs w:val="18"/>
                    </w:rPr>
                    <w:t>项目运营期按要求立废气收集处理设施台账，记录废气处理设施进出口的监测数据（废气量、浓度、温度等）、废气收集与处理设施关键参数、废气处理设施相关耗材（活性炭）购买和处理记录</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sz w:val="18"/>
                      <w:szCs w:val="18"/>
                    </w:rPr>
                  </w:pPr>
                  <w:r>
                    <w:rPr>
                      <w:kern w:val="0"/>
                      <w:sz w:val="18"/>
                      <w:szCs w:val="18"/>
                      <w:lang w:bidi="ar"/>
                    </w:rPr>
                    <w:t>15</w:t>
                  </w:r>
                </w:p>
              </w:tc>
              <w:tc>
                <w:tcPr>
                  <w:tcW w:w="562" w:type="pct"/>
                  <w:vMerge w:val="continue"/>
                  <w:shd w:val="clear" w:color="auto" w:fill="auto"/>
                  <w:vAlign w:val="center"/>
                </w:tcPr>
                <w:p>
                  <w:pPr>
                    <w:widowControl/>
                    <w:adjustRightInd w:val="0"/>
                    <w:snapToGrid w:val="0"/>
                    <w:jc w:val="center"/>
                    <w:rPr>
                      <w:kern w:val="0"/>
                      <w:sz w:val="18"/>
                      <w:szCs w:val="18"/>
                      <w:lang w:bidi="ar"/>
                    </w:rPr>
                  </w:pPr>
                </w:p>
              </w:tc>
              <w:tc>
                <w:tcPr>
                  <w:tcW w:w="2250" w:type="pct"/>
                  <w:gridSpan w:val="2"/>
                  <w:shd w:val="clear" w:color="auto" w:fill="auto"/>
                  <w:vAlign w:val="center"/>
                </w:tcPr>
                <w:p>
                  <w:pPr>
                    <w:adjustRightInd w:val="0"/>
                    <w:snapToGrid w:val="0"/>
                    <w:jc w:val="left"/>
                    <w:rPr>
                      <w:sz w:val="18"/>
                      <w:szCs w:val="18"/>
                    </w:rPr>
                  </w:pPr>
                  <w:r>
                    <w:rPr>
                      <w:sz w:val="18"/>
                      <w:szCs w:val="18"/>
                    </w:rPr>
                    <w:t>建立危废台账，整理危废处置合同、转移联单及危废处理方资质佐证材料。</w:t>
                  </w:r>
                </w:p>
              </w:tc>
              <w:tc>
                <w:tcPr>
                  <w:tcW w:w="1507" w:type="pct"/>
                  <w:shd w:val="clear" w:color="auto" w:fill="auto"/>
                  <w:vAlign w:val="center"/>
                </w:tcPr>
                <w:p>
                  <w:pPr>
                    <w:adjustRightInd w:val="0"/>
                    <w:snapToGrid w:val="0"/>
                    <w:jc w:val="center"/>
                    <w:rPr>
                      <w:sz w:val="18"/>
                      <w:szCs w:val="18"/>
                    </w:rPr>
                  </w:pPr>
                  <w:r>
                    <w:rPr>
                      <w:sz w:val="18"/>
                      <w:szCs w:val="18"/>
                    </w:rPr>
                    <w:t>项目运营期按要求建立危废台账，整理危废处置合同、转移联单及危废处理方资质佐证材料</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sz w:val="18"/>
                      <w:szCs w:val="18"/>
                    </w:rPr>
                  </w:pPr>
                  <w:r>
                    <w:rPr>
                      <w:kern w:val="0"/>
                      <w:sz w:val="18"/>
                      <w:szCs w:val="18"/>
                      <w:lang w:bidi="ar"/>
                    </w:rPr>
                    <w:t>16</w:t>
                  </w:r>
                </w:p>
              </w:tc>
              <w:tc>
                <w:tcPr>
                  <w:tcW w:w="562" w:type="pct"/>
                  <w:vMerge w:val="continue"/>
                  <w:shd w:val="clear" w:color="auto" w:fill="auto"/>
                  <w:vAlign w:val="center"/>
                </w:tcPr>
                <w:p>
                  <w:pPr>
                    <w:widowControl/>
                    <w:adjustRightInd w:val="0"/>
                    <w:snapToGrid w:val="0"/>
                    <w:jc w:val="center"/>
                    <w:rPr>
                      <w:kern w:val="0"/>
                      <w:sz w:val="18"/>
                      <w:szCs w:val="18"/>
                      <w:lang w:bidi="ar"/>
                    </w:rPr>
                  </w:pPr>
                </w:p>
              </w:tc>
              <w:tc>
                <w:tcPr>
                  <w:tcW w:w="2250" w:type="pct"/>
                  <w:gridSpan w:val="2"/>
                  <w:shd w:val="clear" w:color="auto" w:fill="auto"/>
                  <w:vAlign w:val="center"/>
                </w:tcPr>
                <w:p>
                  <w:pPr>
                    <w:adjustRightInd w:val="0"/>
                    <w:snapToGrid w:val="0"/>
                    <w:jc w:val="left"/>
                    <w:rPr>
                      <w:sz w:val="18"/>
                      <w:szCs w:val="18"/>
                    </w:rPr>
                  </w:pPr>
                  <w:r>
                    <w:rPr>
                      <w:sz w:val="18"/>
                      <w:szCs w:val="18"/>
                    </w:rPr>
                    <w:t>台账保存期限不少于3年。</w:t>
                  </w:r>
                </w:p>
              </w:tc>
              <w:tc>
                <w:tcPr>
                  <w:tcW w:w="1507" w:type="pct"/>
                  <w:shd w:val="clear" w:color="auto" w:fill="auto"/>
                  <w:vAlign w:val="center"/>
                </w:tcPr>
                <w:p>
                  <w:pPr>
                    <w:adjustRightInd w:val="0"/>
                    <w:snapToGrid w:val="0"/>
                    <w:jc w:val="center"/>
                    <w:rPr>
                      <w:sz w:val="18"/>
                      <w:szCs w:val="18"/>
                    </w:rPr>
                  </w:pPr>
                  <w:r>
                    <w:rPr>
                      <w:sz w:val="18"/>
                      <w:szCs w:val="18"/>
                    </w:rPr>
                    <w:t>项目运营期按要求台账保存期限不少于3年</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sz w:val="18"/>
                      <w:szCs w:val="18"/>
                    </w:rPr>
                  </w:pPr>
                  <w:r>
                    <w:rPr>
                      <w:kern w:val="0"/>
                      <w:sz w:val="18"/>
                      <w:szCs w:val="18"/>
                      <w:lang w:bidi="ar"/>
                    </w:rPr>
                    <w:t>17</w:t>
                  </w:r>
                </w:p>
              </w:tc>
              <w:tc>
                <w:tcPr>
                  <w:tcW w:w="562" w:type="pct"/>
                  <w:shd w:val="clear" w:color="auto" w:fill="auto"/>
                  <w:vAlign w:val="center"/>
                </w:tcPr>
                <w:p>
                  <w:pPr>
                    <w:widowControl/>
                    <w:adjustRightInd w:val="0"/>
                    <w:snapToGrid w:val="0"/>
                    <w:jc w:val="center"/>
                    <w:rPr>
                      <w:kern w:val="0"/>
                      <w:sz w:val="18"/>
                      <w:szCs w:val="18"/>
                      <w:lang w:bidi="ar"/>
                    </w:rPr>
                  </w:pPr>
                  <w:r>
                    <w:rPr>
                      <w:kern w:val="0"/>
                      <w:sz w:val="18"/>
                      <w:szCs w:val="18"/>
                      <w:lang w:bidi="ar"/>
                    </w:rPr>
                    <w:t>自行监测</w:t>
                  </w:r>
                </w:p>
              </w:tc>
              <w:tc>
                <w:tcPr>
                  <w:tcW w:w="2250" w:type="pct"/>
                  <w:gridSpan w:val="2"/>
                  <w:shd w:val="clear" w:color="auto" w:fill="auto"/>
                  <w:vAlign w:val="center"/>
                </w:tcPr>
                <w:p>
                  <w:pPr>
                    <w:numPr>
                      <w:ilvl w:val="0"/>
                      <w:numId w:val="3"/>
                    </w:numPr>
                    <w:adjustRightInd w:val="0"/>
                    <w:snapToGrid w:val="0"/>
                    <w:ind w:left="0" w:firstLine="0"/>
                    <w:jc w:val="left"/>
                    <w:rPr>
                      <w:kern w:val="0"/>
                      <w:sz w:val="18"/>
                      <w:szCs w:val="18"/>
                      <w:lang w:bidi="ar"/>
                    </w:rPr>
                  </w:pPr>
                  <w:r>
                    <w:rPr>
                      <w:kern w:val="0"/>
                      <w:sz w:val="18"/>
                      <w:szCs w:val="18"/>
                    </w:rPr>
                    <w:t>半导体分立器件制造、集成电路制造、显示器件制造、半导体照明器件制造、光电子 器件制造、其他电子器件制造排污单位：对于重点管理的主要排放口，应采用自动监测；对于重点管理的一般排放口，至少每半年监测一次挥发性有机物；对于简化管理的一般排放口，至少每年监测一次挥发性有机物。</w:t>
                  </w:r>
                </w:p>
              </w:tc>
              <w:tc>
                <w:tcPr>
                  <w:tcW w:w="1507" w:type="pct"/>
                  <w:shd w:val="clear" w:color="auto" w:fill="auto"/>
                  <w:vAlign w:val="center"/>
                </w:tcPr>
                <w:p>
                  <w:pPr>
                    <w:adjustRightInd w:val="0"/>
                    <w:snapToGrid w:val="0"/>
                    <w:jc w:val="center"/>
                    <w:rPr>
                      <w:sz w:val="18"/>
                      <w:szCs w:val="18"/>
                    </w:rPr>
                  </w:pPr>
                  <w:r>
                    <w:rPr>
                      <w:kern w:val="0"/>
                      <w:sz w:val="18"/>
                      <w:szCs w:val="18"/>
                      <w:lang w:bidi="ar"/>
                    </w:rPr>
                    <w:t>项目属于登记管理排污单位，废气排放口及无组织排放每年监测一次</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sz w:val="18"/>
                      <w:szCs w:val="18"/>
                    </w:rPr>
                  </w:pPr>
                  <w:r>
                    <w:rPr>
                      <w:kern w:val="0"/>
                      <w:sz w:val="18"/>
                      <w:szCs w:val="18"/>
                      <w:lang w:bidi="ar"/>
                    </w:rPr>
                    <w:t>19</w:t>
                  </w:r>
                </w:p>
              </w:tc>
              <w:tc>
                <w:tcPr>
                  <w:tcW w:w="562" w:type="pct"/>
                  <w:shd w:val="clear" w:color="auto" w:fill="auto"/>
                  <w:vAlign w:val="center"/>
                </w:tcPr>
                <w:p>
                  <w:pPr>
                    <w:widowControl/>
                    <w:adjustRightInd w:val="0"/>
                    <w:snapToGrid w:val="0"/>
                    <w:jc w:val="center"/>
                    <w:rPr>
                      <w:kern w:val="0"/>
                      <w:sz w:val="18"/>
                      <w:szCs w:val="18"/>
                      <w:lang w:bidi="ar"/>
                    </w:rPr>
                  </w:pPr>
                  <w:r>
                    <w:rPr>
                      <w:kern w:val="0"/>
                      <w:sz w:val="18"/>
                      <w:szCs w:val="18"/>
                      <w:lang w:bidi="ar"/>
                    </w:rPr>
                    <w:t>危废管理</w:t>
                  </w:r>
                </w:p>
              </w:tc>
              <w:tc>
                <w:tcPr>
                  <w:tcW w:w="2250" w:type="pct"/>
                  <w:gridSpan w:val="2"/>
                  <w:shd w:val="clear" w:color="auto" w:fill="auto"/>
                  <w:vAlign w:val="center"/>
                </w:tcPr>
                <w:p>
                  <w:pPr>
                    <w:adjustRightInd w:val="0"/>
                    <w:snapToGrid w:val="0"/>
                    <w:jc w:val="left"/>
                    <w:rPr>
                      <w:sz w:val="18"/>
                      <w:szCs w:val="18"/>
                    </w:rPr>
                  </w:pPr>
                  <w:r>
                    <w:rPr>
                      <w:sz w:val="18"/>
                      <w:szCs w:val="18"/>
                    </w:rPr>
                    <w:t>工艺过程产生的含VOCs废料（渣、液）应按照相关要求进行储存、转移和输送。盛装过VOCs物料的废包装容器应加盖密闭。</w:t>
                  </w:r>
                </w:p>
              </w:tc>
              <w:tc>
                <w:tcPr>
                  <w:tcW w:w="1507" w:type="pct"/>
                  <w:shd w:val="clear" w:color="auto" w:fill="auto"/>
                  <w:vAlign w:val="center"/>
                </w:tcPr>
                <w:p>
                  <w:pPr>
                    <w:adjustRightInd w:val="0"/>
                    <w:snapToGrid w:val="0"/>
                    <w:jc w:val="center"/>
                    <w:rPr>
                      <w:sz w:val="18"/>
                      <w:szCs w:val="18"/>
                    </w:rPr>
                  </w:pPr>
                  <w:r>
                    <w:rPr>
                      <w:sz w:val="18"/>
                      <w:szCs w:val="18"/>
                    </w:rPr>
                    <w:t>项目工艺过程产生的含VOCs废活性炭按照相关要求进行储存、转移和输送。</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shd w:val="clear" w:color="auto" w:fill="D8D8D8"/>
                  <w:vAlign w:val="center"/>
                </w:tcPr>
                <w:p>
                  <w:pPr>
                    <w:adjustRightInd w:val="0"/>
                    <w:snapToGrid w:val="0"/>
                    <w:jc w:val="center"/>
                    <w:rPr>
                      <w:b/>
                      <w:bCs/>
                      <w:sz w:val="18"/>
                      <w:szCs w:val="18"/>
                    </w:rPr>
                  </w:pPr>
                  <w:r>
                    <w:rPr>
                      <w:b/>
                      <w:bCs/>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kern w:val="0"/>
                      <w:sz w:val="18"/>
                      <w:szCs w:val="18"/>
                      <w:lang w:bidi="ar"/>
                    </w:rPr>
                  </w:pPr>
                  <w:r>
                    <w:rPr>
                      <w:kern w:val="0"/>
                      <w:sz w:val="18"/>
                      <w:szCs w:val="18"/>
                      <w:lang w:bidi="ar"/>
                    </w:rPr>
                    <w:t>20</w:t>
                  </w:r>
                </w:p>
              </w:tc>
              <w:tc>
                <w:tcPr>
                  <w:tcW w:w="562" w:type="pct"/>
                  <w:vMerge w:val="restart"/>
                  <w:shd w:val="clear" w:color="auto" w:fill="auto"/>
                  <w:vAlign w:val="center"/>
                </w:tcPr>
                <w:p>
                  <w:pPr>
                    <w:widowControl/>
                    <w:adjustRightInd w:val="0"/>
                    <w:snapToGrid w:val="0"/>
                    <w:jc w:val="center"/>
                    <w:rPr>
                      <w:kern w:val="0"/>
                      <w:sz w:val="18"/>
                      <w:szCs w:val="18"/>
                      <w:lang w:bidi="ar"/>
                    </w:rPr>
                  </w:pPr>
                  <w:r>
                    <w:rPr>
                      <w:kern w:val="0"/>
                      <w:sz w:val="18"/>
                      <w:szCs w:val="18"/>
                      <w:lang w:bidi="ar"/>
                    </w:rPr>
                    <w:t>建设项目VOCs总量管理</w:t>
                  </w:r>
                </w:p>
              </w:tc>
              <w:tc>
                <w:tcPr>
                  <w:tcW w:w="2250" w:type="pct"/>
                  <w:gridSpan w:val="2"/>
                  <w:shd w:val="clear" w:color="auto" w:fill="auto"/>
                  <w:vAlign w:val="center"/>
                </w:tcPr>
                <w:p>
                  <w:pPr>
                    <w:adjustRightInd w:val="0"/>
                    <w:snapToGrid w:val="0"/>
                    <w:jc w:val="left"/>
                    <w:rPr>
                      <w:sz w:val="18"/>
                      <w:szCs w:val="18"/>
                    </w:rPr>
                  </w:pPr>
                  <w:r>
                    <w:rPr>
                      <w:sz w:val="18"/>
                      <w:szCs w:val="18"/>
                    </w:rPr>
                    <w:t>新、改、扩建项目应执行总量替代制度，明确VOCs总量指标来源。</w:t>
                  </w:r>
                </w:p>
              </w:tc>
              <w:tc>
                <w:tcPr>
                  <w:tcW w:w="1507" w:type="pct"/>
                  <w:shd w:val="clear" w:color="auto" w:fill="auto"/>
                  <w:vAlign w:val="center"/>
                </w:tcPr>
                <w:p>
                  <w:pPr>
                    <w:adjustRightInd w:val="0"/>
                    <w:snapToGrid w:val="0"/>
                    <w:jc w:val="center"/>
                    <w:rPr>
                      <w:sz w:val="18"/>
                      <w:szCs w:val="18"/>
                    </w:rPr>
                  </w:pPr>
                  <w:r>
                    <w:rPr>
                      <w:sz w:val="18"/>
                      <w:szCs w:val="18"/>
                    </w:rPr>
                    <w:t>本项目VOCs总量由惠州市生态环境局博罗分局分配</w:t>
                  </w:r>
                </w:p>
              </w:tc>
              <w:tc>
                <w:tcPr>
                  <w:tcW w:w="381" w:type="pct"/>
                  <w:shd w:val="clear" w:color="auto" w:fill="auto"/>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pct"/>
                  <w:shd w:val="clear" w:color="auto" w:fill="auto"/>
                  <w:vAlign w:val="center"/>
                </w:tcPr>
                <w:p>
                  <w:pPr>
                    <w:widowControl/>
                    <w:numPr>
                      <w:ilvl w:val="255"/>
                      <w:numId w:val="0"/>
                    </w:numPr>
                    <w:adjustRightInd w:val="0"/>
                    <w:snapToGrid w:val="0"/>
                    <w:jc w:val="center"/>
                    <w:textAlignment w:val="center"/>
                    <w:rPr>
                      <w:kern w:val="0"/>
                      <w:sz w:val="18"/>
                      <w:szCs w:val="18"/>
                      <w:lang w:bidi="ar"/>
                    </w:rPr>
                  </w:pPr>
                  <w:r>
                    <w:rPr>
                      <w:kern w:val="0"/>
                      <w:sz w:val="18"/>
                      <w:szCs w:val="18"/>
                      <w:lang w:bidi="ar"/>
                    </w:rPr>
                    <w:t>21</w:t>
                  </w:r>
                </w:p>
              </w:tc>
              <w:tc>
                <w:tcPr>
                  <w:tcW w:w="562" w:type="pct"/>
                  <w:vMerge w:val="continue"/>
                  <w:shd w:val="clear" w:color="auto" w:fill="auto"/>
                  <w:vAlign w:val="center"/>
                </w:tcPr>
                <w:p>
                  <w:pPr>
                    <w:widowControl/>
                    <w:adjustRightInd w:val="0"/>
                    <w:snapToGrid w:val="0"/>
                    <w:jc w:val="center"/>
                    <w:rPr>
                      <w:kern w:val="0"/>
                      <w:sz w:val="18"/>
                      <w:szCs w:val="18"/>
                      <w:lang w:bidi="ar"/>
                    </w:rPr>
                  </w:pPr>
                </w:p>
              </w:tc>
              <w:tc>
                <w:tcPr>
                  <w:tcW w:w="2250" w:type="pct"/>
                  <w:gridSpan w:val="2"/>
                  <w:shd w:val="clear" w:color="auto" w:fill="auto"/>
                  <w:vAlign w:val="center"/>
                </w:tcPr>
                <w:p>
                  <w:pPr>
                    <w:adjustRightInd w:val="0"/>
                    <w:snapToGrid w:val="0"/>
                    <w:jc w:val="left"/>
                    <w:rPr>
                      <w:sz w:val="18"/>
                      <w:szCs w:val="18"/>
                    </w:rPr>
                  </w:pPr>
                  <w:r>
                    <w:rPr>
                      <w:sz w:val="18"/>
                      <w:szCs w:val="18"/>
                    </w:rPr>
                    <w:t>新、改、扩建项目和现有企业VOCs基准排放量计算参考《广东省重点行业挥发性有机物排放量计算方法核算》进行核算，若国家和我省出台适用于该行业的VOCs排放量计算方法，则参照其相关规定执行。</w:t>
                  </w:r>
                </w:p>
              </w:tc>
              <w:tc>
                <w:tcPr>
                  <w:tcW w:w="1507" w:type="pct"/>
                  <w:shd w:val="clear" w:color="auto" w:fill="auto"/>
                  <w:vAlign w:val="center"/>
                </w:tcPr>
                <w:p>
                  <w:pPr>
                    <w:adjustRightInd w:val="0"/>
                    <w:snapToGrid w:val="0"/>
                    <w:jc w:val="center"/>
                    <w:rPr>
                      <w:sz w:val="18"/>
                      <w:szCs w:val="18"/>
                    </w:rPr>
                  </w:pPr>
                  <w:r>
                    <w:rPr>
                      <w:sz w:val="18"/>
                      <w:szCs w:val="18"/>
                    </w:rPr>
                    <w:t>本项目VOCs基准排放量计算参考《排放源统计调查产排污核算方法和系数手册》（生态环境部公告 2021年 第24号）</w:t>
                  </w:r>
                </w:p>
              </w:tc>
              <w:tc>
                <w:tcPr>
                  <w:tcW w:w="381" w:type="pct"/>
                  <w:shd w:val="clear" w:color="auto" w:fill="auto"/>
                  <w:vAlign w:val="center"/>
                </w:tcPr>
                <w:p>
                  <w:pPr>
                    <w:adjustRightInd w:val="0"/>
                    <w:snapToGrid w:val="0"/>
                    <w:jc w:val="center"/>
                    <w:rPr>
                      <w:sz w:val="18"/>
                      <w:szCs w:val="18"/>
                    </w:rPr>
                  </w:pPr>
                  <w:r>
                    <w:rPr>
                      <w:sz w:val="18"/>
                      <w:szCs w:val="18"/>
                    </w:rPr>
                    <w:t>符合</w:t>
                  </w:r>
                </w:p>
              </w:tc>
            </w:tr>
          </w:tbl>
          <w:p>
            <w:pPr>
              <w:pStyle w:val="85"/>
              <w:spacing w:line="360" w:lineRule="auto"/>
              <w:ind w:firstLine="422" w:firstLineChars="200"/>
              <w:rPr>
                <w:rFonts w:eastAsia="宋体"/>
                <w:b/>
                <w:sz w:val="21"/>
                <w:szCs w:val="21"/>
              </w:rPr>
            </w:pPr>
            <w:r>
              <w:rPr>
                <w:rFonts w:eastAsia="宋体"/>
                <w:b/>
                <w:sz w:val="21"/>
                <w:szCs w:val="21"/>
              </w:rPr>
              <w:t>（6）与《挥发性有机物无组织排放控制标准》（GB37822-2019）相符性的分析</w:t>
            </w:r>
          </w:p>
          <w:p>
            <w:pPr>
              <w:numPr>
                <w:ilvl w:val="0"/>
                <w:numId w:val="2"/>
              </w:numPr>
              <w:adjustRightInd w:val="0"/>
              <w:snapToGrid w:val="0"/>
              <w:spacing w:line="360" w:lineRule="auto"/>
              <w:ind w:left="322"/>
              <w:jc w:val="center"/>
              <w:rPr>
                <w:b/>
                <w:bCs/>
                <w:szCs w:val="21"/>
              </w:rPr>
            </w:pPr>
            <w:r>
              <w:rPr>
                <w:b/>
                <w:bCs/>
              </w:rPr>
              <w:t>（GB37822-2019）相符性分析一览表</w:t>
            </w:r>
          </w:p>
          <w:tbl>
            <w:tblPr>
              <w:tblStyle w:val="29"/>
              <w:tblW w:w="5000" w:type="pct"/>
              <w:jc w:val="center"/>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4847"/>
              <w:gridCol w:w="2003"/>
            </w:tblGrid>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2" w:type="pct"/>
                  <w:gridSpan w:val="2"/>
                  <w:vAlign w:val="center"/>
                </w:tcPr>
                <w:p>
                  <w:pPr>
                    <w:adjustRightInd w:val="0"/>
                    <w:snapToGrid w:val="0"/>
                    <w:jc w:val="center"/>
                    <w:rPr>
                      <w:b/>
                      <w:bCs/>
                    </w:rPr>
                  </w:pPr>
                  <w:r>
                    <w:rPr>
                      <w:b/>
                      <w:bCs/>
                    </w:rPr>
                    <w:t>（GB37822-2019）要求</w:t>
                  </w:r>
                </w:p>
              </w:tc>
              <w:tc>
                <w:tcPr>
                  <w:tcW w:w="1318" w:type="pct"/>
                  <w:vAlign w:val="center"/>
                </w:tcPr>
                <w:p>
                  <w:pPr>
                    <w:adjustRightInd w:val="0"/>
                    <w:snapToGrid w:val="0"/>
                    <w:jc w:val="center"/>
                    <w:rPr>
                      <w:b/>
                      <w:bCs/>
                    </w:rPr>
                  </w:pPr>
                  <w:r>
                    <w:rPr>
                      <w:b/>
                      <w:bCs/>
                      <w:szCs w:val="21"/>
                    </w:rPr>
                    <w:t>相符性分析</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pct"/>
                  <w:vAlign w:val="center"/>
                </w:tcPr>
                <w:p>
                  <w:pPr>
                    <w:adjustRightInd w:val="0"/>
                    <w:snapToGrid w:val="0"/>
                    <w:jc w:val="center"/>
                  </w:pPr>
                  <w:r>
                    <w:t>VOCs物料储存无组织排放要求</w:t>
                  </w:r>
                </w:p>
              </w:tc>
              <w:tc>
                <w:tcPr>
                  <w:tcW w:w="3189" w:type="pct"/>
                  <w:vAlign w:val="center"/>
                </w:tcPr>
                <w:p>
                  <w:pPr>
                    <w:numPr>
                      <w:ilvl w:val="0"/>
                      <w:numId w:val="4"/>
                    </w:numPr>
                    <w:adjustRightInd w:val="0"/>
                    <w:snapToGrid w:val="0"/>
                  </w:pPr>
                  <w:r>
                    <w:t>VOCs物料应储存于密闭的容器、包装袋、储罐、储库、料仓中。2、盛装VOCs物料的容器或包装袋应存放于室内，或存放于设置有雨棚、遮阳和防渗设施的专用场地。盛装VOCs物料的容器或包装袋在非取用状态时应加盖、封口，保持密闭。3、VOCs物料储罐应密封良好，其中挥发性有机液体储罐应符合相关规定。4、VOCs物料储库、料仓应满足对密闭空间的要求。</w:t>
                  </w:r>
                </w:p>
              </w:tc>
              <w:tc>
                <w:tcPr>
                  <w:tcW w:w="1318" w:type="pct"/>
                  <w:vAlign w:val="center"/>
                </w:tcPr>
                <w:p>
                  <w:pPr>
                    <w:adjustRightInd w:val="0"/>
                    <w:snapToGrid w:val="0"/>
                  </w:pPr>
                  <w:r>
                    <w:t>项目</w:t>
                  </w:r>
                  <w:r>
                    <w:rPr>
                      <w:rFonts w:hint="eastAsia"/>
                    </w:rPr>
                    <w:t>环氧树脂胶采用密闭</w:t>
                  </w:r>
                  <w:r>
                    <w:t>的容器储存，</w:t>
                  </w:r>
                  <w:r>
                    <w:rPr>
                      <w:rFonts w:hint="eastAsia"/>
                    </w:rPr>
                    <w:t>塑封</w:t>
                  </w:r>
                  <w:r>
                    <w:t>材料采用密闭包装袋储存，非取用状态时封口，保持密闭。</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pct"/>
                  <w:vAlign w:val="center"/>
                </w:tcPr>
                <w:p>
                  <w:pPr>
                    <w:adjustRightInd w:val="0"/>
                    <w:snapToGrid w:val="0"/>
                    <w:jc w:val="center"/>
                  </w:pPr>
                  <w:r>
                    <w:t>VOCs物料转移和输送无组织排放控制要求</w:t>
                  </w:r>
                </w:p>
              </w:tc>
              <w:tc>
                <w:tcPr>
                  <w:tcW w:w="3189" w:type="pct"/>
                  <w:vAlign w:val="center"/>
                </w:tcPr>
                <w:p>
                  <w:pPr>
                    <w:adjustRightInd w:val="0"/>
                    <w:snapToGrid w:val="0"/>
                  </w:pPr>
                  <w:r>
                    <w:t>1 液态VOCs物料应采用密闭管道输送。采用非管道输送方式转移液态 VOCs物料时，应采用密闭容器、罐车。2、粉状、粒状VOCs物料应釆用气力输送设备、管状带式输送机、螺旋输送机等密闭输送方式，或者采用密闭的包装袋、容器或罐车进行物料转移。</w:t>
                  </w:r>
                </w:p>
              </w:tc>
              <w:tc>
                <w:tcPr>
                  <w:tcW w:w="1318" w:type="pct"/>
                  <w:vAlign w:val="center"/>
                </w:tcPr>
                <w:p>
                  <w:pPr>
                    <w:adjustRightInd w:val="0"/>
                    <w:snapToGrid w:val="0"/>
                  </w:pPr>
                  <w:r>
                    <w:t>项目</w:t>
                  </w:r>
                  <w:r>
                    <w:rPr>
                      <w:rFonts w:hint="eastAsia"/>
                    </w:rPr>
                    <w:t>锡膏采用密闭</w:t>
                  </w:r>
                  <w:r>
                    <w:t>的容器</w:t>
                  </w:r>
                  <w:r>
                    <w:rPr>
                      <w:rFonts w:hint="eastAsia"/>
                    </w:rPr>
                    <w:t>转移</w:t>
                  </w:r>
                  <w:r>
                    <w:t>，</w:t>
                  </w:r>
                  <w:r>
                    <w:rPr>
                      <w:rFonts w:hint="eastAsia"/>
                    </w:rPr>
                    <w:t>塑封</w:t>
                  </w:r>
                  <w:r>
                    <w:t>材料采用密闭包装袋</w:t>
                  </w:r>
                  <w:r>
                    <w:rPr>
                      <w:rFonts w:hint="eastAsia"/>
                    </w:rPr>
                    <w:t>转移</w:t>
                  </w:r>
                  <w:r>
                    <w:t>。</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pct"/>
                  <w:vAlign w:val="center"/>
                </w:tcPr>
                <w:p>
                  <w:pPr>
                    <w:adjustRightInd w:val="0"/>
                    <w:snapToGrid w:val="0"/>
                    <w:jc w:val="center"/>
                  </w:pPr>
                  <w:r>
                    <w:t>含VOCs产品的使用过程</w:t>
                  </w:r>
                </w:p>
              </w:tc>
              <w:tc>
                <w:tcPr>
                  <w:tcW w:w="3189" w:type="pct"/>
                  <w:vAlign w:val="center"/>
                </w:tcPr>
                <w:p>
                  <w:pPr>
                    <w:adjustRightInd w:val="0"/>
                    <w:snapToGrid w:val="0"/>
                  </w:pPr>
                  <w:r>
                    <w:t>1、VOCs质量占比大于等于10%的含VOCs产品，其使用过程应采用密闭设备或在密闭空间内操作，废气应排至VOCs废气收集处理系统：无法密闭的，应采取局部气体收集措施，废气应排至VOCs废气收集处理系统。2、有机聚合物产品用于制品生产的过程，在混合混炼、塑炼塑化/熔化、加工成型（挤出、注射压制、压延、发泡、纺丝等）等作业中应采用密闭设备或在密闭空间内操作，废气应排至VOCs废气收集处理系统；无法密闭的，应采取局部气体收集措施，废气应排至VOCs废气收集处理系统。3、企业应建立台账，记录含VOCs原辅材料和含VOCs产品的名称、使用量、回收量、废弃量、去向以及VOCs含量等信息。台账保存期限不少于3年。</w:t>
                  </w:r>
                </w:p>
              </w:tc>
              <w:tc>
                <w:tcPr>
                  <w:tcW w:w="1318" w:type="pct"/>
                  <w:vAlign w:val="center"/>
                </w:tcPr>
                <w:p>
                  <w:pPr>
                    <w:adjustRightInd w:val="0"/>
                    <w:snapToGrid w:val="0"/>
                  </w:pPr>
                  <w:r>
                    <w:t>项目</w:t>
                  </w:r>
                  <w:r>
                    <w:rPr>
                      <w:rFonts w:hint="eastAsia"/>
                    </w:rPr>
                    <w:t>点胶、粘片</w:t>
                  </w:r>
                  <w:r>
                    <w:t>、塑封固化等产生</w:t>
                  </w:r>
                  <w:r>
                    <w:rPr>
                      <w:rFonts w:hint="eastAsia"/>
                    </w:rPr>
                    <w:t>VOCs的</w:t>
                  </w:r>
                  <w:r>
                    <w:t>工序均采取了局部气体</w:t>
                  </w:r>
                  <w:r>
                    <w:rPr>
                      <w:rFonts w:hint="eastAsia"/>
                    </w:rPr>
                    <w:t>收集</w:t>
                  </w:r>
                  <w:r>
                    <w:t>措施，废气排至</w:t>
                  </w:r>
                  <w:r>
                    <w:rPr>
                      <w:rFonts w:hint="eastAsia"/>
                    </w:rPr>
                    <w:t>VOCs废气</w:t>
                  </w:r>
                  <w:r>
                    <w:t>收集处理系统；企业建成投产后需按照（GB37822-2019） 要求建立涉VOCs的台账，做好含有VOCs等危险废物的转移工作及台账记录。</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pct"/>
                  <w:vAlign w:val="center"/>
                </w:tcPr>
                <w:p>
                  <w:pPr>
                    <w:adjustRightInd w:val="0"/>
                    <w:snapToGrid w:val="0"/>
                    <w:jc w:val="center"/>
                  </w:pPr>
                  <w:r>
                    <w:t>VOCs无组织排放废气收集处理系统要求</w:t>
                  </w:r>
                </w:p>
              </w:tc>
              <w:tc>
                <w:tcPr>
                  <w:tcW w:w="3189" w:type="pct"/>
                  <w:vAlign w:val="center"/>
                </w:tcPr>
                <w:p>
                  <w:pPr>
                    <w:adjustRightInd w:val="0"/>
                    <w:snapToGrid w:val="0"/>
                  </w:pPr>
                  <w:r>
                    <w:t>1、VOCs废气收集处理系统应与生产工艺设备同步运行。VOCs废气收集处理系统发生故障或检修时，对应的生产工艺设备应停止运行，待检修完毕后同步投入使用：生产工艺设备不能停止运行或不能及时停止运行的，应设置废气应急处理设施或采取其他替代措施。2、废气收集系统要求：企业应考虑生产工艺、操作方式、废气性质、处理方法等因素，对VOCs废气进行分类收集。废气收集系统排风罩（集气罩）的设置应符合 GBT16758的规定。采用外部风罩的，应按 GBT16758、 AQT42742016 规定的方法测量控制风速，测量点应选取在距排风罩开口面最远处的VOCs无组织排放位置，控制风速不应低于0.3m/s（行业相关规范有具体规定的，按相关规定执行）。废气收集系统的输送管道应密闭。</w:t>
                  </w:r>
                </w:p>
              </w:tc>
              <w:tc>
                <w:tcPr>
                  <w:tcW w:w="1318" w:type="pct"/>
                  <w:vAlign w:val="center"/>
                </w:tcPr>
                <w:p>
                  <w:pPr>
                    <w:adjustRightInd w:val="0"/>
                    <w:snapToGrid w:val="0"/>
                  </w:pPr>
                  <w:r>
                    <w:t>企业应严格按照环保要求， VOCs废气收集处理系统与生产工艺设备同步运行，</w:t>
                  </w:r>
                  <w:r>
                    <w:rPr>
                      <w:rFonts w:hint="eastAsia"/>
                    </w:rPr>
                    <w:t>项目</w:t>
                  </w:r>
                  <w:r>
                    <w:t>废气收集系统集气罩的设置符合 GBT16758的规定，控制风速不应低于0.5m/s。废气收集系统的输送管道密闭</w:t>
                  </w:r>
                  <w:r>
                    <w:rPr>
                      <w:rFonts w:hint="eastAsia"/>
                    </w:rPr>
                    <w:t>。</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pct"/>
                  <w:vAlign w:val="center"/>
                </w:tcPr>
                <w:p>
                  <w:pPr>
                    <w:adjustRightInd w:val="0"/>
                    <w:snapToGrid w:val="0"/>
                    <w:jc w:val="center"/>
                  </w:pPr>
                  <w:r>
                    <w:t>记录要求</w:t>
                  </w:r>
                </w:p>
              </w:tc>
              <w:tc>
                <w:tcPr>
                  <w:tcW w:w="3189" w:type="pct"/>
                  <w:vAlign w:val="center"/>
                </w:tcPr>
                <w:p>
                  <w:pPr>
                    <w:adjustRightInd w:val="0"/>
                    <w:snapToGrid w:val="0"/>
                  </w:pPr>
                  <w:r>
                    <w:t>企业应建立台账，记录废气收集系统、VOCs处理设施的主要运行和维护信息，如运行时间、废气处理量、操作温度、停留时间、吸附剂再生/更换周期和更换量、催化剂更换周期和更换量、吸收液 pH值等关键运行参数。台账保存期限不少于3年。</w:t>
                  </w:r>
                </w:p>
              </w:tc>
              <w:tc>
                <w:tcPr>
                  <w:tcW w:w="1318" w:type="pct"/>
                  <w:vAlign w:val="center"/>
                </w:tcPr>
                <w:p>
                  <w:pPr>
                    <w:adjustRightInd w:val="0"/>
                    <w:snapToGrid w:val="0"/>
                  </w:pPr>
                  <w:r>
                    <w:t>企业建成投产后需按照（GB37822-2019）要求建立涉VOCs的台账，做好含有 VOCs等危险废物的转移工作及台账记录。</w:t>
                  </w:r>
                </w:p>
              </w:tc>
            </w:tr>
          </w:tbl>
          <w:p/>
        </w:tc>
      </w:tr>
    </w:tbl>
    <w:p>
      <w:pPr>
        <w:rPr>
          <w:rFonts w:eastAsia="黑体"/>
          <w:sz w:val="30"/>
        </w:rPr>
      </w:pPr>
    </w:p>
    <w:p>
      <w:pPr>
        <w:rPr>
          <w:rFonts w:eastAsia="黑体"/>
          <w:sz w:val="30"/>
        </w:rPr>
      </w:pPr>
    </w:p>
    <w:p>
      <w:pPr>
        <w:tabs>
          <w:tab w:val="left" w:pos="462"/>
        </w:tabs>
        <w:rPr>
          <w:rFonts w:eastAsia="黑体"/>
          <w:sz w:val="30"/>
        </w:rPr>
        <w:sectPr>
          <w:footerReference r:id="rId5" w:type="default"/>
          <w:pgSz w:w="11906" w:h="16838"/>
          <w:pgMar w:top="720" w:right="1274" w:bottom="720" w:left="1418" w:header="851" w:footer="1077" w:gutter="0"/>
          <w:pgNumType w:start="1"/>
          <w:cols w:space="720" w:num="1"/>
          <w:docGrid w:linePitch="312" w:charSpace="0"/>
        </w:sectPr>
      </w:pPr>
      <w:r>
        <w:rPr>
          <w:rFonts w:eastAsia="黑体"/>
          <w:sz w:val="30"/>
        </w:rPr>
        <w:tab/>
      </w:r>
    </w:p>
    <w:p>
      <w:pPr>
        <w:pStyle w:val="26"/>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二、建设项目工程分析</w:t>
      </w:r>
    </w:p>
    <w:tbl>
      <w:tblPr>
        <w:tblStyle w:val="29"/>
        <w:tblW w:w="501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48"/>
        <w:gridCol w:w="876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537" w:type="pct"/>
            <w:vAlign w:val="center"/>
          </w:tcPr>
          <w:p>
            <w:pPr>
              <w:pStyle w:val="26"/>
              <w:adjustRightInd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t>建设内容</w:t>
            </w:r>
          </w:p>
        </w:tc>
        <w:tc>
          <w:tcPr>
            <w:tcW w:w="4463" w:type="pct"/>
          </w:tcPr>
          <w:p>
            <w:pPr>
              <w:adjustRightInd w:val="0"/>
              <w:snapToGrid w:val="0"/>
              <w:spacing w:line="360" w:lineRule="auto"/>
              <w:ind w:firstLine="422" w:firstLineChars="200"/>
              <w:rPr>
                <w:b/>
                <w:bCs/>
              </w:rPr>
            </w:pPr>
            <w:r>
              <w:rPr>
                <w:rFonts w:hint="eastAsia"/>
                <w:b/>
                <w:bCs/>
              </w:rPr>
              <w:t>1</w:t>
            </w:r>
            <w:r>
              <w:rPr>
                <w:b/>
                <w:bCs/>
              </w:rPr>
              <w:t>、项目工程规模</w:t>
            </w:r>
          </w:p>
          <w:p>
            <w:pPr>
              <w:widowControl/>
              <w:snapToGrid w:val="0"/>
              <w:spacing w:line="360" w:lineRule="auto"/>
              <w:ind w:firstLine="420" w:firstLineChars="200"/>
              <w:rPr>
                <w:szCs w:val="21"/>
              </w:rPr>
            </w:pPr>
            <w:r>
              <w:rPr>
                <w:szCs w:val="21"/>
              </w:rPr>
              <w:t>惠州市力迈电子有限公司建设项目</w:t>
            </w:r>
            <w:r>
              <w:rPr>
                <w:rFonts w:hint="eastAsia"/>
                <w:szCs w:val="21"/>
              </w:rPr>
              <w:t>（以下称“本项目”）</w:t>
            </w:r>
            <w:r>
              <w:rPr>
                <w:szCs w:val="21"/>
              </w:rPr>
              <w:t>位于惠州市</w:t>
            </w:r>
            <w:r>
              <w:rPr>
                <w:kern w:val="0"/>
              </w:rPr>
              <w:t>博罗县园洲镇河北片绿化二路东侧</w:t>
            </w:r>
            <w:r>
              <w:rPr>
                <w:szCs w:val="21"/>
              </w:rPr>
              <w:t>，其地理位置中心经纬度为N</w:t>
            </w:r>
            <w:r>
              <w:t xml:space="preserve"> </w:t>
            </w:r>
            <w:r>
              <w:rPr>
                <w:szCs w:val="21"/>
              </w:rPr>
              <w:t>23.16611°、E</w:t>
            </w:r>
            <w:r>
              <w:t>113.98399</w:t>
            </w:r>
            <w:r>
              <w:rPr>
                <w:szCs w:val="21"/>
              </w:rPr>
              <w:t>°</w:t>
            </w:r>
            <w:r>
              <w:rPr>
                <w:kern w:val="18"/>
                <w:szCs w:val="21"/>
              </w:rPr>
              <w:t>（具体地理位置见附图1）</w:t>
            </w:r>
            <w:r>
              <w:rPr>
                <w:szCs w:val="21"/>
              </w:rPr>
              <w:t>。本项目总投资28000万元，</w:t>
            </w:r>
            <w:r>
              <w:rPr>
                <w:rFonts w:hint="eastAsia"/>
                <w:szCs w:val="21"/>
              </w:rPr>
              <w:t>其中</w:t>
            </w:r>
            <w:r>
              <w:rPr>
                <w:szCs w:val="21"/>
              </w:rPr>
              <w:t>环保投资</w:t>
            </w:r>
            <w:r>
              <w:rPr>
                <w:rFonts w:hint="eastAsia"/>
                <w:szCs w:val="21"/>
              </w:rPr>
              <w:t>50万元</w:t>
            </w:r>
            <w:r>
              <w:rPr>
                <w:szCs w:val="21"/>
              </w:rPr>
              <w:t>，主要从事</w:t>
            </w:r>
            <w:r>
              <w:rPr>
                <w:rFonts w:hint="eastAsia"/>
                <w:szCs w:val="21"/>
              </w:rPr>
              <w:t>半导体分立</w:t>
            </w:r>
            <w:r>
              <w:rPr>
                <w:szCs w:val="21"/>
              </w:rPr>
              <w:t>器件生产，预计年产</w:t>
            </w:r>
            <w:r>
              <w:rPr>
                <w:rFonts w:hint="eastAsia"/>
                <w:szCs w:val="21"/>
              </w:rPr>
              <w:t>半导体分立</w:t>
            </w:r>
            <w:r>
              <w:rPr>
                <w:szCs w:val="21"/>
              </w:rPr>
              <w:t>器件</w:t>
            </w:r>
            <w:r>
              <w:rPr>
                <w:rFonts w:hint="eastAsia"/>
                <w:szCs w:val="21"/>
              </w:rPr>
              <w:t>20亿</w:t>
            </w:r>
            <w:r>
              <w:rPr>
                <w:szCs w:val="21"/>
              </w:rPr>
              <w:t>只，总占地面积13700平方米，建筑面积20000平方米，主要工程组成见下表。</w:t>
            </w:r>
          </w:p>
          <w:p>
            <w:pPr>
              <w:numPr>
                <w:ilvl w:val="0"/>
                <w:numId w:val="2"/>
              </w:numPr>
              <w:adjustRightInd w:val="0"/>
              <w:snapToGrid w:val="0"/>
              <w:spacing w:line="360" w:lineRule="auto"/>
              <w:ind w:left="322"/>
              <w:jc w:val="center"/>
              <w:rPr>
                <w:b/>
              </w:rPr>
            </w:pPr>
            <w:r>
              <w:rPr>
                <w:b/>
              </w:rPr>
              <w:t>项目工程组成一览表</w:t>
            </w:r>
          </w:p>
          <w:tbl>
            <w:tblPr>
              <w:tblStyle w:val="29"/>
              <w:tblW w:w="4998" w:type="pct"/>
              <w:jc w:val="center"/>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342"/>
              <w:gridCol w:w="1379"/>
              <w:gridCol w:w="5810"/>
            </w:tblGrid>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05" w:hRule="atLeast"/>
                <w:jc w:val="center"/>
              </w:trPr>
              <w:tc>
                <w:tcPr>
                  <w:tcW w:w="787" w:type="pct"/>
                  <w:vAlign w:val="center"/>
                </w:tcPr>
                <w:p>
                  <w:pPr>
                    <w:adjustRightInd w:val="0"/>
                    <w:snapToGrid w:val="0"/>
                    <w:jc w:val="center"/>
                    <w:rPr>
                      <w:b/>
                      <w:szCs w:val="21"/>
                    </w:rPr>
                  </w:pPr>
                  <w:r>
                    <w:rPr>
                      <w:b/>
                      <w:szCs w:val="21"/>
                    </w:rPr>
                    <w:t>类别</w:t>
                  </w:r>
                </w:p>
              </w:tc>
              <w:tc>
                <w:tcPr>
                  <w:tcW w:w="808" w:type="pct"/>
                  <w:vAlign w:val="center"/>
                </w:tcPr>
                <w:p>
                  <w:pPr>
                    <w:adjustRightInd w:val="0"/>
                    <w:snapToGrid w:val="0"/>
                    <w:jc w:val="center"/>
                    <w:rPr>
                      <w:b/>
                      <w:szCs w:val="21"/>
                    </w:rPr>
                  </w:pPr>
                  <w:r>
                    <w:rPr>
                      <w:b/>
                      <w:szCs w:val="21"/>
                    </w:rPr>
                    <w:t>建设内容</w:t>
                  </w:r>
                </w:p>
              </w:tc>
              <w:tc>
                <w:tcPr>
                  <w:tcW w:w="3405" w:type="pct"/>
                  <w:vAlign w:val="center"/>
                </w:tcPr>
                <w:p>
                  <w:pPr>
                    <w:adjustRightInd w:val="0"/>
                    <w:snapToGrid w:val="0"/>
                    <w:jc w:val="center"/>
                    <w:rPr>
                      <w:b/>
                      <w:szCs w:val="21"/>
                    </w:rPr>
                  </w:pPr>
                  <w:r>
                    <w:rPr>
                      <w:b/>
                      <w:szCs w:val="21"/>
                    </w:rPr>
                    <w:t>工程内容</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787" w:type="pct"/>
                  <w:vMerge w:val="restart"/>
                  <w:vAlign w:val="center"/>
                </w:tcPr>
                <w:p>
                  <w:pPr>
                    <w:adjustRightInd w:val="0"/>
                    <w:snapToGrid w:val="0"/>
                    <w:jc w:val="center"/>
                    <w:rPr>
                      <w:szCs w:val="21"/>
                    </w:rPr>
                  </w:pPr>
                  <w:r>
                    <w:rPr>
                      <w:szCs w:val="21"/>
                    </w:rPr>
                    <w:t>主体工程</w:t>
                  </w:r>
                </w:p>
              </w:tc>
              <w:tc>
                <w:tcPr>
                  <w:tcW w:w="808" w:type="pct"/>
                  <w:tcBorders>
                    <w:bottom w:val="single" w:color="auto" w:sz="6" w:space="0"/>
                  </w:tcBorders>
                  <w:vAlign w:val="center"/>
                </w:tcPr>
                <w:p>
                  <w:pPr>
                    <w:adjustRightInd w:val="0"/>
                    <w:snapToGrid w:val="0"/>
                    <w:jc w:val="center"/>
                    <w:rPr>
                      <w:szCs w:val="21"/>
                    </w:rPr>
                  </w:pPr>
                  <w:r>
                    <w:rPr>
                      <w:rFonts w:hint="eastAsia"/>
                      <w:szCs w:val="21"/>
                    </w:rPr>
                    <w:t>厂房</w:t>
                  </w:r>
                  <w:r>
                    <w:rPr>
                      <w:szCs w:val="21"/>
                    </w:rPr>
                    <w:t>A</w:t>
                  </w:r>
                </w:p>
              </w:tc>
              <w:tc>
                <w:tcPr>
                  <w:tcW w:w="3405" w:type="pct"/>
                  <w:tcBorders>
                    <w:bottom w:val="single" w:color="auto" w:sz="6" w:space="0"/>
                  </w:tcBorders>
                  <w:vAlign w:val="center"/>
                </w:tcPr>
                <w:p>
                  <w:pPr>
                    <w:adjustRightInd w:val="0"/>
                    <w:snapToGrid w:val="0"/>
                    <w:rPr>
                      <w:szCs w:val="21"/>
                    </w:rPr>
                  </w:pPr>
                  <w:r>
                    <w:rPr>
                      <w:rFonts w:hint="eastAsia"/>
                      <w:szCs w:val="21"/>
                    </w:rPr>
                    <w:t>5层，</w:t>
                  </w:r>
                  <w:r>
                    <w:rPr>
                      <w:szCs w:val="21"/>
                    </w:rPr>
                    <w:t>占地面积2000m</w:t>
                  </w:r>
                  <w:r>
                    <w:rPr>
                      <w:szCs w:val="21"/>
                      <w:vertAlign w:val="superscript"/>
                    </w:rPr>
                    <w:t>2</w:t>
                  </w:r>
                  <w:r>
                    <w:rPr>
                      <w:szCs w:val="21"/>
                    </w:rPr>
                    <w:t>，建筑面积10565m</w:t>
                  </w:r>
                  <w:r>
                    <w:rPr>
                      <w:szCs w:val="21"/>
                      <w:vertAlign w:val="superscript"/>
                    </w:rPr>
                    <w:t>2</w:t>
                  </w:r>
                  <w:r>
                    <w:rPr>
                      <w:rFonts w:hint="eastAsia"/>
                      <w:szCs w:val="21"/>
                    </w:rPr>
                    <w:t>。</w:t>
                  </w:r>
                  <w:r>
                    <w:rPr>
                      <w:szCs w:val="21"/>
                    </w:rPr>
                    <w:t>一楼主要</w:t>
                  </w:r>
                  <w:r>
                    <w:rPr>
                      <w:rFonts w:hint="eastAsia"/>
                      <w:szCs w:val="21"/>
                    </w:rPr>
                    <w:t>布置</w:t>
                  </w:r>
                  <w:r>
                    <w:rPr>
                      <w:szCs w:val="21"/>
                    </w:rPr>
                    <w:t>塑封</w:t>
                  </w:r>
                  <w:r>
                    <w:rPr>
                      <w:rFonts w:hint="eastAsia"/>
                      <w:szCs w:val="21"/>
                    </w:rPr>
                    <w:t>区</w:t>
                  </w:r>
                  <w:r>
                    <w:rPr>
                      <w:szCs w:val="21"/>
                    </w:rPr>
                    <w:t>、烘烤</w:t>
                  </w:r>
                  <w:r>
                    <w:rPr>
                      <w:rFonts w:hint="eastAsia"/>
                      <w:szCs w:val="21"/>
                    </w:rPr>
                    <w:t>区</w:t>
                  </w:r>
                  <w:r>
                    <w:rPr>
                      <w:szCs w:val="21"/>
                    </w:rPr>
                    <w:t>、切筋</w:t>
                  </w:r>
                  <w:r>
                    <w:rPr>
                      <w:rFonts w:hint="eastAsia"/>
                      <w:szCs w:val="21"/>
                    </w:rPr>
                    <w:t>区、</w:t>
                  </w:r>
                  <w:r>
                    <w:rPr>
                      <w:szCs w:val="21"/>
                    </w:rPr>
                    <w:t>点胶区</w:t>
                  </w:r>
                  <w:r>
                    <w:rPr>
                      <w:rFonts w:hint="eastAsia"/>
                      <w:szCs w:val="21"/>
                    </w:rPr>
                    <w:t>、</w:t>
                  </w:r>
                  <w:r>
                    <w:rPr>
                      <w:szCs w:val="21"/>
                    </w:rPr>
                    <w:t>回流焊测试区；二楼主要</w:t>
                  </w:r>
                  <w:r>
                    <w:rPr>
                      <w:rFonts w:hint="eastAsia"/>
                      <w:szCs w:val="21"/>
                    </w:rPr>
                    <w:t>布置</w:t>
                  </w:r>
                  <w:r>
                    <w:rPr>
                      <w:szCs w:val="21"/>
                    </w:rPr>
                    <w:t>粘片焊线车间、原料仓库；三楼主要布置划片区、粘片焊线区；四楼主要布置测试区、激光打印区；五楼主要布置</w:t>
                  </w:r>
                  <w:r>
                    <w:rPr>
                      <w:rFonts w:hint="eastAsia"/>
                      <w:szCs w:val="21"/>
                    </w:rPr>
                    <w:t>原材料仓库</w:t>
                  </w:r>
                  <w:r>
                    <w:rPr>
                      <w:szCs w:val="21"/>
                    </w:rPr>
                    <w:t>、成品仓库、检验区。</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787" w:type="pct"/>
                  <w:vMerge w:val="continue"/>
                  <w:tcBorders>
                    <w:bottom w:val="single" w:color="auto" w:sz="6" w:space="0"/>
                  </w:tcBorders>
                  <w:vAlign w:val="center"/>
                </w:tcPr>
                <w:p>
                  <w:pPr>
                    <w:adjustRightInd w:val="0"/>
                    <w:snapToGrid w:val="0"/>
                    <w:jc w:val="center"/>
                    <w:rPr>
                      <w:szCs w:val="21"/>
                    </w:rPr>
                  </w:pPr>
                </w:p>
              </w:tc>
              <w:tc>
                <w:tcPr>
                  <w:tcW w:w="808" w:type="pct"/>
                  <w:tcBorders>
                    <w:bottom w:val="single" w:color="auto" w:sz="6" w:space="0"/>
                  </w:tcBorders>
                  <w:vAlign w:val="center"/>
                </w:tcPr>
                <w:p>
                  <w:pPr>
                    <w:adjustRightInd w:val="0"/>
                    <w:snapToGrid w:val="0"/>
                    <w:jc w:val="center"/>
                    <w:rPr>
                      <w:szCs w:val="21"/>
                    </w:rPr>
                  </w:pPr>
                  <w:r>
                    <w:rPr>
                      <w:rFonts w:hint="eastAsia"/>
                      <w:szCs w:val="21"/>
                    </w:rPr>
                    <w:t>厂房</w:t>
                  </w:r>
                  <w:r>
                    <w:rPr>
                      <w:szCs w:val="21"/>
                    </w:rPr>
                    <w:t>B</w:t>
                  </w:r>
                </w:p>
              </w:tc>
              <w:tc>
                <w:tcPr>
                  <w:tcW w:w="3405" w:type="pct"/>
                  <w:tcBorders>
                    <w:bottom w:val="single" w:color="auto" w:sz="6" w:space="0"/>
                  </w:tcBorders>
                  <w:vAlign w:val="center"/>
                </w:tcPr>
                <w:p>
                  <w:pPr>
                    <w:adjustRightInd w:val="0"/>
                    <w:snapToGrid w:val="0"/>
                    <w:rPr>
                      <w:szCs w:val="21"/>
                    </w:rPr>
                  </w:pPr>
                  <w:r>
                    <w:rPr>
                      <w:rFonts w:hint="eastAsia"/>
                      <w:szCs w:val="21"/>
                    </w:rPr>
                    <w:t>1层</w:t>
                  </w:r>
                  <w:r>
                    <w:rPr>
                      <w:szCs w:val="21"/>
                    </w:rPr>
                    <w:t>，</w:t>
                  </w:r>
                  <w:r>
                    <w:rPr>
                      <w:rFonts w:hint="eastAsia"/>
                      <w:szCs w:val="21"/>
                    </w:rPr>
                    <w:t>占地</w:t>
                  </w:r>
                  <w:r>
                    <w:rPr>
                      <w:szCs w:val="21"/>
                    </w:rPr>
                    <w:t>3120m</w:t>
                  </w:r>
                  <w:r>
                    <w:rPr>
                      <w:szCs w:val="21"/>
                      <w:vertAlign w:val="superscript"/>
                    </w:rPr>
                    <w:t>2</w:t>
                  </w:r>
                  <w:r>
                    <w:rPr>
                      <w:szCs w:val="21"/>
                    </w:rPr>
                    <w:t>，建筑面积3120m</w:t>
                  </w:r>
                  <w:r>
                    <w:rPr>
                      <w:szCs w:val="21"/>
                      <w:vertAlign w:val="superscript"/>
                    </w:rPr>
                    <w:t>2</w:t>
                  </w:r>
                  <w:r>
                    <w:rPr>
                      <w:rFonts w:hint="eastAsia"/>
                      <w:szCs w:val="21"/>
                    </w:rPr>
                    <w:t>，</w:t>
                  </w:r>
                  <w:r>
                    <w:rPr>
                      <w:szCs w:val="21"/>
                    </w:rPr>
                    <w:t>主要</w:t>
                  </w:r>
                  <w:r>
                    <w:rPr>
                      <w:rFonts w:hint="eastAsia"/>
                      <w:szCs w:val="21"/>
                    </w:rPr>
                    <w:t>布置</w:t>
                  </w:r>
                  <w:r>
                    <w:rPr>
                      <w:szCs w:val="21"/>
                    </w:rPr>
                    <w:t>塑封</w:t>
                  </w:r>
                  <w:r>
                    <w:rPr>
                      <w:rFonts w:hint="eastAsia"/>
                      <w:szCs w:val="21"/>
                    </w:rPr>
                    <w:t>区</w:t>
                  </w:r>
                  <w:r>
                    <w:rPr>
                      <w:szCs w:val="21"/>
                    </w:rPr>
                    <w:t>、</w:t>
                  </w:r>
                  <w:r>
                    <w:rPr>
                      <w:rFonts w:hint="eastAsia"/>
                      <w:szCs w:val="21"/>
                    </w:rPr>
                    <w:t>固化区</w:t>
                  </w:r>
                  <w:r>
                    <w:rPr>
                      <w:szCs w:val="21"/>
                    </w:rPr>
                    <w:t>、</w:t>
                  </w:r>
                  <w:r>
                    <w:rPr>
                      <w:rFonts w:hint="eastAsia"/>
                      <w:szCs w:val="21"/>
                    </w:rPr>
                    <w:t>测试区</w:t>
                  </w:r>
                  <w:r>
                    <w:rPr>
                      <w:szCs w:val="21"/>
                    </w:rPr>
                    <w:t>、粘片焊线区、清洗区</w:t>
                  </w:r>
                  <w:r>
                    <w:rPr>
                      <w:rFonts w:hint="eastAsia"/>
                      <w:szCs w:val="21"/>
                    </w:rPr>
                    <w:t>、</w:t>
                  </w:r>
                  <w:r>
                    <w:rPr>
                      <w:szCs w:val="21"/>
                    </w:rPr>
                    <w:t>原材料仓库等</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87" w:type="pct"/>
                  <w:vMerge w:val="restart"/>
                  <w:vAlign w:val="center"/>
                </w:tcPr>
                <w:p>
                  <w:pPr>
                    <w:adjustRightInd w:val="0"/>
                    <w:snapToGrid w:val="0"/>
                    <w:jc w:val="center"/>
                    <w:rPr>
                      <w:szCs w:val="21"/>
                    </w:rPr>
                  </w:pPr>
                  <w:r>
                    <w:rPr>
                      <w:szCs w:val="21"/>
                    </w:rPr>
                    <w:t>辅助工程</w:t>
                  </w:r>
                </w:p>
              </w:tc>
              <w:tc>
                <w:tcPr>
                  <w:tcW w:w="808" w:type="pct"/>
                  <w:vAlign w:val="center"/>
                </w:tcPr>
                <w:p>
                  <w:pPr>
                    <w:adjustRightInd w:val="0"/>
                    <w:snapToGrid w:val="0"/>
                    <w:jc w:val="center"/>
                    <w:rPr>
                      <w:szCs w:val="21"/>
                    </w:rPr>
                  </w:pPr>
                  <w:r>
                    <w:rPr>
                      <w:rFonts w:hint="eastAsia"/>
                      <w:szCs w:val="21"/>
                    </w:rPr>
                    <w:t>宿舍</w:t>
                  </w:r>
                </w:p>
              </w:tc>
              <w:tc>
                <w:tcPr>
                  <w:tcW w:w="3405" w:type="pct"/>
                  <w:vAlign w:val="center"/>
                </w:tcPr>
                <w:p>
                  <w:pPr>
                    <w:adjustRightInd w:val="0"/>
                    <w:snapToGrid w:val="0"/>
                    <w:rPr>
                      <w:szCs w:val="21"/>
                    </w:rPr>
                  </w:pPr>
                  <w:r>
                    <w:rPr>
                      <w:szCs w:val="21"/>
                    </w:rPr>
                    <w:t>6</w:t>
                  </w:r>
                  <w:r>
                    <w:rPr>
                      <w:rFonts w:hint="eastAsia"/>
                      <w:szCs w:val="21"/>
                    </w:rPr>
                    <w:t>层</w:t>
                  </w:r>
                  <w:r>
                    <w:rPr>
                      <w:szCs w:val="21"/>
                    </w:rPr>
                    <w:t>，</w:t>
                  </w:r>
                  <w:r>
                    <w:rPr>
                      <w:rFonts w:hint="eastAsia"/>
                      <w:szCs w:val="21"/>
                    </w:rPr>
                    <w:t>占地</w:t>
                  </w:r>
                  <w:r>
                    <w:rPr>
                      <w:szCs w:val="21"/>
                    </w:rPr>
                    <w:t>793m</w:t>
                  </w:r>
                  <w:r>
                    <w:rPr>
                      <w:szCs w:val="21"/>
                      <w:vertAlign w:val="superscript"/>
                    </w:rPr>
                    <w:t>2</w:t>
                  </w:r>
                  <w:r>
                    <w:rPr>
                      <w:szCs w:val="21"/>
                    </w:rPr>
                    <w:t>，建筑面积4950m</w:t>
                  </w:r>
                  <w:r>
                    <w:rPr>
                      <w:szCs w:val="21"/>
                      <w:vertAlign w:val="superscript"/>
                    </w:rPr>
                    <w:t>2</w:t>
                  </w:r>
                  <w:r>
                    <w:rPr>
                      <w:rFonts w:hint="eastAsia"/>
                      <w:szCs w:val="21"/>
                    </w:rPr>
                    <w:t>，首层</w:t>
                  </w:r>
                  <w:r>
                    <w:rPr>
                      <w:szCs w:val="21"/>
                    </w:rPr>
                    <w:t>为食堂，其余为员工宿舍</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87" w:type="pct"/>
                  <w:vMerge w:val="continue"/>
                  <w:vAlign w:val="center"/>
                </w:tcPr>
                <w:p>
                  <w:pPr>
                    <w:adjustRightInd w:val="0"/>
                    <w:snapToGrid w:val="0"/>
                    <w:jc w:val="center"/>
                    <w:rPr>
                      <w:szCs w:val="21"/>
                    </w:rPr>
                  </w:pPr>
                </w:p>
              </w:tc>
              <w:tc>
                <w:tcPr>
                  <w:tcW w:w="808" w:type="pct"/>
                  <w:vAlign w:val="center"/>
                </w:tcPr>
                <w:p>
                  <w:pPr>
                    <w:adjustRightInd w:val="0"/>
                    <w:snapToGrid w:val="0"/>
                    <w:jc w:val="center"/>
                    <w:rPr>
                      <w:szCs w:val="21"/>
                    </w:rPr>
                  </w:pPr>
                  <w:r>
                    <w:rPr>
                      <w:rFonts w:hint="eastAsia"/>
                      <w:szCs w:val="21"/>
                    </w:rPr>
                    <w:t>办公楼</w:t>
                  </w:r>
                </w:p>
              </w:tc>
              <w:tc>
                <w:tcPr>
                  <w:tcW w:w="3405" w:type="pct"/>
                  <w:vAlign w:val="center"/>
                </w:tcPr>
                <w:p>
                  <w:pPr>
                    <w:adjustRightInd w:val="0"/>
                    <w:snapToGrid w:val="0"/>
                    <w:rPr>
                      <w:szCs w:val="21"/>
                    </w:rPr>
                  </w:pPr>
                  <w:r>
                    <w:rPr>
                      <w:szCs w:val="21"/>
                    </w:rPr>
                    <w:t>3</w:t>
                  </w:r>
                  <w:r>
                    <w:rPr>
                      <w:rFonts w:hint="eastAsia"/>
                      <w:szCs w:val="21"/>
                    </w:rPr>
                    <w:t>层，</w:t>
                  </w:r>
                  <w:r>
                    <w:rPr>
                      <w:szCs w:val="21"/>
                    </w:rPr>
                    <w:t>占地面积455m</w:t>
                  </w:r>
                  <w:r>
                    <w:rPr>
                      <w:szCs w:val="21"/>
                      <w:vertAlign w:val="superscript"/>
                    </w:rPr>
                    <w:t>2</w:t>
                  </w:r>
                  <w:r>
                    <w:rPr>
                      <w:szCs w:val="21"/>
                    </w:rPr>
                    <w:t>，建筑面积1365m</w:t>
                  </w:r>
                  <w:r>
                    <w:rPr>
                      <w:szCs w:val="21"/>
                      <w:vertAlign w:val="superscript"/>
                    </w:rPr>
                    <w:t>2</w:t>
                  </w:r>
                  <w:r>
                    <w:rPr>
                      <w:rFonts w:hint="eastAsia"/>
                      <w:szCs w:val="21"/>
                    </w:rPr>
                    <w:t>，主要</w:t>
                  </w:r>
                  <w:r>
                    <w:rPr>
                      <w:szCs w:val="21"/>
                    </w:rPr>
                    <w:t>为办公室、会议室等</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87" w:type="pct"/>
                  <w:vMerge w:val="restart"/>
                  <w:vAlign w:val="center"/>
                </w:tcPr>
                <w:p>
                  <w:pPr>
                    <w:adjustRightInd w:val="0"/>
                    <w:snapToGrid w:val="0"/>
                    <w:jc w:val="center"/>
                    <w:rPr>
                      <w:szCs w:val="21"/>
                    </w:rPr>
                  </w:pPr>
                  <w:r>
                    <w:rPr>
                      <w:szCs w:val="21"/>
                    </w:rPr>
                    <w:t>储运工程</w:t>
                  </w:r>
                </w:p>
              </w:tc>
              <w:tc>
                <w:tcPr>
                  <w:tcW w:w="808" w:type="pct"/>
                  <w:vAlign w:val="center"/>
                </w:tcPr>
                <w:p>
                  <w:pPr>
                    <w:adjustRightInd w:val="0"/>
                    <w:snapToGrid w:val="0"/>
                    <w:jc w:val="center"/>
                    <w:rPr>
                      <w:szCs w:val="21"/>
                    </w:rPr>
                  </w:pPr>
                  <w:r>
                    <w:rPr>
                      <w:szCs w:val="21"/>
                    </w:rPr>
                    <w:t>成品仓库</w:t>
                  </w:r>
                </w:p>
              </w:tc>
              <w:tc>
                <w:tcPr>
                  <w:tcW w:w="3405" w:type="pct"/>
                  <w:vAlign w:val="center"/>
                </w:tcPr>
                <w:p>
                  <w:pPr>
                    <w:adjustRightInd w:val="0"/>
                    <w:snapToGrid w:val="0"/>
                    <w:rPr>
                      <w:szCs w:val="21"/>
                    </w:rPr>
                  </w:pPr>
                  <w:r>
                    <w:rPr>
                      <w:rFonts w:hint="eastAsia"/>
                      <w:szCs w:val="21"/>
                    </w:rPr>
                    <w:t>厂房1五楼</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87" w:type="pct"/>
                  <w:vMerge w:val="continue"/>
                  <w:vAlign w:val="center"/>
                </w:tcPr>
                <w:p>
                  <w:pPr>
                    <w:adjustRightInd w:val="0"/>
                    <w:snapToGrid w:val="0"/>
                    <w:jc w:val="center"/>
                    <w:rPr>
                      <w:szCs w:val="21"/>
                    </w:rPr>
                  </w:pPr>
                </w:p>
              </w:tc>
              <w:tc>
                <w:tcPr>
                  <w:tcW w:w="808" w:type="pct"/>
                  <w:vAlign w:val="center"/>
                </w:tcPr>
                <w:p>
                  <w:pPr>
                    <w:adjustRightInd w:val="0"/>
                    <w:snapToGrid w:val="0"/>
                    <w:jc w:val="center"/>
                    <w:rPr>
                      <w:szCs w:val="21"/>
                    </w:rPr>
                  </w:pPr>
                  <w:r>
                    <w:rPr>
                      <w:rFonts w:hint="eastAsia"/>
                      <w:szCs w:val="21"/>
                    </w:rPr>
                    <w:t>原材料</w:t>
                  </w:r>
                  <w:r>
                    <w:rPr>
                      <w:szCs w:val="21"/>
                    </w:rPr>
                    <w:t>仓库</w:t>
                  </w:r>
                </w:p>
              </w:tc>
              <w:tc>
                <w:tcPr>
                  <w:tcW w:w="3405" w:type="pct"/>
                  <w:vAlign w:val="center"/>
                </w:tcPr>
                <w:p>
                  <w:pPr>
                    <w:adjustRightInd w:val="0"/>
                    <w:snapToGrid w:val="0"/>
                    <w:rPr>
                      <w:szCs w:val="21"/>
                    </w:rPr>
                  </w:pPr>
                  <w:r>
                    <w:rPr>
                      <w:rFonts w:hint="eastAsia"/>
                      <w:szCs w:val="21"/>
                    </w:rPr>
                    <w:t>分布于厂房1二楼</w:t>
                  </w:r>
                  <w:r>
                    <w:rPr>
                      <w:szCs w:val="21"/>
                    </w:rPr>
                    <w:t>、五楼</w:t>
                  </w:r>
                  <w:r>
                    <w:rPr>
                      <w:rFonts w:hint="eastAsia"/>
                      <w:szCs w:val="21"/>
                    </w:rPr>
                    <w:t>以及</w:t>
                  </w:r>
                  <w:r>
                    <w:rPr>
                      <w:szCs w:val="21"/>
                    </w:rPr>
                    <w:t>厂房</w:t>
                  </w:r>
                  <w:r>
                    <w:rPr>
                      <w:rFonts w:hint="eastAsia"/>
                      <w:szCs w:val="21"/>
                    </w:rPr>
                    <w:t>2</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87" w:type="pct"/>
                  <w:vMerge w:val="restart"/>
                  <w:vAlign w:val="center"/>
                </w:tcPr>
                <w:p>
                  <w:pPr>
                    <w:adjustRightInd w:val="0"/>
                    <w:snapToGrid w:val="0"/>
                    <w:jc w:val="center"/>
                    <w:rPr>
                      <w:szCs w:val="21"/>
                    </w:rPr>
                  </w:pPr>
                  <w:r>
                    <w:rPr>
                      <w:szCs w:val="21"/>
                    </w:rPr>
                    <w:t>公用工程</w:t>
                  </w:r>
                </w:p>
              </w:tc>
              <w:tc>
                <w:tcPr>
                  <w:tcW w:w="808" w:type="pct"/>
                  <w:vAlign w:val="center"/>
                </w:tcPr>
                <w:p>
                  <w:pPr>
                    <w:adjustRightInd w:val="0"/>
                    <w:snapToGrid w:val="0"/>
                    <w:jc w:val="center"/>
                    <w:rPr>
                      <w:szCs w:val="21"/>
                    </w:rPr>
                  </w:pPr>
                  <w:r>
                    <w:rPr>
                      <w:szCs w:val="21"/>
                    </w:rPr>
                    <w:t>给水工程</w:t>
                  </w:r>
                </w:p>
              </w:tc>
              <w:tc>
                <w:tcPr>
                  <w:tcW w:w="3405" w:type="pct"/>
                  <w:vAlign w:val="center"/>
                </w:tcPr>
                <w:p>
                  <w:pPr>
                    <w:adjustRightInd w:val="0"/>
                    <w:snapToGrid w:val="0"/>
                    <w:rPr>
                      <w:szCs w:val="21"/>
                    </w:rPr>
                  </w:pPr>
                  <w:r>
                    <w:rPr>
                      <w:szCs w:val="21"/>
                    </w:rPr>
                    <w:t>市政自来水供应</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14" w:hRule="atLeast"/>
                <w:jc w:val="center"/>
              </w:trPr>
              <w:tc>
                <w:tcPr>
                  <w:tcW w:w="787" w:type="pct"/>
                  <w:vMerge w:val="continue"/>
                  <w:vAlign w:val="center"/>
                </w:tcPr>
                <w:p>
                  <w:pPr>
                    <w:adjustRightInd w:val="0"/>
                    <w:snapToGrid w:val="0"/>
                    <w:jc w:val="center"/>
                    <w:rPr>
                      <w:szCs w:val="21"/>
                    </w:rPr>
                  </w:pPr>
                </w:p>
              </w:tc>
              <w:tc>
                <w:tcPr>
                  <w:tcW w:w="808" w:type="pct"/>
                  <w:vAlign w:val="center"/>
                </w:tcPr>
                <w:p>
                  <w:pPr>
                    <w:adjustRightInd w:val="0"/>
                    <w:snapToGrid w:val="0"/>
                    <w:jc w:val="center"/>
                    <w:rPr>
                      <w:szCs w:val="21"/>
                    </w:rPr>
                  </w:pPr>
                  <w:r>
                    <w:rPr>
                      <w:szCs w:val="21"/>
                    </w:rPr>
                    <w:t>排水工程</w:t>
                  </w:r>
                </w:p>
              </w:tc>
              <w:tc>
                <w:tcPr>
                  <w:tcW w:w="3405" w:type="pct"/>
                  <w:vAlign w:val="center"/>
                </w:tcPr>
                <w:p>
                  <w:pPr>
                    <w:adjustRightInd w:val="0"/>
                    <w:snapToGrid w:val="0"/>
                    <w:rPr>
                      <w:szCs w:val="21"/>
                    </w:rPr>
                  </w:pPr>
                  <w:r>
                    <w:rPr>
                      <w:szCs w:val="21"/>
                    </w:rPr>
                    <w:t>雨污分流，雨水经厂区雨水管道排污市政雨水管网；生活污水经三级化粪池</w:t>
                  </w:r>
                  <w:r>
                    <w:rPr>
                      <w:rFonts w:hint="eastAsia"/>
                      <w:szCs w:val="21"/>
                    </w:rPr>
                    <w:t>、</w:t>
                  </w:r>
                  <w:r>
                    <w:rPr>
                      <w:szCs w:val="21"/>
                    </w:rPr>
                    <w:t>隔油隔渣池预处理后排入园洲镇第四污水处理厂</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87" w:type="pct"/>
                  <w:vMerge w:val="continue"/>
                  <w:vAlign w:val="center"/>
                </w:tcPr>
                <w:p>
                  <w:pPr>
                    <w:adjustRightInd w:val="0"/>
                    <w:snapToGrid w:val="0"/>
                    <w:jc w:val="center"/>
                    <w:rPr>
                      <w:szCs w:val="21"/>
                    </w:rPr>
                  </w:pPr>
                </w:p>
              </w:tc>
              <w:tc>
                <w:tcPr>
                  <w:tcW w:w="808" w:type="pct"/>
                  <w:vAlign w:val="center"/>
                </w:tcPr>
                <w:p>
                  <w:pPr>
                    <w:adjustRightInd w:val="0"/>
                    <w:snapToGrid w:val="0"/>
                    <w:jc w:val="center"/>
                    <w:rPr>
                      <w:szCs w:val="21"/>
                    </w:rPr>
                  </w:pPr>
                  <w:r>
                    <w:rPr>
                      <w:szCs w:val="21"/>
                    </w:rPr>
                    <w:t>供电工程</w:t>
                  </w:r>
                </w:p>
              </w:tc>
              <w:tc>
                <w:tcPr>
                  <w:tcW w:w="3405" w:type="pct"/>
                  <w:vAlign w:val="center"/>
                </w:tcPr>
                <w:p>
                  <w:pPr>
                    <w:adjustRightInd w:val="0"/>
                    <w:snapToGrid w:val="0"/>
                    <w:rPr>
                      <w:szCs w:val="21"/>
                    </w:rPr>
                  </w:pPr>
                  <w:r>
                    <w:rPr>
                      <w:szCs w:val="21"/>
                    </w:rPr>
                    <w:t>市政电网供应</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77" w:hRule="atLeast"/>
                <w:jc w:val="center"/>
              </w:trPr>
              <w:tc>
                <w:tcPr>
                  <w:tcW w:w="787" w:type="pct"/>
                  <w:vMerge w:val="restart"/>
                  <w:vAlign w:val="center"/>
                </w:tcPr>
                <w:p>
                  <w:pPr>
                    <w:adjustRightInd w:val="0"/>
                    <w:snapToGrid w:val="0"/>
                    <w:jc w:val="center"/>
                    <w:rPr>
                      <w:szCs w:val="21"/>
                    </w:rPr>
                  </w:pPr>
                  <w:r>
                    <w:rPr>
                      <w:szCs w:val="21"/>
                    </w:rPr>
                    <w:t>环保工程</w:t>
                  </w:r>
                </w:p>
              </w:tc>
              <w:tc>
                <w:tcPr>
                  <w:tcW w:w="808" w:type="pct"/>
                  <w:vAlign w:val="center"/>
                </w:tcPr>
                <w:p>
                  <w:pPr>
                    <w:adjustRightInd w:val="0"/>
                    <w:snapToGrid w:val="0"/>
                    <w:jc w:val="center"/>
                    <w:rPr>
                      <w:szCs w:val="21"/>
                    </w:rPr>
                  </w:pPr>
                  <w:r>
                    <w:rPr>
                      <w:szCs w:val="21"/>
                    </w:rPr>
                    <w:t>废气处理</w:t>
                  </w:r>
                </w:p>
              </w:tc>
              <w:tc>
                <w:tcPr>
                  <w:tcW w:w="3405" w:type="pct"/>
                  <w:vAlign w:val="center"/>
                </w:tcPr>
                <w:p>
                  <w:pPr>
                    <w:pStyle w:val="75"/>
                    <w:ind w:firstLine="0" w:firstLineChars="0"/>
                    <w:rPr>
                      <w:szCs w:val="21"/>
                    </w:rPr>
                  </w:pPr>
                  <w:r>
                    <w:rPr>
                      <w:rFonts w:hint="eastAsia"/>
                    </w:rPr>
                    <w:t>厂房A（粘片</w:t>
                  </w:r>
                  <w:r>
                    <w:t>、点胶、塑封</w:t>
                  </w:r>
                  <w:r>
                    <w:rPr>
                      <w:rFonts w:hint="eastAsia"/>
                    </w:rPr>
                    <w:t>固化废气）：</w:t>
                  </w:r>
                  <w:r>
                    <w:rPr>
                      <w:szCs w:val="21"/>
                    </w:rPr>
                    <w:t>经集气罩收集后引至</w:t>
                  </w:r>
                  <w:r>
                    <w:rPr>
                      <w:rFonts w:hint="eastAsia"/>
                      <w:szCs w:val="21"/>
                    </w:rPr>
                    <w:t>“喷淋塔+干式</w:t>
                  </w:r>
                  <w:r>
                    <w:rPr>
                      <w:szCs w:val="21"/>
                    </w:rPr>
                    <w:t>除雾器</w:t>
                  </w:r>
                  <w:r>
                    <w:rPr>
                      <w:rFonts w:hint="eastAsia"/>
                      <w:szCs w:val="21"/>
                    </w:rPr>
                    <w:t>+两级</w:t>
                  </w:r>
                  <w:r>
                    <w:rPr>
                      <w:szCs w:val="21"/>
                    </w:rPr>
                    <w:t>活性炭</w:t>
                  </w:r>
                  <w:r>
                    <w:rPr>
                      <w:rFonts w:hint="eastAsia"/>
                      <w:szCs w:val="21"/>
                    </w:rPr>
                    <w:t>”</w:t>
                  </w:r>
                  <w:r>
                    <w:rPr>
                      <w:szCs w:val="21"/>
                    </w:rPr>
                    <w:t>装置处理</w:t>
                  </w:r>
                  <w:r>
                    <w:rPr>
                      <w:rFonts w:hint="eastAsia"/>
                      <w:szCs w:val="21"/>
                    </w:rPr>
                    <w:t>后</w:t>
                  </w:r>
                  <w:r>
                    <w:rPr>
                      <w:szCs w:val="21"/>
                    </w:rPr>
                    <w:t>经DA002排气筒（25米） 排放</w:t>
                  </w:r>
                </w:p>
                <w:p>
                  <w:pPr>
                    <w:pStyle w:val="75"/>
                    <w:ind w:firstLine="0" w:firstLineChars="0"/>
                    <w:rPr>
                      <w:szCs w:val="21"/>
                    </w:rPr>
                  </w:pPr>
                  <w:r>
                    <w:rPr>
                      <w:rFonts w:hint="eastAsia"/>
                    </w:rPr>
                    <w:t>厂房</w:t>
                  </w:r>
                  <w:r>
                    <w:t>B</w:t>
                  </w:r>
                  <w:r>
                    <w:rPr>
                      <w:rFonts w:hint="eastAsia"/>
                    </w:rPr>
                    <w:t>（粘片</w:t>
                  </w:r>
                  <w:r>
                    <w:t>、点胶、塑封</w:t>
                  </w:r>
                  <w:r>
                    <w:rPr>
                      <w:rFonts w:hint="eastAsia"/>
                    </w:rPr>
                    <w:t>固化废气）：</w:t>
                  </w:r>
                  <w:r>
                    <w:rPr>
                      <w:szCs w:val="21"/>
                    </w:rPr>
                    <w:t>经集气罩收集后引至</w:t>
                  </w:r>
                  <w:r>
                    <w:rPr>
                      <w:rFonts w:hint="eastAsia"/>
                      <w:szCs w:val="21"/>
                    </w:rPr>
                    <w:t>“喷淋塔+干式</w:t>
                  </w:r>
                  <w:r>
                    <w:rPr>
                      <w:szCs w:val="21"/>
                    </w:rPr>
                    <w:t>除雾器</w:t>
                  </w:r>
                  <w:r>
                    <w:rPr>
                      <w:rFonts w:hint="eastAsia"/>
                      <w:szCs w:val="21"/>
                    </w:rPr>
                    <w:t>+两级</w:t>
                  </w:r>
                  <w:r>
                    <w:rPr>
                      <w:szCs w:val="21"/>
                    </w:rPr>
                    <w:t>活性炭</w:t>
                  </w:r>
                  <w:r>
                    <w:rPr>
                      <w:rFonts w:hint="eastAsia"/>
                      <w:szCs w:val="21"/>
                    </w:rPr>
                    <w:t>”</w:t>
                  </w:r>
                  <w:r>
                    <w:rPr>
                      <w:szCs w:val="21"/>
                    </w:rPr>
                    <w:t>装置处理</w:t>
                  </w:r>
                  <w:r>
                    <w:rPr>
                      <w:rFonts w:hint="eastAsia"/>
                      <w:szCs w:val="21"/>
                    </w:rPr>
                    <w:t>后</w:t>
                  </w:r>
                  <w:r>
                    <w:rPr>
                      <w:szCs w:val="21"/>
                    </w:rPr>
                    <w:t>经DA002排气筒（15米） 排放</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52" w:hRule="atLeast"/>
                <w:jc w:val="center"/>
              </w:trPr>
              <w:tc>
                <w:tcPr>
                  <w:tcW w:w="787" w:type="pct"/>
                  <w:vMerge w:val="continue"/>
                  <w:vAlign w:val="center"/>
                </w:tcPr>
                <w:p>
                  <w:pPr>
                    <w:adjustRightInd w:val="0"/>
                    <w:snapToGrid w:val="0"/>
                    <w:jc w:val="center"/>
                    <w:rPr>
                      <w:szCs w:val="21"/>
                    </w:rPr>
                  </w:pPr>
                </w:p>
              </w:tc>
              <w:tc>
                <w:tcPr>
                  <w:tcW w:w="808" w:type="pct"/>
                  <w:vAlign w:val="center"/>
                </w:tcPr>
                <w:p>
                  <w:pPr>
                    <w:adjustRightInd w:val="0"/>
                    <w:snapToGrid w:val="0"/>
                    <w:jc w:val="center"/>
                    <w:rPr>
                      <w:szCs w:val="21"/>
                    </w:rPr>
                  </w:pPr>
                  <w:r>
                    <w:rPr>
                      <w:szCs w:val="21"/>
                    </w:rPr>
                    <w:t>废水处理</w:t>
                  </w:r>
                </w:p>
              </w:tc>
              <w:tc>
                <w:tcPr>
                  <w:tcW w:w="3405" w:type="pct"/>
                  <w:vAlign w:val="center"/>
                </w:tcPr>
                <w:p>
                  <w:pPr>
                    <w:rPr>
                      <w:szCs w:val="21"/>
                    </w:rPr>
                  </w:pPr>
                  <w:r>
                    <w:rPr>
                      <w:rFonts w:hint="eastAsia"/>
                      <w:szCs w:val="21"/>
                    </w:rPr>
                    <w:t>清洗用水</w:t>
                  </w:r>
                  <w:r>
                    <w:rPr>
                      <w:szCs w:val="21"/>
                    </w:rPr>
                    <w:t>循环使用，不外排；</w:t>
                  </w:r>
                  <w:r>
                    <w:rPr>
                      <w:rFonts w:hint="eastAsia"/>
                      <w:szCs w:val="21"/>
                    </w:rPr>
                    <w:t>喷淋塔用水</w:t>
                  </w:r>
                  <w:r>
                    <w:rPr>
                      <w:szCs w:val="21"/>
                    </w:rPr>
                    <w:t>循环使用，不外排。</w:t>
                  </w:r>
                </w:p>
                <w:p>
                  <w:pPr>
                    <w:rPr>
                      <w:szCs w:val="21"/>
                    </w:rPr>
                  </w:pPr>
                  <w:r>
                    <w:rPr>
                      <w:szCs w:val="21"/>
                    </w:rPr>
                    <w:t>生活污水：经化粪池处理后排入市政污水管网，经</w:t>
                  </w:r>
                  <w:r>
                    <w:rPr>
                      <w:kern w:val="0"/>
                      <w:szCs w:val="21"/>
                    </w:rPr>
                    <w:t>园洲镇第四污水处理厂</w:t>
                  </w:r>
                  <w:r>
                    <w:rPr>
                      <w:szCs w:val="21"/>
                    </w:rPr>
                    <w:t>集中处理</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87" w:type="pct"/>
                  <w:vMerge w:val="continue"/>
                  <w:vAlign w:val="center"/>
                </w:tcPr>
                <w:p>
                  <w:pPr>
                    <w:adjustRightInd w:val="0"/>
                    <w:snapToGrid w:val="0"/>
                    <w:jc w:val="center"/>
                    <w:rPr>
                      <w:szCs w:val="21"/>
                    </w:rPr>
                  </w:pPr>
                </w:p>
              </w:tc>
              <w:tc>
                <w:tcPr>
                  <w:tcW w:w="808" w:type="pct"/>
                  <w:vAlign w:val="center"/>
                </w:tcPr>
                <w:p>
                  <w:pPr>
                    <w:adjustRightInd w:val="0"/>
                    <w:snapToGrid w:val="0"/>
                    <w:jc w:val="center"/>
                    <w:rPr>
                      <w:szCs w:val="21"/>
                    </w:rPr>
                  </w:pPr>
                  <w:r>
                    <w:rPr>
                      <w:szCs w:val="21"/>
                    </w:rPr>
                    <w:t>噪声处理</w:t>
                  </w:r>
                </w:p>
              </w:tc>
              <w:tc>
                <w:tcPr>
                  <w:tcW w:w="3405" w:type="pct"/>
                  <w:vAlign w:val="center"/>
                </w:tcPr>
                <w:p>
                  <w:pPr>
                    <w:adjustRightInd w:val="0"/>
                    <w:snapToGrid w:val="0"/>
                    <w:rPr>
                      <w:szCs w:val="21"/>
                    </w:rPr>
                  </w:pPr>
                  <w:r>
                    <w:rPr>
                      <w:szCs w:val="21"/>
                    </w:rPr>
                    <w:t>基础减振、厂房隔声</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89" w:hRule="atLeast"/>
                <w:jc w:val="center"/>
              </w:trPr>
              <w:tc>
                <w:tcPr>
                  <w:tcW w:w="787" w:type="pct"/>
                  <w:vMerge w:val="continue"/>
                  <w:vAlign w:val="center"/>
                </w:tcPr>
                <w:p>
                  <w:pPr>
                    <w:adjustRightInd w:val="0"/>
                    <w:snapToGrid w:val="0"/>
                    <w:jc w:val="center"/>
                    <w:rPr>
                      <w:szCs w:val="21"/>
                    </w:rPr>
                  </w:pPr>
                </w:p>
              </w:tc>
              <w:tc>
                <w:tcPr>
                  <w:tcW w:w="808" w:type="pct"/>
                  <w:vAlign w:val="center"/>
                </w:tcPr>
                <w:p>
                  <w:pPr>
                    <w:adjustRightInd w:val="0"/>
                    <w:snapToGrid w:val="0"/>
                    <w:jc w:val="center"/>
                    <w:rPr>
                      <w:szCs w:val="21"/>
                    </w:rPr>
                  </w:pPr>
                  <w:r>
                    <w:rPr>
                      <w:szCs w:val="21"/>
                    </w:rPr>
                    <w:t>固废处理</w:t>
                  </w:r>
                </w:p>
              </w:tc>
              <w:tc>
                <w:tcPr>
                  <w:tcW w:w="3405" w:type="pct"/>
                  <w:vAlign w:val="center"/>
                </w:tcPr>
                <w:p>
                  <w:pPr>
                    <w:pStyle w:val="75"/>
                    <w:ind w:firstLine="0" w:firstLineChars="0"/>
                  </w:pPr>
                  <w:r>
                    <w:t>一般固废</w:t>
                  </w:r>
                  <w:r>
                    <w:rPr>
                      <w:szCs w:val="21"/>
                    </w:rPr>
                    <w:t>交由</w:t>
                  </w:r>
                  <w:r>
                    <w:rPr>
                      <w:rFonts w:hint="eastAsia"/>
                      <w:szCs w:val="21"/>
                    </w:rPr>
                    <w:t>专业</w:t>
                  </w:r>
                  <w:r>
                    <w:rPr>
                      <w:szCs w:val="21"/>
                    </w:rPr>
                    <w:t>回收公司回收利用，</w:t>
                  </w:r>
                  <w:r>
                    <w:rPr>
                      <w:rFonts w:hint="eastAsia"/>
                      <w:szCs w:val="21"/>
                    </w:rPr>
                    <w:t>厂房B东北部</w:t>
                  </w:r>
                  <w:r>
                    <w:rPr>
                      <w:szCs w:val="21"/>
                    </w:rPr>
                    <w:t>设置一般固废间1个（20m</w:t>
                  </w:r>
                  <w:r>
                    <w:rPr>
                      <w:szCs w:val="21"/>
                      <w:vertAlign w:val="superscript"/>
                    </w:rPr>
                    <w:t>2</w:t>
                  </w:r>
                  <w:r>
                    <w:rPr>
                      <w:szCs w:val="21"/>
                    </w:rPr>
                    <w:t>）；危险废物委托有资质单位处置，在</w:t>
                  </w:r>
                  <w:r>
                    <w:rPr>
                      <w:rFonts w:hint="eastAsia"/>
                      <w:szCs w:val="21"/>
                    </w:rPr>
                    <w:t>厂房B北部</w:t>
                  </w:r>
                  <w:r>
                    <w:rPr>
                      <w:szCs w:val="21"/>
                    </w:rPr>
                    <w:t>设置危废间1个（5m</w:t>
                  </w:r>
                  <w:r>
                    <w:rPr>
                      <w:szCs w:val="21"/>
                      <w:vertAlign w:val="superscript"/>
                    </w:rPr>
                    <w:t>2</w:t>
                  </w:r>
                  <w:r>
                    <w:rPr>
                      <w:szCs w:val="21"/>
                    </w:rPr>
                    <w:t>）；员工生活垃圾</w:t>
                  </w:r>
                  <w:r>
                    <w:rPr>
                      <w:kern w:val="0"/>
                      <w:szCs w:val="21"/>
                    </w:rPr>
                    <w:t>交由环卫部门统一清运</w:t>
                  </w:r>
                </w:p>
              </w:tc>
            </w:tr>
            <w:tr>
              <w:tblPrEx>
                <w:tblBorders>
                  <w:top w:val="single" w:color="auto" w:sz="6" w:space="0"/>
                  <w:left w:val="single" w:color="auto" w:sz="4" w:space="0"/>
                  <w:bottom w:val="single" w:color="auto" w:sz="6" w:space="0"/>
                  <w:right w:val="single" w:color="auto" w:sz="4" w:space="0"/>
                  <w:insideH w:val="single" w:color="auto" w:sz="6" w:space="0"/>
                  <w:insideV w:val="single" w:color="auto" w:sz="6" w:space="0"/>
                </w:tblBorders>
              </w:tblPrEx>
              <w:trPr>
                <w:cantSplit/>
                <w:trHeight w:val="389" w:hRule="atLeast"/>
                <w:jc w:val="center"/>
              </w:trPr>
              <w:tc>
                <w:tcPr>
                  <w:tcW w:w="787" w:type="pct"/>
                  <w:vAlign w:val="center"/>
                </w:tcPr>
                <w:p>
                  <w:pPr>
                    <w:adjustRightInd w:val="0"/>
                    <w:snapToGrid w:val="0"/>
                    <w:jc w:val="center"/>
                    <w:rPr>
                      <w:szCs w:val="21"/>
                    </w:rPr>
                  </w:pPr>
                  <w:r>
                    <w:rPr>
                      <w:szCs w:val="21"/>
                    </w:rPr>
                    <w:t>依托工程</w:t>
                  </w:r>
                </w:p>
              </w:tc>
              <w:tc>
                <w:tcPr>
                  <w:tcW w:w="808" w:type="pct"/>
                  <w:vAlign w:val="center"/>
                </w:tcPr>
                <w:p>
                  <w:pPr>
                    <w:adjustRightInd w:val="0"/>
                    <w:snapToGrid w:val="0"/>
                    <w:jc w:val="center"/>
                    <w:rPr>
                      <w:szCs w:val="21"/>
                    </w:rPr>
                  </w:pPr>
                  <w:r>
                    <w:rPr>
                      <w:szCs w:val="21"/>
                    </w:rPr>
                    <w:t>废水处理</w:t>
                  </w:r>
                </w:p>
              </w:tc>
              <w:tc>
                <w:tcPr>
                  <w:tcW w:w="3405" w:type="pct"/>
                  <w:vAlign w:val="center"/>
                </w:tcPr>
                <w:p>
                  <w:pPr>
                    <w:pStyle w:val="75"/>
                    <w:ind w:firstLine="0" w:firstLineChars="0"/>
                  </w:pPr>
                  <w:r>
                    <w:rPr>
                      <w:kern w:val="0"/>
                      <w:szCs w:val="21"/>
                    </w:rPr>
                    <w:t>园洲镇第四污水处理厂</w:t>
                  </w:r>
                </w:p>
              </w:tc>
            </w:tr>
          </w:tbl>
          <w:p>
            <w:pPr>
              <w:adjustRightInd w:val="0"/>
              <w:snapToGrid w:val="0"/>
              <w:spacing w:line="360" w:lineRule="auto"/>
              <w:ind w:firstLine="422" w:firstLineChars="200"/>
              <w:rPr>
                <w:b/>
                <w:bCs/>
              </w:rPr>
            </w:pPr>
            <w:r>
              <w:rPr>
                <w:rFonts w:hint="eastAsia"/>
                <w:b/>
                <w:bCs/>
              </w:rPr>
              <w:t>2</w:t>
            </w:r>
            <w:r>
              <w:rPr>
                <w:b/>
                <w:bCs/>
              </w:rPr>
              <w:t>、主要产品及产能</w:t>
            </w:r>
          </w:p>
          <w:p>
            <w:pPr>
              <w:numPr>
                <w:ilvl w:val="0"/>
                <w:numId w:val="2"/>
              </w:numPr>
              <w:adjustRightInd w:val="0"/>
              <w:snapToGrid w:val="0"/>
              <w:spacing w:line="360" w:lineRule="auto"/>
              <w:ind w:left="0"/>
              <w:jc w:val="center"/>
              <w:rPr>
                <w:b/>
              </w:rPr>
            </w:pPr>
            <w:r>
              <w:rPr>
                <w:b/>
              </w:rPr>
              <w:t>项目主要产品及产量表</w:t>
            </w:r>
          </w:p>
          <w:tbl>
            <w:tblPr>
              <w:tblStyle w:val="29"/>
              <w:tblW w:w="5000" w:type="pct"/>
              <w:jc w:val="center"/>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8"/>
              <w:gridCol w:w="1881"/>
              <w:gridCol w:w="5255"/>
            </w:tblGrid>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9" w:type="pct"/>
                  <w:vAlign w:val="center"/>
                </w:tcPr>
                <w:p>
                  <w:pPr>
                    <w:jc w:val="center"/>
                    <w:rPr>
                      <w:b/>
                      <w:szCs w:val="21"/>
                    </w:rPr>
                  </w:pPr>
                  <w:r>
                    <w:rPr>
                      <w:b/>
                      <w:szCs w:val="21"/>
                    </w:rPr>
                    <w:t>产品名称</w:t>
                  </w:r>
                </w:p>
              </w:tc>
              <w:tc>
                <w:tcPr>
                  <w:tcW w:w="1102" w:type="pct"/>
                  <w:vAlign w:val="center"/>
                </w:tcPr>
                <w:p>
                  <w:pPr>
                    <w:jc w:val="center"/>
                    <w:rPr>
                      <w:b/>
                      <w:szCs w:val="21"/>
                    </w:rPr>
                  </w:pPr>
                  <w:r>
                    <w:rPr>
                      <w:rFonts w:hint="eastAsia"/>
                      <w:b/>
                      <w:szCs w:val="21"/>
                    </w:rPr>
                    <w:t>产量</w:t>
                  </w:r>
                </w:p>
              </w:tc>
              <w:tc>
                <w:tcPr>
                  <w:tcW w:w="3079" w:type="pct"/>
                  <w:vAlign w:val="center"/>
                </w:tcPr>
                <w:p>
                  <w:pPr>
                    <w:jc w:val="center"/>
                    <w:rPr>
                      <w:b/>
                      <w:szCs w:val="21"/>
                    </w:rPr>
                  </w:pPr>
                  <w:r>
                    <w:rPr>
                      <w:rFonts w:hint="eastAsia"/>
                      <w:b/>
                      <w:szCs w:val="21"/>
                    </w:rPr>
                    <w:t>示例图片</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9" w:type="pct"/>
                  <w:vAlign w:val="center"/>
                </w:tcPr>
                <w:p>
                  <w:pPr>
                    <w:widowControl/>
                    <w:jc w:val="center"/>
                    <w:rPr>
                      <w:szCs w:val="21"/>
                    </w:rPr>
                  </w:pPr>
                  <w:r>
                    <w:rPr>
                      <w:rFonts w:hint="eastAsia"/>
                      <w:szCs w:val="21"/>
                    </w:rPr>
                    <w:t>半导体分立器件</w:t>
                  </w:r>
                </w:p>
              </w:tc>
              <w:tc>
                <w:tcPr>
                  <w:tcW w:w="1102" w:type="pct"/>
                  <w:vAlign w:val="center"/>
                </w:tcPr>
                <w:p>
                  <w:pPr>
                    <w:jc w:val="center"/>
                    <w:rPr>
                      <w:szCs w:val="21"/>
                    </w:rPr>
                  </w:pPr>
                  <w:r>
                    <w:rPr>
                      <w:szCs w:val="21"/>
                    </w:rPr>
                    <w:t>20</w:t>
                  </w:r>
                  <w:r>
                    <w:rPr>
                      <w:rFonts w:hint="eastAsia"/>
                      <w:szCs w:val="21"/>
                    </w:rPr>
                    <w:t>亿</w:t>
                  </w:r>
                  <w:r>
                    <w:rPr>
                      <w:szCs w:val="21"/>
                    </w:rPr>
                    <w:t>只</w:t>
                  </w:r>
                  <w:r>
                    <w:rPr>
                      <w:rFonts w:hint="eastAsia"/>
                      <w:szCs w:val="21"/>
                    </w:rPr>
                    <w:t>/年</w:t>
                  </w:r>
                </w:p>
              </w:tc>
              <w:tc>
                <w:tcPr>
                  <w:tcW w:w="3079" w:type="pct"/>
                  <w:vAlign w:val="center"/>
                </w:tcPr>
                <w:p>
                  <w:pPr>
                    <w:jc w:val="center"/>
                    <w:rPr>
                      <w:szCs w:val="21"/>
                    </w:rPr>
                  </w:pPr>
                  <w:r>
                    <w:drawing>
                      <wp:inline distT="0" distB="0" distL="114300" distR="114300">
                        <wp:extent cx="2143760" cy="2131695"/>
                        <wp:effectExtent l="0" t="0" r="8890" b="1905"/>
                        <wp:docPr id="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5"/>
                                <pic:cNvPicPr>
                                  <a:picLocks noChangeAspect="1"/>
                                </pic:cNvPicPr>
                              </pic:nvPicPr>
                              <pic:blipFill>
                                <a:blip r:embed="rId9"/>
                                <a:stretch>
                                  <a:fillRect/>
                                </a:stretch>
                              </pic:blipFill>
                              <pic:spPr>
                                <a:xfrm>
                                  <a:off x="0" y="0"/>
                                  <a:ext cx="2143760" cy="2131695"/>
                                </a:xfrm>
                                <a:prstGeom prst="rect">
                                  <a:avLst/>
                                </a:prstGeom>
                                <a:noFill/>
                                <a:ln>
                                  <a:noFill/>
                                </a:ln>
                              </pic:spPr>
                            </pic:pic>
                          </a:graphicData>
                        </a:graphic>
                      </wp:inline>
                    </w:drawing>
                  </w:r>
                </w:p>
              </w:tc>
            </w:tr>
          </w:tbl>
          <w:p>
            <w:pPr>
              <w:adjustRightInd w:val="0"/>
              <w:snapToGrid w:val="0"/>
              <w:spacing w:line="360" w:lineRule="auto"/>
              <w:ind w:firstLine="422" w:firstLineChars="200"/>
              <w:rPr>
                <w:b/>
                <w:bCs/>
              </w:rPr>
            </w:pPr>
            <w:r>
              <w:rPr>
                <w:rFonts w:hint="eastAsia"/>
                <w:b/>
                <w:bCs/>
              </w:rPr>
              <w:t>3</w:t>
            </w:r>
            <w:r>
              <w:rPr>
                <w:b/>
                <w:bCs/>
              </w:rPr>
              <w:t>、主要原辅材料及消耗</w:t>
            </w:r>
          </w:p>
          <w:p>
            <w:pPr>
              <w:numPr>
                <w:ilvl w:val="0"/>
                <w:numId w:val="2"/>
              </w:numPr>
              <w:adjustRightInd w:val="0"/>
              <w:snapToGrid w:val="0"/>
              <w:spacing w:line="360" w:lineRule="auto"/>
              <w:ind w:left="322"/>
              <w:jc w:val="center"/>
              <w:rPr>
                <w:b/>
              </w:rPr>
            </w:pPr>
            <w:r>
              <w:rPr>
                <w:b/>
              </w:rPr>
              <w:t>项目主要原辅材料一览表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3"/>
              <w:gridCol w:w="1777"/>
              <w:gridCol w:w="1220"/>
              <w:gridCol w:w="1260"/>
              <w:gridCol w:w="1347"/>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2" w:type="pct"/>
                  <w:vAlign w:val="center"/>
                </w:tcPr>
                <w:p>
                  <w:pPr>
                    <w:pStyle w:val="103"/>
                    <w:snapToGrid w:val="0"/>
                    <w:spacing w:line="240" w:lineRule="auto"/>
                    <w:rPr>
                      <w:rFonts w:ascii="Times New Roman"/>
                      <w:b/>
                      <w:bCs/>
                      <w:sz w:val="21"/>
                      <w:szCs w:val="21"/>
                      <w:lang w:eastAsia="zh-CN"/>
                    </w:rPr>
                  </w:pPr>
                  <w:r>
                    <w:rPr>
                      <w:rFonts w:ascii="Times New Roman"/>
                      <w:b/>
                      <w:bCs/>
                      <w:sz w:val="21"/>
                      <w:szCs w:val="21"/>
                      <w:lang w:eastAsia="zh-CN"/>
                    </w:rPr>
                    <w:t>序号</w:t>
                  </w:r>
                </w:p>
              </w:tc>
              <w:tc>
                <w:tcPr>
                  <w:tcW w:w="1041" w:type="pct"/>
                  <w:vAlign w:val="center"/>
                </w:tcPr>
                <w:p>
                  <w:pPr>
                    <w:pStyle w:val="103"/>
                    <w:snapToGrid w:val="0"/>
                    <w:spacing w:line="240" w:lineRule="auto"/>
                    <w:rPr>
                      <w:rFonts w:ascii="Times New Roman"/>
                      <w:b/>
                      <w:bCs/>
                      <w:sz w:val="21"/>
                      <w:szCs w:val="21"/>
                      <w:lang w:eastAsia="zh-CN"/>
                    </w:rPr>
                  </w:pPr>
                  <w:r>
                    <w:rPr>
                      <w:rFonts w:ascii="Times New Roman"/>
                      <w:b/>
                      <w:bCs/>
                      <w:sz w:val="21"/>
                      <w:szCs w:val="21"/>
                      <w:lang w:eastAsia="zh-CN"/>
                    </w:rPr>
                    <w:t>名称</w:t>
                  </w:r>
                </w:p>
              </w:tc>
              <w:tc>
                <w:tcPr>
                  <w:tcW w:w="715" w:type="pct"/>
                  <w:vAlign w:val="center"/>
                </w:tcPr>
                <w:p>
                  <w:pPr>
                    <w:pStyle w:val="103"/>
                    <w:snapToGrid w:val="0"/>
                    <w:spacing w:line="240" w:lineRule="auto"/>
                    <w:rPr>
                      <w:rFonts w:ascii="Times New Roman"/>
                      <w:b/>
                      <w:bCs/>
                      <w:sz w:val="21"/>
                      <w:szCs w:val="21"/>
                      <w:lang w:eastAsia="zh-CN"/>
                    </w:rPr>
                  </w:pPr>
                  <w:r>
                    <w:rPr>
                      <w:rFonts w:ascii="Times New Roman"/>
                      <w:b/>
                      <w:bCs/>
                      <w:sz w:val="21"/>
                      <w:szCs w:val="21"/>
                      <w:lang w:eastAsia="zh-CN"/>
                    </w:rPr>
                    <w:t>包装规格</w:t>
                  </w:r>
                </w:p>
              </w:tc>
              <w:tc>
                <w:tcPr>
                  <w:tcW w:w="738" w:type="pct"/>
                  <w:vAlign w:val="center"/>
                </w:tcPr>
                <w:p>
                  <w:pPr>
                    <w:pStyle w:val="103"/>
                    <w:snapToGrid w:val="0"/>
                    <w:spacing w:line="240" w:lineRule="auto"/>
                    <w:rPr>
                      <w:rFonts w:ascii="Times New Roman"/>
                      <w:b/>
                      <w:bCs/>
                      <w:sz w:val="21"/>
                      <w:szCs w:val="21"/>
                    </w:rPr>
                  </w:pPr>
                  <w:r>
                    <w:rPr>
                      <w:rFonts w:ascii="Times New Roman"/>
                      <w:b/>
                      <w:bCs/>
                      <w:sz w:val="21"/>
                      <w:szCs w:val="21"/>
                    </w:rPr>
                    <w:t>性状</w:t>
                  </w:r>
                </w:p>
              </w:tc>
              <w:tc>
                <w:tcPr>
                  <w:tcW w:w="789" w:type="pct"/>
                  <w:vAlign w:val="center"/>
                </w:tcPr>
                <w:p>
                  <w:pPr>
                    <w:pStyle w:val="103"/>
                    <w:snapToGrid w:val="0"/>
                    <w:spacing w:line="240" w:lineRule="auto"/>
                    <w:rPr>
                      <w:rFonts w:ascii="Times New Roman"/>
                      <w:b/>
                      <w:bCs/>
                      <w:sz w:val="21"/>
                      <w:szCs w:val="21"/>
                      <w:lang w:eastAsia="zh-CN"/>
                    </w:rPr>
                  </w:pPr>
                  <w:r>
                    <w:rPr>
                      <w:rFonts w:ascii="Times New Roman"/>
                      <w:b/>
                      <w:bCs/>
                      <w:sz w:val="21"/>
                      <w:szCs w:val="21"/>
                      <w:lang w:eastAsia="zh-CN"/>
                    </w:rPr>
                    <w:t>最大储存量</w:t>
                  </w:r>
                </w:p>
              </w:tc>
              <w:tc>
                <w:tcPr>
                  <w:tcW w:w="1205" w:type="pct"/>
                  <w:vAlign w:val="center"/>
                </w:tcPr>
                <w:p>
                  <w:pPr>
                    <w:pStyle w:val="103"/>
                    <w:snapToGrid w:val="0"/>
                    <w:spacing w:line="240" w:lineRule="auto"/>
                    <w:rPr>
                      <w:rFonts w:ascii="Times New Roman"/>
                      <w:b/>
                      <w:bCs/>
                      <w:sz w:val="21"/>
                      <w:szCs w:val="21"/>
                      <w:lang w:eastAsia="zh-CN"/>
                    </w:rPr>
                  </w:pPr>
                  <w:r>
                    <w:rPr>
                      <w:rFonts w:ascii="Times New Roman"/>
                      <w:b/>
                      <w:bCs/>
                      <w:sz w:val="21"/>
                      <w:szCs w:val="21"/>
                      <w:lang w:eastAsia="zh-CN"/>
                    </w:rPr>
                    <w:t>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2" w:type="pct"/>
                  <w:vAlign w:val="center"/>
                </w:tcPr>
                <w:p>
                  <w:pPr>
                    <w:adjustRightInd w:val="0"/>
                    <w:snapToGrid w:val="0"/>
                    <w:jc w:val="center"/>
                    <w:rPr>
                      <w:szCs w:val="21"/>
                    </w:rPr>
                  </w:pPr>
                  <w:r>
                    <w:rPr>
                      <w:szCs w:val="21"/>
                    </w:rPr>
                    <w:t>1</w:t>
                  </w:r>
                </w:p>
              </w:tc>
              <w:tc>
                <w:tcPr>
                  <w:tcW w:w="1041" w:type="pct"/>
                  <w:vAlign w:val="center"/>
                </w:tcPr>
                <w:p>
                  <w:pPr>
                    <w:adjustRightInd w:val="0"/>
                    <w:snapToGrid w:val="0"/>
                    <w:jc w:val="center"/>
                    <w:rPr>
                      <w:szCs w:val="21"/>
                    </w:rPr>
                  </w:pPr>
                  <w:r>
                    <w:rPr>
                      <w:rFonts w:hint="eastAsia"/>
                      <w:szCs w:val="21"/>
                    </w:rPr>
                    <w:t>芯片</w:t>
                  </w:r>
                </w:p>
              </w:tc>
              <w:tc>
                <w:tcPr>
                  <w:tcW w:w="715" w:type="pct"/>
                  <w:vAlign w:val="center"/>
                </w:tcPr>
                <w:p>
                  <w:pPr>
                    <w:adjustRightInd w:val="0"/>
                    <w:snapToGrid w:val="0"/>
                    <w:jc w:val="center"/>
                    <w:rPr>
                      <w:szCs w:val="21"/>
                    </w:rPr>
                  </w:pPr>
                  <w:r>
                    <w:rPr>
                      <w:szCs w:val="21"/>
                    </w:rPr>
                    <w:t>1000pcs/</w:t>
                  </w:r>
                  <w:r>
                    <w:rPr>
                      <w:rFonts w:hint="eastAsia"/>
                      <w:szCs w:val="21"/>
                    </w:rPr>
                    <w:t>箱</w:t>
                  </w:r>
                </w:p>
              </w:tc>
              <w:tc>
                <w:tcPr>
                  <w:tcW w:w="738" w:type="pct"/>
                  <w:vAlign w:val="center"/>
                </w:tcPr>
                <w:p>
                  <w:pPr>
                    <w:pStyle w:val="22"/>
                    <w:adjustRightInd w:val="0"/>
                    <w:snapToGrid w:val="0"/>
                    <w:jc w:val="center"/>
                    <w:rPr>
                      <w:sz w:val="21"/>
                      <w:szCs w:val="21"/>
                    </w:rPr>
                  </w:pPr>
                  <w:r>
                    <w:rPr>
                      <w:sz w:val="21"/>
                      <w:szCs w:val="21"/>
                    </w:rPr>
                    <w:t>固态</w:t>
                  </w:r>
                </w:p>
              </w:tc>
              <w:tc>
                <w:tcPr>
                  <w:tcW w:w="789" w:type="pct"/>
                  <w:vAlign w:val="center"/>
                </w:tcPr>
                <w:p>
                  <w:pPr>
                    <w:adjustRightInd w:val="0"/>
                    <w:snapToGrid w:val="0"/>
                    <w:jc w:val="center"/>
                    <w:rPr>
                      <w:szCs w:val="21"/>
                    </w:rPr>
                  </w:pPr>
                  <w:r>
                    <w:rPr>
                      <w:szCs w:val="21"/>
                    </w:rPr>
                    <w:t>1</w:t>
                  </w:r>
                  <w:r>
                    <w:rPr>
                      <w:rFonts w:hint="eastAsia"/>
                      <w:szCs w:val="21"/>
                    </w:rPr>
                    <w:t>亿</w:t>
                  </w:r>
                  <w:r>
                    <w:rPr>
                      <w:szCs w:val="21"/>
                    </w:rPr>
                    <w:t>pcs</w:t>
                  </w:r>
                </w:p>
              </w:tc>
              <w:tc>
                <w:tcPr>
                  <w:tcW w:w="1205" w:type="pct"/>
                  <w:vAlign w:val="center"/>
                </w:tcPr>
                <w:p>
                  <w:pPr>
                    <w:adjustRightInd w:val="0"/>
                    <w:snapToGrid w:val="0"/>
                    <w:jc w:val="center"/>
                    <w:rPr>
                      <w:szCs w:val="21"/>
                    </w:rPr>
                  </w:pPr>
                  <w:r>
                    <w:rPr>
                      <w:rFonts w:hint="eastAsia"/>
                      <w:szCs w:val="21"/>
                    </w:rPr>
                    <w:t>20亿pcs/a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2" w:type="pct"/>
                  <w:vAlign w:val="center"/>
                </w:tcPr>
                <w:p>
                  <w:pPr>
                    <w:adjustRightInd w:val="0"/>
                    <w:snapToGrid w:val="0"/>
                    <w:jc w:val="center"/>
                    <w:rPr>
                      <w:szCs w:val="21"/>
                    </w:rPr>
                  </w:pPr>
                  <w:r>
                    <w:rPr>
                      <w:szCs w:val="21"/>
                    </w:rPr>
                    <w:t>2</w:t>
                  </w:r>
                </w:p>
              </w:tc>
              <w:tc>
                <w:tcPr>
                  <w:tcW w:w="1041" w:type="pct"/>
                  <w:vAlign w:val="center"/>
                </w:tcPr>
                <w:p>
                  <w:pPr>
                    <w:adjustRightInd w:val="0"/>
                    <w:snapToGrid w:val="0"/>
                    <w:jc w:val="center"/>
                    <w:rPr>
                      <w:szCs w:val="21"/>
                    </w:rPr>
                  </w:pPr>
                  <w:r>
                    <w:rPr>
                      <w:rFonts w:hint="eastAsia"/>
                      <w:szCs w:val="21"/>
                    </w:rPr>
                    <w:t>框架</w:t>
                  </w:r>
                </w:p>
              </w:tc>
              <w:tc>
                <w:tcPr>
                  <w:tcW w:w="715" w:type="pct"/>
                  <w:vAlign w:val="center"/>
                </w:tcPr>
                <w:p>
                  <w:pPr>
                    <w:adjustRightInd w:val="0"/>
                    <w:snapToGrid w:val="0"/>
                    <w:jc w:val="center"/>
                    <w:rPr>
                      <w:szCs w:val="21"/>
                    </w:rPr>
                  </w:pPr>
                  <w:r>
                    <w:rPr>
                      <w:szCs w:val="21"/>
                    </w:rPr>
                    <w:t>1000pcs/</w:t>
                  </w:r>
                  <w:r>
                    <w:rPr>
                      <w:rFonts w:hint="eastAsia"/>
                      <w:szCs w:val="21"/>
                    </w:rPr>
                    <w:t>箱</w:t>
                  </w:r>
                </w:p>
              </w:tc>
              <w:tc>
                <w:tcPr>
                  <w:tcW w:w="738" w:type="pct"/>
                  <w:vAlign w:val="center"/>
                </w:tcPr>
                <w:p>
                  <w:pPr>
                    <w:pStyle w:val="22"/>
                    <w:adjustRightInd w:val="0"/>
                    <w:snapToGrid w:val="0"/>
                    <w:jc w:val="center"/>
                    <w:rPr>
                      <w:sz w:val="21"/>
                      <w:szCs w:val="21"/>
                    </w:rPr>
                  </w:pPr>
                  <w:r>
                    <w:rPr>
                      <w:sz w:val="21"/>
                      <w:szCs w:val="21"/>
                    </w:rPr>
                    <w:t>固态</w:t>
                  </w:r>
                </w:p>
              </w:tc>
              <w:tc>
                <w:tcPr>
                  <w:tcW w:w="789" w:type="pct"/>
                  <w:vAlign w:val="center"/>
                </w:tcPr>
                <w:p>
                  <w:pPr>
                    <w:adjustRightInd w:val="0"/>
                    <w:snapToGrid w:val="0"/>
                    <w:jc w:val="center"/>
                    <w:rPr>
                      <w:szCs w:val="21"/>
                    </w:rPr>
                  </w:pPr>
                  <w:r>
                    <w:rPr>
                      <w:szCs w:val="21"/>
                    </w:rPr>
                    <w:t>1</w:t>
                  </w:r>
                  <w:r>
                    <w:rPr>
                      <w:rFonts w:hint="eastAsia"/>
                      <w:szCs w:val="21"/>
                    </w:rPr>
                    <w:t>亿</w:t>
                  </w:r>
                  <w:r>
                    <w:rPr>
                      <w:szCs w:val="21"/>
                    </w:rPr>
                    <w:t xml:space="preserve">pcs </w:t>
                  </w:r>
                </w:p>
              </w:tc>
              <w:tc>
                <w:tcPr>
                  <w:tcW w:w="1205" w:type="pct"/>
                  <w:vAlign w:val="center"/>
                </w:tcPr>
                <w:p>
                  <w:pPr>
                    <w:adjustRightInd w:val="0"/>
                    <w:snapToGrid w:val="0"/>
                    <w:jc w:val="center"/>
                    <w:rPr>
                      <w:szCs w:val="21"/>
                    </w:rPr>
                  </w:pPr>
                  <w:r>
                    <w:rPr>
                      <w:rFonts w:hint="eastAsia"/>
                      <w:szCs w:val="21"/>
                    </w:rPr>
                    <w:t>20亿pcs/a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2" w:type="pct"/>
                  <w:vAlign w:val="center"/>
                </w:tcPr>
                <w:p>
                  <w:pPr>
                    <w:adjustRightInd w:val="0"/>
                    <w:snapToGrid w:val="0"/>
                    <w:jc w:val="center"/>
                    <w:rPr>
                      <w:szCs w:val="21"/>
                    </w:rPr>
                  </w:pPr>
                  <w:r>
                    <w:rPr>
                      <w:szCs w:val="21"/>
                    </w:rPr>
                    <w:t>3</w:t>
                  </w:r>
                </w:p>
              </w:tc>
              <w:tc>
                <w:tcPr>
                  <w:tcW w:w="1041" w:type="pct"/>
                  <w:vAlign w:val="center"/>
                </w:tcPr>
                <w:p>
                  <w:pPr>
                    <w:adjustRightInd w:val="0"/>
                    <w:snapToGrid w:val="0"/>
                    <w:jc w:val="center"/>
                    <w:rPr>
                      <w:szCs w:val="21"/>
                    </w:rPr>
                  </w:pPr>
                  <w:r>
                    <w:rPr>
                      <w:rFonts w:hint="eastAsia"/>
                      <w:szCs w:val="21"/>
                    </w:rPr>
                    <w:t>塑封材料</w:t>
                  </w:r>
                </w:p>
              </w:tc>
              <w:tc>
                <w:tcPr>
                  <w:tcW w:w="715" w:type="pct"/>
                  <w:vAlign w:val="center"/>
                </w:tcPr>
                <w:p>
                  <w:pPr>
                    <w:adjustRightInd w:val="0"/>
                    <w:snapToGrid w:val="0"/>
                    <w:jc w:val="center"/>
                    <w:rPr>
                      <w:szCs w:val="21"/>
                    </w:rPr>
                  </w:pPr>
                  <w:r>
                    <w:rPr>
                      <w:szCs w:val="21"/>
                    </w:rPr>
                    <w:t>50kg/袋</w:t>
                  </w:r>
                </w:p>
              </w:tc>
              <w:tc>
                <w:tcPr>
                  <w:tcW w:w="738" w:type="pct"/>
                  <w:vAlign w:val="center"/>
                </w:tcPr>
                <w:p>
                  <w:pPr>
                    <w:pStyle w:val="22"/>
                    <w:adjustRightInd w:val="0"/>
                    <w:snapToGrid w:val="0"/>
                    <w:jc w:val="center"/>
                    <w:rPr>
                      <w:sz w:val="21"/>
                      <w:szCs w:val="21"/>
                    </w:rPr>
                  </w:pPr>
                  <w:r>
                    <w:rPr>
                      <w:rFonts w:hint="eastAsia"/>
                      <w:sz w:val="21"/>
                      <w:szCs w:val="21"/>
                    </w:rPr>
                    <w:t>固态</w:t>
                  </w:r>
                </w:p>
              </w:tc>
              <w:tc>
                <w:tcPr>
                  <w:tcW w:w="789" w:type="pct"/>
                  <w:vAlign w:val="center"/>
                </w:tcPr>
                <w:p>
                  <w:pPr>
                    <w:adjustRightInd w:val="0"/>
                    <w:snapToGrid w:val="0"/>
                    <w:jc w:val="center"/>
                    <w:rPr>
                      <w:szCs w:val="21"/>
                    </w:rPr>
                  </w:pPr>
                  <w:r>
                    <w:rPr>
                      <w:szCs w:val="21"/>
                    </w:rPr>
                    <w:t xml:space="preserve">10t </w:t>
                  </w:r>
                </w:p>
              </w:tc>
              <w:tc>
                <w:tcPr>
                  <w:tcW w:w="1205" w:type="pct"/>
                  <w:vAlign w:val="center"/>
                </w:tcPr>
                <w:p>
                  <w:pPr>
                    <w:adjustRightInd w:val="0"/>
                    <w:snapToGrid w:val="0"/>
                    <w:jc w:val="center"/>
                    <w:rPr>
                      <w:szCs w:val="21"/>
                    </w:rPr>
                  </w:pPr>
                  <w:r>
                    <w:rPr>
                      <w:rFonts w:hint="eastAsia"/>
                      <w:szCs w:val="21"/>
                    </w:rPr>
                    <w:t>1600t</w:t>
                  </w:r>
                  <w:r>
                    <w:rPr>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2" w:type="pct"/>
                  <w:vAlign w:val="center"/>
                </w:tcPr>
                <w:p>
                  <w:pPr>
                    <w:adjustRightInd w:val="0"/>
                    <w:snapToGrid w:val="0"/>
                    <w:jc w:val="center"/>
                    <w:rPr>
                      <w:szCs w:val="21"/>
                    </w:rPr>
                  </w:pPr>
                  <w:r>
                    <w:rPr>
                      <w:szCs w:val="21"/>
                    </w:rPr>
                    <w:t>4</w:t>
                  </w:r>
                </w:p>
              </w:tc>
              <w:tc>
                <w:tcPr>
                  <w:tcW w:w="1041" w:type="pct"/>
                  <w:vAlign w:val="center"/>
                </w:tcPr>
                <w:p>
                  <w:pPr>
                    <w:adjustRightInd w:val="0"/>
                    <w:snapToGrid w:val="0"/>
                    <w:jc w:val="center"/>
                    <w:rPr>
                      <w:szCs w:val="21"/>
                    </w:rPr>
                  </w:pPr>
                  <w:r>
                    <w:rPr>
                      <w:rFonts w:hint="eastAsia"/>
                      <w:szCs w:val="21"/>
                    </w:rPr>
                    <w:t>铝线</w:t>
                  </w:r>
                </w:p>
              </w:tc>
              <w:tc>
                <w:tcPr>
                  <w:tcW w:w="715" w:type="pct"/>
                  <w:vAlign w:val="center"/>
                </w:tcPr>
                <w:p>
                  <w:pPr>
                    <w:adjustRightInd w:val="0"/>
                    <w:snapToGrid w:val="0"/>
                    <w:jc w:val="center"/>
                    <w:rPr>
                      <w:szCs w:val="21"/>
                    </w:rPr>
                  </w:pPr>
                  <w:r>
                    <w:rPr>
                      <w:szCs w:val="21"/>
                    </w:rPr>
                    <w:t>100</w:t>
                  </w:r>
                  <w:r>
                    <w:rPr>
                      <w:rFonts w:hint="eastAsia"/>
                      <w:szCs w:val="21"/>
                    </w:rPr>
                    <w:t>m/卷</w:t>
                  </w:r>
                </w:p>
              </w:tc>
              <w:tc>
                <w:tcPr>
                  <w:tcW w:w="738" w:type="pct"/>
                  <w:vAlign w:val="center"/>
                </w:tcPr>
                <w:p>
                  <w:pPr>
                    <w:pStyle w:val="22"/>
                    <w:adjustRightInd w:val="0"/>
                    <w:snapToGrid w:val="0"/>
                    <w:jc w:val="center"/>
                    <w:rPr>
                      <w:sz w:val="21"/>
                      <w:szCs w:val="21"/>
                    </w:rPr>
                  </w:pPr>
                  <w:r>
                    <w:rPr>
                      <w:sz w:val="21"/>
                      <w:szCs w:val="21"/>
                    </w:rPr>
                    <w:t>固态</w:t>
                  </w:r>
                </w:p>
              </w:tc>
              <w:tc>
                <w:tcPr>
                  <w:tcW w:w="789" w:type="pct"/>
                  <w:vAlign w:val="center"/>
                </w:tcPr>
                <w:p>
                  <w:pPr>
                    <w:adjustRightInd w:val="0"/>
                    <w:snapToGrid w:val="0"/>
                    <w:jc w:val="center"/>
                    <w:rPr>
                      <w:szCs w:val="21"/>
                    </w:rPr>
                  </w:pPr>
                  <w:r>
                    <w:rPr>
                      <w:szCs w:val="21"/>
                    </w:rPr>
                    <w:t>50000</w:t>
                  </w:r>
                  <w:r>
                    <w:rPr>
                      <w:rFonts w:hint="eastAsia"/>
                      <w:szCs w:val="21"/>
                    </w:rPr>
                    <w:t xml:space="preserve">m </w:t>
                  </w:r>
                </w:p>
              </w:tc>
              <w:tc>
                <w:tcPr>
                  <w:tcW w:w="1205" w:type="pct"/>
                  <w:vAlign w:val="center"/>
                </w:tcPr>
                <w:p>
                  <w:pPr>
                    <w:adjustRightInd w:val="0"/>
                    <w:snapToGrid w:val="0"/>
                    <w:jc w:val="center"/>
                    <w:rPr>
                      <w:szCs w:val="21"/>
                    </w:rPr>
                  </w:pPr>
                  <w:r>
                    <w:rPr>
                      <w:rFonts w:hint="eastAsia"/>
                      <w:szCs w:val="21"/>
                    </w:rPr>
                    <w:t>130万m</w:t>
                  </w:r>
                  <w:r>
                    <w:rPr>
                      <w:szCs w:val="21"/>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2" w:type="pct"/>
                  <w:vAlign w:val="center"/>
                </w:tcPr>
                <w:p>
                  <w:pPr>
                    <w:adjustRightInd w:val="0"/>
                    <w:snapToGrid w:val="0"/>
                    <w:jc w:val="center"/>
                    <w:rPr>
                      <w:szCs w:val="21"/>
                    </w:rPr>
                  </w:pPr>
                  <w:r>
                    <w:rPr>
                      <w:szCs w:val="21"/>
                    </w:rPr>
                    <w:t>5</w:t>
                  </w:r>
                </w:p>
              </w:tc>
              <w:tc>
                <w:tcPr>
                  <w:tcW w:w="1041" w:type="pct"/>
                  <w:vAlign w:val="center"/>
                </w:tcPr>
                <w:p>
                  <w:pPr>
                    <w:adjustRightInd w:val="0"/>
                    <w:snapToGrid w:val="0"/>
                    <w:jc w:val="center"/>
                    <w:rPr>
                      <w:szCs w:val="21"/>
                    </w:rPr>
                  </w:pPr>
                  <w:r>
                    <w:rPr>
                      <w:rFonts w:hint="eastAsia"/>
                      <w:szCs w:val="21"/>
                    </w:rPr>
                    <w:t>铜线</w:t>
                  </w:r>
                </w:p>
              </w:tc>
              <w:tc>
                <w:tcPr>
                  <w:tcW w:w="715" w:type="pct"/>
                  <w:vAlign w:val="center"/>
                </w:tcPr>
                <w:p>
                  <w:pPr>
                    <w:adjustRightInd w:val="0"/>
                    <w:snapToGrid w:val="0"/>
                    <w:jc w:val="center"/>
                    <w:rPr>
                      <w:szCs w:val="21"/>
                    </w:rPr>
                  </w:pPr>
                  <w:r>
                    <w:rPr>
                      <w:szCs w:val="21"/>
                    </w:rPr>
                    <w:t>100</w:t>
                  </w:r>
                  <w:r>
                    <w:rPr>
                      <w:rFonts w:hint="eastAsia"/>
                      <w:szCs w:val="21"/>
                    </w:rPr>
                    <w:t>m/卷</w:t>
                  </w:r>
                </w:p>
              </w:tc>
              <w:tc>
                <w:tcPr>
                  <w:tcW w:w="738" w:type="pct"/>
                  <w:vAlign w:val="center"/>
                </w:tcPr>
                <w:p>
                  <w:pPr>
                    <w:pStyle w:val="103"/>
                    <w:snapToGrid w:val="0"/>
                    <w:spacing w:line="240" w:lineRule="auto"/>
                    <w:rPr>
                      <w:rFonts w:ascii="Times New Roman"/>
                      <w:sz w:val="21"/>
                      <w:szCs w:val="21"/>
                      <w:lang w:eastAsia="zh-CN"/>
                    </w:rPr>
                  </w:pPr>
                  <w:r>
                    <w:rPr>
                      <w:sz w:val="21"/>
                      <w:szCs w:val="21"/>
                    </w:rPr>
                    <w:t>固态</w:t>
                  </w:r>
                </w:p>
              </w:tc>
              <w:tc>
                <w:tcPr>
                  <w:tcW w:w="789" w:type="pct"/>
                  <w:vAlign w:val="center"/>
                </w:tcPr>
                <w:p>
                  <w:pPr>
                    <w:adjustRightInd w:val="0"/>
                    <w:snapToGrid w:val="0"/>
                    <w:jc w:val="center"/>
                    <w:rPr>
                      <w:szCs w:val="21"/>
                    </w:rPr>
                  </w:pPr>
                  <w:r>
                    <w:rPr>
                      <w:szCs w:val="21"/>
                    </w:rPr>
                    <w:t>1000</w:t>
                  </w:r>
                  <w:r>
                    <w:rPr>
                      <w:rFonts w:hint="eastAsia"/>
                      <w:szCs w:val="21"/>
                    </w:rPr>
                    <w:t>m</w:t>
                  </w:r>
                  <w:r>
                    <w:rPr>
                      <w:szCs w:val="21"/>
                    </w:rPr>
                    <w:t xml:space="preserve"> </w:t>
                  </w:r>
                </w:p>
              </w:tc>
              <w:tc>
                <w:tcPr>
                  <w:tcW w:w="1205" w:type="pct"/>
                  <w:vAlign w:val="center"/>
                </w:tcPr>
                <w:p>
                  <w:pPr>
                    <w:adjustRightInd w:val="0"/>
                    <w:snapToGrid w:val="0"/>
                    <w:jc w:val="center"/>
                    <w:rPr>
                      <w:szCs w:val="21"/>
                    </w:rPr>
                  </w:pPr>
                  <w:r>
                    <w:rPr>
                      <w:rFonts w:hint="eastAsia"/>
                      <w:szCs w:val="21"/>
                    </w:rPr>
                    <w:t>3万m</w:t>
                  </w:r>
                  <w:r>
                    <w:rPr>
                      <w:szCs w:val="21"/>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2" w:type="pct"/>
                  <w:vAlign w:val="center"/>
                </w:tcPr>
                <w:p>
                  <w:pPr>
                    <w:adjustRightInd w:val="0"/>
                    <w:snapToGrid w:val="0"/>
                    <w:jc w:val="center"/>
                    <w:rPr>
                      <w:szCs w:val="21"/>
                    </w:rPr>
                  </w:pPr>
                  <w:r>
                    <w:rPr>
                      <w:szCs w:val="21"/>
                    </w:rPr>
                    <w:t>6</w:t>
                  </w:r>
                </w:p>
              </w:tc>
              <w:tc>
                <w:tcPr>
                  <w:tcW w:w="1041" w:type="pct"/>
                  <w:vAlign w:val="center"/>
                </w:tcPr>
                <w:p>
                  <w:pPr>
                    <w:adjustRightInd w:val="0"/>
                    <w:snapToGrid w:val="0"/>
                    <w:jc w:val="center"/>
                    <w:rPr>
                      <w:szCs w:val="21"/>
                    </w:rPr>
                  </w:pPr>
                  <w:r>
                    <w:rPr>
                      <w:rFonts w:hint="eastAsia"/>
                      <w:szCs w:val="21"/>
                    </w:rPr>
                    <w:t>锡丝</w:t>
                  </w:r>
                </w:p>
              </w:tc>
              <w:tc>
                <w:tcPr>
                  <w:tcW w:w="715" w:type="pct"/>
                  <w:vAlign w:val="center"/>
                </w:tcPr>
                <w:p>
                  <w:pPr>
                    <w:adjustRightInd w:val="0"/>
                    <w:snapToGrid w:val="0"/>
                    <w:jc w:val="center"/>
                    <w:rPr>
                      <w:szCs w:val="21"/>
                    </w:rPr>
                  </w:pPr>
                  <w:r>
                    <w:rPr>
                      <w:szCs w:val="21"/>
                    </w:rPr>
                    <w:t>1000g/</w:t>
                  </w:r>
                  <w:r>
                    <w:rPr>
                      <w:rFonts w:hint="eastAsia"/>
                      <w:szCs w:val="21"/>
                    </w:rPr>
                    <w:t>卷</w:t>
                  </w:r>
                </w:p>
              </w:tc>
              <w:tc>
                <w:tcPr>
                  <w:tcW w:w="738" w:type="pct"/>
                  <w:vAlign w:val="center"/>
                </w:tcPr>
                <w:p>
                  <w:pPr>
                    <w:pStyle w:val="103"/>
                    <w:snapToGrid w:val="0"/>
                    <w:spacing w:line="240" w:lineRule="auto"/>
                    <w:rPr>
                      <w:rFonts w:ascii="Times New Roman"/>
                      <w:sz w:val="21"/>
                      <w:szCs w:val="21"/>
                      <w:lang w:eastAsia="zh-CN"/>
                    </w:rPr>
                  </w:pPr>
                  <w:r>
                    <w:rPr>
                      <w:sz w:val="21"/>
                      <w:szCs w:val="21"/>
                    </w:rPr>
                    <w:t>固态</w:t>
                  </w:r>
                </w:p>
              </w:tc>
              <w:tc>
                <w:tcPr>
                  <w:tcW w:w="789" w:type="pct"/>
                  <w:vAlign w:val="center"/>
                </w:tcPr>
                <w:p>
                  <w:pPr>
                    <w:adjustRightInd w:val="0"/>
                    <w:snapToGrid w:val="0"/>
                    <w:jc w:val="center"/>
                    <w:rPr>
                      <w:szCs w:val="21"/>
                    </w:rPr>
                  </w:pPr>
                  <w:r>
                    <w:rPr>
                      <w:szCs w:val="21"/>
                    </w:rPr>
                    <w:t>0.1t</w:t>
                  </w:r>
                  <w:r>
                    <w:rPr>
                      <w:rFonts w:hint="eastAsia"/>
                      <w:szCs w:val="21"/>
                    </w:rPr>
                    <w:t xml:space="preserve"> </w:t>
                  </w:r>
                </w:p>
              </w:tc>
              <w:tc>
                <w:tcPr>
                  <w:tcW w:w="1205" w:type="pct"/>
                  <w:vAlign w:val="center"/>
                </w:tcPr>
                <w:p>
                  <w:pPr>
                    <w:pStyle w:val="103"/>
                    <w:snapToGrid w:val="0"/>
                    <w:spacing w:line="240" w:lineRule="auto"/>
                    <w:rPr>
                      <w:rFonts w:ascii="Times New Roman"/>
                      <w:sz w:val="21"/>
                      <w:szCs w:val="21"/>
                      <w:lang w:eastAsia="zh-CN"/>
                    </w:rPr>
                  </w:pPr>
                  <w:r>
                    <w:rPr>
                      <w:rFonts w:ascii="Times New Roman"/>
                      <w:sz w:val="21"/>
                      <w:szCs w:val="21"/>
                      <w:lang w:eastAsia="zh-CN"/>
                    </w:rPr>
                    <w:t>2.8t/a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2" w:type="pct"/>
                  <w:vAlign w:val="center"/>
                </w:tcPr>
                <w:p>
                  <w:pPr>
                    <w:adjustRightInd w:val="0"/>
                    <w:snapToGrid w:val="0"/>
                    <w:jc w:val="center"/>
                    <w:rPr>
                      <w:szCs w:val="21"/>
                    </w:rPr>
                  </w:pPr>
                  <w:r>
                    <w:rPr>
                      <w:szCs w:val="21"/>
                    </w:rPr>
                    <w:t>7</w:t>
                  </w:r>
                </w:p>
              </w:tc>
              <w:tc>
                <w:tcPr>
                  <w:tcW w:w="1041" w:type="pct"/>
                  <w:vAlign w:val="center"/>
                </w:tcPr>
                <w:p>
                  <w:pPr>
                    <w:adjustRightInd w:val="0"/>
                    <w:snapToGrid w:val="0"/>
                    <w:jc w:val="center"/>
                    <w:rPr>
                      <w:szCs w:val="21"/>
                    </w:rPr>
                  </w:pPr>
                  <w:r>
                    <w:rPr>
                      <w:rFonts w:hint="eastAsia"/>
                      <w:szCs w:val="21"/>
                    </w:rPr>
                    <w:t>锡膏</w:t>
                  </w:r>
                </w:p>
              </w:tc>
              <w:tc>
                <w:tcPr>
                  <w:tcW w:w="715" w:type="pct"/>
                  <w:vAlign w:val="center"/>
                </w:tcPr>
                <w:p>
                  <w:pPr>
                    <w:adjustRightInd w:val="0"/>
                    <w:snapToGrid w:val="0"/>
                    <w:jc w:val="center"/>
                    <w:rPr>
                      <w:szCs w:val="21"/>
                    </w:rPr>
                  </w:pPr>
                  <w:r>
                    <w:rPr>
                      <w:szCs w:val="21"/>
                    </w:rPr>
                    <w:t>100g/</w:t>
                  </w:r>
                  <w:r>
                    <w:rPr>
                      <w:rFonts w:hint="eastAsia"/>
                      <w:szCs w:val="21"/>
                    </w:rPr>
                    <w:t>罐</w:t>
                  </w:r>
                </w:p>
              </w:tc>
              <w:tc>
                <w:tcPr>
                  <w:tcW w:w="738" w:type="pct"/>
                  <w:vAlign w:val="center"/>
                </w:tcPr>
                <w:p>
                  <w:pPr>
                    <w:pStyle w:val="103"/>
                    <w:snapToGrid w:val="0"/>
                    <w:spacing w:line="240" w:lineRule="auto"/>
                    <w:rPr>
                      <w:rFonts w:ascii="Times New Roman"/>
                      <w:sz w:val="21"/>
                      <w:szCs w:val="21"/>
                      <w:lang w:eastAsia="zh-CN"/>
                    </w:rPr>
                  </w:pPr>
                  <w:r>
                    <w:rPr>
                      <w:rFonts w:hint="eastAsia" w:ascii="Times New Roman"/>
                      <w:sz w:val="21"/>
                      <w:szCs w:val="21"/>
                      <w:lang w:eastAsia="zh-CN"/>
                    </w:rPr>
                    <w:t>膏状</w:t>
                  </w:r>
                </w:p>
              </w:tc>
              <w:tc>
                <w:tcPr>
                  <w:tcW w:w="789" w:type="pct"/>
                  <w:vAlign w:val="center"/>
                </w:tcPr>
                <w:p>
                  <w:pPr>
                    <w:adjustRightInd w:val="0"/>
                    <w:snapToGrid w:val="0"/>
                    <w:jc w:val="center"/>
                    <w:rPr>
                      <w:szCs w:val="21"/>
                    </w:rPr>
                  </w:pPr>
                  <w:r>
                    <w:rPr>
                      <w:szCs w:val="21"/>
                    </w:rPr>
                    <w:t>5000g</w:t>
                  </w:r>
                  <w:r>
                    <w:rPr>
                      <w:rFonts w:hint="eastAsia"/>
                      <w:szCs w:val="21"/>
                    </w:rPr>
                    <w:t xml:space="preserve"> </w:t>
                  </w:r>
                </w:p>
              </w:tc>
              <w:tc>
                <w:tcPr>
                  <w:tcW w:w="1205" w:type="pct"/>
                  <w:vAlign w:val="center"/>
                </w:tcPr>
                <w:p>
                  <w:pPr>
                    <w:pStyle w:val="103"/>
                    <w:snapToGrid w:val="0"/>
                    <w:spacing w:line="240" w:lineRule="auto"/>
                    <w:rPr>
                      <w:rFonts w:ascii="Times New Roman"/>
                      <w:sz w:val="21"/>
                      <w:szCs w:val="21"/>
                    </w:rPr>
                  </w:pPr>
                  <w:r>
                    <w:rPr>
                      <w:rFonts w:ascii="Times New Roman"/>
                      <w:sz w:val="21"/>
                      <w:szCs w:val="21"/>
                    </w:rPr>
                    <w:t>0.06t/a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2" w:type="pct"/>
                  <w:vAlign w:val="center"/>
                </w:tcPr>
                <w:p>
                  <w:pPr>
                    <w:adjustRightInd w:val="0"/>
                    <w:snapToGrid w:val="0"/>
                    <w:jc w:val="center"/>
                    <w:rPr>
                      <w:szCs w:val="21"/>
                    </w:rPr>
                  </w:pPr>
                  <w:r>
                    <w:rPr>
                      <w:szCs w:val="21"/>
                    </w:rPr>
                    <w:t>8</w:t>
                  </w:r>
                </w:p>
              </w:tc>
              <w:tc>
                <w:tcPr>
                  <w:tcW w:w="1041" w:type="pct"/>
                  <w:vAlign w:val="center"/>
                </w:tcPr>
                <w:p>
                  <w:pPr>
                    <w:adjustRightInd w:val="0"/>
                    <w:snapToGrid w:val="0"/>
                    <w:jc w:val="center"/>
                    <w:rPr>
                      <w:szCs w:val="21"/>
                    </w:rPr>
                  </w:pPr>
                  <w:r>
                    <w:rPr>
                      <w:rFonts w:hint="eastAsia"/>
                      <w:bCs/>
                      <w:szCs w:val="21"/>
                    </w:rPr>
                    <w:t>环氧树脂胶</w:t>
                  </w:r>
                </w:p>
              </w:tc>
              <w:tc>
                <w:tcPr>
                  <w:tcW w:w="715" w:type="pct"/>
                  <w:vAlign w:val="center"/>
                </w:tcPr>
                <w:p>
                  <w:pPr>
                    <w:adjustRightInd w:val="0"/>
                    <w:snapToGrid w:val="0"/>
                    <w:jc w:val="center"/>
                    <w:rPr>
                      <w:szCs w:val="21"/>
                    </w:rPr>
                  </w:pPr>
                  <w:r>
                    <w:rPr>
                      <w:szCs w:val="21"/>
                    </w:rPr>
                    <w:t>50g/</w:t>
                  </w:r>
                  <w:r>
                    <w:rPr>
                      <w:rFonts w:hint="eastAsia"/>
                      <w:szCs w:val="21"/>
                    </w:rPr>
                    <w:t>罐</w:t>
                  </w:r>
                </w:p>
              </w:tc>
              <w:tc>
                <w:tcPr>
                  <w:tcW w:w="738" w:type="pct"/>
                  <w:vAlign w:val="center"/>
                </w:tcPr>
                <w:p>
                  <w:pPr>
                    <w:pStyle w:val="103"/>
                    <w:snapToGrid w:val="0"/>
                    <w:spacing w:line="240" w:lineRule="auto"/>
                    <w:rPr>
                      <w:rFonts w:ascii="Times New Roman"/>
                      <w:sz w:val="21"/>
                      <w:szCs w:val="21"/>
                      <w:lang w:eastAsia="zh-CN"/>
                    </w:rPr>
                  </w:pPr>
                  <w:r>
                    <w:rPr>
                      <w:rFonts w:hint="eastAsia" w:ascii="Times New Roman"/>
                      <w:sz w:val="21"/>
                      <w:szCs w:val="21"/>
                      <w:lang w:eastAsia="zh-CN"/>
                    </w:rPr>
                    <w:t>糊状</w:t>
                  </w:r>
                </w:p>
              </w:tc>
              <w:tc>
                <w:tcPr>
                  <w:tcW w:w="789" w:type="pct"/>
                  <w:vAlign w:val="center"/>
                </w:tcPr>
                <w:p>
                  <w:pPr>
                    <w:adjustRightInd w:val="0"/>
                    <w:snapToGrid w:val="0"/>
                    <w:jc w:val="center"/>
                    <w:rPr>
                      <w:szCs w:val="21"/>
                    </w:rPr>
                  </w:pPr>
                  <w:r>
                    <w:rPr>
                      <w:szCs w:val="21"/>
                    </w:rPr>
                    <w:t>500g</w:t>
                  </w:r>
                  <w:r>
                    <w:rPr>
                      <w:rFonts w:hint="eastAsia"/>
                      <w:szCs w:val="21"/>
                    </w:rPr>
                    <w:t xml:space="preserve"> </w:t>
                  </w:r>
                </w:p>
              </w:tc>
              <w:tc>
                <w:tcPr>
                  <w:tcW w:w="1205" w:type="pct"/>
                  <w:vAlign w:val="center"/>
                </w:tcPr>
                <w:p>
                  <w:pPr>
                    <w:pStyle w:val="103"/>
                    <w:snapToGrid w:val="0"/>
                    <w:spacing w:line="240" w:lineRule="auto"/>
                    <w:rPr>
                      <w:rFonts w:ascii="Times New Roman"/>
                      <w:sz w:val="21"/>
                      <w:szCs w:val="21"/>
                      <w:lang w:eastAsia="zh-CN"/>
                    </w:rPr>
                  </w:pPr>
                  <w:r>
                    <w:rPr>
                      <w:rFonts w:ascii="Times New Roman"/>
                      <w:sz w:val="21"/>
                      <w:szCs w:val="21"/>
                      <w:lang w:eastAsia="zh-CN"/>
                    </w:rPr>
                    <w:t>0.01t</w:t>
                  </w:r>
                  <w:r>
                    <w:rPr>
                      <w:rFonts w:hint="eastAsia" w:ascii="Times New Roman"/>
                      <w:sz w:val="21"/>
                      <w:szCs w:val="21"/>
                      <w:lang w:eastAsia="zh-CN"/>
                    </w:rPr>
                    <w:t>/a</w:t>
                  </w:r>
                </w:p>
              </w:tc>
            </w:tr>
          </w:tbl>
          <w:p>
            <w:pPr>
              <w:adjustRightInd w:val="0"/>
              <w:snapToGrid w:val="0"/>
              <w:spacing w:line="360" w:lineRule="auto"/>
              <w:ind w:firstLine="422" w:firstLineChars="200"/>
              <w:rPr>
                <w:szCs w:val="21"/>
              </w:rPr>
            </w:pPr>
            <w:r>
              <w:rPr>
                <w:rFonts w:hint="eastAsia"/>
                <w:b/>
                <w:bCs/>
              </w:rPr>
              <w:t>主要化学品</w:t>
            </w:r>
            <w:r>
              <w:rPr>
                <w:b/>
                <w:bCs/>
              </w:rPr>
              <w:t>的</w:t>
            </w:r>
            <w:r>
              <w:rPr>
                <w:rFonts w:hint="eastAsia"/>
                <w:b/>
                <w:bCs/>
              </w:rPr>
              <w:t>理化</w:t>
            </w:r>
            <w:r>
              <w:rPr>
                <w:b/>
                <w:bCs/>
              </w:rPr>
              <w:t>性质</w:t>
            </w:r>
            <w:r>
              <w:rPr>
                <w:rFonts w:hint="eastAsia"/>
                <w:szCs w:val="21"/>
              </w:rPr>
              <w:t>：</w:t>
            </w:r>
          </w:p>
          <w:p>
            <w:pPr>
              <w:adjustRightInd w:val="0"/>
              <w:snapToGrid w:val="0"/>
              <w:spacing w:line="360" w:lineRule="auto"/>
              <w:ind w:firstLine="422" w:firstLineChars="200"/>
            </w:pPr>
            <w:r>
              <w:rPr>
                <w:rFonts w:hint="eastAsia"/>
                <w:b/>
              </w:rPr>
              <w:t>塑封</w:t>
            </w:r>
            <w:r>
              <w:rPr>
                <w:b/>
              </w:rPr>
              <w:t>材料：</w:t>
            </w:r>
            <w:r>
              <w:rPr>
                <w:szCs w:val="21"/>
              </w:rPr>
              <w:t>外观为黑色固体，密度为1.95~2.05g/cm</w:t>
            </w:r>
            <w:r>
              <w:rPr>
                <w:szCs w:val="21"/>
                <w:vertAlign w:val="superscript"/>
              </w:rPr>
              <w:t>3</w:t>
            </w:r>
            <w:r>
              <w:rPr>
                <w:szCs w:val="21"/>
              </w:rPr>
              <w:t>，</w:t>
            </w:r>
            <w:r>
              <w:rPr>
                <w:szCs w:val="21"/>
                <w:shd w:val="clear" w:color="auto" w:fill="FFFFFF"/>
              </w:rPr>
              <w:t>根据建设单位提供的MSDS（附件4），</w:t>
            </w:r>
            <w:r>
              <w:rPr>
                <w:rFonts w:hint="eastAsia"/>
                <w:szCs w:val="21"/>
                <w:shd w:val="clear" w:color="auto" w:fill="FFFFFF"/>
              </w:rPr>
              <w:t>项目</w:t>
            </w:r>
            <w:r>
              <w:rPr>
                <w:szCs w:val="21"/>
                <w:shd w:val="clear" w:color="auto" w:fill="FFFFFF"/>
              </w:rPr>
              <w:t>所用塑封材料</w:t>
            </w:r>
            <w:r>
              <w:rPr>
                <w:szCs w:val="21"/>
              </w:rPr>
              <w:t>主要成分为</w:t>
            </w:r>
            <w:r>
              <w:rPr>
                <w:rFonts w:hint="eastAsia"/>
                <w:szCs w:val="21"/>
              </w:rPr>
              <w:t>熔融</w:t>
            </w:r>
            <w:r>
              <w:rPr>
                <w:szCs w:val="21"/>
              </w:rPr>
              <w:t>硅微粉</w:t>
            </w:r>
            <w:r>
              <w:rPr>
                <w:rFonts w:hint="eastAsia"/>
                <w:szCs w:val="21"/>
              </w:rPr>
              <w:t>≤80</w:t>
            </w:r>
            <w:r>
              <w:rPr>
                <w:szCs w:val="21"/>
              </w:rPr>
              <w:t>%、环氧树脂</w:t>
            </w:r>
            <w:r>
              <w:rPr>
                <w:rFonts w:hint="eastAsia"/>
                <w:szCs w:val="21"/>
              </w:rPr>
              <w:t>1≤</w:t>
            </w:r>
            <w:r>
              <w:rPr>
                <w:szCs w:val="21"/>
              </w:rPr>
              <w:t>1</w:t>
            </w:r>
            <w:r>
              <w:rPr>
                <w:rFonts w:hint="eastAsia"/>
                <w:szCs w:val="21"/>
              </w:rPr>
              <w:t>0</w:t>
            </w:r>
            <w:r>
              <w:rPr>
                <w:szCs w:val="21"/>
              </w:rPr>
              <w:t>%、环氧树脂2</w:t>
            </w:r>
            <w:r>
              <w:rPr>
                <w:rFonts w:hint="eastAsia"/>
                <w:szCs w:val="21"/>
              </w:rPr>
              <w:t>≤</w:t>
            </w:r>
            <w:r>
              <w:rPr>
                <w:szCs w:val="21"/>
              </w:rPr>
              <w:t>1</w:t>
            </w:r>
            <w:r>
              <w:rPr>
                <w:rFonts w:hint="eastAsia"/>
                <w:szCs w:val="21"/>
              </w:rPr>
              <w:t>0</w:t>
            </w:r>
            <w:r>
              <w:rPr>
                <w:szCs w:val="21"/>
              </w:rPr>
              <w:t>%、酚醛树脂</w:t>
            </w:r>
            <w:r>
              <w:rPr>
                <w:rFonts w:hint="eastAsia"/>
                <w:szCs w:val="21"/>
              </w:rPr>
              <w:t>1≤</w:t>
            </w:r>
            <w:r>
              <w:rPr>
                <w:szCs w:val="21"/>
              </w:rPr>
              <w:t>1</w:t>
            </w:r>
            <w:r>
              <w:rPr>
                <w:rFonts w:hint="eastAsia"/>
                <w:szCs w:val="21"/>
              </w:rPr>
              <w:t>0</w:t>
            </w:r>
            <w:r>
              <w:rPr>
                <w:szCs w:val="21"/>
              </w:rPr>
              <w:t>%、酚醛树脂2</w:t>
            </w:r>
            <w:r>
              <w:rPr>
                <w:rFonts w:hint="eastAsia"/>
                <w:szCs w:val="21"/>
              </w:rPr>
              <w:t>≤</w:t>
            </w:r>
            <w:r>
              <w:rPr>
                <w:szCs w:val="21"/>
              </w:rPr>
              <w:t>1</w:t>
            </w:r>
            <w:r>
              <w:rPr>
                <w:rFonts w:hint="eastAsia"/>
                <w:szCs w:val="21"/>
              </w:rPr>
              <w:t>0</w:t>
            </w:r>
            <w:r>
              <w:rPr>
                <w:szCs w:val="21"/>
              </w:rPr>
              <w:t>%</w:t>
            </w:r>
            <w:r>
              <w:rPr>
                <w:rFonts w:hint="eastAsia"/>
                <w:szCs w:val="21"/>
              </w:rPr>
              <w:t>、</w:t>
            </w:r>
            <w:r>
              <w:rPr>
                <w:szCs w:val="21"/>
              </w:rPr>
              <w:t>炭黑</w:t>
            </w:r>
            <w:r>
              <w:rPr>
                <w:rFonts w:hint="eastAsia"/>
                <w:szCs w:val="21"/>
              </w:rPr>
              <w:t>≤</w:t>
            </w:r>
            <w:r>
              <w:rPr>
                <w:szCs w:val="21"/>
              </w:rPr>
              <w:t>0.8%</w:t>
            </w:r>
            <w:r>
              <w:rPr>
                <w:rFonts w:hint="eastAsia"/>
                <w:szCs w:val="21"/>
              </w:rPr>
              <w:t>、</w:t>
            </w:r>
            <w:r>
              <w:rPr>
                <w:szCs w:val="21"/>
              </w:rPr>
              <w:t>卡拉巴蜡</w:t>
            </w:r>
            <w:r>
              <w:rPr>
                <w:rFonts w:hint="eastAsia"/>
                <w:szCs w:val="21"/>
              </w:rPr>
              <w:t>≤</w:t>
            </w:r>
            <w:r>
              <w:rPr>
                <w:szCs w:val="21"/>
              </w:rPr>
              <w:t>0.8%、三苯基氧化</w:t>
            </w:r>
            <w:r>
              <w:rPr>
                <w:rFonts w:hint="eastAsia"/>
                <w:szCs w:val="21"/>
              </w:rPr>
              <w:t>膦≤</w:t>
            </w:r>
            <w:r>
              <w:rPr>
                <w:szCs w:val="21"/>
              </w:rPr>
              <w:t>1.</w:t>
            </w:r>
            <w:r>
              <w:rPr>
                <w:rFonts w:hint="eastAsia"/>
                <w:szCs w:val="21"/>
              </w:rPr>
              <w:t>0</w:t>
            </w:r>
            <w:r>
              <w:rPr>
                <w:szCs w:val="21"/>
              </w:rPr>
              <w:t>%、</w:t>
            </w:r>
            <w:r>
              <w:rPr>
                <w:rFonts w:hint="eastAsia"/>
                <w:szCs w:val="21"/>
              </w:rPr>
              <w:t>硅烷助剂≤</w:t>
            </w:r>
            <w:r>
              <w:rPr>
                <w:szCs w:val="21"/>
              </w:rPr>
              <w:t>1.</w:t>
            </w:r>
            <w:r>
              <w:rPr>
                <w:rFonts w:hint="eastAsia"/>
                <w:szCs w:val="21"/>
              </w:rPr>
              <w:t>0</w:t>
            </w:r>
            <w:r>
              <w:rPr>
                <w:szCs w:val="21"/>
              </w:rPr>
              <w:t>%、</w:t>
            </w:r>
            <w:r>
              <w:rPr>
                <w:rFonts w:hint="eastAsia"/>
                <w:szCs w:val="21"/>
              </w:rPr>
              <w:t>促进剂≤</w:t>
            </w:r>
            <w:r>
              <w:rPr>
                <w:szCs w:val="21"/>
              </w:rPr>
              <w:t>0.5%</w:t>
            </w:r>
            <w:r>
              <w:t>。</w:t>
            </w:r>
          </w:p>
          <w:p>
            <w:pPr>
              <w:adjustRightInd w:val="0"/>
              <w:snapToGrid w:val="0"/>
              <w:spacing w:line="360" w:lineRule="auto"/>
              <w:ind w:firstLine="422" w:firstLineChars="200"/>
            </w:pPr>
            <w:r>
              <w:rPr>
                <w:b/>
              </w:rPr>
              <w:t>锡丝：</w:t>
            </w:r>
            <w:r>
              <w:rPr>
                <w:szCs w:val="21"/>
                <w:shd w:val="clear" w:color="auto" w:fill="FFFFFF"/>
              </w:rPr>
              <w:t>焊锡丝是由锡合金和助剂两部分组成，根据建设单位提供的MSDS（附件4），</w:t>
            </w:r>
            <w:r>
              <w:rPr>
                <w:szCs w:val="21"/>
              </w:rPr>
              <w:t>项目所用锡丝为无铅锡丝，主要成分为锡97.2-98.3%、铜0.5-0.9%、松香1.2-1.9%</w:t>
            </w:r>
            <w:r>
              <w:t>。</w:t>
            </w:r>
          </w:p>
          <w:p>
            <w:pPr>
              <w:adjustRightInd w:val="0"/>
              <w:snapToGrid w:val="0"/>
              <w:spacing w:line="360" w:lineRule="auto"/>
              <w:ind w:firstLine="422" w:firstLineChars="200"/>
            </w:pPr>
            <w:r>
              <w:rPr>
                <w:rFonts w:hint="eastAsia"/>
                <w:b/>
                <w:szCs w:val="21"/>
              </w:rPr>
              <w:t>锡膏</w:t>
            </w:r>
            <w:r>
              <w:rPr>
                <w:b/>
              </w:rPr>
              <w:t>：</w:t>
            </w:r>
            <w:r>
              <w:rPr>
                <w:rFonts w:hint="eastAsia"/>
                <w:szCs w:val="21"/>
              </w:rPr>
              <w:t>灰色膏体。焊锡膏是伴随着</w:t>
            </w:r>
            <w:r>
              <w:fldChar w:fldCharType="begin"/>
            </w:r>
            <w:r>
              <w:instrText xml:space="preserve"> HYPERLINK "https://baike.baidu.com/item/SMT/263051?fromModule=lemma_inlink" \t "_blank" </w:instrText>
            </w:r>
            <w:r>
              <w:fldChar w:fldCharType="separate"/>
            </w:r>
            <w:r>
              <w:rPr>
                <w:rStyle w:val="38"/>
                <w:rFonts w:hint="eastAsia"/>
                <w:color w:val="auto"/>
                <w:szCs w:val="21"/>
              </w:rPr>
              <w:t>SMT</w:t>
            </w:r>
            <w:r>
              <w:rPr>
                <w:rStyle w:val="38"/>
                <w:rFonts w:hint="eastAsia"/>
                <w:color w:val="auto"/>
                <w:szCs w:val="21"/>
              </w:rPr>
              <w:fldChar w:fldCharType="end"/>
            </w:r>
            <w:r>
              <w:rPr>
                <w:rFonts w:hint="eastAsia"/>
                <w:szCs w:val="21"/>
              </w:rPr>
              <w:t>应运而生的一种新型</w:t>
            </w:r>
            <w:r>
              <w:fldChar w:fldCharType="begin"/>
            </w:r>
            <w:r>
              <w:instrText xml:space="preserve"> HYPERLINK "https://baike.baidu.com/item/%E7%84%8A%E6%8E%A5%E6%9D%90%E6%96%99/1846706?fromModule=lemma_inlink" \t "_blank" </w:instrText>
            </w:r>
            <w:r>
              <w:fldChar w:fldCharType="separate"/>
            </w:r>
            <w:r>
              <w:rPr>
                <w:rStyle w:val="38"/>
                <w:rFonts w:hint="eastAsia"/>
                <w:color w:val="auto"/>
                <w:szCs w:val="21"/>
              </w:rPr>
              <w:t>焊接材料</w:t>
            </w:r>
            <w:r>
              <w:rPr>
                <w:rStyle w:val="38"/>
                <w:rFonts w:hint="eastAsia"/>
                <w:color w:val="auto"/>
                <w:szCs w:val="21"/>
              </w:rPr>
              <w:fldChar w:fldCharType="end"/>
            </w:r>
            <w:r>
              <w:rPr>
                <w:rFonts w:hint="eastAsia"/>
                <w:szCs w:val="21"/>
              </w:rPr>
              <w:t>，是由焊锡粉、助焊剂以及其它的</w:t>
            </w:r>
            <w:r>
              <w:fldChar w:fldCharType="begin"/>
            </w:r>
            <w:r>
              <w:instrText xml:space="preserve"> HYPERLINK "https://baike.baidu.com/item/%E8%A1%A8%E9%9D%A2%E6%B4%BB%E6%80%A7%E5%89%82/5032610?fromModule=lemma_inlink" \t "_blank" </w:instrText>
            </w:r>
            <w:r>
              <w:fldChar w:fldCharType="separate"/>
            </w:r>
            <w:r>
              <w:rPr>
                <w:rStyle w:val="38"/>
                <w:rFonts w:hint="eastAsia"/>
                <w:color w:val="auto"/>
                <w:szCs w:val="21"/>
              </w:rPr>
              <w:t>表面活性剂</w:t>
            </w:r>
            <w:r>
              <w:rPr>
                <w:rStyle w:val="38"/>
                <w:rFonts w:hint="eastAsia"/>
                <w:color w:val="auto"/>
                <w:szCs w:val="21"/>
              </w:rPr>
              <w:fldChar w:fldCharType="end"/>
            </w:r>
            <w:r>
              <w:rPr>
                <w:rFonts w:hint="eastAsia"/>
                <w:szCs w:val="21"/>
              </w:rPr>
              <w:t>、触变剂等加以混合，形成的膏状混合物。主要用于SMT行业</w:t>
            </w:r>
            <w:r>
              <w:fldChar w:fldCharType="begin"/>
            </w:r>
            <w:r>
              <w:instrText xml:space="preserve"> HYPERLINK "https://baike.baidu.com/item/PCB/146397?fromModule=lemma_inlink" \t "_blank" </w:instrText>
            </w:r>
            <w:r>
              <w:fldChar w:fldCharType="separate"/>
            </w:r>
            <w:r>
              <w:rPr>
                <w:rStyle w:val="38"/>
                <w:rFonts w:hint="eastAsia"/>
                <w:color w:val="auto"/>
                <w:szCs w:val="21"/>
              </w:rPr>
              <w:t>PCB</w:t>
            </w:r>
            <w:r>
              <w:rPr>
                <w:rStyle w:val="38"/>
                <w:rFonts w:hint="eastAsia"/>
                <w:color w:val="auto"/>
                <w:szCs w:val="21"/>
              </w:rPr>
              <w:fldChar w:fldCharType="end"/>
            </w:r>
            <w:r>
              <w:rPr>
                <w:rFonts w:hint="eastAsia"/>
                <w:szCs w:val="21"/>
              </w:rPr>
              <w:t>表面</w:t>
            </w:r>
            <w:r>
              <w:fldChar w:fldCharType="begin"/>
            </w:r>
            <w:r>
              <w:instrText xml:space="preserve"> HYPERLINK "https://baike.baidu.com/item/%E7%94%B5%E9%98%BB/3315365?fromModule=lemma_inlink" \t "_blank" </w:instrText>
            </w:r>
            <w:r>
              <w:fldChar w:fldCharType="separate"/>
            </w:r>
            <w:r>
              <w:rPr>
                <w:rStyle w:val="38"/>
                <w:rFonts w:hint="eastAsia"/>
                <w:color w:val="auto"/>
                <w:szCs w:val="21"/>
              </w:rPr>
              <w:t>电阻</w:t>
            </w:r>
            <w:r>
              <w:rPr>
                <w:rStyle w:val="38"/>
                <w:rFonts w:hint="eastAsia"/>
                <w:color w:val="auto"/>
                <w:szCs w:val="21"/>
              </w:rPr>
              <w:fldChar w:fldCharType="end"/>
            </w:r>
            <w:r>
              <w:rPr>
                <w:rFonts w:hint="eastAsia"/>
                <w:szCs w:val="21"/>
              </w:rPr>
              <w:t>、</w:t>
            </w:r>
            <w:r>
              <w:fldChar w:fldCharType="begin"/>
            </w:r>
            <w:r>
              <w:instrText xml:space="preserve"> HYPERLINK "https://baike.baidu.com/item/%E7%94%B5%E5%AE%B9/12031635?fromModule=lemma_inlink" \t "_blank" </w:instrText>
            </w:r>
            <w:r>
              <w:fldChar w:fldCharType="separate"/>
            </w:r>
            <w:r>
              <w:rPr>
                <w:rStyle w:val="38"/>
                <w:rFonts w:hint="eastAsia"/>
                <w:color w:val="auto"/>
                <w:szCs w:val="21"/>
              </w:rPr>
              <w:t>电容</w:t>
            </w:r>
            <w:r>
              <w:rPr>
                <w:rStyle w:val="38"/>
                <w:rFonts w:hint="eastAsia"/>
                <w:color w:val="auto"/>
                <w:szCs w:val="21"/>
              </w:rPr>
              <w:fldChar w:fldCharType="end"/>
            </w:r>
            <w:r>
              <w:rPr>
                <w:rFonts w:hint="eastAsia"/>
                <w:szCs w:val="21"/>
              </w:rPr>
              <w:t>、</w:t>
            </w:r>
            <w:r>
              <w:fldChar w:fldCharType="begin"/>
            </w:r>
            <w:r>
              <w:instrText xml:space="preserve"> HYPERLINK "https://baike.baidu.com/item/IC/4950052?fromModule=lemma_inlink" \t "_blank" </w:instrText>
            </w:r>
            <w:r>
              <w:fldChar w:fldCharType="separate"/>
            </w:r>
            <w:r>
              <w:rPr>
                <w:rStyle w:val="38"/>
                <w:rFonts w:hint="eastAsia"/>
                <w:color w:val="auto"/>
                <w:szCs w:val="21"/>
              </w:rPr>
              <w:t>IC</w:t>
            </w:r>
            <w:r>
              <w:rPr>
                <w:rStyle w:val="38"/>
                <w:rFonts w:hint="eastAsia"/>
                <w:color w:val="auto"/>
                <w:szCs w:val="21"/>
              </w:rPr>
              <w:fldChar w:fldCharType="end"/>
            </w:r>
            <w:r>
              <w:rPr>
                <w:rFonts w:hint="eastAsia"/>
                <w:szCs w:val="21"/>
              </w:rPr>
              <w:t>等</w:t>
            </w:r>
            <w:r>
              <w:fldChar w:fldCharType="begin"/>
            </w:r>
            <w:r>
              <w:instrText xml:space="preserve"> HYPERLINK "https://baike.baidu.com/item/%E7%94%B5%E5%AD%90%E5%85%83%E5%99%A8%E4%BB%B6/9042493?fromModule=lemma_inlink" \t "_blank" </w:instrText>
            </w:r>
            <w:r>
              <w:fldChar w:fldCharType="separate"/>
            </w:r>
            <w:r>
              <w:rPr>
                <w:rStyle w:val="38"/>
                <w:rFonts w:hint="eastAsia"/>
                <w:color w:val="auto"/>
                <w:szCs w:val="21"/>
              </w:rPr>
              <w:t>电子元器件</w:t>
            </w:r>
            <w:r>
              <w:rPr>
                <w:rStyle w:val="38"/>
                <w:rFonts w:hint="eastAsia"/>
                <w:color w:val="auto"/>
                <w:szCs w:val="21"/>
              </w:rPr>
              <w:fldChar w:fldCharType="end"/>
            </w:r>
            <w:r>
              <w:rPr>
                <w:rFonts w:hint="eastAsia"/>
                <w:szCs w:val="21"/>
              </w:rPr>
              <w:t>的焊接</w:t>
            </w:r>
            <w:r>
              <w:t>。</w:t>
            </w:r>
            <w:r>
              <w:rPr>
                <w:szCs w:val="21"/>
                <w:shd w:val="clear" w:color="auto" w:fill="FFFFFF"/>
              </w:rPr>
              <w:t>根据建设单位提供的MSDS（附件4），</w:t>
            </w:r>
            <w:r>
              <w:rPr>
                <w:szCs w:val="21"/>
              </w:rPr>
              <w:t>项目所用</w:t>
            </w:r>
            <w:r>
              <w:rPr>
                <w:rFonts w:hint="eastAsia"/>
                <w:szCs w:val="21"/>
              </w:rPr>
              <w:t>锡膏</w:t>
            </w:r>
            <w:r>
              <w:rPr>
                <w:szCs w:val="21"/>
              </w:rPr>
              <w:t>为无铅</w:t>
            </w:r>
            <w:r>
              <w:rPr>
                <w:rFonts w:hint="eastAsia"/>
                <w:szCs w:val="21"/>
              </w:rPr>
              <w:t>锡膏</w:t>
            </w:r>
            <w:r>
              <w:rPr>
                <w:szCs w:val="21"/>
              </w:rPr>
              <w:t>，</w:t>
            </w:r>
            <w:r>
              <w:rPr>
                <w:rFonts w:hint="eastAsia"/>
                <w:szCs w:val="21"/>
              </w:rPr>
              <w:t>其中</w:t>
            </w:r>
            <w:r>
              <w:rPr>
                <w:szCs w:val="21"/>
              </w:rPr>
              <w:t>合金成分</w:t>
            </w:r>
            <w:r>
              <w:rPr>
                <w:rFonts w:hint="eastAsia"/>
                <w:szCs w:val="21"/>
              </w:rPr>
              <w:t>占88</w:t>
            </w:r>
            <w:r>
              <w:rPr>
                <w:szCs w:val="21"/>
              </w:rPr>
              <w:t>.5%，</w:t>
            </w:r>
            <w:r>
              <w:rPr>
                <w:rFonts w:hint="eastAsia"/>
                <w:szCs w:val="21"/>
              </w:rPr>
              <w:t>主要</w:t>
            </w:r>
            <w:r>
              <w:rPr>
                <w:szCs w:val="21"/>
              </w:rPr>
              <w:t>为锡</w:t>
            </w:r>
            <w:r>
              <w:rPr>
                <w:rFonts w:hint="eastAsia"/>
                <w:szCs w:val="21"/>
              </w:rPr>
              <w:t>＞9</w:t>
            </w:r>
            <w:r>
              <w:rPr>
                <w:szCs w:val="21"/>
              </w:rPr>
              <w:t>5.3%、</w:t>
            </w:r>
            <w:r>
              <w:rPr>
                <w:rFonts w:hint="eastAsia"/>
                <w:szCs w:val="21"/>
              </w:rPr>
              <w:t>银＜4.0</w:t>
            </w:r>
            <w:r>
              <w:rPr>
                <w:szCs w:val="21"/>
              </w:rPr>
              <w:t>%、铜0.7%</w:t>
            </w:r>
            <w:r>
              <w:rPr>
                <w:rFonts w:hint="eastAsia"/>
                <w:szCs w:val="21"/>
              </w:rPr>
              <w:t>；助剂占11.5</w:t>
            </w:r>
            <w:r>
              <w:rPr>
                <w:szCs w:val="21"/>
              </w:rPr>
              <w:t>%</w:t>
            </w:r>
            <w:r>
              <w:rPr>
                <w:rFonts w:hint="eastAsia"/>
                <w:szCs w:val="21"/>
              </w:rPr>
              <w:t>，</w:t>
            </w:r>
            <w:r>
              <w:rPr>
                <w:szCs w:val="21"/>
              </w:rPr>
              <w:t>主要为松香</w:t>
            </w:r>
            <w:r>
              <w:rPr>
                <w:rFonts w:hint="eastAsia"/>
                <w:szCs w:val="21"/>
              </w:rPr>
              <w:t>50</w:t>
            </w:r>
            <w:r>
              <w:rPr>
                <w:szCs w:val="21"/>
              </w:rPr>
              <w:t>%</w:t>
            </w:r>
            <w:r>
              <w:rPr>
                <w:rFonts w:hint="eastAsia"/>
                <w:szCs w:val="21"/>
              </w:rPr>
              <w:t>、</w:t>
            </w:r>
            <w:r>
              <w:rPr>
                <w:szCs w:val="21"/>
              </w:rPr>
              <w:t>触变剂</w:t>
            </w:r>
            <w:r>
              <w:rPr>
                <w:rFonts w:hint="eastAsia"/>
                <w:szCs w:val="21"/>
              </w:rPr>
              <w:t>10</w:t>
            </w:r>
            <w:r>
              <w:rPr>
                <w:szCs w:val="21"/>
              </w:rPr>
              <w:t>%、表面活性剂</w:t>
            </w:r>
            <w:r>
              <w:rPr>
                <w:rFonts w:hint="eastAsia"/>
                <w:szCs w:val="21"/>
              </w:rPr>
              <w:t>8</w:t>
            </w:r>
            <w:r>
              <w:rPr>
                <w:szCs w:val="21"/>
              </w:rPr>
              <w:t>%</w:t>
            </w:r>
            <w:r>
              <w:rPr>
                <w:rFonts w:hint="eastAsia"/>
                <w:szCs w:val="21"/>
              </w:rPr>
              <w:t>、</w:t>
            </w:r>
            <w:r>
              <w:rPr>
                <w:szCs w:val="21"/>
              </w:rPr>
              <w:t>溶剂32%</w:t>
            </w:r>
            <w:r>
              <w:t>。</w:t>
            </w:r>
          </w:p>
          <w:p>
            <w:pPr>
              <w:adjustRightInd w:val="0"/>
              <w:snapToGrid w:val="0"/>
              <w:spacing w:line="360" w:lineRule="auto"/>
              <w:ind w:firstLine="422" w:firstLineChars="200"/>
            </w:pPr>
            <w:r>
              <w:rPr>
                <w:rFonts w:hint="eastAsia"/>
                <w:b/>
                <w:bCs/>
                <w:szCs w:val="21"/>
              </w:rPr>
              <w:t>环氧树脂胶</w:t>
            </w:r>
            <w:r>
              <w:rPr>
                <w:b/>
              </w:rPr>
              <w:t>：</w:t>
            </w:r>
            <w:r>
              <w:rPr>
                <w:rFonts w:hint="eastAsia"/>
                <w:szCs w:val="21"/>
              </w:rPr>
              <w:t>根据建设</w:t>
            </w:r>
            <w:r>
              <w:rPr>
                <w:szCs w:val="21"/>
              </w:rPr>
              <w:t>单位提供的</w:t>
            </w:r>
            <w:r>
              <w:rPr>
                <w:rFonts w:hint="eastAsia"/>
                <w:szCs w:val="21"/>
              </w:rPr>
              <w:t>MSDS（详见</w:t>
            </w:r>
            <w:r>
              <w:rPr>
                <w:szCs w:val="21"/>
              </w:rPr>
              <w:t>附件4</w:t>
            </w:r>
            <w:r>
              <w:rPr>
                <w:rFonts w:hint="eastAsia"/>
                <w:szCs w:val="21"/>
              </w:rPr>
              <w:t>），本项目</w:t>
            </w:r>
            <w:r>
              <w:rPr>
                <w:szCs w:val="21"/>
              </w:rPr>
              <w:t>所用</w:t>
            </w:r>
            <w:r>
              <w:rPr>
                <w:rFonts w:hint="eastAsia"/>
                <w:bCs/>
                <w:szCs w:val="21"/>
              </w:rPr>
              <w:t>环氧树脂粘接剂</w:t>
            </w:r>
            <w:r>
              <w:rPr>
                <w:rFonts w:hint="eastAsia"/>
                <w:szCs w:val="21"/>
              </w:rPr>
              <w:t>主要</w:t>
            </w:r>
            <w:r>
              <w:rPr>
                <w:szCs w:val="21"/>
              </w:rPr>
              <w:t>成分为：</w:t>
            </w:r>
            <w:r>
              <w:rPr>
                <w:rFonts w:hint="eastAsia"/>
                <w:szCs w:val="21"/>
              </w:rPr>
              <w:t>环氧树脂</w:t>
            </w:r>
            <w:r>
              <w:rPr>
                <w:szCs w:val="21"/>
              </w:rPr>
              <w:t>20%</w:t>
            </w:r>
            <w:r>
              <w:rPr>
                <w:rFonts w:hint="eastAsia"/>
                <w:szCs w:val="21"/>
              </w:rPr>
              <w:t>、特殊类环氧树脂</w:t>
            </w:r>
            <w:r>
              <w:rPr>
                <w:szCs w:val="21"/>
              </w:rPr>
              <w:t>25%、</w:t>
            </w:r>
            <w:r>
              <w:rPr>
                <w:rFonts w:hint="eastAsia"/>
                <w:szCs w:val="21"/>
              </w:rPr>
              <w:t>固化</w:t>
            </w:r>
            <w:r>
              <w:rPr>
                <w:szCs w:val="21"/>
              </w:rPr>
              <w:t>剂7%</w:t>
            </w:r>
            <w:r>
              <w:rPr>
                <w:rFonts w:hint="eastAsia"/>
                <w:szCs w:val="21"/>
              </w:rPr>
              <w:t>、催干</w:t>
            </w:r>
            <w:r>
              <w:rPr>
                <w:szCs w:val="21"/>
              </w:rPr>
              <w:t>剂4%</w:t>
            </w:r>
            <w:r>
              <w:rPr>
                <w:rFonts w:hint="eastAsia"/>
                <w:szCs w:val="21"/>
              </w:rPr>
              <w:t>、色粉</w:t>
            </w:r>
            <w:r>
              <w:rPr>
                <w:szCs w:val="21"/>
              </w:rPr>
              <w:t>1%</w:t>
            </w:r>
            <w:r>
              <w:rPr>
                <w:rFonts w:hint="eastAsia"/>
                <w:szCs w:val="21"/>
              </w:rPr>
              <w:t>、</w:t>
            </w:r>
            <w:r>
              <w:rPr>
                <w:szCs w:val="21"/>
              </w:rPr>
              <w:t>添加剂</w:t>
            </w:r>
            <w:r>
              <w:rPr>
                <w:rFonts w:hint="eastAsia"/>
                <w:szCs w:val="21"/>
              </w:rPr>
              <w:t>5</w:t>
            </w:r>
            <w:r>
              <w:rPr>
                <w:szCs w:val="21"/>
              </w:rPr>
              <w:t>%、增韧剂</w:t>
            </w:r>
            <w:r>
              <w:rPr>
                <w:rFonts w:hint="eastAsia"/>
                <w:szCs w:val="21"/>
              </w:rPr>
              <w:t>15</w:t>
            </w:r>
            <w:r>
              <w:rPr>
                <w:szCs w:val="21"/>
              </w:rPr>
              <w:t>%、</w:t>
            </w:r>
            <w:r>
              <w:rPr>
                <w:rFonts w:hint="eastAsia"/>
                <w:szCs w:val="21"/>
              </w:rPr>
              <w:t>填充剂23</w:t>
            </w:r>
            <w:r>
              <w:rPr>
                <w:szCs w:val="21"/>
              </w:rPr>
              <w:t>%</w:t>
            </w:r>
            <w:r>
              <w:rPr>
                <w:rFonts w:hint="eastAsia"/>
                <w:szCs w:val="21"/>
              </w:rPr>
              <w:t>，根据建设</w:t>
            </w:r>
            <w:r>
              <w:rPr>
                <w:szCs w:val="21"/>
              </w:rPr>
              <w:t>单位提供的VOCs</w:t>
            </w:r>
            <w:r>
              <w:rPr>
                <w:rFonts w:hint="eastAsia"/>
                <w:szCs w:val="21"/>
              </w:rPr>
              <w:t>检测</w:t>
            </w:r>
            <w:r>
              <w:rPr>
                <w:szCs w:val="21"/>
              </w:rPr>
              <w:t>报告</w:t>
            </w:r>
            <w:r>
              <w:rPr>
                <w:rFonts w:hint="eastAsia"/>
                <w:szCs w:val="21"/>
              </w:rPr>
              <w:t>（详见</w:t>
            </w:r>
            <w:r>
              <w:rPr>
                <w:szCs w:val="21"/>
              </w:rPr>
              <w:t>附件</w:t>
            </w:r>
            <w:r>
              <w:rPr>
                <w:rFonts w:hint="eastAsia"/>
                <w:szCs w:val="21"/>
              </w:rPr>
              <w:t>5），</w:t>
            </w:r>
            <w:r>
              <w:rPr>
                <w:szCs w:val="21"/>
              </w:rPr>
              <w:t>其VOCs含量为6g/kg，满足《胶黏剂挥发性有机化合物限量》（GB33372-2020）中表3本体型</w:t>
            </w:r>
            <w:r>
              <w:rPr>
                <w:rFonts w:hint="eastAsia"/>
                <w:szCs w:val="21"/>
              </w:rPr>
              <w:t>环氧树脂类</w:t>
            </w:r>
            <w:r>
              <w:rPr>
                <w:szCs w:val="21"/>
              </w:rPr>
              <w:t>胶黏剂的要求≤50g/kg，为低VOCs型胶黏剂</w:t>
            </w:r>
            <w:r>
              <w:t>。</w:t>
            </w:r>
          </w:p>
          <w:p>
            <w:pPr>
              <w:adjustRightInd w:val="0"/>
              <w:snapToGrid w:val="0"/>
              <w:spacing w:line="360" w:lineRule="auto"/>
              <w:ind w:firstLine="422" w:firstLineChars="200"/>
              <w:rPr>
                <w:b/>
                <w:bCs/>
              </w:rPr>
            </w:pPr>
            <w:r>
              <w:rPr>
                <w:rFonts w:hint="eastAsia"/>
                <w:b/>
                <w:bCs/>
              </w:rPr>
              <w:t>4</w:t>
            </w:r>
            <w:r>
              <w:rPr>
                <w:b/>
                <w:bCs/>
              </w:rPr>
              <w:t>、主要生产设施</w:t>
            </w:r>
          </w:p>
          <w:p>
            <w:pPr>
              <w:numPr>
                <w:ilvl w:val="0"/>
                <w:numId w:val="2"/>
              </w:numPr>
              <w:adjustRightInd w:val="0"/>
              <w:snapToGrid w:val="0"/>
              <w:spacing w:line="360" w:lineRule="auto"/>
              <w:ind w:left="322"/>
              <w:jc w:val="center"/>
              <w:rPr>
                <w:b/>
              </w:rPr>
            </w:pPr>
            <w:r>
              <w:rPr>
                <w:b/>
              </w:rPr>
              <w:t>项目主要生产设施一览表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1007"/>
              <w:gridCol w:w="1398"/>
              <w:gridCol w:w="1833"/>
              <w:gridCol w:w="1976"/>
              <w:gridCol w:w="1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2" w:type="pct"/>
                  <w:vAlign w:val="center"/>
                </w:tcPr>
                <w:p>
                  <w:pPr>
                    <w:adjustRightInd w:val="0"/>
                    <w:snapToGrid w:val="0"/>
                    <w:jc w:val="center"/>
                    <w:rPr>
                      <w:b/>
                      <w:bCs/>
                      <w:szCs w:val="21"/>
                    </w:rPr>
                  </w:pPr>
                  <w:r>
                    <w:rPr>
                      <w:b/>
                      <w:bCs/>
                      <w:szCs w:val="21"/>
                    </w:rPr>
                    <w:t>序号</w:t>
                  </w:r>
                </w:p>
              </w:tc>
              <w:tc>
                <w:tcPr>
                  <w:tcW w:w="590" w:type="pct"/>
                  <w:vAlign w:val="center"/>
                </w:tcPr>
                <w:p>
                  <w:pPr>
                    <w:adjustRightInd w:val="0"/>
                    <w:snapToGrid w:val="0"/>
                    <w:jc w:val="center"/>
                    <w:rPr>
                      <w:b/>
                      <w:bCs/>
                      <w:szCs w:val="21"/>
                    </w:rPr>
                  </w:pPr>
                  <w:r>
                    <w:rPr>
                      <w:b/>
                      <w:bCs/>
                      <w:szCs w:val="21"/>
                    </w:rPr>
                    <w:t>主要生产单元</w:t>
                  </w:r>
                </w:p>
              </w:tc>
              <w:tc>
                <w:tcPr>
                  <w:tcW w:w="819" w:type="pct"/>
                  <w:vAlign w:val="center"/>
                </w:tcPr>
                <w:p>
                  <w:pPr>
                    <w:adjustRightInd w:val="0"/>
                    <w:snapToGrid w:val="0"/>
                    <w:jc w:val="center"/>
                    <w:rPr>
                      <w:b/>
                      <w:bCs/>
                      <w:szCs w:val="21"/>
                    </w:rPr>
                  </w:pPr>
                  <w:r>
                    <w:rPr>
                      <w:b/>
                      <w:bCs/>
                      <w:szCs w:val="21"/>
                    </w:rPr>
                    <w:t>主要工艺</w:t>
                  </w:r>
                </w:p>
              </w:tc>
              <w:tc>
                <w:tcPr>
                  <w:tcW w:w="1074" w:type="pct"/>
                  <w:vAlign w:val="center"/>
                </w:tcPr>
                <w:p>
                  <w:pPr>
                    <w:adjustRightInd w:val="0"/>
                    <w:snapToGrid w:val="0"/>
                    <w:jc w:val="center"/>
                    <w:rPr>
                      <w:b/>
                      <w:bCs/>
                      <w:szCs w:val="21"/>
                    </w:rPr>
                  </w:pPr>
                  <w:r>
                    <w:rPr>
                      <w:b/>
                      <w:bCs/>
                      <w:szCs w:val="21"/>
                    </w:rPr>
                    <w:t>生产设施</w:t>
                  </w:r>
                </w:p>
              </w:tc>
              <w:tc>
                <w:tcPr>
                  <w:tcW w:w="1158" w:type="pct"/>
                  <w:vAlign w:val="center"/>
                </w:tcPr>
                <w:p>
                  <w:pPr>
                    <w:adjustRightInd w:val="0"/>
                    <w:snapToGrid w:val="0"/>
                    <w:jc w:val="center"/>
                    <w:rPr>
                      <w:b/>
                      <w:bCs/>
                      <w:szCs w:val="21"/>
                    </w:rPr>
                  </w:pPr>
                  <w:r>
                    <w:rPr>
                      <w:b/>
                      <w:bCs/>
                      <w:szCs w:val="21"/>
                    </w:rPr>
                    <w:t>设施参数</w:t>
                  </w:r>
                </w:p>
              </w:tc>
              <w:tc>
                <w:tcPr>
                  <w:tcW w:w="937" w:type="pct"/>
                  <w:vAlign w:val="center"/>
                </w:tcPr>
                <w:p>
                  <w:pPr>
                    <w:adjustRightInd w:val="0"/>
                    <w:snapToGrid w:val="0"/>
                    <w:jc w:val="center"/>
                    <w:rPr>
                      <w:b/>
                      <w:bCs/>
                      <w:szCs w:val="21"/>
                    </w:rPr>
                  </w:pPr>
                  <w:r>
                    <w:rPr>
                      <w:b/>
                      <w:bCs/>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2" w:type="pct"/>
                  <w:vAlign w:val="center"/>
                </w:tcPr>
                <w:p>
                  <w:pPr>
                    <w:adjustRightInd w:val="0"/>
                    <w:snapToGrid w:val="0"/>
                    <w:jc w:val="center"/>
                    <w:rPr>
                      <w:szCs w:val="21"/>
                    </w:rPr>
                  </w:pPr>
                  <w:r>
                    <w:rPr>
                      <w:szCs w:val="21"/>
                    </w:rPr>
                    <w:t>1</w:t>
                  </w:r>
                </w:p>
              </w:tc>
              <w:tc>
                <w:tcPr>
                  <w:tcW w:w="590" w:type="pct"/>
                  <w:vAlign w:val="center"/>
                </w:tcPr>
                <w:p>
                  <w:pPr>
                    <w:adjustRightInd w:val="0"/>
                    <w:snapToGrid w:val="0"/>
                    <w:jc w:val="center"/>
                    <w:rPr>
                      <w:b/>
                      <w:bCs/>
                      <w:szCs w:val="21"/>
                    </w:rPr>
                  </w:pPr>
                  <w:r>
                    <w:rPr>
                      <w:rFonts w:hint="eastAsia"/>
                      <w:kern w:val="0"/>
                      <w:szCs w:val="21"/>
                    </w:rPr>
                    <w:t>划片</w:t>
                  </w:r>
                </w:p>
              </w:tc>
              <w:tc>
                <w:tcPr>
                  <w:tcW w:w="819" w:type="pct"/>
                  <w:vAlign w:val="center"/>
                </w:tcPr>
                <w:p>
                  <w:pPr>
                    <w:adjustRightInd w:val="0"/>
                    <w:snapToGrid w:val="0"/>
                    <w:jc w:val="center"/>
                    <w:rPr>
                      <w:b/>
                      <w:bCs/>
                      <w:szCs w:val="21"/>
                    </w:rPr>
                  </w:pPr>
                  <w:r>
                    <w:rPr>
                      <w:rFonts w:hint="eastAsia"/>
                      <w:kern w:val="0"/>
                      <w:szCs w:val="21"/>
                    </w:rPr>
                    <w:t>划片</w:t>
                  </w:r>
                </w:p>
              </w:tc>
              <w:tc>
                <w:tcPr>
                  <w:tcW w:w="1074" w:type="pct"/>
                  <w:vAlign w:val="center"/>
                </w:tcPr>
                <w:p>
                  <w:pPr>
                    <w:jc w:val="center"/>
                    <w:rPr>
                      <w:bCs/>
                      <w:szCs w:val="21"/>
                    </w:rPr>
                  </w:pPr>
                  <w:r>
                    <w:rPr>
                      <w:rFonts w:hint="eastAsia"/>
                      <w:bCs/>
                      <w:szCs w:val="21"/>
                    </w:rPr>
                    <w:t>划片机</w:t>
                  </w:r>
                </w:p>
              </w:tc>
              <w:tc>
                <w:tcPr>
                  <w:tcW w:w="1158" w:type="pct"/>
                  <w:vAlign w:val="center"/>
                </w:tcPr>
                <w:p>
                  <w:pPr>
                    <w:adjustRightInd w:val="0"/>
                    <w:snapToGrid w:val="0"/>
                    <w:jc w:val="center"/>
                    <w:rPr>
                      <w:kern w:val="0"/>
                      <w:szCs w:val="21"/>
                    </w:rPr>
                  </w:pPr>
                  <w:r>
                    <w:rPr>
                      <w:rFonts w:hint="eastAsia"/>
                      <w:kern w:val="0"/>
                      <w:szCs w:val="21"/>
                    </w:rPr>
                    <w:t>功率</w:t>
                  </w:r>
                  <w:r>
                    <w:rPr>
                      <w:kern w:val="0"/>
                      <w:szCs w:val="21"/>
                    </w:rPr>
                    <w:t>：</w:t>
                  </w:r>
                  <w:r>
                    <w:rPr>
                      <w:rFonts w:hint="eastAsia"/>
                      <w:kern w:val="0"/>
                      <w:szCs w:val="21"/>
                    </w:rPr>
                    <w:t>6.9</w:t>
                  </w:r>
                  <w:r>
                    <w:rPr>
                      <w:kern w:val="0"/>
                      <w:szCs w:val="21"/>
                    </w:rPr>
                    <w:t>k</w:t>
                  </w:r>
                  <w:r>
                    <w:rPr>
                      <w:rFonts w:hint="eastAsia"/>
                      <w:kern w:val="0"/>
                      <w:szCs w:val="21"/>
                    </w:rPr>
                    <w:t>W</w:t>
                  </w:r>
                </w:p>
              </w:tc>
              <w:tc>
                <w:tcPr>
                  <w:tcW w:w="937" w:type="pct"/>
                  <w:vAlign w:val="center"/>
                </w:tcPr>
                <w:p>
                  <w:pPr>
                    <w:adjustRightInd w:val="0"/>
                    <w:snapToGrid w:val="0"/>
                    <w:jc w:val="center"/>
                    <w:rPr>
                      <w:kern w:val="0"/>
                      <w:szCs w:val="21"/>
                    </w:rPr>
                  </w:pPr>
                  <w:r>
                    <w:rPr>
                      <w:rFonts w:hint="eastAsia"/>
                      <w:kern w:val="0"/>
                      <w:szCs w:val="21"/>
                    </w:rPr>
                    <w:t>10台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2" w:type="pct"/>
                  <w:vAlign w:val="center"/>
                </w:tcPr>
                <w:p>
                  <w:pPr>
                    <w:adjustRightInd w:val="0"/>
                    <w:snapToGrid w:val="0"/>
                    <w:jc w:val="center"/>
                    <w:rPr>
                      <w:szCs w:val="21"/>
                    </w:rPr>
                  </w:pPr>
                  <w:r>
                    <w:rPr>
                      <w:szCs w:val="21"/>
                    </w:rPr>
                    <w:t>2</w:t>
                  </w:r>
                </w:p>
              </w:tc>
              <w:tc>
                <w:tcPr>
                  <w:tcW w:w="590" w:type="pct"/>
                  <w:vAlign w:val="center"/>
                </w:tcPr>
                <w:p>
                  <w:pPr>
                    <w:adjustRightInd w:val="0"/>
                    <w:snapToGrid w:val="0"/>
                    <w:jc w:val="center"/>
                    <w:rPr>
                      <w:kern w:val="0"/>
                      <w:szCs w:val="21"/>
                    </w:rPr>
                  </w:pPr>
                  <w:r>
                    <w:rPr>
                      <w:rFonts w:hint="eastAsia"/>
                      <w:kern w:val="0"/>
                      <w:szCs w:val="21"/>
                    </w:rPr>
                    <w:t>粘片</w:t>
                  </w:r>
                </w:p>
              </w:tc>
              <w:tc>
                <w:tcPr>
                  <w:tcW w:w="819" w:type="pct"/>
                  <w:vAlign w:val="center"/>
                </w:tcPr>
                <w:p>
                  <w:pPr>
                    <w:adjustRightInd w:val="0"/>
                    <w:snapToGrid w:val="0"/>
                    <w:jc w:val="center"/>
                    <w:rPr>
                      <w:kern w:val="0"/>
                      <w:szCs w:val="21"/>
                    </w:rPr>
                  </w:pPr>
                  <w:r>
                    <w:rPr>
                      <w:rFonts w:hint="eastAsia"/>
                      <w:kern w:val="0"/>
                      <w:szCs w:val="21"/>
                    </w:rPr>
                    <w:t>粘片</w:t>
                  </w:r>
                </w:p>
              </w:tc>
              <w:tc>
                <w:tcPr>
                  <w:tcW w:w="1074" w:type="pct"/>
                  <w:vAlign w:val="center"/>
                </w:tcPr>
                <w:p>
                  <w:pPr>
                    <w:jc w:val="center"/>
                    <w:rPr>
                      <w:bCs/>
                      <w:szCs w:val="21"/>
                    </w:rPr>
                  </w:pPr>
                  <w:r>
                    <w:rPr>
                      <w:rFonts w:hint="eastAsia"/>
                      <w:bCs/>
                      <w:szCs w:val="21"/>
                    </w:rPr>
                    <w:t>粘片机</w:t>
                  </w:r>
                </w:p>
              </w:tc>
              <w:tc>
                <w:tcPr>
                  <w:tcW w:w="1158" w:type="pct"/>
                  <w:vAlign w:val="center"/>
                </w:tcPr>
                <w:p>
                  <w:pPr>
                    <w:adjustRightInd w:val="0"/>
                    <w:snapToGrid w:val="0"/>
                    <w:jc w:val="center"/>
                    <w:rPr>
                      <w:kern w:val="0"/>
                      <w:szCs w:val="21"/>
                    </w:rPr>
                  </w:pPr>
                  <w:r>
                    <w:rPr>
                      <w:rFonts w:hint="eastAsia"/>
                      <w:kern w:val="0"/>
                      <w:szCs w:val="21"/>
                    </w:rPr>
                    <w:t>功率</w:t>
                  </w:r>
                  <w:r>
                    <w:rPr>
                      <w:kern w:val="0"/>
                      <w:szCs w:val="21"/>
                    </w:rPr>
                    <w:t>：</w:t>
                  </w:r>
                  <w:r>
                    <w:rPr>
                      <w:rFonts w:hint="eastAsia"/>
                      <w:kern w:val="0"/>
                      <w:szCs w:val="21"/>
                    </w:rPr>
                    <w:t>8</w:t>
                  </w:r>
                  <w:r>
                    <w:rPr>
                      <w:kern w:val="0"/>
                      <w:szCs w:val="21"/>
                    </w:rPr>
                    <w:t xml:space="preserve"> k</w:t>
                  </w:r>
                  <w:r>
                    <w:rPr>
                      <w:rFonts w:hint="eastAsia"/>
                      <w:kern w:val="0"/>
                      <w:szCs w:val="21"/>
                    </w:rPr>
                    <w:t>W</w:t>
                  </w:r>
                </w:p>
              </w:tc>
              <w:tc>
                <w:tcPr>
                  <w:tcW w:w="937" w:type="pct"/>
                  <w:vAlign w:val="center"/>
                </w:tcPr>
                <w:p>
                  <w:pPr>
                    <w:adjustRightInd w:val="0"/>
                    <w:snapToGrid w:val="0"/>
                    <w:jc w:val="center"/>
                    <w:rPr>
                      <w:kern w:val="0"/>
                      <w:szCs w:val="21"/>
                    </w:rPr>
                  </w:pPr>
                  <w:r>
                    <w:rPr>
                      <w:rFonts w:hint="eastAsia"/>
                      <w:kern w:val="0"/>
                      <w:szCs w:val="21"/>
                    </w:rPr>
                    <w:t>68台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2" w:type="pct"/>
                  <w:vAlign w:val="center"/>
                </w:tcPr>
                <w:p>
                  <w:pPr>
                    <w:adjustRightInd w:val="0"/>
                    <w:snapToGrid w:val="0"/>
                    <w:jc w:val="center"/>
                    <w:rPr>
                      <w:szCs w:val="21"/>
                    </w:rPr>
                  </w:pPr>
                  <w:r>
                    <w:rPr>
                      <w:rFonts w:hint="eastAsia"/>
                      <w:szCs w:val="21"/>
                    </w:rPr>
                    <w:t>3</w:t>
                  </w:r>
                </w:p>
              </w:tc>
              <w:tc>
                <w:tcPr>
                  <w:tcW w:w="590" w:type="pct"/>
                  <w:vAlign w:val="center"/>
                </w:tcPr>
                <w:p>
                  <w:pPr>
                    <w:adjustRightInd w:val="0"/>
                    <w:snapToGrid w:val="0"/>
                    <w:jc w:val="center"/>
                    <w:rPr>
                      <w:b/>
                      <w:bCs/>
                      <w:szCs w:val="21"/>
                    </w:rPr>
                  </w:pPr>
                  <w:r>
                    <w:rPr>
                      <w:rFonts w:hint="eastAsia"/>
                      <w:kern w:val="0"/>
                      <w:szCs w:val="21"/>
                    </w:rPr>
                    <w:t>焊线</w:t>
                  </w:r>
                </w:p>
              </w:tc>
              <w:tc>
                <w:tcPr>
                  <w:tcW w:w="819" w:type="pct"/>
                  <w:vAlign w:val="center"/>
                </w:tcPr>
                <w:p>
                  <w:pPr>
                    <w:adjustRightInd w:val="0"/>
                    <w:snapToGrid w:val="0"/>
                    <w:jc w:val="center"/>
                    <w:rPr>
                      <w:b/>
                      <w:bCs/>
                      <w:szCs w:val="21"/>
                    </w:rPr>
                  </w:pPr>
                  <w:r>
                    <w:rPr>
                      <w:rFonts w:hint="eastAsia"/>
                      <w:kern w:val="0"/>
                      <w:szCs w:val="21"/>
                    </w:rPr>
                    <w:t>焊线</w:t>
                  </w:r>
                </w:p>
              </w:tc>
              <w:tc>
                <w:tcPr>
                  <w:tcW w:w="1074" w:type="pct"/>
                  <w:vAlign w:val="center"/>
                </w:tcPr>
                <w:p>
                  <w:pPr>
                    <w:jc w:val="center"/>
                    <w:rPr>
                      <w:bCs/>
                      <w:szCs w:val="21"/>
                    </w:rPr>
                  </w:pPr>
                  <w:r>
                    <w:rPr>
                      <w:rFonts w:hint="eastAsia"/>
                      <w:bCs/>
                      <w:szCs w:val="21"/>
                    </w:rPr>
                    <w:t>焊线机</w:t>
                  </w:r>
                </w:p>
              </w:tc>
              <w:tc>
                <w:tcPr>
                  <w:tcW w:w="1158" w:type="pct"/>
                  <w:vAlign w:val="center"/>
                </w:tcPr>
                <w:p>
                  <w:pPr>
                    <w:adjustRightInd w:val="0"/>
                    <w:snapToGrid w:val="0"/>
                    <w:jc w:val="center"/>
                    <w:rPr>
                      <w:kern w:val="0"/>
                      <w:szCs w:val="21"/>
                    </w:rPr>
                  </w:pPr>
                  <w:r>
                    <w:rPr>
                      <w:rFonts w:hint="eastAsia"/>
                      <w:kern w:val="0"/>
                      <w:szCs w:val="21"/>
                    </w:rPr>
                    <w:t>功率</w:t>
                  </w:r>
                  <w:r>
                    <w:rPr>
                      <w:kern w:val="0"/>
                      <w:szCs w:val="21"/>
                    </w:rPr>
                    <w:t>：</w:t>
                  </w:r>
                  <w:r>
                    <w:rPr>
                      <w:rFonts w:hint="eastAsia"/>
                      <w:kern w:val="0"/>
                      <w:szCs w:val="21"/>
                    </w:rPr>
                    <w:t>2.4</w:t>
                  </w:r>
                  <w:r>
                    <w:rPr>
                      <w:kern w:val="0"/>
                      <w:szCs w:val="21"/>
                    </w:rPr>
                    <w:t xml:space="preserve"> k</w:t>
                  </w:r>
                  <w:r>
                    <w:rPr>
                      <w:rFonts w:hint="eastAsia"/>
                      <w:kern w:val="0"/>
                      <w:szCs w:val="21"/>
                    </w:rPr>
                    <w:t>W</w:t>
                  </w:r>
                </w:p>
              </w:tc>
              <w:tc>
                <w:tcPr>
                  <w:tcW w:w="937" w:type="pct"/>
                  <w:vAlign w:val="center"/>
                </w:tcPr>
                <w:p>
                  <w:pPr>
                    <w:adjustRightInd w:val="0"/>
                    <w:snapToGrid w:val="0"/>
                    <w:jc w:val="center"/>
                    <w:rPr>
                      <w:kern w:val="0"/>
                      <w:szCs w:val="21"/>
                    </w:rPr>
                  </w:pPr>
                  <w:r>
                    <w:rPr>
                      <w:rFonts w:hint="eastAsia"/>
                      <w:kern w:val="0"/>
                      <w:szCs w:val="21"/>
                    </w:rPr>
                    <w:t>68台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2" w:type="pct"/>
                  <w:vAlign w:val="center"/>
                </w:tcPr>
                <w:p>
                  <w:pPr>
                    <w:adjustRightInd w:val="0"/>
                    <w:snapToGrid w:val="0"/>
                    <w:jc w:val="center"/>
                    <w:rPr>
                      <w:szCs w:val="21"/>
                    </w:rPr>
                  </w:pPr>
                  <w:r>
                    <w:rPr>
                      <w:rFonts w:hint="eastAsia"/>
                      <w:szCs w:val="21"/>
                    </w:rPr>
                    <w:t>4</w:t>
                  </w:r>
                </w:p>
              </w:tc>
              <w:tc>
                <w:tcPr>
                  <w:tcW w:w="590" w:type="pct"/>
                  <w:vMerge w:val="restart"/>
                  <w:vAlign w:val="center"/>
                </w:tcPr>
                <w:p>
                  <w:pPr>
                    <w:adjustRightInd w:val="0"/>
                    <w:snapToGrid w:val="0"/>
                    <w:jc w:val="center"/>
                    <w:rPr>
                      <w:kern w:val="0"/>
                      <w:szCs w:val="21"/>
                    </w:rPr>
                  </w:pPr>
                  <w:r>
                    <w:rPr>
                      <w:rFonts w:hint="eastAsia"/>
                      <w:kern w:val="0"/>
                      <w:szCs w:val="21"/>
                    </w:rPr>
                    <w:t>塑封</w:t>
                  </w:r>
                </w:p>
              </w:tc>
              <w:tc>
                <w:tcPr>
                  <w:tcW w:w="819" w:type="pct"/>
                  <w:vAlign w:val="center"/>
                </w:tcPr>
                <w:p>
                  <w:pPr>
                    <w:adjustRightInd w:val="0"/>
                    <w:snapToGrid w:val="0"/>
                    <w:jc w:val="center"/>
                    <w:rPr>
                      <w:kern w:val="0"/>
                      <w:szCs w:val="21"/>
                    </w:rPr>
                  </w:pPr>
                  <w:r>
                    <w:rPr>
                      <w:rFonts w:hint="eastAsia"/>
                      <w:kern w:val="0"/>
                      <w:szCs w:val="21"/>
                    </w:rPr>
                    <w:t>塑封</w:t>
                  </w:r>
                </w:p>
              </w:tc>
              <w:tc>
                <w:tcPr>
                  <w:tcW w:w="1074" w:type="pct"/>
                  <w:vAlign w:val="center"/>
                </w:tcPr>
                <w:p>
                  <w:pPr>
                    <w:jc w:val="center"/>
                    <w:rPr>
                      <w:bCs/>
                      <w:szCs w:val="21"/>
                    </w:rPr>
                  </w:pPr>
                  <w:r>
                    <w:rPr>
                      <w:rFonts w:hint="eastAsia"/>
                      <w:bCs/>
                      <w:szCs w:val="21"/>
                    </w:rPr>
                    <w:t>塑封压机</w:t>
                  </w:r>
                </w:p>
              </w:tc>
              <w:tc>
                <w:tcPr>
                  <w:tcW w:w="1158" w:type="pct"/>
                  <w:vAlign w:val="center"/>
                </w:tcPr>
                <w:p>
                  <w:pPr>
                    <w:adjustRightInd w:val="0"/>
                    <w:snapToGrid w:val="0"/>
                    <w:jc w:val="center"/>
                    <w:rPr>
                      <w:kern w:val="0"/>
                      <w:szCs w:val="21"/>
                    </w:rPr>
                  </w:pPr>
                  <w:r>
                    <w:rPr>
                      <w:rFonts w:hint="eastAsia"/>
                      <w:kern w:val="0"/>
                      <w:szCs w:val="21"/>
                    </w:rPr>
                    <w:t>功率</w:t>
                  </w:r>
                  <w:r>
                    <w:rPr>
                      <w:kern w:val="0"/>
                      <w:szCs w:val="21"/>
                    </w:rPr>
                    <w:t>：</w:t>
                  </w:r>
                  <w:r>
                    <w:rPr>
                      <w:rFonts w:hint="eastAsia"/>
                      <w:kern w:val="0"/>
                      <w:szCs w:val="21"/>
                    </w:rPr>
                    <w:t>23</w:t>
                  </w:r>
                  <w:r>
                    <w:rPr>
                      <w:kern w:val="0"/>
                      <w:szCs w:val="21"/>
                    </w:rPr>
                    <w:t xml:space="preserve"> k</w:t>
                  </w:r>
                  <w:r>
                    <w:rPr>
                      <w:rFonts w:hint="eastAsia"/>
                      <w:kern w:val="0"/>
                      <w:szCs w:val="21"/>
                    </w:rPr>
                    <w:t>W</w:t>
                  </w:r>
                </w:p>
              </w:tc>
              <w:tc>
                <w:tcPr>
                  <w:tcW w:w="937" w:type="pct"/>
                  <w:vAlign w:val="center"/>
                </w:tcPr>
                <w:p>
                  <w:pPr>
                    <w:adjustRightInd w:val="0"/>
                    <w:snapToGrid w:val="0"/>
                    <w:jc w:val="center"/>
                    <w:rPr>
                      <w:kern w:val="0"/>
                      <w:szCs w:val="21"/>
                    </w:rPr>
                  </w:pPr>
                  <w:r>
                    <w:rPr>
                      <w:rFonts w:hint="eastAsia"/>
                      <w:kern w:val="0"/>
                      <w:szCs w:val="21"/>
                    </w:rPr>
                    <w:t>30套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2" w:type="pct"/>
                  <w:vAlign w:val="center"/>
                </w:tcPr>
                <w:p>
                  <w:pPr>
                    <w:adjustRightInd w:val="0"/>
                    <w:snapToGrid w:val="0"/>
                    <w:jc w:val="center"/>
                    <w:rPr>
                      <w:szCs w:val="21"/>
                    </w:rPr>
                  </w:pPr>
                  <w:r>
                    <w:rPr>
                      <w:rFonts w:hint="eastAsia"/>
                      <w:szCs w:val="21"/>
                    </w:rPr>
                    <w:t>5</w:t>
                  </w:r>
                </w:p>
              </w:tc>
              <w:tc>
                <w:tcPr>
                  <w:tcW w:w="590" w:type="pct"/>
                  <w:vMerge w:val="continue"/>
                  <w:vAlign w:val="center"/>
                </w:tcPr>
                <w:p>
                  <w:pPr>
                    <w:adjustRightInd w:val="0"/>
                    <w:snapToGrid w:val="0"/>
                    <w:jc w:val="center"/>
                    <w:rPr>
                      <w:kern w:val="0"/>
                      <w:szCs w:val="21"/>
                    </w:rPr>
                  </w:pPr>
                </w:p>
              </w:tc>
              <w:tc>
                <w:tcPr>
                  <w:tcW w:w="819" w:type="pct"/>
                  <w:vAlign w:val="center"/>
                </w:tcPr>
                <w:p>
                  <w:pPr>
                    <w:adjustRightInd w:val="0"/>
                    <w:snapToGrid w:val="0"/>
                    <w:jc w:val="center"/>
                    <w:rPr>
                      <w:kern w:val="0"/>
                      <w:szCs w:val="21"/>
                    </w:rPr>
                  </w:pPr>
                  <w:r>
                    <w:rPr>
                      <w:rFonts w:hint="eastAsia"/>
                      <w:kern w:val="0"/>
                      <w:szCs w:val="21"/>
                    </w:rPr>
                    <w:t>塑封</w:t>
                  </w:r>
                </w:p>
              </w:tc>
              <w:tc>
                <w:tcPr>
                  <w:tcW w:w="1074" w:type="pct"/>
                  <w:vAlign w:val="center"/>
                </w:tcPr>
                <w:p>
                  <w:pPr>
                    <w:adjustRightInd w:val="0"/>
                    <w:snapToGrid w:val="0"/>
                    <w:jc w:val="center"/>
                    <w:rPr>
                      <w:szCs w:val="21"/>
                    </w:rPr>
                  </w:pPr>
                  <w:r>
                    <w:rPr>
                      <w:rFonts w:hint="eastAsia"/>
                      <w:szCs w:val="21"/>
                    </w:rPr>
                    <w:t>模具</w:t>
                  </w:r>
                </w:p>
              </w:tc>
              <w:tc>
                <w:tcPr>
                  <w:tcW w:w="1158" w:type="pct"/>
                  <w:vAlign w:val="center"/>
                </w:tcPr>
                <w:p>
                  <w:pPr>
                    <w:adjustRightInd w:val="0"/>
                    <w:snapToGrid w:val="0"/>
                    <w:jc w:val="center"/>
                    <w:rPr>
                      <w:kern w:val="0"/>
                      <w:szCs w:val="21"/>
                    </w:rPr>
                  </w:pPr>
                  <w:r>
                    <w:rPr>
                      <w:rFonts w:hint="eastAsia"/>
                      <w:kern w:val="0"/>
                      <w:szCs w:val="21"/>
                    </w:rPr>
                    <w:t>定制</w:t>
                  </w:r>
                </w:p>
              </w:tc>
              <w:tc>
                <w:tcPr>
                  <w:tcW w:w="937" w:type="pct"/>
                  <w:vAlign w:val="center"/>
                </w:tcPr>
                <w:p>
                  <w:pPr>
                    <w:adjustRightInd w:val="0"/>
                    <w:snapToGrid w:val="0"/>
                    <w:jc w:val="center"/>
                    <w:rPr>
                      <w:szCs w:val="21"/>
                    </w:rPr>
                  </w:pPr>
                  <w:r>
                    <w:rPr>
                      <w:rFonts w:hint="eastAsia"/>
                      <w:szCs w:val="21"/>
                    </w:rPr>
                    <w:t>30套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2" w:type="pct"/>
                  <w:vAlign w:val="center"/>
                </w:tcPr>
                <w:p>
                  <w:pPr>
                    <w:adjustRightInd w:val="0"/>
                    <w:snapToGrid w:val="0"/>
                    <w:jc w:val="center"/>
                    <w:rPr>
                      <w:szCs w:val="21"/>
                    </w:rPr>
                  </w:pPr>
                  <w:r>
                    <w:rPr>
                      <w:rFonts w:hint="eastAsia"/>
                      <w:szCs w:val="21"/>
                    </w:rPr>
                    <w:t>6</w:t>
                  </w:r>
                </w:p>
              </w:tc>
              <w:tc>
                <w:tcPr>
                  <w:tcW w:w="590" w:type="pct"/>
                  <w:vMerge w:val="continue"/>
                  <w:vAlign w:val="center"/>
                </w:tcPr>
                <w:p>
                  <w:pPr>
                    <w:adjustRightInd w:val="0"/>
                    <w:snapToGrid w:val="0"/>
                    <w:jc w:val="center"/>
                    <w:rPr>
                      <w:kern w:val="0"/>
                      <w:szCs w:val="21"/>
                    </w:rPr>
                  </w:pPr>
                </w:p>
              </w:tc>
              <w:tc>
                <w:tcPr>
                  <w:tcW w:w="819" w:type="pct"/>
                  <w:vAlign w:val="center"/>
                </w:tcPr>
                <w:p>
                  <w:pPr>
                    <w:adjustRightInd w:val="0"/>
                    <w:snapToGrid w:val="0"/>
                    <w:jc w:val="center"/>
                    <w:rPr>
                      <w:kern w:val="0"/>
                      <w:szCs w:val="21"/>
                    </w:rPr>
                  </w:pPr>
                  <w:r>
                    <w:rPr>
                      <w:rFonts w:hint="eastAsia"/>
                      <w:kern w:val="0"/>
                      <w:szCs w:val="21"/>
                    </w:rPr>
                    <w:t>固化</w:t>
                  </w:r>
                </w:p>
              </w:tc>
              <w:tc>
                <w:tcPr>
                  <w:tcW w:w="1074" w:type="pct"/>
                  <w:vAlign w:val="center"/>
                </w:tcPr>
                <w:p>
                  <w:pPr>
                    <w:jc w:val="center"/>
                    <w:rPr>
                      <w:bCs/>
                      <w:szCs w:val="21"/>
                    </w:rPr>
                  </w:pPr>
                  <w:r>
                    <w:rPr>
                      <w:rFonts w:hint="eastAsia"/>
                      <w:bCs/>
                      <w:szCs w:val="21"/>
                    </w:rPr>
                    <w:t>烤箱</w:t>
                  </w:r>
                </w:p>
              </w:tc>
              <w:tc>
                <w:tcPr>
                  <w:tcW w:w="1158" w:type="pct"/>
                  <w:vAlign w:val="center"/>
                </w:tcPr>
                <w:p>
                  <w:pPr>
                    <w:adjustRightInd w:val="0"/>
                    <w:snapToGrid w:val="0"/>
                    <w:jc w:val="center"/>
                    <w:rPr>
                      <w:kern w:val="0"/>
                      <w:szCs w:val="21"/>
                    </w:rPr>
                  </w:pPr>
                  <w:r>
                    <w:rPr>
                      <w:rFonts w:hint="eastAsia"/>
                      <w:kern w:val="0"/>
                      <w:szCs w:val="21"/>
                    </w:rPr>
                    <w:t>功率</w:t>
                  </w:r>
                  <w:r>
                    <w:rPr>
                      <w:kern w:val="0"/>
                      <w:szCs w:val="21"/>
                    </w:rPr>
                    <w:t>：</w:t>
                  </w:r>
                  <w:r>
                    <w:rPr>
                      <w:rFonts w:hint="eastAsia"/>
                      <w:kern w:val="0"/>
                      <w:szCs w:val="21"/>
                    </w:rPr>
                    <w:t>40</w:t>
                  </w:r>
                  <w:r>
                    <w:rPr>
                      <w:kern w:val="0"/>
                      <w:szCs w:val="21"/>
                    </w:rPr>
                    <w:t xml:space="preserve"> k</w:t>
                  </w:r>
                  <w:r>
                    <w:rPr>
                      <w:rFonts w:hint="eastAsia"/>
                      <w:kern w:val="0"/>
                      <w:szCs w:val="21"/>
                    </w:rPr>
                    <w:t>W</w:t>
                  </w:r>
                </w:p>
              </w:tc>
              <w:tc>
                <w:tcPr>
                  <w:tcW w:w="937" w:type="pct"/>
                  <w:vAlign w:val="center"/>
                </w:tcPr>
                <w:p>
                  <w:pPr>
                    <w:adjustRightInd w:val="0"/>
                    <w:snapToGrid w:val="0"/>
                    <w:jc w:val="center"/>
                    <w:rPr>
                      <w:kern w:val="0"/>
                      <w:szCs w:val="21"/>
                    </w:rPr>
                  </w:pPr>
                  <w:r>
                    <w:rPr>
                      <w:rFonts w:hint="eastAsia"/>
                      <w:kern w:val="0"/>
                      <w:szCs w:val="21"/>
                    </w:rPr>
                    <w:t>12台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2" w:type="pct"/>
                  <w:vAlign w:val="center"/>
                </w:tcPr>
                <w:p>
                  <w:pPr>
                    <w:adjustRightInd w:val="0"/>
                    <w:snapToGrid w:val="0"/>
                    <w:jc w:val="center"/>
                    <w:rPr>
                      <w:szCs w:val="21"/>
                    </w:rPr>
                  </w:pPr>
                  <w:r>
                    <w:rPr>
                      <w:rFonts w:hint="eastAsia"/>
                      <w:szCs w:val="21"/>
                    </w:rPr>
                    <w:t>7</w:t>
                  </w:r>
                </w:p>
              </w:tc>
              <w:tc>
                <w:tcPr>
                  <w:tcW w:w="590" w:type="pct"/>
                  <w:vAlign w:val="center"/>
                </w:tcPr>
                <w:p>
                  <w:pPr>
                    <w:adjustRightInd w:val="0"/>
                    <w:snapToGrid w:val="0"/>
                    <w:jc w:val="center"/>
                    <w:rPr>
                      <w:kern w:val="0"/>
                      <w:szCs w:val="21"/>
                    </w:rPr>
                  </w:pPr>
                  <w:r>
                    <w:rPr>
                      <w:rFonts w:hint="eastAsia"/>
                      <w:kern w:val="0"/>
                      <w:szCs w:val="21"/>
                    </w:rPr>
                    <w:t>切筋</w:t>
                  </w:r>
                </w:p>
              </w:tc>
              <w:tc>
                <w:tcPr>
                  <w:tcW w:w="819" w:type="pct"/>
                  <w:vAlign w:val="center"/>
                </w:tcPr>
                <w:p>
                  <w:pPr>
                    <w:adjustRightInd w:val="0"/>
                    <w:snapToGrid w:val="0"/>
                    <w:jc w:val="center"/>
                    <w:rPr>
                      <w:kern w:val="0"/>
                      <w:szCs w:val="21"/>
                    </w:rPr>
                  </w:pPr>
                  <w:r>
                    <w:rPr>
                      <w:rFonts w:hint="eastAsia"/>
                      <w:kern w:val="0"/>
                      <w:szCs w:val="21"/>
                    </w:rPr>
                    <w:t>切筋</w:t>
                  </w:r>
                </w:p>
              </w:tc>
              <w:tc>
                <w:tcPr>
                  <w:tcW w:w="1074" w:type="pct"/>
                  <w:vAlign w:val="center"/>
                </w:tcPr>
                <w:p>
                  <w:pPr>
                    <w:jc w:val="center"/>
                    <w:rPr>
                      <w:bCs/>
                      <w:szCs w:val="21"/>
                    </w:rPr>
                  </w:pPr>
                  <w:r>
                    <w:rPr>
                      <w:rFonts w:hint="eastAsia"/>
                      <w:bCs/>
                      <w:szCs w:val="21"/>
                    </w:rPr>
                    <w:t>切筋机</w:t>
                  </w:r>
                </w:p>
              </w:tc>
              <w:tc>
                <w:tcPr>
                  <w:tcW w:w="1158" w:type="pct"/>
                  <w:vAlign w:val="center"/>
                </w:tcPr>
                <w:p>
                  <w:pPr>
                    <w:adjustRightInd w:val="0"/>
                    <w:snapToGrid w:val="0"/>
                    <w:jc w:val="center"/>
                    <w:rPr>
                      <w:kern w:val="0"/>
                      <w:szCs w:val="21"/>
                    </w:rPr>
                  </w:pPr>
                  <w:r>
                    <w:rPr>
                      <w:rFonts w:hint="eastAsia"/>
                      <w:kern w:val="0"/>
                      <w:szCs w:val="21"/>
                    </w:rPr>
                    <w:t>功率</w:t>
                  </w:r>
                  <w:r>
                    <w:rPr>
                      <w:kern w:val="0"/>
                      <w:szCs w:val="21"/>
                    </w:rPr>
                    <w:t>：</w:t>
                  </w:r>
                  <w:r>
                    <w:rPr>
                      <w:rFonts w:hint="eastAsia"/>
                      <w:kern w:val="0"/>
                      <w:szCs w:val="21"/>
                    </w:rPr>
                    <w:t>8</w:t>
                  </w:r>
                  <w:r>
                    <w:rPr>
                      <w:kern w:val="0"/>
                      <w:szCs w:val="21"/>
                    </w:rPr>
                    <w:t xml:space="preserve"> k</w:t>
                  </w:r>
                  <w:r>
                    <w:rPr>
                      <w:rFonts w:hint="eastAsia"/>
                      <w:kern w:val="0"/>
                      <w:szCs w:val="21"/>
                    </w:rPr>
                    <w:t>W</w:t>
                  </w:r>
                </w:p>
              </w:tc>
              <w:tc>
                <w:tcPr>
                  <w:tcW w:w="937" w:type="pct"/>
                  <w:vAlign w:val="center"/>
                </w:tcPr>
                <w:p>
                  <w:pPr>
                    <w:adjustRightInd w:val="0"/>
                    <w:snapToGrid w:val="0"/>
                    <w:jc w:val="center"/>
                    <w:rPr>
                      <w:kern w:val="0"/>
                      <w:szCs w:val="21"/>
                    </w:rPr>
                  </w:pPr>
                  <w:r>
                    <w:rPr>
                      <w:rFonts w:hint="eastAsia"/>
                      <w:kern w:val="0"/>
                      <w:szCs w:val="21"/>
                    </w:rPr>
                    <w:t>20台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2" w:type="pct"/>
                  <w:vAlign w:val="center"/>
                </w:tcPr>
                <w:p>
                  <w:pPr>
                    <w:adjustRightInd w:val="0"/>
                    <w:snapToGrid w:val="0"/>
                    <w:jc w:val="center"/>
                    <w:rPr>
                      <w:szCs w:val="21"/>
                    </w:rPr>
                  </w:pPr>
                  <w:r>
                    <w:rPr>
                      <w:rFonts w:hint="eastAsia"/>
                      <w:szCs w:val="21"/>
                    </w:rPr>
                    <w:t>8</w:t>
                  </w:r>
                </w:p>
              </w:tc>
              <w:tc>
                <w:tcPr>
                  <w:tcW w:w="590" w:type="pct"/>
                  <w:vMerge w:val="restart"/>
                  <w:vAlign w:val="center"/>
                </w:tcPr>
                <w:p>
                  <w:pPr>
                    <w:adjustRightInd w:val="0"/>
                    <w:snapToGrid w:val="0"/>
                    <w:jc w:val="center"/>
                    <w:rPr>
                      <w:kern w:val="0"/>
                      <w:szCs w:val="21"/>
                    </w:rPr>
                  </w:pPr>
                  <w:r>
                    <w:rPr>
                      <w:rFonts w:hint="eastAsia"/>
                      <w:kern w:val="0"/>
                      <w:szCs w:val="21"/>
                    </w:rPr>
                    <w:t>测试</w:t>
                  </w:r>
                </w:p>
              </w:tc>
              <w:tc>
                <w:tcPr>
                  <w:tcW w:w="819" w:type="pct"/>
                  <w:vAlign w:val="center"/>
                </w:tcPr>
                <w:p>
                  <w:pPr>
                    <w:adjustRightInd w:val="0"/>
                    <w:snapToGrid w:val="0"/>
                    <w:jc w:val="center"/>
                    <w:rPr>
                      <w:b/>
                      <w:bCs/>
                      <w:szCs w:val="21"/>
                    </w:rPr>
                  </w:pPr>
                  <w:r>
                    <w:rPr>
                      <w:rFonts w:hint="eastAsia"/>
                      <w:kern w:val="0"/>
                      <w:szCs w:val="21"/>
                    </w:rPr>
                    <w:t>测试、</w:t>
                  </w:r>
                  <w:r>
                    <w:rPr>
                      <w:kern w:val="0"/>
                      <w:szCs w:val="21"/>
                    </w:rPr>
                    <w:t>打标</w:t>
                  </w:r>
                </w:p>
              </w:tc>
              <w:tc>
                <w:tcPr>
                  <w:tcW w:w="1074" w:type="pct"/>
                  <w:vAlign w:val="center"/>
                </w:tcPr>
                <w:p>
                  <w:pPr>
                    <w:jc w:val="center"/>
                    <w:rPr>
                      <w:bCs/>
                      <w:szCs w:val="21"/>
                    </w:rPr>
                  </w:pPr>
                  <w:r>
                    <w:rPr>
                      <w:rFonts w:hint="eastAsia"/>
                      <w:bCs/>
                      <w:szCs w:val="21"/>
                    </w:rPr>
                    <w:t>测试打标</w:t>
                  </w:r>
                  <w:r>
                    <w:rPr>
                      <w:bCs/>
                      <w:szCs w:val="21"/>
                    </w:rPr>
                    <w:t>一体</w:t>
                  </w:r>
                  <w:r>
                    <w:rPr>
                      <w:rFonts w:hint="eastAsia"/>
                      <w:bCs/>
                      <w:szCs w:val="21"/>
                    </w:rPr>
                    <w:t>机</w:t>
                  </w:r>
                </w:p>
              </w:tc>
              <w:tc>
                <w:tcPr>
                  <w:tcW w:w="1158" w:type="pct"/>
                  <w:vAlign w:val="center"/>
                </w:tcPr>
                <w:p>
                  <w:pPr>
                    <w:adjustRightInd w:val="0"/>
                    <w:snapToGrid w:val="0"/>
                    <w:jc w:val="center"/>
                    <w:rPr>
                      <w:kern w:val="0"/>
                      <w:szCs w:val="21"/>
                    </w:rPr>
                  </w:pPr>
                  <w:r>
                    <w:rPr>
                      <w:rFonts w:hint="eastAsia"/>
                      <w:kern w:val="0"/>
                      <w:szCs w:val="21"/>
                    </w:rPr>
                    <w:t>功率</w:t>
                  </w:r>
                  <w:r>
                    <w:rPr>
                      <w:kern w:val="0"/>
                      <w:szCs w:val="21"/>
                    </w:rPr>
                    <w:t>：</w:t>
                  </w:r>
                  <w:r>
                    <w:rPr>
                      <w:rFonts w:hint="eastAsia"/>
                      <w:kern w:val="0"/>
                      <w:szCs w:val="21"/>
                    </w:rPr>
                    <w:t>5</w:t>
                  </w:r>
                  <w:r>
                    <w:rPr>
                      <w:kern w:val="0"/>
                      <w:szCs w:val="21"/>
                    </w:rPr>
                    <w:t xml:space="preserve"> k</w:t>
                  </w:r>
                  <w:r>
                    <w:rPr>
                      <w:rFonts w:hint="eastAsia"/>
                      <w:kern w:val="0"/>
                      <w:szCs w:val="21"/>
                    </w:rPr>
                    <w:t>W</w:t>
                  </w:r>
                </w:p>
              </w:tc>
              <w:tc>
                <w:tcPr>
                  <w:tcW w:w="937" w:type="pct"/>
                  <w:vAlign w:val="center"/>
                </w:tcPr>
                <w:p>
                  <w:pPr>
                    <w:adjustRightInd w:val="0"/>
                    <w:snapToGrid w:val="0"/>
                    <w:jc w:val="center"/>
                    <w:rPr>
                      <w:kern w:val="0"/>
                      <w:szCs w:val="21"/>
                    </w:rPr>
                  </w:pPr>
                  <w:r>
                    <w:rPr>
                      <w:rFonts w:hint="eastAsia"/>
                      <w:kern w:val="0"/>
                      <w:szCs w:val="21"/>
                    </w:rPr>
                    <w:t>88套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2" w:type="pct"/>
                  <w:vAlign w:val="center"/>
                </w:tcPr>
                <w:p>
                  <w:pPr>
                    <w:adjustRightInd w:val="0"/>
                    <w:snapToGrid w:val="0"/>
                    <w:jc w:val="center"/>
                    <w:rPr>
                      <w:szCs w:val="21"/>
                    </w:rPr>
                  </w:pPr>
                  <w:r>
                    <w:rPr>
                      <w:rFonts w:hint="eastAsia"/>
                      <w:szCs w:val="21"/>
                    </w:rPr>
                    <w:t>9</w:t>
                  </w:r>
                </w:p>
              </w:tc>
              <w:tc>
                <w:tcPr>
                  <w:tcW w:w="590" w:type="pct"/>
                  <w:vMerge w:val="continue"/>
                  <w:vAlign w:val="center"/>
                </w:tcPr>
                <w:p>
                  <w:pPr>
                    <w:adjustRightInd w:val="0"/>
                    <w:snapToGrid w:val="0"/>
                    <w:jc w:val="center"/>
                    <w:rPr>
                      <w:kern w:val="0"/>
                      <w:szCs w:val="21"/>
                    </w:rPr>
                  </w:pPr>
                </w:p>
              </w:tc>
              <w:tc>
                <w:tcPr>
                  <w:tcW w:w="819" w:type="pct"/>
                  <w:vAlign w:val="center"/>
                </w:tcPr>
                <w:p>
                  <w:pPr>
                    <w:adjustRightInd w:val="0"/>
                    <w:snapToGrid w:val="0"/>
                    <w:jc w:val="center"/>
                    <w:rPr>
                      <w:kern w:val="0"/>
                      <w:szCs w:val="21"/>
                    </w:rPr>
                  </w:pPr>
                  <w:r>
                    <w:rPr>
                      <w:rFonts w:hint="eastAsia"/>
                      <w:kern w:val="0"/>
                      <w:szCs w:val="21"/>
                    </w:rPr>
                    <w:t>测试</w:t>
                  </w:r>
                </w:p>
              </w:tc>
              <w:tc>
                <w:tcPr>
                  <w:tcW w:w="1074" w:type="pct"/>
                  <w:vAlign w:val="center"/>
                </w:tcPr>
                <w:p>
                  <w:pPr>
                    <w:jc w:val="center"/>
                    <w:rPr>
                      <w:bCs/>
                      <w:szCs w:val="21"/>
                    </w:rPr>
                  </w:pPr>
                  <w:r>
                    <w:rPr>
                      <w:rFonts w:hint="eastAsia"/>
                      <w:bCs/>
                      <w:szCs w:val="21"/>
                    </w:rPr>
                    <w:t>回流焊</w:t>
                  </w:r>
                </w:p>
              </w:tc>
              <w:tc>
                <w:tcPr>
                  <w:tcW w:w="1158" w:type="pct"/>
                  <w:vAlign w:val="center"/>
                </w:tcPr>
                <w:p>
                  <w:pPr>
                    <w:adjustRightInd w:val="0"/>
                    <w:snapToGrid w:val="0"/>
                    <w:jc w:val="center"/>
                    <w:rPr>
                      <w:kern w:val="1"/>
                      <w:szCs w:val="21"/>
                    </w:rPr>
                  </w:pPr>
                  <w:r>
                    <w:rPr>
                      <w:rFonts w:hint="eastAsia"/>
                      <w:kern w:val="0"/>
                      <w:szCs w:val="21"/>
                    </w:rPr>
                    <w:t>功率</w:t>
                  </w:r>
                  <w:r>
                    <w:rPr>
                      <w:kern w:val="0"/>
                      <w:szCs w:val="21"/>
                    </w:rPr>
                    <w:t>：</w:t>
                  </w:r>
                  <w:r>
                    <w:rPr>
                      <w:rFonts w:hint="eastAsia"/>
                      <w:kern w:val="1"/>
                      <w:szCs w:val="21"/>
                    </w:rPr>
                    <w:t>30</w:t>
                  </w:r>
                  <w:r>
                    <w:rPr>
                      <w:kern w:val="0"/>
                      <w:szCs w:val="21"/>
                    </w:rPr>
                    <w:t xml:space="preserve"> k</w:t>
                  </w:r>
                  <w:r>
                    <w:rPr>
                      <w:rFonts w:hint="eastAsia"/>
                      <w:kern w:val="0"/>
                      <w:szCs w:val="21"/>
                    </w:rPr>
                    <w:t>W</w:t>
                  </w:r>
                </w:p>
              </w:tc>
              <w:tc>
                <w:tcPr>
                  <w:tcW w:w="937" w:type="pct"/>
                  <w:vAlign w:val="center"/>
                </w:tcPr>
                <w:p>
                  <w:pPr>
                    <w:adjustRightInd w:val="0"/>
                    <w:snapToGrid w:val="0"/>
                    <w:jc w:val="center"/>
                    <w:rPr>
                      <w:kern w:val="0"/>
                      <w:szCs w:val="21"/>
                    </w:rPr>
                  </w:pPr>
                  <w:r>
                    <w:rPr>
                      <w:rFonts w:hint="eastAsia"/>
                      <w:kern w:val="0"/>
                      <w:szCs w:val="21"/>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2" w:type="pct"/>
                  <w:vAlign w:val="center"/>
                </w:tcPr>
                <w:p>
                  <w:pPr>
                    <w:adjustRightInd w:val="0"/>
                    <w:snapToGrid w:val="0"/>
                    <w:jc w:val="center"/>
                    <w:rPr>
                      <w:szCs w:val="21"/>
                    </w:rPr>
                  </w:pPr>
                  <w:r>
                    <w:rPr>
                      <w:rFonts w:hint="eastAsia"/>
                      <w:szCs w:val="21"/>
                    </w:rPr>
                    <w:t>10</w:t>
                  </w:r>
                </w:p>
              </w:tc>
              <w:tc>
                <w:tcPr>
                  <w:tcW w:w="590" w:type="pct"/>
                  <w:vAlign w:val="center"/>
                </w:tcPr>
                <w:p>
                  <w:pPr>
                    <w:adjustRightInd w:val="0"/>
                    <w:snapToGrid w:val="0"/>
                    <w:jc w:val="center"/>
                    <w:rPr>
                      <w:kern w:val="0"/>
                      <w:szCs w:val="21"/>
                    </w:rPr>
                  </w:pPr>
                  <w:r>
                    <w:rPr>
                      <w:rFonts w:hint="eastAsia"/>
                      <w:kern w:val="0"/>
                      <w:szCs w:val="21"/>
                    </w:rPr>
                    <w:t>清洗</w:t>
                  </w:r>
                </w:p>
              </w:tc>
              <w:tc>
                <w:tcPr>
                  <w:tcW w:w="819" w:type="pct"/>
                  <w:vAlign w:val="center"/>
                </w:tcPr>
                <w:p>
                  <w:pPr>
                    <w:adjustRightInd w:val="0"/>
                    <w:snapToGrid w:val="0"/>
                    <w:jc w:val="center"/>
                    <w:rPr>
                      <w:kern w:val="0"/>
                      <w:szCs w:val="21"/>
                    </w:rPr>
                  </w:pPr>
                  <w:r>
                    <w:rPr>
                      <w:rFonts w:hint="eastAsia"/>
                      <w:kern w:val="0"/>
                      <w:szCs w:val="21"/>
                    </w:rPr>
                    <w:t>清洗</w:t>
                  </w:r>
                </w:p>
              </w:tc>
              <w:tc>
                <w:tcPr>
                  <w:tcW w:w="1074" w:type="pct"/>
                  <w:vAlign w:val="center"/>
                </w:tcPr>
                <w:p>
                  <w:pPr>
                    <w:jc w:val="center"/>
                    <w:rPr>
                      <w:bCs/>
                      <w:szCs w:val="21"/>
                    </w:rPr>
                  </w:pPr>
                  <w:r>
                    <w:rPr>
                      <w:rFonts w:hint="eastAsia"/>
                      <w:bCs/>
                      <w:szCs w:val="21"/>
                    </w:rPr>
                    <w:t>超声波清洗机</w:t>
                  </w:r>
                </w:p>
              </w:tc>
              <w:tc>
                <w:tcPr>
                  <w:tcW w:w="1158" w:type="pct"/>
                  <w:vAlign w:val="center"/>
                </w:tcPr>
                <w:p>
                  <w:pPr>
                    <w:adjustRightInd w:val="0"/>
                    <w:snapToGrid w:val="0"/>
                    <w:jc w:val="center"/>
                    <w:rPr>
                      <w:kern w:val="0"/>
                      <w:szCs w:val="21"/>
                    </w:rPr>
                  </w:pPr>
                  <w:r>
                    <w:rPr>
                      <w:rFonts w:hint="eastAsia"/>
                      <w:kern w:val="0"/>
                      <w:szCs w:val="21"/>
                    </w:rPr>
                    <w:t>功率</w:t>
                  </w:r>
                  <w:r>
                    <w:rPr>
                      <w:kern w:val="0"/>
                      <w:szCs w:val="21"/>
                    </w:rPr>
                    <w:t>：</w:t>
                  </w:r>
                  <w:r>
                    <w:rPr>
                      <w:rFonts w:hint="eastAsia"/>
                      <w:kern w:val="0"/>
                      <w:szCs w:val="21"/>
                    </w:rPr>
                    <w:t>25</w:t>
                  </w:r>
                  <w:r>
                    <w:rPr>
                      <w:kern w:val="0"/>
                      <w:szCs w:val="21"/>
                    </w:rPr>
                    <w:t xml:space="preserve"> k</w:t>
                  </w:r>
                  <w:r>
                    <w:rPr>
                      <w:rFonts w:hint="eastAsia"/>
                      <w:kern w:val="0"/>
                      <w:szCs w:val="21"/>
                    </w:rPr>
                    <w:t>W</w:t>
                  </w:r>
                </w:p>
              </w:tc>
              <w:tc>
                <w:tcPr>
                  <w:tcW w:w="937" w:type="pct"/>
                  <w:vAlign w:val="center"/>
                </w:tcPr>
                <w:p>
                  <w:pPr>
                    <w:adjustRightInd w:val="0"/>
                    <w:snapToGrid w:val="0"/>
                    <w:jc w:val="center"/>
                    <w:rPr>
                      <w:szCs w:val="21"/>
                    </w:rPr>
                  </w:pPr>
                  <w:r>
                    <w:rPr>
                      <w:rFonts w:hint="eastAsia"/>
                      <w:szCs w:val="21"/>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2" w:type="pct"/>
                  <w:vAlign w:val="center"/>
                </w:tcPr>
                <w:p>
                  <w:pPr>
                    <w:adjustRightInd w:val="0"/>
                    <w:snapToGrid w:val="0"/>
                    <w:jc w:val="center"/>
                    <w:rPr>
                      <w:szCs w:val="21"/>
                    </w:rPr>
                  </w:pPr>
                  <w:r>
                    <w:rPr>
                      <w:rFonts w:hint="eastAsia"/>
                      <w:szCs w:val="21"/>
                    </w:rPr>
                    <w:t>11</w:t>
                  </w:r>
                </w:p>
              </w:tc>
              <w:tc>
                <w:tcPr>
                  <w:tcW w:w="590" w:type="pct"/>
                  <w:vAlign w:val="center"/>
                </w:tcPr>
                <w:p>
                  <w:pPr>
                    <w:adjustRightInd w:val="0"/>
                    <w:snapToGrid w:val="0"/>
                    <w:jc w:val="center"/>
                    <w:rPr>
                      <w:kern w:val="0"/>
                      <w:szCs w:val="21"/>
                    </w:rPr>
                  </w:pPr>
                  <w:r>
                    <w:rPr>
                      <w:rFonts w:hint="eastAsia"/>
                      <w:kern w:val="0"/>
                      <w:szCs w:val="21"/>
                    </w:rPr>
                    <w:t>点胶</w:t>
                  </w:r>
                </w:p>
              </w:tc>
              <w:tc>
                <w:tcPr>
                  <w:tcW w:w="819" w:type="pct"/>
                  <w:vAlign w:val="center"/>
                </w:tcPr>
                <w:p>
                  <w:pPr>
                    <w:adjustRightInd w:val="0"/>
                    <w:snapToGrid w:val="0"/>
                    <w:jc w:val="center"/>
                    <w:rPr>
                      <w:kern w:val="0"/>
                      <w:szCs w:val="21"/>
                    </w:rPr>
                  </w:pPr>
                  <w:r>
                    <w:rPr>
                      <w:rFonts w:hint="eastAsia"/>
                      <w:kern w:val="0"/>
                      <w:szCs w:val="21"/>
                    </w:rPr>
                    <w:t>点胶</w:t>
                  </w:r>
                </w:p>
              </w:tc>
              <w:tc>
                <w:tcPr>
                  <w:tcW w:w="1074" w:type="pct"/>
                  <w:vAlign w:val="center"/>
                </w:tcPr>
                <w:p>
                  <w:pPr>
                    <w:adjustRightInd w:val="0"/>
                    <w:snapToGrid w:val="0"/>
                    <w:jc w:val="center"/>
                    <w:rPr>
                      <w:szCs w:val="21"/>
                    </w:rPr>
                  </w:pPr>
                  <w:r>
                    <w:rPr>
                      <w:rFonts w:hint="eastAsia"/>
                      <w:szCs w:val="21"/>
                    </w:rPr>
                    <w:t>点胶机</w:t>
                  </w:r>
                </w:p>
              </w:tc>
              <w:tc>
                <w:tcPr>
                  <w:tcW w:w="1158" w:type="pct"/>
                  <w:vAlign w:val="center"/>
                </w:tcPr>
                <w:p>
                  <w:pPr>
                    <w:adjustRightInd w:val="0"/>
                    <w:snapToGrid w:val="0"/>
                    <w:jc w:val="center"/>
                    <w:rPr>
                      <w:kern w:val="0"/>
                      <w:szCs w:val="21"/>
                    </w:rPr>
                  </w:pPr>
                  <w:r>
                    <w:rPr>
                      <w:rFonts w:hint="eastAsia"/>
                      <w:kern w:val="0"/>
                      <w:szCs w:val="21"/>
                    </w:rPr>
                    <w:t>功率</w:t>
                  </w:r>
                  <w:r>
                    <w:rPr>
                      <w:kern w:val="0"/>
                      <w:szCs w:val="21"/>
                    </w:rPr>
                    <w:t>：</w:t>
                  </w:r>
                  <w:r>
                    <w:rPr>
                      <w:rFonts w:hint="eastAsia"/>
                      <w:kern w:val="0"/>
                      <w:szCs w:val="21"/>
                    </w:rPr>
                    <w:t>2</w:t>
                  </w:r>
                  <w:r>
                    <w:rPr>
                      <w:kern w:val="0"/>
                      <w:szCs w:val="21"/>
                    </w:rPr>
                    <w:t xml:space="preserve"> k</w:t>
                  </w:r>
                  <w:r>
                    <w:rPr>
                      <w:rFonts w:hint="eastAsia"/>
                      <w:kern w:val="0"/>
                      <w:szCs w:val="21"/>
                    </w:rPr>
                    <w:t>W</w:t>
                  </w:r>
                </w:p>
              </w:tc>
              <w:tc>
                <w:tcPr>
                  <w:tcW w:w="937" w:type="pct"/>
                  <w:vAlign w:val="center"/>
                </w:tcPr>
                <w:p>
                  <w:pPr>
                    <w:adjustRightInd w:val="0"/>
                    <w:snapToGrid w:val="0"/>
                    <w:jc w:val="center"/>
                    <w:rPr>
                      <w:szCs w:val="21"/>
                    </w:rPr>
                  </w:pPr>
                  <w:r>
                    <w:rPr>
                      <w:rFonts w:hint="eastAsia"/>
                      <w:szCs w:val="21"/>
                    </w:rPr>
                    <w:t>2台</w:t>
                  </w:r>
                </w:p>
              </w:tc>
            </w:tr>
          </w:tbl>
          <w:p>
            <w:pPr>
              <w:spacing w:line="360" w:lineRule="auto"/>
              <w:rPr>
                <w:bCs/>
                <w:szCs w:val="21"/>
              </w:rPr>
            </w:pPr>
            <w:r>
              <w:rPr>
                <w:bCs/>
                <w:szCs w:val="21"/>
              </w:rPr>
              <w:t>注：所有设备均采用电能。</w:t>
            </w:r>
          </w:p>
          <w:p>
            <w:pPr>
              <w:adjustRightInd w:val="0"/>
              <w:snapToGrid w:val="0"/>
              <w:spacing w:line="360" w:lineRule="auto"/>
              <w:ind w:firstLine="422" w:firstLineChars="200"/>
              <w:rPr>
                <w:b/>
                <w:bCs/>
              </w:rPr>
            </w:pPr>
            <w:r>
              <w:rPr>
                <w:rFonts w:hint="eastAsia"/>
                <w:b/>
                <w:bCs/>
              </w:rPr>
              <w:t>5</w:t>
            </w:r>
            <w:r>
              <w:rPr>
                <w:b/>
                <w:bCs/>
              </w:rPr>
              <w:t>、给排水和供电</w:t>
            </w:r>
          </w:p>
          <w:p>
            <w:pPr>
              <w:widowControl/>
              <w:adjustRightInd w:val="0"/>
              <w:snapToGrid w:val="0"/>
              <w:spacing w:line="360" w:lineRule="auto"/>
              <w:ind w:firstLine="422" w:firstLineChars="200"/>
              <w:jc w:val="left"/>
              <w:rPr>
                <w:b/>
                <w:bCs/>
                <w:szCs w:val="21"/>
              </w:rPr>
            </w:pPr>
            <w:r>
              <w:rPr>
                <w:rFonts w:hint="eastAsia"/>
                <w:b/>
                <w:bCs/>
              </w:rPr>
              <w:t>（1）</w:t>
            </w:r>
            <w:r>
              <w:rPr>
                <w:b/>
                <w:bCs/>
              </w:rPr>
              <w:t>给排水</w:t>
            </w:r>
          </w:p>
          <w:p>
            <w:pPr>
              <w:widowControl/>
              <w:adjustRightInd w:val="0"/>
              <w:snapToGrid w:val="0"/>
              <w:spacing w:line="360" w:lineRule="auto"/>
              <w:ind w:firstLine="420" w:firstLineChars="200"/>
              <w:jc w:val="left"/>
            </w:pPr>
            <w:r>
              <w:t>项目用水由附近市政供水管网接入，运营期用水主要有</w:t>
            </w:r>
            <w:r>
              <w:rPr>
                <w:rFonts w:hint="eastAsia"/>
              </w:rPr>
              <w:t>清洗</w:t>
            </w:r>
            <w:r>
              <w:t>用水</w:t>
            </w:r>
            <w:r>
              <w:rPr>
                <w:rFonts w:hint="eastAsia"/>
              </w:rPr>
              <w:t>、</w:t>
            </w:r>
            <w:r>
              <w:t>喷淋塔用水及员工生活用水。</w:t>
            </w:r>
          </w:p>
          <w:p>
            <w:pPr>
              <w:widowControl/>
              <w:adjustRightInd w:val="0"/>
              <w:snapToGrid w:val="0"/>
              <w:spacing w:line="360" w:lineRule="auto"/>
              <w:ind w:firstLine="420" w:firstLineChars="200"/>
              <w:jc w:val="left"/>
            </w:pPr>
            <w:r>
              <w:t>项目采用雨、污水分流制，雨水经暗渠汇集后直接排入市政雨水管网，</w:t>
            </w:r>
            <w:r>
              <w:rPr>
                <w:rFonts w:hint="eastAsia"/>
              </w:rPr>
              <w:t>清洗</w:t>
            </w:r>
            <w:r>
              <w:t>用水</w:t>
            </w:r>
            <w:r>
              <w:rPr>
                <w:rFonts w:hint="eastAsia"/>
              </w:rPr>
              <w:t>经</w:t>
            </w:r>
            <w:r>
              <w:t>过滤后循环使用</w:t>
            </w:r>
            <w:r>
              <w:rPr>
                <w:rFonts w:hint="eastAsia"/>
              </w:rPr>
              <w:t>，</w:t>
            </w:r>
            <w:r>
              <w:t>定期更换的清洗废水委托有资质单位处理，不外排</w:t>
            </w:r>
            <w:r>
              <w:rPr>
                <w:rFonts w:hint="eastAsia"/>
              </w:rPr>
              <w:t>；</w:t>
            </w:r>
            <w:r>
              <w:t>喷淋塔用水循环使用，不外排</w:t>
            </w:r>
            <w:r>
              <w:rPr>
                <w:rFonts w:hint="eastAsia"/>
              </w:rPr>
              <w:t>，喷淋塔沉渣定期打捞交专业回收单位回收处理</w:t>
            </w:r>
            <w:r>
              <w:t>；生活污水经三级化粪池预处理后纳入园洲镇第四污水处理厂处理。</w:t>
            </w:r>
          </w:p>
          <w:p>
            <w:pPr>
              <w:widowControl/>
              <w:adjustRightInd w:val="0"/>
              <w:snapToGrid w:val="0"/>
              <w:spacing w:line="360" w:lineRule="auto"/>
              <w:ind w:firstLine="422" w:firstLineChars="200"/>
              <w:jc w:val="left"/>
              <w:rPr>
                <w:b/>
                <w:bCs/>
              </w:rPr>
            </w:pPr>
            <w:r>
              <w:rPr>
                <w:rFonts w:hint="eastAsia"/>
                <w:b/>
                <w:bCs/>
              </w:rPr>
              <w:t>（2）</w:t>
            </w:r>
            <w:r>
              <w:rPr>
                <w:b/>
                <w:bCs/>
              </w:rPr>
              <w:t>供电</w:t>
            </w:r>
          </w:p>
          <w:p>
            <w:pPr>
              <w:widowControl/>
              <w:adjustRightInd w:val="0"/>
              <w:snapToGrid w:val="0"/>
              <w:spacing w:line="360" w:lineRule="auto"/>
              <w:ind w:firstLine="420" w:firstLineChars="200"/>
              <w:jc w:val="left"/>
            </w:pPr>
            <w:r>
              <w:t>项目年耗电量约800万度，供电由市政电网提供。</w:t>
            </w:r>
          </w:p>
          <w:p>
            <w:pPr>
              <w:adjustRightInd w:val="0"/>
              <w:snapToGrid w:val="0"/>
              <w:spacing w:line="360" w:lineRule="auto"/>
              <w:ind w:firstLine="422" w:firstLineChars="200"/>
              <w:rPr>
                <w:b/>
                <w:bCs/>
              </w:rPr>
            </w:pPr>
            <w:r>
              <w:rPr>
                <w:rFonts w:hint="eastAsia"/>
                <w:b/>
                <w:bCs/>
              </w:rPr>
              <w:t>6</w:t>
            </w:r>
            <w:r>
              <w:rPr>
                <w:b/>
                <w:bCs/>
              </w:rPr>
              <w:t>、水平衡分析</w:t>
            </w:r>
          </w:p>
          <w:p>
            <w:pPr>
              <w:adjustRightInd w:val="0"/>
              <w:snapToGrid w:val="0"/>
              <w:spacing w:line="360" w:lineRule="auto"/>
              <w:ind w:firstLine="422" w:firstLineChars="200"/>
              <w:rPr>
                <w:b/>
                <w:bCs/>
                <w:szCs w:val="21"/>
              </w:rPr>
            </w:pPr>
            <w:r>
              <w:rPr>
                <w:rFonts w:hint="eastAsia"/>
                <w:b/>
                <w:bCs/>
              </w:rPr>
              <w:t>（1）清洗用水</w:t>
            </w:r>
          </w:p>
          <w:p>
            <w:pPr>
              <w:widowControl/>
              <w:adjustRightInd w:val="0"/>
              <w:snapToGrid w:val="0"/>
              <w:spacing w:line="360" w:lineRule="auto"/>
              <w:ind w:firstLine="420" w:firstLineChars="200"/>
              <w:rPr>
                <w:szCs w:val="21"/>
              </w:rPr>
            </w:pPr>
            <w:r>
              <w:rPr>
                <w:szCs w:val="21"/>
              </w:rPr>
              <w:t>本项目产品</w:t>
            </w:r>
            <w:r>
              <w:rPr>
                <w:rFonts w:hint="eastAsia"/>
                <w:szCs w:val="21"/>
              </w:rPr>
              <w:t>划片</w:t>
            </w:r>
            <w:r>
              <w:rPr>
                <w:szCs w:val="21"/>
              </w:rPr>
              <w:t>后需</w:t>
            </w:r>
            <w:r>
              <w:rPr>
                <w:rFonts w:hint="eastAsia"/>
                <w:szCs w:val="21"/>
              </w:rPr>
              <w:t>采用</w:t>
            </w:r>
            <w:r>
              <w:rPr>
                <w:szCs w:val="21"/>
              </w:rPr>
              <w:t>清水进行清洗，清洗的目的是除去产品表面的</w:t>
            </w:r>
            <w:r>
              <w:rPr>
                <w:rFonts w:hint="eastAsia"/>
                <w:szCs w:val="21"/>
              </w:rPr>
              <w:t>少量灰尘，</w:t>
            </w:r>
            <w:r>
              <w:rPr>
                <w:szCs w:val="21"/>
              </w:rPr>
              <w:t>项目共设超声清洗机2台，</w:t>
            </w:r>
            <w:r>
              <w:rPr>
                <w:rFonts w:hint="eastAsia"/>
                <w:szCs w:val="21"/>
              </w:rPr>
              <w:t>每台</w:t>
            </w:r>
            <w:r>
              <w:rPr>
                <w:szCs w:val="21"/>
              </w:rPr>
              <w:t>超声清洗机设有5个槽，其中第1个槽和第2个槽为超声清洗</w:t>
            </w:r>
            <w:r>
              <w:rPr>
                <w:rFonts w:hint="eastAsia"/>
                <w:szCs w:val="21"/>
              </w:rPr>
              <w:t>水槽</w:t>
            </w:r>
            <w:r>
              <w:rPr>
                <w:szCs w:val="21"/>
              </w:rPr>
              <w:t>，第三个水槽采用清水漂洗，</w:t>
            </w:r>
            <w:r>
              <w:rPr>
                <w:rFonts w:hint="eastAsia"/>
                <w:szCs w:val="21"/>
              </w:rPr>
              <w:t>第4个</w:t>
            </w:r>
            <w:r>
              <w:rPr>
                <w:szCs w:val="21"/>
              </w:rPr>
              <w:t>槽为风切吹水槽，</w:t>
            </w:r>
            <w:r>
              <w:rPr>
                <w:rFonts w:hint="eastAsia"/>
                <w:szCs w:val="21"/>
              </w:rPr>
              <w:t>目的</w:t>
            </w:r>
            <w:r>
              <w:rPr>
                <w:szCs w:val="21"/>
              </w:rPr>
              <w:t>是将产品工件携带的上一道清洗工艺的水吹落</w:t>
            </w:r>
            <w:r>
              <w:rPr>
                <w:rFonts w:hint="eastAsia"/>
                <w:szCs w:val="21"/>
              </w:rPr>
              <w:t>，</w:t>
            </w:r>
            <w:r>
              <w:rPr>
                <w:szCs w:val="21"/>
              </w:rPr>
              <w:t>第</w:t>
            </w:r>
            <w:r>
              <w:rPr>
                <w:rFonts w:hint="eastAsia"/>
                <w:szCs w:val="21"/>
              </w:rPr>
              <w:t>5个</w:t>
            </w:r>
            <w:r>
              <w:rPr>
                <w:szCs w:val="21"/>
              </w:rPr>
              <w:t>槽为热风干燥槽，</w:t>
            </w:r>
            <w:r>
              <w:rPr>
                <w:rFonts w:hint="eastAsia"/>
                <w:szCs w:val="21"/>
              </w:rPr>
              <w:t>目的</w:t>
            </w:r>
            <w:r>
              <w:rPr>
                <w:szCs w:val="21"/>
              </w:rPr>
              <w:t>是采用热风进一步烘干产品。</w:t>
            </w:r>
            <w:r>
              <w:rPr>
                <w:rFonts w:hint="eastAsia"/>
                <w:szCs w:val="21"/>
              </w:rPr>
              <w:t>超声</w:t>
            </w:r>
            <w:r>
              <w:rPr>
                <w:szCs w:val="21"/>
              </w:rPr>
              <w:t>清洗机水槽尺寸及清洗用水核算如下表所示：</w:t>
            </w:r>
          </w:p>
          <w:p>
            <w:pPr>
              <w:widowControl/>
              <w:numPr>
                <w:ilvl w:val="0"/>
                <w:numId w:val="2"/>
              </w:numPr>
              <w:spacing w:line="360" w:lineRule="auto"/>
              <w:ind w:left="0"/>
              <w:jc w:val="center"/>
              <w:rPr>
                <w:b/>
                <w:bCs/>
                <w:szCs w:val="21"/>
              </w:rPr>
            </w:pPr>
            <w:r>
              <w:rPr>
                <w:b/>
                <w:bCs/>
                <w:szCs w:val="21"/>
              </w:rPr>
              <w:t>项目清洗用水核算表</w:t>
            </w:r>
          </w:p>
          <w:tbl>
            <w:tblPr>
              <w:tblStyle w:val="29"/>
              <w:tblW w:w="5000" w:type="pct"/>
              <w:jc w:val="center"/>
              <w:tblLayout w:type="autofit"/>
              <w:tblCellMar>
                <w:top w:w="0" w:type="dxa"/>
                <w:left w:w="108" w:type="dxa"/>
                <w:bottom w:w="0" w:type="dxa"/>
                <w:right w:w="108" w:type="dxa"/>
              </w:tblCellMar>
            </w:tblPr>
            <w:tblGrid>
              <w:gridCol w:w="1378"/>
              <w:gridCol w:w="2456"/>
              <w:gridCol w:w="1859"/>
              <w:gridCol w:w="1200"/>
              <w:gridCol w:w="1651"/>
            </w:tblGrid>
            <w:tr>
              <w:tblPrEx>
                <w:tblCellMar>
                  <w:top w:w="0" w:type="dxa"/>
                  <w:left w:w="108" w:type="dxa"/>
                  <w:bottom w:w="0" w:type="dxa"/>
                  <w:right w:w="108" w:type="dxa"/>
                </w:tblCellMar>
              </w:tblPrEx>
              <w:trPr>
                <w:trHeight w:val="340" w:hRule="atLeast"/>
                <w:jc w:val="center"/>
              </w:trPr>
              <w:tc>
                <w:tcPr>
                  <w:tcW w:w="807"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b/>
                      <w:bCs/>
                      <w:szCs w:val="21"/>
                    </w:rPr>
                  </w:pPr>
                  <w:r>
                    <w:rPr>
                      <w:b/>
                      <w:bCs/>
                      <w:kern w:val="0"/>
                      <w:szCs w:val="21"/>
                      <w:lang w:bidi="ar"/>
                    </w:rPr>
                    <w:t>清洗机名称</w:t>
                  </w:r>
                </w:p>
              </w:tc>
              <w:tc>
                <w:tcPr>
                  <w:tcW w:w="1437"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b/>
                      <w:bCs/>
                      <w:szCs w:val="21"/>
                    </w:rPr>
                  </w:pPr>
                  <w:r>
                    <w:rPr>
                      <w:b/>
                      <w:bCs/>
                      <w:kern w:val="0"/>
                      <w:szCs w:val="21"/>
                      <w:lang w:bidi="ar"/>
                    </w:rPr>
                    <w:t>水槽尺寸</w:t>
                  </w:r>
                  <w:r>
                    <w:rPr>
                      <w:rFonts w:hint="eastAsia"/>
                      <w:b/>
                      <w:bCs/>
                      <w:kern w:val="0"/>
                      <w:szCs w:val="21"/>
                      <w:lang w:bidi="ar"/>
                    </w:rPr>
                    <w:t>（mm）</w:t>
                  </w:r>
                </w:p>
              </w:tc>
              <w:tc>
                <w:tcPr>
                  <w:tcW w:w="108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kern w:val="0"/>
                      <w:szCs w:val="21"/>
                      <w:lang w:bidi="ar"/>
                    </w:rPr>
                  </w:pPr>
                  <w:r>
                    <w:rPr>
                      <w:rFonts w:hint="eastAsia"/>
                      <w:b/>
                      <w:bCs/>
                      <w:kern w:val="0"/>
                      <w:szCs w:val="21"/>
                      <w:lang w:bidi="ar"/>
                    </w:rPr>
                    <w:t>有效</w:t>
                  </w:r>
                  <w:r>
                    <w:rPr>
                      <w:b/>
                      <w:bCs/>
                      <w:kern w:val="0"/>
                      <w:szCs w:val="21"/>
                      <w:lang w:bidi="ar"/>
                    </w:rPr>
                    <w:t>水深</w:t>
                  </w:r>
                  <w:r>
                    <w:rPr>
                      <w:rFonts w:hint="eastAsia"/>
                      <w:b/>
                      <w:bCs/>
                      <w:kern w:val="0"/>
                      <w:szCs w:val="21"/>
                      <w:lang w:bidi="ar"/>
                    </w:rPr>
                    <w:t>（mm）</w:t>
                  </w:r>
                </w:p>
              </w:tc>
              <w:tc>
                <w:tcPr>
                  <w:tcW w:w="702"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b/>
                      <w:bCs/>
                      <w:szCs w:val="21"/>
                    </w:rPr>
                  </w:pPr>
                  <w:r>
                    <w:rPr>
                      <w:rFonts w:hint="eastAsia"/>
                      <w:b/>
                      <w:bCs/>
                      <w:kern w:val="0"/>
                      <w:szCs w:val="21"/>
                      <w:lang w:bidi="ar"/>
                    </w:rPr>
                    <w:t>水槽</w:t>
                  </w:r>
                  <w:r>
                    <w:rPr>
                      <w:b/>
                      <w:bCs/>
                      <w:kern w:val="0"/>
                      <w:szCs w:val="21"/>
                      <w:lang w:bidi="ar"/>
                    </w:rPr>
                    <w:t>数量</w:t>
                  </w:r>
                </w:p>
              </w:tc>
              <w:tc>
                <w:tcPr>
                  <w:tcW w:w="966"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b/>
                      <w:bCs/>
                      <w:kern w:val="0"/>
                      <w:szCs w:val="21"/>
                      <w:lang w:bidi="ar"/>
                    </w:rPr>
                  </w:pPr>
                  <w:r>
                    <w:rPr>
                      <w:b/>
                      <w:bCs/>
                      <w:kern w:val="0"/>
                      <w:szCs w:val="21"/>
                      <w:lang w:bidi="ar"/>
                    </w:rPr>
                    <w:t>用水量(t)</w:t>
                  </w:r>
                </w:p>
              </w:tc>
            </w:tr>
            <w:tr>
              <w:tblPrEx>
                <w:tblCellMar>
                  <w:top w:w="0" w:type="dxa"/>
                  <w:left w:w="108" w:type="dxa"/>
                  <w:bottom w:w="0" w:type="dxa"/>
                  <w:right w:w="108" w:type="dxa"/>
                </w:tblCellMar>
              </w:tblPrEx>
              <w:trPr>
                <w:trHeight w:val="340" w:hRule="atLeast"/>
                <w:jc w:val="center"/>
              </w:trPr>
              <w:tc>
                <w:tcPr>
                  <w:tcW w:w="807"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szCs w:val="21"/>
                    </w:rPr>
                  </w:pPr>
                  <w:r>
                    <w:rPr>
                      <w:szCs w:val="21"/>
                    </w:rPr>
                    <w:t>超声清洗机</w:t>
                  </w:r>
                  <w:r>
                    <w:rPr>
                      <w:rFonts w:hint="eastAsia"/>
                      <w:szCs w:val="21"/>
                    </w:rPr>
                    <w:t>1</w:t>
                  </w:r>
                </w:p>
              </w:tc>
              <w:tc>
                <w:tcPr>
                  <w:tcW w:w="1437"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szCs w:val="21"/>
                    </w:rPr>
                  </w:pPr>
                  <w:r>
                    <w:rPr>
                      <w:rFonts w:hint="eastAsia"/>
                      <w:szCs w:val="21"/>
                    </w:rPr>
                    <w:t>520L*360W*670H</w:t>
                  </w:r>
                </w:p>
              </w:tc>
              <w:tc>
                <w:tcPr>
                  <w:tcW w:w="108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kern w:val="0"/>
                      <w:szCs w:val="21"/>
                      <w:lang w:bidi="ar"/>
                    </w:rPr>
                  </w:pPr>
                  <w:r>
                    <w:rPr>
                      <w:rFonts w:hint="eastAsia"/>
                      <w:kern w:val="0"/>
                      <w:szCs w:val="21"/>
                      <w:lang w:bidi="ar"/>
                    </w:rPr>
                    <w:t>300</w:t>
                  </w:r>
                </w:p>
              </w:tc>
              <w:tc>
                <w:tcPr>
                  <w:tcW w:w="702"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szCs w:val="21"/>
                    </w:rPr>
                  </w:pPr>
                  <w:r>
                    <w:rPr>
                      <w:szCs w:val="21"/>
                      <w:lang w:bidi="ar"/>
                    </w:rPr>
                    <w:t>3</w:t>
                  </w:r>
                </w:p>
              </w:tc>
              <w:tc>
                <w:tcPr>
                  <w:tcW w:w="966"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kern w:val="0"/>
                      <w:szCs w:val="21"/>
                      <w:lang w:bidi="ar"/>
                    </w:rPr>
                  </w:pPr>
                  <w:r>
                    <w:rPr>
                      <w:kern w:val="0"/>
                      <w:szCs w:val="21"/>
                      <w:lang w:bidi="ar"/>
                    </w:rPr>
                    <w:t>0.17</w:t>
                  </w:r>
                </w:p>
              </w:tc>
            </w:tr>
            <w:tr>
              <w:tblPrEx>
                <w:tblCellMar>
                  <w:top w:w="0" w:type="dxa"/>
                  <w:left w:w="108" w:type="dxa"/>
                  <w:bottom w:w="0" w:type="dxa"/>
                  <w:right w:w="108" w:type="dxa"/>
                </w:tblCellMar>
              </w:tblPrEx>
              <w:trPr>
                <w:trHeight w:val="340" w:hRule="atLeast"/>
                <w:jc w:val="center"/>
              </w:trPr>
              <w:tc>
                <w:tcPr>
                  <w:tcW w:w="807"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szCs w:val="21"/>
                    </w:rPr>
                  </w:pPr>
                  <w:r>
                    <w:rPr>
                      <w:szCs w:val="21"/>
                    </w:rPr>
                    <w:t>超声清洗机2</w:t>
                  </w:r>
                </w:p>
              </w:tc>
              <w:tc>
                <w:tcPr>
                  <w:tcW w:w="1437"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szCs w:val="21"/>
                    </w:rPr>
                  </w:pPr>
                  <w:r>
                    <w:rPr>
                      <w:rFonts w:hint="eastAsia"/>
                      <w:szCs w:val="21"/>
                    </w:rPr>
                    <w:t>520L*360W*670H</w:t>
                  </w:r>
                </w:p>
              </w:tc>
              <w:tc>
                <w:tcPr>
                  <w:tcW w:w="108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kern w:val="0"/>
                      <w:szCs w:val="21"/>
                      <w:lang w:bidi="ar"/>
                    </w:rPr>
                  </w:pPr>
                  <w:r>
                    <w:rPr>
                      <w:rFonts w:hint="eastAsia"/>
                      <w:kern w:val="0"/>
                      <w:szCs w:val="21"/>
                      <w:lang w:bidi="ar"/>
                    </w:rPr>
                    <w:t>300</w:t>
                  </w:r>
                </w:p>
              </w:tc>
              <w:tc>
                <w:tcPr>
                  <w:tcW w:w="702"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szCs w:val="21"/>
                    </w:rPr>
                  </w:pPr>
                  <w:r>
                    <w:rPr>
                      <w:szCs w:val="21"/>
                      <w:lang w:bidi="ar"/>
                    </w:rPr>
                    <w:t>3</w:t>
                  </w:r>
                </w:p>
              </w:tc>
              <w:tc>
                <w:tcPr>
                  <w:tcW w:w="966"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kern w:val="0"/>
                      <w:szCs w:val="21"/>
                      <w:lang w:bidi="ar"/>
                    </w:rPr>
                  </w:pPr>
                  <w:r>
                    <w:rPr>
                      <w:rFonts w:hint="eastAsia"/>
                      <w:kern w:val="0"/>
                      <w:szCs w:val="21"/>
                      <w:lang w:bidi="ar"/>
                    </w:rPr>
                    <w:t>0.17</w:t>
                  </w:r>
                </w:p>
              </w:tc>
            </w:tr>
            <w:tr>
              <w:tblPrEx>
                <w:tblCellMar>
                  <w:top w:w="0" w:type="dxa"/>
                  <w:left w:w="108" w:type="dxa"/>
                  <w:bottom w:w="0" w:type="dxa"/>
                  <w:right w:w="108" w:type="dxa"/>
                </w:tblCellMar>
              </w:tblPrEx>
              <w:trPr>
                <w:trHeight w:val="340" w:hRule="atLeast"/>
                <w:jc w:val="center"/>
              </w:trPr>
              <w:tc>
                <w:tcPr>
                  <w:tcW w:w="4034" w:type="pct"/>
                  <w:gridSpan w:val="4"/>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szCs w:val="21"/>
                      <w:lang w:bidi="ar"/>
                    </w:rPr>
                  </w:pPr>
                  <w:r>
                    <w:rPr>
                      <w:rFonts w:hint="eastAsia"/>
                      <w:szCs w:val="21"/>
                      <w:lang w:bidi="ar"/>
                    </w:rPr>
                    <w:t>合计</w:t>
                  </w:r>
                </w:p>
              </w:tc>
              <w:tc>
                <w:tcPr>
                  <w:tcW w:w="966" w:type="pc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kern w:val="0"/>
                      <w:szCs w:val="21"/>
                      <w:lang w:bidi="ar"/>
                    </w:rPr>
                  </w:pPr>
                  <w:r>
                    <w:rPr>
                      <w:rFonts w:hint="eastAsia"/>
                      <w:kern w:val="0"/>
                      <w:szCs w:val="21"/>
                      <w:lang w:bidi="ar"/>
                    </w:rPr>
                    <w:t>0.34</w:t>
                  </w:r>
                </w:p>
              </w:tc>
            </w:tr>
          </w:tbl>
          <w:p>
            <w:pPr>
              <w:widowControl/>
              <w:adjustRightInd w:val="0"/>
              <w:snapToGrid w:val="0"/>
              <w:spacing w:line="360" w:lineRule="auto"/>
              <w:ind w:firstLine="420" w:firstLineChars="200"/>
              <w:rPr>
                <w:szCs w:val="21"/>
              </w:rPr>
            </w:pPr>
            <w:r>
              <w:rPr>
                <w:szCs w:val="21"/>
              </w:rPr>
              <w:t>根据上表核算，项目</w:t>
            </w:r>
            <w:r>
              <w:rPr>
                <w:rFonts w:hint="eastAsia"/>
                <w:szCs w:val="21"/>
              </w:rPr>
              <w:t>超声</w:t>
            </w:r>
            <w:r>
              <w:rPr>
                <w:szCs w:val="21"/>
              </w:rPr>
              <w:t>清洗用水量为0.34t，</w:t>
            </w:r>
            <w:r>
              <w:rPr>
                <w:rFonts w:hint="eastAsia"/>
                <w:szCs w:val="21"/>
              </w:rPr>
              <w:t>项目清洗</w:t>
            </w:r>
            <w:r>
              <w:rPr>
                <w:szCs w:val="21"/>
              </w:rPr>
              <w:t>用水</w:t>
            </w:r>
            <w:r>
              <w:rPr>
                <w:rFonts w:hint="eastAsia"/>
                <w:szCs w:val="21"/>
              </w:rPr>
              <w:t>为</w:t>
            </w:r>
            <w:r>
              <w:rPr>
                <w:szCs w:val="21"/>
              </w:rPr>
              <w:t>自来水，无需添加清洗剂，主要目的是除去产品表面少量灰尘，清洗废水中主要污染物为</w:t>
            </w:r>
            <w:r>
              <w:rPr>
                <w:rFonts w:hint="eastAsia"/>
                <w:szCs w:val="21"/>
              </w:rPr>
              <w:t>SS，</w:t>
            </w:r>
            <w:r>
              <w:rPr>
                <w:szCs w:val="21"/>
              </w:rPr>
              <w:t>经</w:t>
            </w:r>
            <w:r>
              <w:rPr>
                <w:rFonts w:hint="eastAsia"/>
                <w:szCs w:val="21"/>
              </w:rPr>
              <w:t>配套</w:t>
            </w:r>
            <w:r>
              <w:rPr>
                <w:szCs w:val="21"/>
              </w:rPr>
              <w:t>过滤设施过滤处理后循环使用，</w:t>
            </w:r>
            <w:r>
              <w:rPr>
                <w:rFonts w:hint="eastAsia"/>
                <w:szCs w:val="21"/>
              </w:rPr>
              <w:t>每天</w:t>
            </w:r>
            <w:r>
              <w:rPr>
                <w:szCs w:val="21"/>
              </w:rPr>
              <w:t>补充损耗约</w:t>
            </w:r>
            <w:r>
              <w:rPr>
                <w:rFonts w:hint="eastAsia"/>
                <w:szCs w:val="21"/>
              </w:rPr>
              <w:t>5</w:t>
            </w:r>
            <w:r>
              <w:rPr>
                <w:szCs w:val="21"/>
              </w:rPr>
              <w:t>%，则每天补充新鲜水量约</w:t>
            </w:r>
            <w:r>
              <w:rPr>
                <w:rFonts w:hint="eastAsia"/>
                <w:szCs w:val="21"/>
              </w:rPr>
              <w:t>0.017t/d，</w:t>
            </w:r>
            <w:r>
              <w:rPr>
                <w:szCs w:val="21"/>
              </w:rPr>
              <w:t>年补充水量约</w:t>
            </w:r>
            <w:r>
              <w:rPr>
                <w:rFonts w:hint="eastAsia"/>
                <w:szCs w:val="21"/>
              </w:rPr>
              <w:t>5.1</w:t>
            </w:r>
            <w:r>
              <w:rPr>
                <w:szCs w:val="21"/>
              </w:rPr>
              <w:t>t/a</w:t>
            </w:r>
            <w:r>
              <w:rPr>
                <w:rFonts w:hint="eastAsia"/>
                <w:szCs w:val="21"/>
              </w:rPr>
              <w:t>。</w:t>
            </w:r>
          </w:p>
          <w:p>
            <w:pPr>
              <w:widowControl/>
              <w:adjustRightInd w:val="0"/>
              <w:snapToGrid w:val="0"/>
              <w:spacing w:line="360" w:lineRule="auto"/>
              <w:ind w:firstLine="420" w:firstLineChars="200"/>
              <w:rPr>
                <w:szCs w:val="21"/>
              </w:rPr>
            </w:pPr>
            <w:r>
              <w:rPr>
                <w:rFonts w:hint="eastAsia"/>
                <w:szCs w:val="21"/>
              </w:rPr>
              <w:t>项目</w:t>
            </w:r>
            <w:r>
              <w:rPr>
                <w:szCs w:val="21"/>
              </w:rPr>
              <w:t>超声清洗用水约</w:t>
            </w:r>
            <w:r>
              <w:rPr>
                <w:rFonts w:hint="eastAsia"/>
                <w:szCs w:val="21"/>
              </w:rPr>
              <w:t>20天整体</w:t>
            </w:r>
            <w:r>
              <w:rPr>
                <w:szCs w:val="21"/>
              </w:rPr>
              <w:t>更换</w:t>
            </w:r>
            <w:r>
              <w:rPr>
                <w:rFonts w:hint="eastAsia"/>
                <w:szCs w:val="21"/>
              </w:rPr>
              <w:t>1次</w:t>
            </w:r>
            <w:r>
              <w:rPr>
                <w:szCs w:val="21"/>
              </w:rPr>
              <w:t>，年工作</w:t>
            </w:r>
            <w:r>
              <w:rPr>
                <w:rFonts w:hint="eastAsia"/>
                <w:szCs w:val="21"/>
              </w:rPr>
              <w:t>300天</w:t>
            </w:r>
            <w:r>
              <w:rPr>
                <w:szCs w:val="21"/>
              </w:rPr>
              <w:t>，年更换</w:t>
            </w:r>
            <w:r>
              <w:rPr>
                <w:rFonts w:hint="eastAsia"/>
                <w:szCs w:val="21"/>
              </w:rPr>
              <w:t>15次</w:t>
            </w:r>
            <w:r>
              <w:rPr>
                <w:szCs w:val="21"/>
              </w:rPr>
              <w:t>，更换的</w:t>
            </w:r>
            <w:r>
              <w:rPr>
                <w:rFonts w:hint="eastAsia"/>
                <w:szCs w:val="21"/>
              </w:rPr>
              <w:t>超声</w:t>
            </w:r>
            <w:r>
              <w:rPr>
                <w:szCs w:val="21"/>
              </w:rPr>
              <w:t>清洗废水</w:t>
            </w:r>
            <w:r>
              <w:rPr>
                <w:rFonts w:hint="eastAsia"/>
                <w:szCs w:val="21"/>
              </w:rPr>
              <w:t>约5.1t/a，委托</w:t>
            </w:r>
            <w:r>
              <w:rPr>
                <w:szCs w:val="21"/>
              </w:rPr>
              <w:t>有资质单位处理，不外排。</w:t>
            </w:r>
          </w:p>
          <w:p>
            <w:pPr>
              <w:adjustRightInd w:val="0"/>
              <w:snapToGrid w:val="0"/>
              <w:spacing w:line="360" w:lineRule="auto"/>
              <w:ind w:firstLine="422" w:firstLineChars="200"/>
              <w:rPr>
                <w:b/>
                <w:bCs/>
              </w:rPr>
            </w:pPr>
            <w:r>
              <w:rPr>
                <w:rFonts w:hint="eastAsia"/>
                <w:b/>
                <w:bCs/>
              </w:rPr>
              <w:t>（</w:t>
            </w:r>
            <w:r>
              <w:rPr>
                <w:b/>
                <w:bCs/>
              </w:rPr>
              <w:t>2</w:t>
            </w:r>
            <w:r>
              <w:rPr>
                <w:rFonts w:hint="eastAsia"/>
                <w:b/>
                <w:bCs/>
              </w:rPr>
              <w:t>）喷淋塔用</w:t>
            </w:r>
            <w:r>
              <w:rPr>
                <w:b/>
                <w:bCs/>
              </w:rPr>
              <w:t>水</w:t>
            </w:r>
          </w:p>
          <w:p>
            <w:pPr>
              <w:adjustRightInd w:val="0"/>
              <w:snapToGrid w:val="0"/>
              <w:spacing w:line="360" w:lineRule="auto"/>
              <w:ind w:firstLine="420" w:firstLineChars="200"/>
              <w:rPr>
                <w:szCs w:val="21"/>
              </w:rPr>
            </w:pPr>
            <w:r>
              <w:rPr>
                <w:szCs w:val="21"/>
              </w:rPr>
              <w:t>项目废气收集后经“喷淋塔+干式除雾器+两级活性炭吸附”装置处理，项目共设置2</w:t>
            </w:r>
            <w:r>
              <w:rPr>
                <w:rFonts w:hint="eastAsia"/>
                <w:szCs w:val="21"/>
              </w:rPr>
              <w:t>个</w:t>
            </w:r>
            <w:r>
              <w:rPr>
                <w:szCs w:val="21"/>
              </w:rPr>
              <w:t>喷淋塔，</w:t>
            </w:r>
            <w:r>
              <w:rPr>
                <w:rFonts w:hint="eastAsia"/>
                <w:szCs w:val="21"/>
              </w:rPr>
              <w:t>单个</w:t>
            </w:r>
            <w:r>
              <w:rPr>
                <w:szCs w:val="21"/>
              </w:rPr>
              <w:t>喷淋塔储水量为2m</w:t>
            </w:r>
            <w:r>
              <w:rPr>
                <w:szCs w:val="21"/>
                <w:vertAlign w:val="superscript"/>
              </w:rPr>
              <w:t>3</w:t>
            </w:r>
            <w:r>
              <w:rPr>
                <w:szCs w:val="21"/>
              </w:rPr>
              <w:t>，</w:t>
            </w:r>
            <w:r>
              <w:rPr>
                <w:rFonts w:hint="eastAsia"/>
                <w:szCs w:val="21"/>
              </w:rPr>
              <w:t>则</w:t>
            </w:r>
            <w:r>
              <w:rPr>
                <w:szCs w:val="21"/>
              </w:rPr>
              <w:t>喷淋塔总储水量为4m</w:t>
            </w:r>
            <w:r>
              <w:rPr>
                <w:szCs w:val="21"/>
                <w:vertAlign w:val="superscript"/>
              </w:rPr>
              <w:t>3</w:t>
            </w:r>
            <w:r>
              <w:rPr>
                <w:rFonts w:hint="eastAsia"/>
                <w:szCs w:val="21"/>
              </w:rPr>
              <w:t>。</w:t>
            </w:r>
            <w:r>
              <w:rPr>
                <w:szCs w:val="21"/>
              </w:rPr>
              <w:t>喷淋塔塔用水对水质要求不高，项目喷淋塔水箱设置过滤设施，喷淋塔用水经过滤除渣后可循环使用，</w:t>
            </w:r>
            <w:r>
              <w:rPr>
                <w:rFonts w:hint="eastAsia"/>
                <w:szCs w:val="21"/>
              </w:rPr>
              <w:t>单个</w:t>
            </w:r>
            <w:r>
              <w:rPr>
                <w:szCs w:val="21"/>
              </w:rPr>
              <w:t>喷淋塔循环水量约5m</w:t>
            </w:r>
            <w:r>
              <w:rPr>
                <w:szCs w:val="21"/>
                <w:vertAlign w:val="superscript"/>
              </w:rPr>
              <w:t>3</w:t>
            </w:r>
            <w:r>
              <w:rPr>
                <w:szCs w:val="21"/>
              </w:rPr>
              <w:t>/h，项目日开工8小时，则每日循环水量约 80m</w:t>
            </w:r>
            <w:r>
              <w:rPr>
                <w:szCs w:val="21"/>
                <w:vertAlign w:val="superscript"/>
              </w:rPr>
              <w:t>3</w:t>
            </w:r>
            <w:r>
              <w:rPr>
                <w:szCs w:val="21"/>
              </w:rPr>
              <w:t>/d，由于蒸发损耗及废气带走，每天需补充</w:t>
            </w:r>
            <w:r>
              <w:rPr>
                <w:rFonts w:hint="eastAsia"/>
                <w:szCs w:val="21"/>
              </w:rPr>
              <w:t>新鲜水</w:t>
            </w:r>
            <w:r>
              <w:rPr>
                <w:szCs w:val="21"/>
              </w:rPr>
              <w:t>，</w:t>
            </w:r>
            <w:r>
              <w:t>参考《建筑给水排水设计标准》（GB50015-2019）3.11.14，补充水量应按</w:t>
            </w:r>
            <w:r>
              <w:rPr>
                <w:rFonts w:hint="eastAsia"/>
              </w:rPr>
              <w:t>储水量</w:t>
            </w:r>
            <w:r>
              <w:t>的1~2%计算，本项目取2%，</w:t>
            </w:r>
            <w:r>
              <w:rPr>
                <w:szCs w:val="21"/>
              </w:rPr>
              <w:t>则每日补充水量约0.08m</w:t>
            </w:r>
            <w:r>
              <w:rPr>
                <w:szCs w:val="21"/>
                <w:vertAlign w:val="superscript"/>
              </w:rPr>
              <w:t>3</w:t>
            </w:r>
            <w:r>
              <w:rPr>
                <w:szCs w:val="21"/>
              </w:rPr>
              <w:t>，年工作 300天，年补充水量24m</w:t>
            </w:r>
            <w:r>
              <w:rPr>
                <w:szCs w:val="21"/>
                <w:vertAlign w:val="superscript"/>
              </w:rPr>
              <w:t>3</w:t>
            </w:r>
            <w:r>
              <w:t>。</w:t>
            </w:r>
            <w:r>
              <w:rPr>
                <w:rFonts w:hint="eastAsia"/>
              </w:rPr>
              <w:t>喷淋塔用水循环使用，不外排，喷淋塔沉渣定期打捞交专业回收单位回收处理</w:t>
            </w:r>
            <w:r>
              <w:rPr>
                <w:szCs w:val="21"/>
              </w:rPr>
              <w:t>。</w:t>
            </w:r>
          </w:p>
          <w:p>
            <w:pPr>
              <w:jc w:val="center"/>
              <w:rPr>
                <w:szCs w:val="21"/>
              </w:rPr>
            </w:pPr>
            <w:r>
              <w:rPr>
                <w:rFonts w:hint="eastAsia"/>
                <w:b/>
                <w:bCs/>
              </w:rPr>
              <mc:AlternateContent>
                <mc:Choice Requires="wps">
                  <w:drawing>
                    <wp:anchor distT="0" distB="0" distL="114300" distR="114300" simplePos="0" relativeHeight="251660288" behindDoc="0" locked="0" layoutInCell="1" allowOverlap="1">
                      <wp:simplePos x="0" y="0"/>
                      <wp:positionH relativeFrom="column">
                        <wp:posOffset>1486535</wp:posOffset>
                      </wp:positionH>
                      <wp:positionV relativeFrom="paragraph">
                        <wp:posOffset>799465</wp:posOffset>
                      </wp:positionV>
                      <wp:extent cx="5080" cy="411480"/>
                      <wp:effectExtent l="76200" t="0" r="71120" b="64770"/>
                      <wp:wrapNone/>
                      <wp:docPr id="65" name="直接箭头连接符 65"/>
                      <wp:cNvGraphicFramePr/>
                      <a:graphic xmlns:a="http://schemas.openxmlformats.org/drawingml/2006/main">
                        <a:graphicData uri="http://schemas.microsoft.com/office/word/2010/wordprocessingShape">
                          <wps:wsp>
                            <wps:cNvCnPr/>
                            <wps:spPr>
                              <a:xfrm>
                                <a:off x="0" y="0"/>
                                <a:ext cx="5373" cy="41148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17.05pt;margin-top:62.95pt;height:32.4pt;width:0.4pt;z-index:251660288;mso-width-relative:page;mso-height-relative:page;" filled="f" stroked="t" coordsize="21600,21600" o:gfxdata="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rEDszXAAAACwEAAA8AAAAAAAAAAQAgAAAAIgAA&#10;AGRycy9kb3ducmV2LnhtbFBLAQIUABQAAAAIAIdO4kDQNMVKCQIAAOUDAAAOAAAAAAAAAAEAIAAA&#10;ACYBAABkcnMvZTJvRG9jLnhtbFBLBQYAAAAABgAGAFkBAAChBQAAAAA=&#10;">
                      <v:fill on="f" focussize="0,0"/>
                      <v:stroke weight="0.5pt" color="#000000 [3213]" miterlimit="8" joinstyle="miter" endarrow="block"/>
                      <v:imagedata o:title=""/>
                      <o:lock v:ext="edit" aspectratio="f"/>
                    </v:shape>
                  </w:pict>
                </mc:Fallback>
              </mc:AlternateContent>
            </w:r>
            <w:r>
              <w:rPr>
                <w:b/>
              </w:rPr>
              <mc:AlternateContent>
                <mc:Choice Requires="wpc">
                  <w:drawing>
                    <wp:inline distT="0" distB="0" distL="0" distR="0">
                      <wp:extent cx="5372100" cy="3268980"/>
                      <wp:effectExtent l="0" t="0" r="19050" b="0"/>
                      <wp:docPr id="10" name="画布 1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lgn="ctr">
                                <a:noFill/>
                                <a:prstDash val="solid"/>
                                <a:miter lim="800000"/>
                                <a:headEnd type="none" w="med" len="med"/>
                                <a:tailEnd type="none" w="med" len="med"/>
                              </a:ln>
                            </wpc:whole>
                            <wps:wsp>
                              <wps:cNvPr id="2" name="矩形 419"/>
                              <wps:cNvSpPr>
                                <a:spLocks noChangeArrowheads="1"/>
                              </wps:cNvSpPr>
                              <wps:spPr bwMode="auto">
                                <a:xfrm>
                                  <a:off x="130810" y="1155267"/>
                                  <a:ext cx="383540" cy="661035"/>
                                </a:xfrm>
                                <a:prstGeom prst="rect">
                                  <a:avLst/>
                                </a:prstGeom>
                                <a:noFill/>
                                <a:ln w="9525">
                                  <a:solidFill>
                                    <a:srgbClr val="000000"/>
                                  </a:solidFill>
                                  <a:miter lim="800000"/>
                                </a:ln>
                                <a:effectLst/>
                              </wps:spPr>
                              <wps:txbx>
                                <w:txbxContent>
                                  <w:p>
                                    <w:pPr>
                                      <w:adjustRightInd w:val="0"/>
                                      <w:snapToGrid w:val="0"/>
                                      <w:jc w:val="center"/>
                                    </w:pPr>
                                    <w:r>
                                      <w:rPr>
                                        <w:rFonts w:hint="eastAsia"/>
                                      </w:rPr>
                                      <w:t>新</w:t>
                                    </w:r>
                                  </w:p>
                                  <w:p>
                                    <w:pPr>
                                      <w:adjustRightInd w:val="0"/>
                                      <w:snapToGrid w:val="0"/>
                                      <w:jc w:val="center"/>
                                    </w:pPr>
                                    <w:r>
                                      <w:rPr>
                                        <w:rFonts w:hint="eastAsia"/>
                                      </w:rPr>
                                      <w:t>鲜</w:t>
                                    </w:r>
                                  </w:p>
                                  <w:p>
                                    <w:pPr>
                                      <w:adjustRightInd w:val="0"/>
                                      <w:snapToGrid w:val="0"/>
                                      <w:jc w:val="center"/>
                                    </w:pPr>
                                    <w:r>
                                      <w:rPr>
                                        <w:rFonts w:hint="eastAsia"/>
                                      </w:rPr>
                                      <w:t>水</w:t>
                                    </w:r>
                                  </w:p>
                                </w:txbxContent>
                              </wps:txbx>
                              <wps:bodyPr rot="0" vert="horz" wrap="square" lIns="91440" tIns="45720" rIns="91440" bIns="45720" anchor="t" anchorCtr="0" upright="1">
                                <a:noAutofit/>
                              </wps:bodyPr>
                            </wps:wsp>
                            <wps:wsp>
                              <wps:cNvPr id="5" name="矩形 435"/>
                              <wps:cNvSpPr>
                                <a:spLocks noChangeArrowheads="1"/>
                              </wps:cNvSpPr>
                              <wps:spPr bwMode="auto">
                                <a:xfrm>
                                  <a:off x="999490" y="2668802"/>
                                  <a:ext cx="584200" cy="273050"/>
                                </a:xfrm>
                                <a:prstGeom prst="rect">
                                  <a:avLst/>
                                </a:prstGeom>
                                <a:noFill/>
                                <a:ln>
                                  <a:noFill/>
                                </a:ln>
                                <a:effectLst/>
                              </wps:spPr>
                              <wps:txbx>
                                <w:txbxContent>
                                  <w:p>
                                    <w:pPr>
                                      <w:adjustRightInd w:val="0"/>
                                      <w:snapToGrid w:val="0"/>
                                    </w:pPr>
                                    <w:r>
                                      <w:t>32.55</w:t>
                                    </w:r>
                                  </w:p>
                                </w:txbxContent>
                              </wps:txbx>
                              <wps:bodyPr rot="0" vert="horz" wrap="square" lIns="91440" tIns="45720" rIns="91440" bIns="45720" anchor="t" anchorCtr="0" upright="1">
                                <a:noAutofit/>
                              </wps:bodyPr>
                            </wps:wsp>
                            <wps:wsp>
                              <wps:cNvPr id="7" name="矩形 437"/>
                              <wps:cNvSpPr>
                                <a:spLocks noChangeArrowheads="1"/>
                              </wps:cNvSpPr>
                              <wps:spPr bwMode="auto">
                                <a:xfrm>
                                  <a:off x="1266191" y="526139"/>
                                  <a:ext cx="948005" cy="272415"/>
                                </a:xfrm>
                                <a:prstGeom prst="rect">
                                  <a:avLst/>
                                </a:prstGeom>
                                <a:solidFill>
                                  <a:srgbClr val="FFFFFF"/>
                                </a:solidFill>
                                <a:ln w="9525">
                                  <a:solidFill>
                                    <a:srgbClr val="000000"/>
                                  </a:solidFill>
                                  <a:miter lim="800000"/>
                                </a:ln>
                                <a:effectLst/>
                              </wps:spPr>
                              <wps:txbx>
                                <w:txbxContent>
                                  <w:p>
                                    <w:pPr>
                                      <w:adjustRightInd w:val="0"/>
                                      <w:snapToGrid w:val="0"/>
                                      <w:jc w:val="center"/>
                                    </w:pPr>
                                    <w:r>
                                      <w:rPr>
                                        <w:rFonts w:hint="eastAsia"/>
                                      </w:rPr>
                                      <w:t>清洗用水</w:t>
                                    </w:r>
                                  </w:p>
                                </w:txbxContent>
                              </wps:txbx>
                              <wps:bodyPr rot="0" vert="horz" wrap="square" lIns="91440" tIns="45720" rIns="91440" bIns="45720" anchor="t" anchorCtr="0" upright="1">
                                <a:noAutofit/>
                              </wps:bodyPr>
                            </wps:wsp>
                            <wps:wsp>
                              <wps:cNvPr id="34" name="矩形 419"/>
                              <wps:cNvSpPr>
                                <a:spLocks noChangeArrowheads="1"/>
                              </wps:cNvSpPr>
                              <wps:spPr bwMode="auto">
                                <a:xfrm>
                                  <a:off x="1958341" y="75741"/>
                                  <a:ext cx="910590" cy="291465"/>
                                </a:xfrm>
                                <a:prstGeom prst="rect">
                                  <a:avLst/>
                                </a:prstGeom>
                                <a:noFill/>
                                <a:ln>
                                  <a:noFill/>
                                </a:ln>
                                <a:effectLst/>
                              </wps:spPr>
                              <wps:txbx>
                                <w:txbxContent>
                                  <w:p>
                                    <w:pPr>
                                      <w:adjustRightInd w:val="0"/>
                                      <w:snapToGrid w:val="0"/>
                                      <w:jc w:val="center"/>
                                    </w:pPr>
                                    <w:r>
                                      <w:rPr>
                                        <w:rFonts w:hint="eastAsia"/>
                                      </w:rPr>
                                      <w:t>损耗</w:t>
                                    </w:r>
                                    <w:r>
                                      <w:t>0.017</w:t>
                                    </w:r>
                                  </w:p>
                                </w:txbxContent>
                              </wps:txbx>
                              <wps:bodyPr rot="0" vert="horz" wrap="square" lIns="91440" tIns="45720" rIns="91440" bIns="45720" anchor="t" anchorCtr="0" upright="1">
                                <a:noAutofit/>
                              </wps:bodyPr>
                            </wps:wsp>
                            <wpg:wgp>
                              <wpg:cNvPr id="44" name="组合 44"/>
                              <wpg:cNvGrpSpPr/>
                              <wpg:grpSpPr>
                                <a:xfrm>
                                  <a:off x="514350" y="662346"/>
                                  <a:ext cx="920115" cy="2273897"/>
                                  <a:chOff x="514350" y="359884"/>
                                  <a:chExt cx="920115" cy="2273897"/>
                                </a:xfrm>
                              </wpg:grpSpPr>
                              <wps:wsp>
                                <wps:cNvPr id="36" name="肘形连接符 36"/>
                                <wps:cNvCnPr>
                                  <a:stCxn id="7" idx="1"/>
                                  <a:endCxn id="4" idx="1"/>
                                </wps:cNvCnPr>
                                <wps:spPr>
                                  <a:xfrm rot="10800000" flipH="1" flipV="1">
                                    <a:off x="1266190" y="359884"/>
                                    <a:ext cx="168275" cy="2273897"/>
                                  </a:xfrm>
                                  <a:prstGeom prst="bentConnector3">
                                    <a:avLst>
                                      <a:gd name="adj1" fmla="val -135849"/>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wps:wsp>
                                <wps:cNvPr id="38" name="直接箭头连接符 38"/>
                                <wps:cNvCnPr/>
                                <wps:spPr>
                                  <a:xfrm>
                                    <a:off x="514350" y="1200150"/>
                                    <a:ext cx="4953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wps:wsp>
                              <wps:cNvPr id="117" name="矩形 117"/>
                              <wps:cNvSpPr>
                                <a:spLocks noChangeArrowheads="1"/>
                              </wps:cNvSpPr>
                              <wps:spPr bwMode="auto">
                                <a:xfrm>
                                  <a:off x="784860" y="455949"/>
                                  <a:ext cx="675300" cy="273050"/>
                                </a:xfrm>
                                <a:prstGeom prst="rect">
                                  <a:avLst/>
                                </a:prstGeom>
                                <a:noFill/>
                                <a:ln>
                                  <a:noFill/>
                                </a:ln>
                                <a:effectLst/>
                              </wps:spPr>
                              <wps:txbx>
                                <w:txbxContent>
                                  <w:p>
                                    <w:pPr>
                                      <w:pStyle w:val="26"/>
                                      <w:spacing w:before="0" w:beforeAutospacing="0" w:after="0" w:afterAutospacing="0"/>
                                      <w:jc w:val="both"/>
                                      <w:rPr>
                                        <w:szCs w:val="24"/>
                                      </w:rPr>
                                    </w:pPr>
                                    <w:r>
                                      <w:rPr>
                                        <w:rFonts w:ascii="Times New Roman" w:hAnsi="Times New Roman"/>
                                        <w:kern w:val="2"/>
                                        <w:sz w:val="21"/>
                                        <w:szCs w:val="21"/>
                                      </w:rPr>
                                      <w:t>0.034</w:t>
                                    </w:r>
                                  </w:p>
                                </w:txbxContent>
                              </wps:txbx>
                              <wps:bodyPr rot="0" vert="horz" wrap="square" lIns="91440" tIns="45720" rIns="91440" bIns="45720" anchor="t" anchorCtr="0" upright="1">
                                <a:noAutofit/>
                              </wps:bodyPr>
                            </wps:wsp>
                            <wps:wsp>
                              <wps:cNvPr id="118" name="矩形 118"/>
                              <wps:cNvSpPr>
                                <a:spLocks noChangeArrowheads="1"/>
                              </wps:cNvSpPr>
                              <wps:spPr bwMode="auto">
                                <a:xfrm>
                                  <a:off x="463210" y="1271154"/>
                                  <a:ext cx="584200" cy="273050"/>
                                </a:xfrm>
                                <a:prstGeom prst="rect">
                                  <a:avLst/>
                                </a:prstGeom>
                                <a:noFill/>
                                <a:ln>
                                  <a:noFill/>
                                </a:ln>
                                <a:effectLst/>
                              </wps:spPr>
                              <wps:txbx>
                                <w:txbxContent>
                                  <w:p>
                                    <w:pPr>
                                      <w:pStyle w:val="26"/>
                                      <w:spacing w:before="0" w:beforeAutospacing="0" w:after="0" w:afterAutospacing="0"/>
                                      <w:jc w:val="both"/>
                                      <w:rPr>
                                        <w:szCs w:val="24"/>
                                      </w:rPr>
                                    </w:pPr>
                                    <w:r>
                                      <w:rPr>
                                        <w:rFonts w:ascii="Times New Roman" w:hAnsi="Times New Roman"/>
                                        <w:kern w:val="2"/>
                                        <w:sz w:val="21"/>
                                        <w:szCs w:val="21"/>
                                      </w:rPr>
                                      <w:t>32.664</w:t>
                                    </w:r>
                                  </w:p>
                                </w:txbxContent>
                              </wps:txbx>
                              <wps:bodyPr rot="0" vert="horz" wrap="square" lIns="91440" tIns="45720" rIns="91440" bIns="45720" anchor="t" anchorCtr="0" upright="1">
                                <a:noAutofit/>
                              </wps:bodyPr>
                            </wps:wsp>
                            <wpg:wgp>
                              <wpg:cNvPr id="99" name="组合 99"/>
                              <wpg:cNvGrpSpPr/>
                              <wpg:grpSpPr>
                                <a:xfrm>
                                  <a:off x="1434466" y="2364443"/>
                                  <a:ext cx="3937634" cy="783252"/>
                                  <a:chOff x="1315085" y="1185248"/>
                                  <a:chExt cx="3937634" cy="783252"/>
                                </a:xfrm>
                              </wpg:grpSpPr>
                              <wps:wsp>
                                <wps:cNvPr id="115" name="矩形 115"/>
                                <wps:cNvSpPr>
                                  <a:spLocks noChangeArrowheads="1"/>
                                </wps:cNvSpPr>
                                <wps:spPr bwMode="auto">
                                  <a:xfrm>
                                    <a:off x="1825920" y="1185248"/>
                                    <a:ext cx="910590" cy="291465"/>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kern w:val="2"/>
                                          <w:sz w:val="21"/>
                                          <w:szCs w:val="21"/>
                                        </w:rPr>
                                        <w:t>损耗</w:t>
                                      </w:r>
                                      <w:r>
                                        <w:rPr>
                                          <w:rFonts w:ascii="Times New Roman" w:hAnsi="Times New Roman"/>
                                          <w:kern w:val="2"/>
                                          <w:sz w:val="21"/>
                                          <w:szCs w:val="21"/>
                                        </w:rPr>
                                        <w:t>6.51</w:t>
                                      </w:r>
                                    </w:p>
                                  </w:txbxContent>
                                </wps:txbx>
                                <wps:bodyPr rot="0" vert="horz" wrap="square" lIns="91440" tIns="45720" rIns="91440" bIns="45720" anchor="t" anchorCtr="0" upright="1">
                                  <a:noAutofit/>
                                </wps:bodyPr>
                              </wps:wsp>
                              <wpg:grpSp>
                                <wpg:cNvPr id="6" name="组合 6"/>
                                <wpg:cNvGrpSpPr/>
                                <wpg:grpSpPr>
                                  <a:xfrm>
                                    <a:off x="1315085" y="1541186"/>
                                    <a:ext cx="3937634" cy="427314"/>
                                    <a:chOff x="1315085" y="1541186"/>
                                    <a:chExt cx="3937634" cy="427314"/>
                                  </a:xfrm>
                                </wpg:grpSpPr>
                                <wps:wsp>
                                  <wps:cNvPr id="3" name="矩形 439"/>
                                  <wps:cNvSpPr>
                                    <a:spLocks noChangeArrowheads="1"/>
                                  </wps:cNvSpPr>
                                  <wps:spPr bwMode="auto">
                                    <a:xfrm>
                                      <a:off x="4084662" y="1546225"/>
                                      <a:ext cx="1168057" cy="422275"/>
                                    </a:xfrm>
                                    <a:prstGeom prst="rect">
                                      <a:avLst/>
                                    </a:prstGeom>
                                    <a:solidFill>
                                      <a:srgbClr val="FFFFFF"/>
                                    </a:solidFill>
                                    <a:ln w="9525">
                                      <a:solidFill>
                                        <a:srgbClr val="000000"/>
                                      </a:solidFill>
                                      <a:miter lim="800000"/>
                                    </a:ln>
                                    <a:effectLst/>
                                  </wps:spPr>
                                  <wps:txbx>
                                    <w:txbxContent>
                                      <w:p>
                                        <w:pPr>
                                          <w:adjustRightInd w:val="0"/>
                                          <w:snapToGrid w:val="0"/>
                                          <w:jc w:val="center"/>
                                          <w:rPr>
                                            <w:color w:val="000000" w:themeColor="text1"/>
                                            <w:sz w:val="20"/>
                                            <w14:textFill>
                                              <w14:solidFill>
                                                <w14:schemeClr w14:val="tx1"/>
                                              </w14:solidFill>
                                            </w14:textFill>
                                          </w:rPr>
                                        </w:pPr>
                                        <w:r>
                                          <w:rPr>
                                            <w:rFonts w:hint="eastAsia" w:ascii="宋体" w:hAnsi="宋体"/>
                                            <w:color w:val="000000" w:themeColor="text1"/>
                                            <w14:textFill>
                                              <w14:solidFill>
                                                <w14:schemeClr w14:val="tx1"/>
                                              </w14:solidFill>
                                            </w14:textFill>
                                          </w:rPr>
                                          <w:t>园洲镇第四污水处理厂</w:t>
                                        </w:r>
                                      </w:p>
                                    </w:txbxContent>
                                  </wps:txbx>
                                  <wps:bodyPr rot="0" vert="horz" wrap="square" lIns="91440" tIns="45720" rIns="91440" bIns="45720" anchor="t" anchorCtr="0" upright="1">
                                    <a:noAutofit/>
                                  </wps:bodyPr>
                                </wps:wsp>
                                <wps:wsp>
                                  <wps:cNvPr id="4" name="矩形 421"/>
                                  <wps:cNvSpPr>
                                    <a:spLocks noChangeArrowheads="1"/>
                                  </wps:cNvSpPr>
                                  <wps:spPr bwMode="auto">
                                    <a:xfrm>
                                      <a:off x="1315085" y="1620524"/>
                                      <a:ext cx="773431" cy="273050"/>
                                    </a:xfrm>
                                    <a:prstGeom prst="rect">
                                      <a:avLst/>
                                    </a:prstGeom>
                                    <a:solidFill>
                                      <a:srgbClr val="FFFFFF"/>
                                    </a:solidFill>
                                    <a:ln w="9525">
                                      <a:solidFill>
                                        <a:srgbClr val="000000"/>
                                      </a:solidFill>
                                      <a:miter lim="800000"/>
                                    </a:ln>
                                    <a:effectLst/>
                                  </wps:spPr>
                                  <wps:txbx>
                                    <w:txbxContent>
                                      <w:p>
                                        <w:pPr>
                                          <w:adjustRightInd w:val="0"/>
                                          <w:snapToGrid w:val="0"/>
                                        </w:pPr>
                                        <w:r>
                                          <w:rPr>
                                            <w:rFonts w:hint="eastAsia"/>
                                          </w:rPr>
                                          <w:t>生活</w:t>
                                        </w:r>
                                        <w:r>
                                          <w:t>用水</w:t>
                                        </w:r>
                                      </w:p>
                                    </w:txbxContent>
                                  </wps:txbx>
                                  <wps:bodyPr rot="0" vert="horz" wrap="square" lIns="91440" tIns="45720" rIns="91440" bIns="45720" anchor="t" anchorCtr="0" upright="1">
                                    <a:noAutofit/>
                                  </wps:bodyPr>
                                </wps:wsp>
                                <wps:wsp>
                                  <wps:cNvPr id="106" name="矩形 106"/>
                                  <wps:cNvSpPr>
                                    <a:spLocks noChangeArrowheads="1"/>
                                  </wps:cNvSpPr>
                                  <wps:spPr bwMode="auto">
                                    <a:xfrm>
                                      <a:off x="2638379" y="1545294"/>
                                      <a:ext cx="1019563" cy="418956"/>
                                    </a:xfrm>
                                    <a:prstGeom prst="rect">
                                      <a:avLst/>
                                    </a:prstGeom>
                                    <a:solidFill>
                                      <a:srgbClr val="FFFFFF"/>
                                    </a:solidFill>
                                    <a:ln w="9525">
                                      <a:solidFill>
                                        <a:srgbClr val="000000"/>
                                      </a:solidFill>
                                      <a:miter lim="800000"/>
                                    </a:ln>
                                    <a:effectLst/>
                                  </wps:spPr>
                                  <wps:txbx>
                                    <w:txbxContent>
                                      <w:p>
                                        <w:pPr>
                                          <w:pStyle w:val="26"/>
                                          <w:spacing w:before="0" w:beforeAutospacing="0" w:after="0" w:afterAutospacing="0"/>
                                          <w:jc w:val="center"/>
                                          <w:rPr>
                                            <w:szCs w:val="24"/>
                                          </w:rPr>
                                        </w:pPr>
                                        <w:r>
                                          <w:rPr>
                                            <w:rFonts w:hint="eastAsia" w:ascii="Times New Roman"/>
                                            <w:kern w:val="2"/>
                                            <w:sz w:val="21"/>
                                            <w:szCs w:val="21"/>
                                          </w:rPr>
                                          <w:t>三级</w:t>
                                        </w:r>
                                        <w:r>
                                          <w:rPr>
                                            <w:rFonts w:ascii="Times New Roman"/>
                                            <w:kern w:val="2"/>
                                            <w:sz w:val="21"/>
                                            <w:szCs w:val="21"/>
                                          </w:rPr>
                                          <w:t>化粪池</w:t>
                                        </w:r>
                                        <w:r>
                                          <w:rPr>
                                            <w:rFonts w:hint="eastAsia" w:ascii="Times New Roman"/>
                                            <w:kern w:val="2"/>
                                            <w:sz w:val="21"/>
                                            <w:szCs w:val="21"/>
                                          </w:rPr>
                                          <w:t>、</w:t>
                                        </w:r>
                                        <w:r>
                                          <w:rPr>
                                            <w:rFonts w:ascii="Times New Roman"/>
                                            <w:kern w:val="2"/>
                                            <w:sz w:val="21"/>
                                            <w:szCs w:val="21"/>
                                          </w:rPr>
                                          <w:t>隔油隔渣池</w:t>
                                        </w:r>
                                      </w:p>
                                    </w:txbxContent>
                                  </wps:txbx>
                                  <wps:bodyPr rot="0" vert="horz" wrap="square" lIns="91440" tIns="45720" rIns="91440" bIns="45720" anchor="t" anchorCtr="0" upright="1">
                                    <a:noAutofit/>
                                  </wps:bodyPr>
                                </wps:wsp>
                                <wps:wsp>
                                  <wps:cNvPr id="42" name="直接箭头连接符 42"/>
                                  <wps:cNvCnPr>
                                    <a:stCxn id="4" idx="3"/>
                                    <a:endCxn id="106" idx="1"/>
                                  </wps:cNvCnPr>
                                  <wps:spPr>
                                    <a:xfrm flipV="1">
                                      <a:off x="2088516" y="1754772"/>
                                      <a:ext cx="549863" cy="227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3" name="直接箭头连接符 43"/>
                                  <wps:cNvCnPr>
                                    <a:stCxn id="106" idx="3"/>
                                    <a:endCxn id="3" idx="1"/>
                                  </wps:cNvCnPr>
                                  <wps:spPr>
                                    <a:xfrm>
                                      <a:off x="3657942" y="1754772"/>
                                      <a:ext cx="426720" cy="259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19" name="矩形 119"/>
                                  <wps:cNvSpPr>
                                    <a:spLocks noChangeArrowheads="1"/>
                                  </wps:cNvSpPr>
                                  <wps:spPr bwMode="auto">
                                    <a:xfrm>
                                      <a:off x="2088516" y="1541592"/>
                                      <a:ext cx="584200" cy="273050"/>
                                    </a:xfrm>
                                    <a:prstGeom prst="rect">
                                      <a:avLst/>
                                    </a:prstGeom>
                                    <a:noFill/>
                                    <a:ln>
                                      <a:noFill/>
                                    </a:ln>
                                    <a:effectLst/>
                                  </wps:spPr>
                                  <wps:txbx>
                                    <w:txbxContent>
                                      <w:p>
                                        <w:pPr>
                                          <w:pStyle w:val="26"/>
                                          <w:spacing w:before="0" w:beforeAutospacing="0" w:after="0" w:afterAutospacing="0"/>
                                          <w:jc w:val="both"/>
                                          <w:rPr>
                                            <w:szCs w:val="24"/>
                                          </w:rPr>
                                        </w:pPr>
                                        <w:r>
                                          <w:rPr>
                                            <w:rFonts w:ascii="Times New Roman" w:hAnsi="Times New Roman"/>
                                            <w:kern w:val="2"/>
                                            <w:sz w:val="21"/>
                                            <w:szCs w:val="21"/>
                                          </w:rPr>
                                          <w:t>26.04</w:t>
                                        </w:r>
                                      </w:p>
                                    </w:txbxContent>
                                  </wps:txbx>
                                  <wps:bodyPr rot="0" vert="horz" wrap="square" lIns="91440" tIns="45720" rIns="91440" bIns="45720" anchor="t" anchorCtr="0" upright="1">
                                    <a:noAutofit/>
                                  </wps:bodyPr>
                                </wps:wsp>
                                <wps:wsp>
                                  <wps:cNvPr id="120" name="矩形 120"/>
                                  <wps:cNvSpPr>
                                    <a:spLocks noChangeArrowheads="1"/>
                                  </wps:cNvSpPr>
                                  <wps:spPr bwMode="auto">
                                    <a:xfrm>
                                      <a:off x="3596299" y="1541186"/>
                                      <a:ext cx="584200" cy="273050"/>
                                    </a:xfrm>
                                    <a:prstGeom prst="rect">
                                      <a:avLst/>
                                    </a:prstGeom>
                                    <a:noFill/>
                                    <a:ln>
                                      <a:noFill/>
                                    </a:ln>
                                    <a:effectLst/>
                                  </wps:spPr>
                                  <wps:txbx>
                                    <w:txbxContent>
                                      <w:p>
                                        <w:pPr>
                                          <w:pStyle w:val="26"/>
                                          <w:spacing w:before="0" w:beforeAutospacing="0" w:after="0" w:afterAutospacing="0"/>
                                          <w:jc w:val="both"/>
                                          <w:rPr>
                                            <w:szCs w:val="24"/>
                                          </w:rPr>
                                        </w:pPr>
                                        <w:r>
                                          <w:rPr>
                                            <w:rFonts w:ascii="Times New Roman" w:hAnsi="Times New Roman"/>
                                            <w:kern w:val="2"/>
                                            <w:sz w:val="21"/>
                                            <w:szCs w:val="21"/>
                                          </w:rPr>
                                          <w:t>26.04</w:t>
                                        </w:r>
                                      </w:p>
                                    </w:txbxContent>
                                  </wps:txbx>
                                  <wps:bodyPr rot="0" vert="horz" wrap="square" lIns="91440" tIns="45720" rIns="91440" bIns="45720" anchor="t" anchorCtr="0" upright="1">
                                    <a:noAutofit/>
                                  </wps:bodyPr>
                                </wps:wsp>
                              </wpg:grpSp>
                            </wpg:wgp>
                            <wps:wsp>
                              <wps:cNvPr id="186" name="矩形 186"/>
                              <wps:cNvSpPr>
                                <a:spLocks noChangeArrowheads="1"/>
                              </wps:cNvSpPr>
                              <wps:spPr bwMode="auto">
                                <a:xfrm>
                                  <a:off x="2174827" y="798554"/>
                                  <a:ext cx="584200" cy="273050"/>
                                </a:xfrm>
                                <a:prstGeom prst="rect">
                                  <a:avLst/>
                                </a:prstGeom>
                                <a:noFill/>
                                <a:ln>
                                  <a:noFill/>
                                </a:ln>
                                <a:effectLst/>
                              </wps:spPr>
                              <wps:txbx>
                                <w:txbxContent>
                                  <w:p>
                                    <w:pPr>
                                      <w:pStyle w:val="26"/>
                                      <w:spacing w:before="0" w:beforeAutospacing="0" w:after="0" w:afterAutospacing="0"/>
                                      <w:jc w:val="both"/>
                                      <w:rPr>
                                        <w:szCs w:val="24"/>
                                      </w:rPr>
                                    </w:pPr>
                                    <w:r>
                                      <w:rPr>
                                        <w:rFonts w:ascii="Times New Roman" w:hAnsi="Times New Roman"/>
                                        <w:kern w:val="2"/>
                                        <w:sz w:val="21"/>
                                        <w:szCs w:val="21"/>
                                      </w:rPr>
                                      <w:t>0.34</w:t>
                                    </w:r>
                                  </w:p>
                                </w:txbxContent>
                              </wps:txbx>
                              <wps:bodyPr rot="0" vert="horz" wrap="square" lIns="91440" tIns="45720" rIns="91440" bIns="45720" anchor="t" anchorCtr="0" upright="1">
                                <a:noAutofit/>
                              </wps:bodyPr>
                            </wps:wsp>
                            <wps:wsp>
                              <wps:cNvPr id="227" name="曲线连接符 227"/>
                              <wps:cNvCnPr>
                                <a:stCxn id="7" idx="0"/>
                              </wps:cNvCnPr>
                              <wps:spPr>
                                <a:xfrm rot="5400000" flipH="1" flipV="1">
                                  <a:off x="1783978" y="253399"/>
                                  <a:ext cx="228957" cy="316525"/>
                                </a:xfrm>
                                <a:prstGeom prst="curvedConnector2">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214" name="曲线连接符 214"/>
                              <wps:cNvCnPr/>
                              <wps:spPr>
                                <a:xfrm rot="5400000" flipH="1" flipV="1">
                                  <a:off x="1787235" y="2521249"/>
                                  <a:ext cx="228600" cy="307340"/>
                                </a:xfrm>
                                <a:prstGeom prst="curvedConnector2">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96" name="直接箭头连接符 196"/>
                              <wps:cNvCnPr/>
                              <wps:spPr>
                                <a:xfrm flipV="1">
                                  <a:off x="2214196" y="661076"/>
                                  <a:ext cx="526415" cy="127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97" name="矩形 197"/>
                              <wps:cNvSpPr>
                                <a:spLocks noChangeArrowheads="1"/>
                              </wps:cNvSpPr>
                              <wps:spPr bwMode="auto">
                                <a:xfrm>
                                  <a:off x="2759027" y="529610"/>
                                  <a:ext cx="532813" cy="273050"/>
                                </a:xfrm>
                                <a:prstGeom prst="rect">
                                  <a:avLst/>
                                </a:prstGeom>
                                <a:solidFill>
                                  <a:srgbClr val="FFFFFF"/>
                                </a:solidFill>
                                <a:ln w="9525">
                                  <a:solidFill>
                                    <a:srgbClr val="000000"/>
                                  </a:solidFill>
                                  <a:miter lim="800000"/>
                                </a:ln>
                                <a:effectLst/>
                              </wps:spPr>
                              <wps:txbx>
                                <w:txbxContent>
                                  <w:p>
                                    <w:pPr>
                                      <w:pStyle w:val="26"/>
                                      <w:spacing w:before="0" w:beforeAutospacing="0" w:after="0" w:afterAutospacing="0"/>
                                      <w:jc w:val="center"/>
                                      <w:rPr>
                                        <w:szCs w:val="24"/>
                                      </w:rPr>
                                    </w:pPr>
                                    <w:r>
                                      <w:rPr>
                                        <w:rFonts w:hint="eastAsia" w:ascii="Times New Roman"/>
                                        <w:kern w:val="2"/>
                                        <w:sz w:val="21"/>
                                        <w:szCs w:val="21"/>
                                      </w:rPr>
                                      <w:t>过滤</w:t>
                                    </w:r>
                                  </w:p>
                                </w:txbxContent>
                              </wps:txbx>
                              <wps:bodyPr rot="0" vert="horz" wrap="square" lIns="91440" tIns="45720" rIns="91440" bIns="45720" anchor="t" anchorCtr="0" upright="1">
                                <a:noAutofit/>
                              </wps:bodyPr>
                            </wps:wsp>
                            <wps:wsp>
                              <wps:cNvPr id="64" name="肘形连接符 64"/>
                              <wps:cNvCnPr>
                                <a:stCxn id="197" idx="2"/>
                                <a:endCxn id="7" idx="2"/>
                              </wps:cNvCnPr>
                              <wps:spPr>
                                <a:xfrm rot="5400000" flipH="1">
                                  <a:off x="2380761" y="157986"/>
                                  <a:ext cx="4106" cy="1285240"/>
                                </a:xfrm>
                                <a:prstGeom prst="bentConnector3">
                                  <a:avLst>
                                    <a:gd name="adj1" fmla="val -5567462"/>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1" name="矩形 201"/>
                              <wps:cNvSpPr>
                                <a:spLocks noChangeArrowheads="1"/>
                              </wps:cNvSpPr>
                              <wps:spPr bwMode="auto">
                                <a:xfrm>
                                  <a:off x="2214196" y="408006"/>
                                  <a:ext cx="584200" cy="273050"/>
                                </a:xfrm>
                                <a:prstGeom prst="rect">
                                  <a:avLst/>
                                </a:prstGeom>
                                <a:noFill/>
                                <a:ln>
                                  <a:noFill/>
                                </a:ln>
                                <a:effectLst/>
                              </wps:spPr>
                              <wps:txbx>
                                <w:txbxContent>
                                  <w:p>
                                    <w:pPr>
                                      <w:pStyle w:val="26"/>
                                      <w:spacing w:before="0" w:beforeAutospacing="0" w:after="0" w:afterAutospacing="0"/>
                                      <w:jc w:val="both"/>
                                      <w:rPr>
                                        <w:szCs w:val="24"/>
                                      </w:rPr>
                                    </w:pPr>
                                    <w:r>
                                      <w:rPr>
                                        <w:rFonts w:ascii="Times New Roman" w:hAnsi="Times New Roman"/>
                                        <w:kern w:val="2"/>
                                        <w:sz w:val="21"/>
                                        <w:szCs w:val="21"/>
                                      </w:rPr>
                                      <w:t>0.34</w:t>
                                    </w:r>
                                  </w:p>
                                </w:txbxContent>
                              </wps:txbx>
                              <wps:bodyPr rot="0" vert="horz" wrap="square" lIns="91440" tIns="45720" rIns="91440" bIns="45720" anchor="t" anchorCtr="0" upright="1">
                                <a:noAutofit/>
                              </wps:bodyPr>
                            </wps:wsp>
                            <wps:wsp>
                              <wps:cNvPr id="202" name="矩形 202"/>
                              <wps:cNvSpPr>
                                <a:spLocks noChangeArrowheads="1"/>
                              </wps:cNvSpPr>
                              <wps:spPr bwMode="auto">
                                <a:xfrm>
                                  <a:off x="1093762" y="1229562"/>
                                  <a:ext cx="1460794" cy="273050"/>
                                </a:xfrm>
                                <a:prstGeom prst="rect">
                                  <a:avLst/>
                                </a:prstGeom>
                                <a:solidFill>
                                  <a:srgbClr val="FFFFFF"/>
                                </a:solidFill>
                                <a:ln w="9525">
                                  <a:noFill/>
                                  <a:miter lim="800000"/>
                                </a:ln>
                                <a:effectLst/>
                              </wps:spPr>
                              <wps:txbx>
                                <w:txbxContent>
                                  <w:p>
                                    <w:pPr>
                                      <w:pStyle w:val="26"/>
                                      <w:spacing w:before="0" w:beforeAutospacing="0" w:after="0" w:afterAutospacing="0"/>
                                      <w:jc w:val="center"/>
                                      <w:rPr>
                                        <w:szCs w:val="24"/>
                                      </w:rPr>
                                    </w:pPr>
                                    <w:r>
                                      <w:rPr>
                                        <w:rFonts w:hint="eastAsia" w:ascii="Times New Roman"/>
                                        <w:kern w:val="2"/>
                                        <w:sz w:val="21"/>
                                        <w:szCs w:val="21"/>
                                      </w:rPr>
                                      <w:t>委托有资质</w:t>
                                    </w:r>
                                    <w:r>
                                      <w:rPr>
                                        <w:rFonts w:ascii="Times New Roman"/>
                                        <w:kern w:val="2"/>
                                        <w:sz w:val="21"/>
                                        <w:szCs w:val="21"/>
                                      </w:rPr>
                                      <w:t>单位处理</w:t>
                                    </w:r>
                                  </w:p>
                                </w:txbxContent>
                              </wps:txbx>
                              <wps:bodyPr rot="0" vert="horz" wrap="square" lIns="91440" tIns="45720" rIns="91440" bIns="45720" anchor="t" anchorCtr="0" upright="1">
                                <a:noAutofit/>
                              </wps:bodyPr>
                            </wps:wsp>
                            <wps:wsp>
                              <wps:cNvPr id="203" name="矩形 203"/>
                              <wps:cNvSpPr>
                                <a:spLocks noChangeArrowheads="1"/>
                              </wps:cNvSpPr>
                              <wps:spPr bwMode="auto">
                                <a:xfrm>
                                  <a:off x="1047410" y="885687"/>
                                  <a:ext cx="675005" cy="273050"/>
                                </a:xfrm>
                                <a:prstGeom prst="rect">
                                  <a:avLst/>
                                </a:prstGeom>
                                <a:noFill/>
                                <a:ln>
                                  <a:noFill/>
                                </a:ln>
                                <a:effectLst/>
                              </wps:spPr>
                              <wps:txbx>
                                <w:txbxContent>
                                  <w:p>
                                    <w:pPr>
                                      <w:pStyle w:val="26"/>
                                      <w:spacing w:before="0" w:beforeAutospacing="0" w:after="0" w:afterAutospacing="0"/>
                                      <w:jc w:val="both"/>
                                      <w:rPr>
                                        <w:szCs w:val="24"/>
                                      </w:rPr>
                                    </w:pPr>
                                    <w:r>
                                      <w:rPr>
                                        <w:rFonts w:ascii="Times New Roman" w:hAnsi="Times New Roman"/>
                                        <w:kern w:val="2"/>
                                        <w:sz w:val="21"/>
                                        <w:szCs w:val="21"/>
                                      </w:rPr>
                                      <w:t>0.017</w:t>
                                    </w:r>
                                  </w:p>
                                </w:txbxContent>
                              </wps:txbx>
                              <wps:bodyPr rot="0" vert="horz" wrap="square" lIns="91440" tIns="45720" rIns="91440" bIns="45720" anchor="t" anchorCtr="0" upright="1">
                                <a:noAutofit/>
                              </wps:bodyPr>
                            </wps:wsp>
                            <wps:wsp>
                              <wps:cNvPr id="261" name="矩形 261"/>
                              <wps:cNvSpPr>
                                <a:spLocks noChangeArrowheads="1"/>
                              </wps:cNvSpPr>
                              <wps:spPr bwMode="auto">
                                <a:xfrm>
                                  <a:off x="1542710" y="1764960"/>
                                  <a:ext cx="947420" cy="272415"/>
                                </a:xfrm>
                                <a:prstGeom prst="rect">
                                  <a:avLst/>
                                </a:prstGeom>
                                <a:solidFill>
                                  <a:srgbClr val="FFFFFF"/>
                                </a:solidFill>
                                <a:ln w="9525">
                                  <a:solidFill>
                                    <a:srgbClr val="000000"/>
                                  </a:solidFill>
                                  <a:miter lim="800000"/>
                                </a:ln>
                                <a:effectLst/>
                              </wps:spPr>
                              <wps:txbx>
                                <w:txbxContent>
                                  <w:p>
                                    <w:pPr>
                                      <w:pStyle w:val="26"/>
                                      <w:spacing w:before="0" w:beforeAutospacing="0" w:after="0" w:afterAutospacing="0"/>
                                      <w:jc w:val="center"/>
                                      <w:rPr>
                                        <w:szCs w:val="24"/>
                                      </w:rPr>
                                    </w:pPr>
                                    <w:r>
                                      <w:rPr>
                                        <w:rFonts w:hint="eastAsia" w:ascii="Times New Roman"/>
                                        <w:kern w:val="2"/>
                                        <w:sz w:val="21"/>
                                        <w:szCs w:val="21"/>
                                      </w:rPr>
                                      <w:t>喷淋塔用水</w:t>
                                    </w:r>
                                  </w:p>
                                </w:txbxContent>
                              </wps:txbx>
                              <wps:bodyPr rot="0" vert="horz" wrap="square" lIns="91440" tIns="45720" rIns="91440" bIns="45720" anchor="t" anchorCtr="0" upright="1">
                                <a:noAutofit/>
                              </wps:bodyPr>
                            </wps:wsp>
                            <wps:wsp>
                              <wps:cNvPr id="266" name="直接箭头连接符 266"/>
                              <wps:cNvCnPr/>
                              <wps:spPr>
                                <a:xfrm>
                                  <a:off x="1047410" y="1872910"/>
                                  <a:ext cx="4953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78" name="肘形连接符 278"/>
                              <wps:cNvCnPr>
                                <a:endCxn id="261" idx="2"/>
                              </wps:cNvCnPr>
                              <wps:spPr>
                                <a:xfrm rot="10800000" flipV="1">
                                  <a:off x="2016420" y="1920239"/>
                                  <a:ext cx="473710" cy="117135"/>
                                </a:xfrm>
                                <a:prstGeom prst="bentConnector4">
                                  <a:avLst>
                                    <a:gd name="adj1" fmla="val -87936"/>
                                    <a:gd name="adj2" fmla="val 295159"/>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82" name="矩形 282"/>
                              <wps:cNvSpPr>
                                <a:spLocks noChangeArrowheads="1"/>
                              </wps:cNvSpPr>
                              <wps:spPr bwMode="auto">
                                <a:xfrm>
                                  <a:off x="2271691" y="2037375"/>
                                  <a:ext cx="584200" cy="273050"/>
                                </a:xfrm>
                                <a:prstGeom prst="rect">
                                  <a:avLst/>
                                </a:prstGeom>
                                <a:noFill/>
                                <a:ln>
                                  <a:noFill/>
                                </a:ln>
                                <a:effectLst/>
                              </wps:spPr>
                              <wps:txbx>
                                <w:txbxContent>
                                  <w:p>
                                    <w:pPr>
                                      <w:pStyle w:val="26"/>
                                      <w:spacing w:before="0" w:beforeAutospacing="0" w:after="0" w:afterAutospacing="0"/>
                                      <w:jc w:val="both"/>
                                      <w:rPr>
                                        <w:szCs w:val="24"/>
                                      </w:rPr>
                                    </w:pPr>
                                    <w:r>
                                      <w:rPr>
                                        <w:rFonts w:ascii="Times New Roman" w:hAnsi="Times New Roman"/>
                                        <w:kern w:val="2"/>
                                        <w:sz w:val="21"/>
                                        <w:szCs w:val="21"/>
                                      </w:rPr>
                                      <w:t>80</w:t>
                                    </w:r>
                                  </w:p>
                                </w:txbxContent>
                              </wps:txbx>
                              <wps:bodyPr rot="0" vert="horz" wrap="square" lIns="91440" tIns="45720" rIns="91440" bIns="45720" anchor="t" anchorCtr="0" upright="1">
                                <a:noAutofit/>
                              </wps:bodyPr>
                            </wps:wsp>
                            <wps:wsp>
                              <wps:cNvPr id="283" name="曲线连接符 283"/>
                              <wps:cNvCnPr/>
                              <wps:spPr>
                                <a:xfrm rot="5400000" flipH="1" flipV="1">
                                  <a:off x="2003721" y="1496990"/>
                                  <a:ext cx="228600" cy="307340"/>
                                </a:xfrm>
                                <a:prstGeom prst="curvedConnector2">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284" name="矩形 284"/>
                              <wps:cNvSpPr>
                                <a:spLocks noChangeArrowheads="1"/>
                              </wps:cNvSpPr>
                              <wps:spPr bwMode="auto">
                                <a:xfrm>
                                  <a:off x="2174827" y="1414440"/>
                                  <a:ext cx="910590" cy="291465"/>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kern w:val="2"/>
                                        <w:sz w:val="21"/>
                                        <w:szCs w:val="21"/>
                                      </w:rPr>
                                      <w:t>损耗</w:t>
                                    </w:r>
                                    <w:r>
                                      <w:rPr>
                                        <w:rFonts w:ascii="Times New Roman" w:hAnsi="Times New Roman"/>
                                        <w:kern w:val="2"/>
                                        <w:sz w:val="21"/>
                                        <w:szCs w:val="21"/>
                                      </w:rPr>
                                      <w:t>0.08</w:t>
                                    </w:r>
                                  </w:p>
                                </w:txbxContent>
                              </wps:txbx>
                              <wps:bodyPr rot="0" vert="horz" wrap="square" lIns="91440" tIns="45720" rIns="91440" bIns="45720" anchor="t" anchorCtr="0" upright="1">
                                <a:noAutofit/>
                              </wps:bodyPr>
                            </wps:wsp>
                            <wps:wsp>
                              <wps:cNvPr id="299" name="矩形 299"/>
                              <wps:cNvSpPr>
                                <a:spLocks noChangeArrowheads="1"/>
                              </wps:cNvSpPr>
                              <wps:spPr bwMode="auto">
                                <a:xfrm>
                                  <a:off x="1009650" y="1628475"/>
                                  <a:ext cx="584200" cy="273050"/>
                                </a:xfrm>
                                <a:prstGeom prst="rect">
                                  <a:avLst/>
                                </a:prstGeom>
                                <a:noFill/>
                                <a:ln>
                                  <a:noFill/>
                                </a:ln>
                                <a:effectLst/>
                              </wps:spPr>
                              <wps:txbx>
                                <w:txbxContent>
                                  <w:p>
                                    <w:pPr>
                                      <w:pStyle w:val="26"/>
                                      <w:spacing w:before="0" w:beforeAutospacing="0" w:after="0" w:afterAutospacing="0"/>
                                      <w:jc w:val="both"/>
                                      <w:rPr>
                                        <w:szCs w:val="24"/>
                                      </w:rPr>
                                    </w:pPr>
                                    <w:r>
                                      <w:rPr>
                                        <w:rFonts w:ascii="Times New Roman" w:hAnsi="Times New Roman"/>
                                        <w:kern w:val="2"/>
                                        <w:sz w:val="21"/>
                                        <w:szCs w:val="21"/>
                                      </w:rPr>
                                      <w:t>0.08</w:t>
                                    </w:r>
                                  </w:p>
                                </w:txbxContent>
                              </wps:txbx>
                              <wps:bodyPr rot="0" vert="horz" wrap="square" lIns="91440" tIns="45720" rIns="91440" bIns="45720" anchor="t" anchorCtr="0" upright="1">
                                <a:noAutofit/>
                              </wps:bodyPr>
                            </wps:wsp>
                          </wpc:wpc>
                        </a:graphicData>
                      </a:graphic>
                    </wp:inline>
                  </w:drawing>
                </mc:Choice>
                <mc:Fallback>
                  <w:pict>
                    <v:group id="_x0000_s1026" o:spid="_x0000_s1026" o:spt="203" style="height:257.4pt;width:423pt;" coordsize="5372100,3268980" editas="canvas" o:gfxdata="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">
                      <o:lock v:ext="edit" aspectratio="f"/>
                      <v:shape id="_x0000_s1026" o:spid="_x0000_s1026" style="position:absolute;left:0;top:0;height:3268980;width:5372100;" filled="f" stroked="f" coordsize="21600,21600" o:gfxdata="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">
                        <v:fill on="f" focussize="0,0"/>
                        <v:stroke on="f" miterlimit="8" joinstyle="miter"/>
                        <v:imagedata o:title=""/>
                        <o:lock v:ext="edit" aspectratio="t"/>
                      </v:shape>
                      <v:rect id="矩形 419" o:spid="_x0000_s1026" o:spt="1" style="position:absolute;left:130810;top:1155267;height:661035;width:383540;" filled="f" stroked="t" coordsize="21600,21600" o:gfxdata="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sjCC7tQAAAAFAQAADwAAAAAAAAABACAAAAAiAAAA&#10;ZHJzL2Rvd25yZXYueG1sUEsBAhQAFAAAAAgAh07iQDvH9HxEAgAAawQAAA4AAAAAAAAAAQAgAAAA&#10;IwEAAGRycy9lMm9Eb2MueG1sUEsFBgAAAAAGAAYAWQEAANkFAAAAAA==&#10;">
                        <v:fill on="f" focussize="0,0"/>
                        <v:stroke color="#000000" miterlimit="8" joinstyle="miter"/>
                        <v:imagedata o:title=""/>
                        <o:lock v:ext="edit" aspectratio="f"/>
                        <v:textbox>
                          <w:txbxContent>
                            <w:p>
                              <w:pPr>
                                <w:adjustRightInd w:val="0"/>
                                <w:snapToGrid w:val="0"/>
                                <w:jc w:val="center"/>
                              </w:pPr>
                              <w:r>
                                <w:rPr>
                                  <w:rFonts w:hint="eastAsia"/>
                                </w:rPr>
                                <w:t>新</w:t>
                              </w:r>
                            </w:p>
                            <w:p>
                              <w:pPr>
                                <w:adjustRightInd w:val="0"/>
                                <w:snapToGrid w:val="0"/>
                                <w:jc w:val="center"/>
                              </w:pPr>
                              <w:r>
                                <w:rPr>
                                  <w:rFonts w:hint="eastAsia"/>
                                </w:rPr>
                                <w:t>鲜</w:t>
                              </w:r>
                            </w:p>
                            <w:p>
                              <w:pPr>
                                <w:adjustRightInd w:val="0"/>
                                <w:snapToGrid w:val="0"/>
                                <w:jc w:val="center"/>
                              </w:pPr>
                              <w:r>
                                <w:rPr>
                                  <w:rFonts w:hint="eastAsia"/>
                                </w:rPr>
                                <w:t>水</w:t>
                              </w:r>
                            </w:p>
                          </w:txbxContent>
                        </v:textbox>
                      </v:rect>
                      <v:rect id="矩形 435" o:spid="_x0000_s1026" o:spt="1" style="position:absolute;left:999490;top:2668802;height:273050;width:584200;" filled="f" stroked="f" coordsize="21600,21600" o:gfxdata="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5CEZ3WAAAA&#10;BQEAAA8AAAAAAAAAAQAgAAAAIgAAAGRycy9kb3ducmV2LnhtbFBLAQIUABQAAAAIAIdO4kDooSJe&#10;HwIAACIEAAAOAAAAAAAAAAEAIAAAACUBAABkcnMvZTJvRG9jLnhtbFBLBQYAAAAABgAGAFkBAAC2&#10;BQAAAAA=&#10;">
                        <v:fill on="f" focussize="0,0"/>
                        <v:stroke on="f"/>
                        <v:imagedata o:title=""/>
                        <o:lock v:ext="edit" aspectratio="f"/>
                        <v:textbox>
                          <w:txbxContent>
                            <w:p>
                              <w:pPr>
                                <w:adjustRightInd w:val="0"/>
                                <w:snapToGrid w:val="0"/>
                              </w:pPr>
                              <w:r>
                                <w:t>32.55</w:t>
                              </w:r>
                            </w:p>
                          </w:txbxContent>
                        </v:textbox>
                      </v:rect>
                      <v:rect id="矩形 437" o:spid="_x0000_s1026" o:spt="1" style="position:absolute;left:1266191;top:526139;height:272415;width:948005;" fillcolor="#FFFFFF" filled="t" stroked="t" coordsize="21600,21600" o:gfxdata="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rIgtI1AAAAAUBAAAPAAAAAAAAAAEA&#10;IAAAACIAAABkcnMvZG93bnJldi54bWxQSwECFAAUAAAACACHTuJAvfJD7UwCAACUBAAADgAAAAAA&#10;AAABACAAAAAjAQAAZHJzL2Uyb0RvYy54bWxQSwUGAAAAAAYABgBZAQAA4QUAAAAA&#10;">
                        <v:fill on="t" focussize="0,0"/>
                        <v:stroke color="#000000" miterlimit="8" joinstyle="miter"/>
                        <v:imagedata o:title=""/>
                        <o:lock v:ext="edit" aspectratio="f"/>
                        <v:textbox>
                          <w:txbxContent>
                            <w:p>
                              <w:pPr>
                                <w:adjustRightInd w:val="0"/>
                                <w:snapToGrid w:val="0"/>
                                <w:jc w:val="center"/>
                              </w:pPr>
                              <w:r>
                                <w:rPr>
                                  <w:rFonts w:hint="eastAsia"/>
                                </w:rPr>
                                <w:t>清洗用水</w:t>
                              </w:r>
                            </w:p>
                          </w:txbxContent>
                        </v:textbox>
                      </v:rect>
                      <v:rect id="矩形 419" o:spid="_x0000_s1026" o:spt="1" style="position:absolute;left:1958341;top:75741;height:291465;width:910590;" filled="f" stroked="f" coordsize="21600,21600" o:gfxdata="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5CEZ3WAAAABQEA&#10;AA8AAAAAAAAAAQAgAAAAIgAAAGRycy9kb3ducmV2LnhtbFBLAQIUABQAAAAIAIdO4kCGO7uqHAIA&#10;ACIEAAAOAAAAAAAAAAEAIAAAACUBAABkcnMvZTJvRG9jLnhtbFBLBQYAAAAABgAGAFkBAACzBQAA&#10;AAA=&#10;">
                        <v:fill on="f" focussize="0,0"/>
                        <v:stroke on="f"/>
                        <v:imagedata o:title=""/>
                        <o:lock v:ext="edit" aspectratio="f"/>
                        <v:textbox>
                          <w:txbxContent>
                            <w:p>
                              <w:pPr>
                                <w:adjustRightInd w:val="0"/>
                                <w:snapToGrid w:val="0"/>
                                <w:jc w:val="center"/>
                              </w:pPr>
                              <w:r>
                                <w:rPr>
                                  <w:rFonts w:hint="eastAsia"/>
                                </w:rPr>
                                <w:t>损耗</w:t>
                              </w:r>
                              <w:r>
                                <w:t>0.017</w:t>
                              </w:r>
                            </w:p>
                          </w:txbxContent>
                        </v:textbox>
                      </v:rect>
                      <v:group id="_x0000_s1026" o:spid="_x0000_s1026" o:spt="203" style="position:absolute;left:514350;top:662346;height:2273897;width:920115;" coordorigin="514350,359884" coordsize="920115,2273897" o:gfxdata="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">
                        <o:lock v:ext="edit" aspectratio="f"/>
                        <v:shape id="_x0000_s1026" o:spid="_x0000_s1026" o:spt="34" type="#_x0000_t34" style="position:absolute;left:1266190;top:359884;flip:x y;height:2273897;width:168275;rotation:11796480f;" filled="f" stroked="t" coordsize="21600,21600" o:gfxdata="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7UpSvQAA&#10;ANsAAAAPAAAAAAAAAAEAIAAAACIAAABkcnMvZG93bnJldi54bWxQSwECFAAUAAAACACHTuJAMy8F&#10;njsAAAA5AAAAEAAAAAAAAAABACAAAAAMAQAAZHJzL3NoYXBleG1sLnhtbFBLBQYAAAAABgAGAFsB&#10;AAC2AwAAAAA=&#10;" adj="-29343">
                          <v:fill on="f" focussize="0,0"/>
                          <v:stroke weight="0.5pt" color="#000000 [3200]" miterlimit="8" joinstyle="miter" startarrow="block" endarrow="block"/>
                          <v:imagedata o:title=""/>
                          <o:lock v:ext="edit" aspectratio="f"/>
                        </v:shape>
                        <v:shape id="_x0000_s1026" o:spid="_x0000_s1026" o:spt="32" type="#_x0000_t32" style="position:absolute;left:514350;top:1200150;height:0;width:495300;" filled="f" stroked="t" coordsize="21600,21600" o:gfxdata="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y4MKm5AAAA2wAA&#10;AA8AAAAAAAAAAQAgAAAAIgAAAGRycy9kb3ducmV2LnhtbFBLAQIUABQAAAAIAIdO4kAzLwWeOwAA&#10;ADkAAAAQAAAAAAAAAAEAIAAAAAgBAABkcnMvc2hhcGV4bWwueG1sUEsFBgAAAAAGAAYAWwEAALID&#10;AAAAAA==&#10;">
                          <v:fill on="f" focussize="0,0"/>
                          <v:stroke weight="0.5pt" color="#000000 [3200]" miterlimit="8" joinstyle="miter" endarrow="block"/>
                          <v:imagedata o:title=""/>
                          <o:lock v:ext="edit" aspectratio="f"/>
                        </v:shape>
                      </v:group>
                      <v:rect id="_x0000_s1026" o:spid="_x0000_s1026" o:spt="1" style="position:absolute;left:784860;top:455949;height:273050;width:675300;" filled="f" stroked="f" coordsize="21600,21600" o:gfxdata="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5CEZ3WAAAA&#10;BQEAAA8AAAAAAAAAAQAgAAAAIgAAAGRycy9kb3ducmV2LnhtbFBLAQIUABQAAAAIAIdO4kDqUWiT&#10;HwIAACMEAAAOAAAAAAAAAAEAIAAAACUBAABkcnMvZTJvRG9jLnhtbFBLBQYAAAAABgAGAFkBAAC2&#10;BQAAAAA=&#10;">
                        <v:fill on="f" focussize="0,0"/>
                        <v:stroke on="f"/>
                        <v:imagedata o:title=""/>
                        <o:lock v:ext="edit" aspectratio="f"/>
                        <v:textbox>
                          <w:txbxContent>
                            <w:p>
                              <w:pPr>
                                <w:pStyle w:val="26"/>
                                <w:spacing w:before="0" w:beforeAutospacing="0" w:after="0" w:afterAutospacing="0"/>
                                <w:jc w:val="both"/>
                                <w:rPr>
                                  <w:szCs w:val="24"/>
                                </w:rPr>
                              </w:pPr>
                              <w:r>
                                <w:rPr>
                                  <w:rFonts w:ascii="Times New Roman" w:hAnsi="Times New Roman"/>
                                  <w:kern w:val="2"/>
                                  <w:sz w:val="21"/>
                                  <w:szCs w:val="21"/>
                                </w:rPr>
                                <w:t>0.034</w:t>
                              </w:r>
                            </w:p>
                          </w:txbxContent>
                        </v:textbox>
                      </v:rect>
                      <v:rect id="_x0000_s1026" o:spid="_x0000_s1026" o:spt="1" style="position:absolute;left:463210;top:1271154;height:273050;width:584200;" filled="f" stroked="f" coordsize="21600,21600" o:gfxdata="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LkIRndYAAAAF&#10;AQAADwAAAAAAAAABACAAAAAiAAAAZHJzL2Rvd25yZXYueG1sUEsBAhQAFAAAAAgAh07iQFSuluMe&#10;AgAAJAQAAA4AAAAAAAAAAQAgAAAAJQEAAGRycy9lMm9Eb2MueG1sUEsFBgAAAAAGAAYAWQEAALUF&#10;AAAAAA==&#10;">
                        <v:fill on="f" focussize="0,0"/>
                        <v:stroke on="f"/>
                        <v:imagedata o:title=""/>
                        <o:lock v:ext="edit" aspectratio="f"/>
                        <v:textbox>
                          <w:txbxContent>
                            <w:p>
                              <w:pPr>
                                <w:pStyle w:val="26"/>
                                <w:spacing w:before="0" w:beforeAutospacing="0" w:after="0" w:afterAutospacing="0"/>
                                <w:jc w:val="both"/>
                                <w:rPr>
                                  <w:szCs w:val="24"/>
                                </w:rPr>
                              </w:pPr>
                              <w:r>
                                <w:rPr>
                                  <w:rFonts w:ascii="Times New Roman" w:hAnsi="Times New Roman"/>
                                  <w:kern w:val="2"/>
                                  <w:sz w:val="21"/>
                                  <w:szCs w:val="21"/>
                                </w:rPr>
                                <w:t>32.664</w:t>
                              </w:r>
                            </w:p>
                          </w:txbxContent>
                        </v:textbox>
                      </v:rect>
                      <v:group id="_x0000_s1026" o:spid="_x0000_s1026" o:spt="203" style="position:absolute;left:1434466;top:2364443;height:783252;width:3937634;" coordorigin="1315085,1185248" coordsize="3937634,783252" o:gfxdata="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">
                        <o:lock v:ext="edit" aspectratio="f"/>
                        <v:rect id="_x0000_s1026" o:spid="_x0000_s1026" o:spt="1" style="position:absolute;left:1825920;top:1185248;height:291465;width:910590;" filled="f" stroked="f" coordsize="21600,21600" o:gfxdata="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YKp2r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损耗</w:t>
                                </w:r>
                                <w:r>
                                  <w:rPr>
                                    <w:rFonts w:ascii="Times New Roman" w:hAnsi="Times New Roman"/>
                                    <w:kern w:val="2"/>
                                    <w:sz w:val="21"/>
                                    <w:szCs w:val="21"/>
                                  </w:rPr>
                                  <w:t>6.51</w:t>
                                </w:r>
                              </w:p>
                            </w:txbxContent>
                          </v:textbox>
                        </v:rect>
                        <v:group id="_x0000_s1026" o:spid="_x0000_s1026" o:spt="203" style="position:absolute;left:1315085;top:1541186;height:427314;width:3937634;" coordorigin="1315085,1541186" coordsize="3937634,427314"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aspectratio="f"/>
                          <v:rect id="矩形 439" o:spid="_x0000_s1026" o:spt="1" style="position:absolute;left:4084662;top:1546225;height:422275;width:1168057;" fillcolor="#FFFFFF" filled="t" stroked="t" coordsize="21600,21600" o:gfxdata="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6npbsAAADa&#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adjustRightInd w:val="0"/>
                                    <w:snapToGrid w:val="0"/>
                                    <w:jc w:val="center"/>
                                    <w:rPr>
                                      <w:color w:val="000000" w:themeColor="text1"/>
                                      <w:sz w:val="20"/>
                                      <w14:textFill>
                                        <w14:solidFill>
                                          <w14:schemeClr w14:val="tx1"/>
                                        </w14:solidFill>
                                      </w14:textFill>
                                    </w:rPr>
                                  </w:pPr>
                                  <w:r>
                                    <w:rPr>
                                      <w:rFonts w:hint="eastAsia" w:ascii="宋体" w:hAnsi="宋体"/>
                                      <w:color w:val="000000" w:themeColor="text1"/>
                                      <w14:textFill>
                                        <w14:solidFill>
                                          <w14:schemeClr w14:val="tx1"/>
                                        </w14:solidFill>
                                      </w14:textFill>
                                    </w:rPr>
                                    <w:t>园洲镇第四污水处理厂</w:t>
                                  </w:r>
                                </w:p>
                              </w:txbxContent>
                            </v:textbox>
                          </v:rect>
                          <v:rect id="矩形 421" o:spid="_x0000_s1026" o:spt="1" style="position:absolute;left:1315085;top:1620524;height:273050;width:77343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adjustRightInd w:val="0"/>
                                    <w:snapToGrid w:val="0"/>
                                  </w:pPr>
                                  <w:r>
                                    <w:rPr>
                                      <w:rFonts w:hint="eastAsia"/>
                                    </w:rPr>
                                    <w:t>生活</w:t>
                                  </w:r>
                                  <w:r>
                                    <w:t>用水</w:t>
                                  </w:r>
                                </w:p>
                              </w:txbxContent>
                            </v:textbox>
                          </v:rect>
                          <v:rect id="_x0000_s1026" o:spid="_x0000_s1026" o:spt="1" style="position:absolute;left:2638379;top:1545294;height:418956;width:1019563;" fillcolor="#FFFFFF" filled="t" stroked="t" coordsize="21600,21600" o:gfxdata="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URfC8AAAA&#10;3A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三级</w:t>
                                  </w:r>
                                  <w:r>
                                    <w:rPr>
                                      <w:rFonts w:ascii="Times New Roman"/>
                                      <w:kern w:val="2"/>
                                      <w:sz w:val="21"/>
                                      <w:szCs w:val="21"/>
                                    </w:rPr>
                                    <w:t>化粪池</w:t>
                                  </w:r>
                                  <w:r>
                                    <w:rPr>
                                      <w:rFonts w:hint="eastAsia" w:ascii="Times New Roman"/>
                                      <w:kern w:val="2"/>
                                      <w:sz w:val="21"/>
                                      <w:szCs w:val="21"/>
                                    </w:rPr>
                                    <w:t>、</w:t>
                                  </w:r>
                                  <w:r>
                                    <w:rPr>
                                      <w:rFonts w:ascii="Times New Roman"/>
                                      <w:kern w:val="2"/>
                                      <w:sz w:val="21"/>
                                      <w:szCs w:val="21"/>
                                    </w:rPr>
                                    <w:t>隔油隔渣池</w:t>
                                  </w:r>
                                </w:p>
                              </w:txbxContent>
                            </v:textbox>
                          </v:rect>
                          <v:shape id="_x0000_s1026" o:spid="_x0000_s1026" o:spt="32" type="#_x0000_t32" style="position:absolute;left:2088516;top:1754772;flip:y;height:2277;width:549863;" filled="f" stroked="t" coordsize="21600,21600" o:gfxdata="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kHUfvQAA&#10;ANsAAAAPAAAAAAAAAAEAIAAAACIAAABkcnMvZG93bnJldi54bWxQSwECFAAUAAAACACHTuJAMy8F&#10;njsAAAA5AAAAEAAAAAAAAAABACAAAAAMAQAAZHJzL3NoYXBleG1sLnhtbFBLBQYAAAAABgAGAFsB&#10;AAC2AwAAAAA=&#10;">
                            <v:fill on="f" focussize="0,0"/>
                            <v:stroke weight="0.5pt" color="#000000 [3200]" miterlimit="8" joinstyle="miter" endarrow="block"/>
                            <v:imagedata o:title=""/>
                            <o:lock v:ext="edit" aspectratio="f"/>
                          </v:shape>
                          <v:shape id="_x0000_s1026" o:spid="_x0000_s1026" o:spt="32" type="#_x0000_t32" style="position:absolute;left:3657942;top:1754772;height:2591;width:426720;" filled="f" stroked="t" coordsize="21600,21600" o:gfxdata="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hrRpbsAAADb&#10;AAAADwAAAAAAAAABACAAAAAiAAAAZHJzL2Rvd25yZXYueG1sUEsBAhQAFAAAAAgAh07iQDMvBZ47&#10;AAAAOQAAABAAAAAAAAAAAQAgAAAACgEAAGRycy9zaGFwZXhtbC54bWxQSwUGAAAAAAYABgBbAQAA&#10;tAMAAAAA&#10;">
                            <v:fill on="f" focussize="0,0"/>
                            <v:stroke weight="0.5pt" color="#000000 [3200]" miterlimit="8" joinstyle="miter" endarrow="block"/>
                            <v:imagedata o:title=""/>
                            <o:lock v:ext="edit" aspectratio="f"/>
                          </v:shape>
                          <v:rect id="_x0000_s1026" o:spid="_x0000_s1026" o:spt="1" style="position:absolute;left:2088516;top:1541592;height:273050;width:584200;" filled="f" stroked="f" coordsize="21600,21600" o:gfxdata="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j37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26"/>
                                    <w:spacing w:before="0" w:beforeAutospacing="0" w:after="0" w:afterAutospacing="0"/>
                                    <w:jc w:val="both"/>
                                    <w:rPr>
                                      <w:szCs w:val="24"/>
                                    </w:rPr>
                                  </w:pPr>
                                  <w:r>
                                    <w:rPr>
                                      <w:rFonts w:ascii="Times New Roman" w:hAnsi="Times New Roman"/>
                                      <w:kern w:val="2"/>
                                      <w:sz w:val="21"/>
                                      <w:szCs w:val="21"/>
                                    </w:rPr>
                                    <w:t>26.04</w:t>
                                  </w:r>
                                </w:p>
                              </w:txbxContent>
                            </v:textbox>
                          </v:rect>
                          <v:rect id="_x0000_s1026" o:spid="_x0000_s1026" o:spt="1" style="position:absolute;left:3596299;top:1541186;height:273050;width:584200;" filled="f" stroked="f" coordsize="21600,21600" o:gfxdata="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OZwP+/&#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pStyle w:val="26"/>
                                    <w:spacing w:before="0" w:beforeAutospacing="0" w:after="0" w:afterAutospacing="0"/>
                                    <w:jc w:val="both"/>
                                    <w:rPr>
                                      <w:szCs w:val="24"/>
                                    </w:rPr>
                                  </w:pPr>
                                  <w:r>
                                    <w:rPr>
                                      <w:rFonts w:ascii="Times New Roman" w:hAnsi="Times New Roman"/>
                                      <w:kern w:val="2"/>
                                      <w:sz w:val="21"/>
                                      <w:szCs w:val="21"/>
                                    </w:rPr>
                                    <w:t>26.04</w:t>
                                  </w:r>
                                </w:p>
                              </w:txbxContent>
                            </v:textbox>
                          </v:rect>
                        </v:group>
                      </v:group>
                      <v:rect id="_x0000_s1026" o:spid="_x0000_s1026" o:spt="1" style="position:absolute;left:2174827;top:798554;height:273050;width:584200;" filled="f" stroked="f" coordsize="21600,21600" o:gfxdata="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5CEZ3WAAAA&#10;BQEAAA8AAAAAAAAAAQAgAAAAIgAAAGRycy9kb3ducmV2LnhtbFBLAQIUABQAAAAIAIdO4kCTnJPZ&#10;HwIAACQEAAAOAAAAAAAAAAEAIAAAACUBAABkcnMvZTJvRG9jLnhtbFBLBQYAAAAABgAGAFkBAAC2&#10;BQAAAAA=&#10;">
                        <v:fill on="f" focussize="0,0"/>
                        <v:stroke on="f"/>
                        <v:imagedata o:title=""/>
                        <o:lock v:ext="edit" aspectratio="f"/>
                        <v:textbox>
                          <w:txbxContent>
                            <w:p>
                              <w:pPr>
                                <w:pStyle w:val="26"/>
                                <w:spacing w:before="0" w:beforeAutospacing="0" w:after="0" w:afterAutospacing="0"/>
                                <w:jc w:val="both"/>
                                <w:rPr>
                                  <w:szCs w:val="24"/>
                                </w:rPr>
                              </w:pPr>
                              <w:r>
                                <w:rPr>
                                  <w:rFonts w:ascii="Times New Roman" w:hAnsi="Times New Roman"/>
                                  <w:kern w:val="2"/>
                                  <w:sz w:val="21"/>
                                  <w:szCs w:val="21"/>
                                </w:rPr>
                                <w:t>0.34</w:t>
                              </w:r>
                            </w:p>
                          </w:txbxContent>
                        </v:textbox>
                      </v:rect>
                      <v:shape id="_x0000_s1026" o:spid="_x0000_s1026" o:spt="37" type="#_x0000_t37" style="position:absolute;left:1783978;top:253399;flip:x y;height:316525;width:228957;rotation:5898240f;" filled="f" stroked="t" coordsize="21600,21600" o:gfxdata="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x4gN60wAAAAUBAAAPAAAAAAAAAAEAIAAAACIAAABkcnMvZG93bnJldi54bWxQ&#10;SwECFAAUAAAACACHTuJAABFf+jUCAAAzBAAADgAAAAAAAAABACAAAAAiAQAAZHJzL2Uyb0RvYy54&#10;bWxQSwUGAAAAAAYABgBZAQAAyQUAAAAA&#10;">
                        <v:fill on="f" focussize="0,0"/>
                        <v:stroke weight="0.5pt" color="#000000 [3213]" miterlimit="8" joinstyle="miter" dashstyle="dash" endarrow="block"/>
                        <v:imagedata o:title=""/>
                        <o:lock v:ext="edit" aspectratio="f"/>
                      </v:shape>
                      <v:shape id="_x0000_s1026" o:spid="_x0000_s1026" o:spt="37" type="#_x0000_t37" style="position:absolute;left:1787235;top:2521249;flip:x y;height:307340;width:228600;rotation:5898240f;" filled="f" stroked="t" coordsize="21600,21600" o:gfxdata="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ceID&#10;etMAAAAFAQAADwAAAAAAAAABACAAAAAiAAAAZHJzL2Rvd25yZXYueG1sUEsBAhQAFAAAAAgAh07i&#10;QJlCn6UnAgAADgQAAA4AAAAAAAAAAQAgAAAAIgEAAGRycy9lMm9Eb2MueG1sUEsFBgAAAAAGAAYA&#10;WQEAALsFAAAAAA==&#10;">
                        <v:fill on="f" focussize="0,0"/>
                        <v:stroke weight="0.5pt" color="#000000 [3213]" miterlimit="8" joinstyle="miter" dashstyle="dash" endarrow="block"/>
                        <v:imagedata o:title=""/>
                        <o:lock v:ext="edit" aspectratio="f"/>
                      </v:shape>
                      <v:shape id="_x0000_s1026" o:spid="_x0000_s1026" o:spt="32" type="#_x0000_t32" style="position:absolute;left:2214196;top:661076;flip:y;height:1270;width:526415;" filled="f" stroked="t" coordsize="21600,21600" o:gfxdata="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Tn+t01gAAAAUB&#10;AAAPAAAAAAAAAAEAIAAAACIAAABkcnMvZG93bnJldi54bWxQSwECFAAUAAAACACHTuJARuMaZx0C&#10;AAD8AwAADgAAAAAAAAABACAAAAAlAQAAZHJzL2Uyb0RvYy54bWxQSwUGAAAAAAYABgBZAQAAtAUA&#10;AAAA&#10;">
                        <v:fill on="f" focussize="0,0"/>
                        <v:stroke weight="0.5pt" color="#000000 [3200]" miterlimit="8" joinstyle="miter" endarrow="block"/>
                        <v:imagedata o:title=""/>
                        <o:lock v:ext="edit" aspectratio="f"/>
                      </v:shape>
                      <v:rect id="_x0000_s1026" o:spid="_x0000_s1026" o:spt="1" style="position:absolute;left:2759027;top:529610;height:273050;width:532813;" fillcolor="#FFFFFF" filled="t" stroked="t" coordsize="21600,21600" o:gfxdata="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siC0jUAAAABQEAAA8AAAAAAAAAAQAg&#10;AAAAIgAAAGRycy9kb3ducmV2LnhtbFBLAQIUABQAAAAIAIdO4kAyeHgESwIAAJYEAAAOAAAAAAAA&#10;AAEAIAAAACMBAABkcnMvZTJvRG9jLnhtbFBLBQYAAAAABgAGAFkBAADgBQAAAAA=&#10;">
                        <v:fill on="t" focussize="0,0"/>
                        <v:stroke color="#000000" miterlimit="8" joinstyle="miter"/>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过滤</w:t>
                              </w:r>
                            </w:p>
                          </w:txbxContent>
                        </v:textbox>
                      </v:rect>
                      <v:shape id="_x0000_s1026" o:spid="_x0000_s1026" o:spt="34" type="#_x0000_t34" style="position:absolute;left:2380761;top:157986;flip:x;height:1285240;width:4106;rotation:-5898240f;" filled="f" stroked="t" coordsize="21600,21600" o:gfxdata="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46lnx1AAAAAUBAAAP&#10;AAAAAAAAAAEAIAAAACIAAABkcnMvZG93bnJldi54bWxQSwECFAAUAAAACACHTuJA2ei5H1UCAABx&#10;BAAADgAAAAAAAAABACAAAAAjAQAAZHJzL2Uyb0RvYy54bWxQSwUGAAAAAAYABgBZAQAA6gUAAAAA&#10;" adj="-1202572">
                        <v:fill on="f" focussize="0,0"/>
                        <v:stroke weight="0.5pt" color="#000000 [3213]" miterlimit="8" joinstyle="miter" endarrow="block"/>
                        <v:imagedata o:title=""/>
                        <o:lock v:ext="edit" aspectratio="f"/>
                      </v:shape>
                      <v:rect id="_x0000_s1026" o:spid="_x0000_s1026" o:spt="1" style="position:absolute;left:2214196;top:408006;height:273050;width:584200;" filled="f" stroked="f" coordsize="21600,21600" o:gfxdata="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uQhGd1gAAAAUB&#10;AAAPAAAAAAAAAAEAIAAAACIAAABkcnMvZG93bnJldi54bWxQSwECFAAUAAAACACHTuJAUVI/2x0C&#10;AAAkBAAADgAAAAAAAAABACAAAAAlAQAAZHJzL2Uyb0RvYy54bWxQSwUGAAAAAAYABgBZAQAAtAUA&#10;AAAA&#10;">
                        <v:fill on="f" focussize="0,0"/>
                        <v:stroke on="f"/>
                        <v:imagedata o:title=""/>
                        <o:lock v:ext="edit" aspectratio="f"/>
                        <v:textbox>
                          <w:txbxContent>
                            <w:p>
                              <w:pPr>
                                <w:pStyle w:val="26"/>
                                <w:spacing w:before="0" w:beforeAutospacing="0" w:after="0" w:afterAutospacing="0"/>
                                <w:jc w:val="both"/>
                                <w:rPr>
                                  <w:szCs w:val="24"/>
                                </w:rPr>
                              </w:pPr>
                              <w:r>
                                <w:rPr>
                                  <w:rFonts w:ascii="Times New Roman" w:hAnsi="Times New Roman"/>
                                  <w:kern w:val="2"/>
                                  <w:sz w:val="21"/>
                                  <w:szCs w:val="21"/>
                                </w:rPr>
                                <w:t>0.34</w:t>
                              </w:r>
                            </w:p>
                          </w:txbxContent>
                        </v:textbox>
                      </v:rect>
                      <v:rect id="_x0000_s1026" o:spid="_x0000_s1026" o:spt="1" style="position:absolute;left:1093762;top:1229562;height:273050;width:1460794;" fillcolor="#FFFFFF" filled="t" stroked="f" coordsize="21600,21600" o:gfxdata="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4dvEFtQAAAAFAQAADwAAAAAAAAABACAAAAAi&#10;AAAAZHJzL2Rvd25yZXYueG1sUEsBAhQAFAAAAAgAh07iQOPIp+ZHAgAAbwQAAA4AAAAAAAAAAQAg&#10;AAAAIwEAAGRycy9lMm9Eb2MueG1sUEsFBgAAAAAGAAYAWQEAANwFAAAAAA==&#10;">
                        <v:fill on="t" focussize="0,0"/>
                        <v:stroke on="f" miterlimit="8" joinstyle="miter"/>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委托有资质</w:t>
                              </w:r>
                              <w:r>
                                <w:rPr>
                                  <w:rFonts w:ascii="Times New Roman"/>
                                  <w:kern w:val="2"/>
                                  <w:sz w:val="21"/>
                                  <w:szCs w:val="21"/>
                                </w:rPr>
                                <w:t>单位处理</w:t>
                              </w:r>
                            </w:p>
                          </w:txbxContent>
                        </v:textbox>
                      </v:rect>
                      <v:rect id="_x0000_s1026" o:spid="_x0000_s1026" o:spt="1" style="position:absolute;left:1047410;top:885687;height:273050;width:675005;" filled="f" stroked="f" coordsize="21600,21600" o:gfxdata="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5CEZ3WAAAA&#10;BQEAAA8AAAAAAAAAAQAgAAAAIgAAAGRycy9kb3ducmV2LnhtbFBLAQIUABQAAAAIAIdO4kBfShHA&#10;HwIAACQEAAAOAAAAAAAAAAEAIAAAACUBAABkcnMvZTJvRG9jLnhtbFBLBQYAAAAABgAGAFkBAAC2&#10;BQAAAAA=&#10;">
                        <v:fill on="f" focussize="0,0"/>
                        <v:stroke on="f"/>
                        <v:imagedata o:title=""/>
                        <o:lock v:ext="edit" aspectratio="f"/>
                        <v:textbox>
                          <w:txbxContent>
                            <w:p>
                              <w:pPr>
                                <w:pStyle w:val="26"/>
                                <w:spacing w:before="0" w:beforeAutospacing="0" w:after="0" w:afterAutospacing="0"/>
                                <w:jc w:val="both"/>
                                <w:rPr>
                                  <w:szCs w:val="24"/>
                                </w:rPr>
                              </w:pPr>
                              <w:r>
                                <w:rPr>
                                  <w:rFonts w:ascii="Times New Roman" w:hAnsi="Times New Roman"/>
                                  <w:kern w:val="2"/>
                                  <w:sz w:val="21"/>
                                  <w:szCs w:val="21"/>
                                </w:rPr>
                                <w:t>0.017</w:t>
                              </w:r>
                            </w:p>
                          </w:txbxContent>
                        </v:textbox>
                      </v:rect>
                      <v:rect id="_x0000_s1026" o:spid="_x0000_s1026" o:spt="1" style="position:absolute;left:1542710;top:1764960;height:272415;width:947420;" fillcolor="#FFFFFF" filled="t" stroked="t" coordsize="21600,21600" o:gfxdata="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siC0jUAAAABQEAAA8AAAAAAAAAAQAgAAAA&#10;IgAAAGRycy9kb3ducmV2LnhtbFBLAQIUABQAAAAIAIdO4kCLPllcSAIAAJcEAAAOAAAAAAAAAAEA&#10;IAAAACMBAABkcnMvZTJvRG9jLnhtbFBLBQYAAAAABgAGAFkBAADdBQAAAAA=&#10;">
                        <v:fill on="t" focussize="0,0"/>
                        <v:stroke color="#000000" miterlimit="8" joinstyle="miter"/>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喷淋塔用水</w:t>
                              </w:r>
                            </w:p>
                          </w:txbxContent>
                        </v:textbox>
                      </v:rect>
                      <v:shape id="_x0000_s1026" o:spid="_x0000_s1026" o:spt="32" type="#_x0000_t32" style="position:absolute;left:1047410;top:1872910;height:0;width:495300;" filled="f" stroked="t" coordsize="21600,21600" o:gfxdata="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V7Mm/TAAAABQEAAA8AAAAAAAAAAQAg&#10;AAAAIgAAAGRycy9kb3ducmV2LnhtbFBLAQIUABQAAAAIAIdO4kDR5rYzEwIAAPADAAAOAAAAAAAA&#10;AAEAIAAAACIBAABkcnMvZTJvRG9jLnhtbFBLBQYAAAAABgAGAFkBAACnBQAAAAA=&#10;">
                        <v:fill on="f" focussize="0,0"/>
                        <v:stroke weight="0.5pt" color="#000000 [3200]" miterlimit="8" joinstyle="miter" endarrow="block"/>
                        <v:imagedata o:title=""/>
                        <o:lock v:ext="edit" aspectratio="f"/>
                      </v:shape>
                      <v:shape id="_x0000_s1026" o:spid="_x0000_s1026" o:spt="35" type="#_x0000_t35" style="position:absolute;left:2016420;top:1920239;flip:y;height:117135;width:473710;rotation:11796480f;" filled="f" stroked="t" coordsize="21600,21600" o:gfxdata="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oVbEp9QAAAAF&#10;AQAADwAAAAAAAAABACAAAAAiAAAAZHJzL2Rvd25yZXYueG1sUEsBAhQAFAAAAAgAh07iQOXwgzVZ&#10;AgAAgAQAAA4AAAAAAAAAAQAgAAAAIwEAAGRycy9lMm9Eb2MueG1sUEsFBgAAAAAGAAYAWQEAAO4F&#10;AAAAAA==&#10;" adj="-18994,63754">
                        <v:fill on="f" focussize="0,0"/>
                        <v:stroke weight="0.5pt" color="#000000 [3213]" miterlimit="8" joinstyle="miter" endarrow="block"/>
                        <v:imagedata o:title=""/>
                        <o:lock v:ext="edit" aspectratio="f"/>
                      </v:shape>
                      <v:rect id="_x0000_s1026" o:spid="_x0000_s1026" o:spt="1" style="position:absolute;left:2271691;top:2037375;height:273050;width:584200;" filled="f" stroked="f" coordsize="21600,21600" o:gfxdata="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5CEZ3WAAAA&#10;BQEAAA8AAAAAAAAAAQAgAAAAIgAAAGRycy9kb3ducmV2LnhtbFBLAQIUABQAAAAIAIdO4kBqcxc9&#10;HwIAACUEAAAOAAAAAAAAAAEAIAAAACUBAABkcnMvZTJvRG9jLnhtbFBLBQYAAAAABgAGAFkBAAC2&#10;BQAAAAA=&#10;">
                        <v:fill on="f" focussize="0,0"/>
                        <v:stroke on="f"/>
                        <v:imagedata o:title=""/>
                        <o:lock v:ext="edit" aspectratio="f"/>
                        <v:textbox>
                          <w:txbxContent>
                            <w:p>
                              <w:pPr>
                                <w:pStyle w:val="26"/>
                                <w:spacing w:before="0" w:beforeAutospacing="0" w:after="0" w:afterAutospacing="0"/>
                                <w:jc w:val="both"/>
                                <w:rPr>
                                  <w:szCs w:val="24"/>
                                </w:rPr>
                              </w:pPr>
                              <w:r>
                                <w:rPr>
                                  <w:rFonts w:ascii="Times New Roman" w:hAnsi="Times New Roman"/>
                                  <w:kern w:val="2"/>
                                  <w:sz w:val="21"/>
                                  <w:szCs w:val="21"/>
                                </w:rPr>
                                <w:t>80</w:t>
                              </w:r>
                            </w:p>
                          </w:txbxContent>
                        </v:textbox>
                      </v:rect>
                      <v:shape id="_x0000_s1026" o:spid="_x0000_s1026" o:spt="37" type="#_x0000_t37" style="position:absolute;left:2003721;top:1496990;flip:x y;height:307340;width:228600;rotation:5898240f;" filled="f" stroked="t" coordsize="21600,21600" o:gfxdata="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ceID&#10;etMAAAAFAQAADwAAAAAAAAABACAAAAAiAAAAZHJzL2Rvd25yZXYueG1sUEsBAhQAFAAAAAgAh07i&#10;QNSO2i4nAgAADgQAAA4AAAAAAAAAAQAgAAAAIgEAAGRycy9lMm9Eb2MueG1sUEsFBgAAAAAGAAYA&#10;WQEAALsFAAAAAA==&#10;">
                        <v:fill on="f" focussize="0,0"/>
                        <v:stroke weight="0.5pt" color="#000000 [3213]" miterlimit="8" joinstyle="miter" dashstyle="dash" endarrow="block"/>
                        <v:imagedata o:title=""/>
                        <o:lock v:ext="edit" aspectratio="f"/>
                      </v:shape>
                      <v:rect id="_x0000_s1026" o:spid="_x0000_s1026" o:spt="1" style="position:absolute;left:2174827;top:1414440;height:291465;width:910590;" filled="f" stroked="f" coordsize="21600,21600" o:gfxdata="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uQhGd1gAAAAUB&#10;AAAPAAAAAAAAAAEAIAAAACIAAABkcnMvZG93bnJldi54bWxQSwECFAAUAAAACACHTuJA8Eqd4R0C&#10;AAAlBAAADgAAAAAAAAABACAAAAAlAQAAZHJzL2Uyb0RvYy54bWxQSwUGAAAAAAYABgBZAQAAtAUA&#10;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损耗</w:t>
                              </w:r>
                              <w:r>
                                <w:rPr>
                                  <w:rFonts w:ascii="Times New Roman" w:hAnsi="Times New Roman"/>
                                  <w:kern w:val="2"/>
                                  <w:sz w:val="21"/>
                                  <w:szCs w:val="21"/>
                                </w:rPr>
                                <w:t>0.08</w:t>
                              </w:r>
                            </w:p>
                          </w:txbxContent>
                        </v:textbox>
                      </v:rect>
                      <v:rect id="_x0000_s1026" o:spid="_x0000_s1026" o:spt="1" style="position:absolute;left:1009650;top:1628475;height:273050;width:584200;" filled="f" stroked="f" coordsize="21600,21600" o:gfxdata="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uQhGd1gAAAAUB&#10;AAAPAAAAAAAAAAEAIAAAACIAAABkcnMvZG93bnJldi54bWxQSwECFAAUAAAACACHTuJAI6OBUx0C&#10;AAAlBAAADgAAAAAAAAABACAAAAAlAQAAZHJzL2Uyb0RvYy54bWxQSwUGAAAAAAYABgBZAQAAtAUA&#10;AAAA&#10;">
                        <v:fill on="f" focussize="0,0"/>
                        <v:stroke on="f"/>
                        <v:imagedata o:title=""/>
                        <o:lock v:ext="edit" aspectratio="f"/>
                        <v:textbox>
                          <w:txbxContent>
                            <w:p>
                              <w:pPr>
                                <w:pStyle w:val="26"/>
                                <w:spacing w:before="0" w:beforeAutospacing="0" w:after="0" w:afterAutospacing="0"/>
                                <w:jc w:val="both"/>
                                <w:rPr>
                                  <w:szCs w:val="24"/>
                                </w:rPr>
                              </w:pPr>
                              <w:r>
                                <w:rPr>
                                  <w:rFonts w:ascii="Times New Roman" w:hAnsi="Times New Roman"/>
                                  <w:kern w:val="2"/>
                                  <w:sz w:val="21"/>
                                  <w:szCs w:val="21"/>
                                </w:rPr>
                                <w:t>0.08</w:t>
                              </w:r>
                            </w:p>
                          </w:txbxContent>
                        </v:textbox>
                      </v:rect>
                      <w10:wrap type="none"/>
                      <w10:anchorlock/>
                    </v:group>
                  </w:pict>
                </mc:Fallback>
              </mc:AlternateContent>
            </w:r>
          </w:p>
          <w:p>
            <w:pPr>
              <w:pStyle w:val="44"/>
              <w:ind w:firstLine="422"/>
              <w:rPr>
                <w:rFonts w:ascii="Times New Roman" w:hAnsi="Times New Roman"/>
                <w:b/>
                <w:color w:val="auto"/>
              </w:rPr>
            </w:pPr>
            <w:r>
              <w:rPr>
                <w:rFonts w:ascii="Times New Roman" w:hAnsi="Times New Roman"/>
                <w:b/>
                <w:color w:val="auto"/>
                <w:sz w:val="21"/>
                <w:szCs w:val="21"/>
              </w:rPr>
              <w:t>图</w:t>
            </w:r>
            <w:r>
              <w:rPr>
                <w:rFonts w:ascii="Times New Roman" w:hAnsi="Times New Roman"/>
                <w:b/>
                <w:color w:val="auto"/>
                <w:sz w:val="21"/>
                <w:szCs w:val="21"/>
              </w:rPr>
              <w:fldChar w:fldCharType="begin"/>
            </w:r>
            <w:r>
              <w:rPr>
                <w:rFonts w:ascii="Times New Roman" w:hAnsi="Times New Roman"/>
                <w:b/>
                <w:color w:val="auto"/>
                <w:sz w:val="21"/>
                <w:szCs w:val="21"/>
              </w:rPr>
              <w:instrText xml:space="preserve"> SEQ 图 \* ARABIC </w:instrText>
            </w:r>
            <w:r>
              <w:rPr>
                <w:rFonts w:ascii="Times New Roman" w:hAnsi="Times New Roman"/>
                <w:b/>
                <w:color w:val="auto"/>
                <w:sz w:val="21"/>
                <w:szCs w:val="21"/>
              </w:rPr>
              <w:fldChar w:fldCharType="separate"/>
            </w:r>
            <w:r>
              <w:rPr>
                <w:rFonts w:ascii="Times New Roman" w:hAnsi="Times New Roman"/>
                <w:b/>
                <w:color w:val="auto"/>
                <w:sz w:val="21"/>
                <w:szCs w:val="21"/>
              </w:rPr>
              <w:t>1</w:t>
            </w:r>
            <w:r>
              <w:rPr>
                <w:rFonts w:ascii="Times New Roman" w:hAnsi="Times New Roman"/>
                <w:b/>
                <w:color w:val="auto"/>
                <w:sz w:val="21"/>
                <w:szCs w:val="21"/>
              </w:rPr>
              <w:fldChar w:fldCharType="end"/>
            </w:r>
            <w:r>
              <w:rPr>
                <w:rFonts w:ascii="Times New Roman" w:hAnsi="Times New Roman"/>
                <w:b/>
                <w:color w:val="auto"/>
                <w:sz w:val="21"/>
                <w:szCs w:val="21"/>
              </w:rPr>
              <w:t xml:space="preserve"> 项目水平衡示意图 单位：m</w:t>
            </w:r>
            <w:r>
              <w:rPr>
                <w:rFonts w:ascii="Times New Roman" w:hAnsi="Times New Roman"/>
                <w:b/>
                <w:color w:val="auto"/>
                <w:sz w:val="21"/>
                <w:szCs w:val="21"/>
                <w:vertAlign w:val="superscript"/>
              </w:rPr>
              <w:t>3</w:t>
            </w:r>
            <w:r>
              <w:rPr>
                <w:rFonts w:ascii="Times New Roman" w:hAnsi="Times New Roman"/>
                <w:b/>
                <w:color w:val="auto"/>
                <w:sz w:val="21"/>
                <w:szCs w:val="21"/>
              </w:rPr>
              <w:t>/d</w:t>
            </w:r>
          </w:p>
          <w:p>
            <w:pPr>
              <w:adjustRightInd w:val="0"/>
              <w:snapToGrid w:val="0"/>
              <w:spacing w:line="360" w:lineRule="auto"/>
              <w:ind w:firstLine="422" w:firstLineChars="200"/>
              <w:rPr>
                <w:b/>
                <w:bCs/>
              </w:rPr>
            </w:pPr>
            <w:r>
              <w:rPr>
                <w:rFonts w:hint="eastAsia"/>
                <w:b/>
                <w:bCs/>
              </w:rPr>
              <w:t>（</w:t>
            </w:r>
            <w:r>
              <w:rPr>
                <w:b/>
                <w:bCs/>
              </w:rPr>
              <w:t>3</w:t>
            </w:r>
            <w:r>
              <w:rPr>
                <w:rFonts w:hint="eastAsia"/>
                <w:b/>
                <w:bCs/>
              </w:rPr>
              <w:t>）</w:t>
            </w:r>
            <w:r>
              <w:rPr>
                <w:b/>
                <w:bCs/>
              </w:rPr>
              <w:t>员工生活用水</w:t>
            </w:r>
          </w:p>
          <w:p>
            <w:pPr>
              <w:adjustRightInd w:val="0"/>
              <w:snapToGrid w:val="0"/>
              <w:spacing w:line="360" w:lineRule="auto"/>
              <w:ind w:firstLine="420" w:firstLineChars="200"/>
            </w:pPr>
            <w:r>
              <w:t>项目拟劳动定员为186人，</w:t>
            </w:r>
            <w:r>
              <w:rPr>
                <w:rFonts w:hint="eastAsia"/>
              </w:rPr>
              <w:t>均在项目</w:t>
            </w:r>
            <w:r>
              <w:t>内食宿，年工作日300d，</w:t>
            </w:r>
            <w:r>
              <w:rPr>
                <w:rFonts w:hint="eastAsia"/>
                <w:kern w:val="0"/>
              </w:rPr>
              <w:t>根据《关于调整城市规模划分标准的通知》（国发〔2014〕51号），项目所在行政区惠州市常住人口为604.29万人，属于特大城市，员工生活用水量参照《用水定额 第3部分：生活》（DB44/T1461.3-2021）， “特大城市-城镇居民”生活用水量175L/（人·d）计，则本项目员工生活用水量为</w:t>
            </w:r>
            <w:r>
              <w:rPr>
                <w:kern w:val="0"/>
              </w:rPr>
              <w:t>32.55</w:t>
            </w:r>
            <w:r>
              <w:rPr>
                <w:rFonts w:hint="eastAsia"/>
                <w:kern w:val="0"/>
              </w:rPr>
              <w:t>m</w:t>
            </w:r>
            <w:r>
              <w:rPr>
                <w:rFonts w:hint="eastAsia"/>
                <w:kern w:val="0"/>
                <w:vertAlign w:val="superscript"/>
              </w:rPr>
              <w:t>3</w:t>
            </w:r>
            <w:r>
              <w:rPr>
                <w:rFonts w:hint="eastAsia"/>
                <w:kern w:val="0"/>
              </w:rPr>
              <w:t>/d，</w:t>
            </w:r>
            <w:r>
              <w:rPr>
                <w:kern w:val="0"/>
              </w:rPr>
              <w:t>9765</w:t>
            </w:r>
            <w:r>
              <w:rPr>
                <w:rFonts w:hint="eastAsia"/>
                <w:kern w:val="0"/>
              </w:rPr>
              <w:t>m</w:t>
            </w:r>
            <w:r>
              <w:rPr>
                <w:rFonts w:hint="eastAsia"/>
                <w:kern w:val="0"/>
                <w:vertAlign w:val="superscript"/>
              </w:rPr>
              <w:t>3</w:t>
            </w:r>
            <w:r>
              <w:rPr>
                <w:rFonts w:hint="eastAsia"/>
                <w:kern w:val="0"/>
              </w:rPr>
              <w:t>/a（以</w:t>
            </w:r>
            <w:r>
              <w:rPr>
                <w:kern w:val="0"/>
              </w:rPr>
              <w:t>300</w:t>
            </w:r>
            <w:r>
              <w:rPr>
                <w:rFonts w:hint="eastAsia"/>
                <w:kern w:val="0"/>
              </w:rPr>
              <w:t>天计算）。</w:t>
            </w:r>
            <w:r>
              <w:rPr>
                <w:kern w:val="0"/>
              </w:rPr>
              <w:t>排污系数为0.8，因此员工生活污水排放量为7812m</w:t>
            </w:r>
            <w:r>
              <w:rPr>
                <w:kern w:val="0"/>
                <w:vertAlign w:val="superscript"/>
              </w:rPr>
              <w:t>3</w:t>
            </w:r>
            <w:r>
              <w:rPr>
                <w:kern w:val="0"/>
              </w:rPr>
              <w:t>/a</w:t>
            </w:r>
            <w:r>
              <w:rPr>
                <w:bCs/>
              </w:rPr>
              <w:t>，经三级</w:t>
            </w:r>
            <w:r>
              <w:t>化粪池</w:t>
            </w:r>
            <w:r>
              <w:rPr>
                <w:rFonts w:hint="eastAsia"/>
              </w:rPr>
              <w:t>、</w:t>
            </w:r>
            <w:r>
              <w:t>隔油隔渣池预处理后</w:t>
            </w:r>
            <w:r>
              <w:rPr>
                <w:rFonts w:hint="eastAsia"/>
              </w:rPr>
              <w:t>经</w:t>
            </w:r>
            <w:r>
              <w:t>市政污水</w:t>
            </w:r>
            <w:r>
              <w:rPr>
                <w:rFonts w:hint="eastAsia"/>
              </w:rPr>
              <w:t>管网</w:t>
            </w:r>
            <w:r>
              <w:t>排入园洲镇第四污水处理厂。</w:t>
            </w:r>
          </w:p>
          <w:p>
            <w:pPr>
              <w:adjustRightInd w:val="0"/>
              <w:snapToGrid w:val="0"/>
              <w:spacing w:line="360" w:lineRule="auto"/>
              <w:ind w:firstLine="422" w:firstLineChars="200"/>
              <w:rPr>
                <w:b/>
                <w:bCs/>
              </w:rPr>
            </w:pPr>
            <w:r>
              <w:rPr>
                <w:rFonts w:hint="eastAsia"/>
                <w:b/>
                <w:bCs/>
              </w:rPr>
              <w:t>7</w:t>
            </w:r>
            <w:r>
              <w:rPr>
                <w:b/>
                <w:bCs/>
              </w:rPr>
              <w:t>、平面布置及四至情况</w:t>
            </w:r>
          </w:p>
          <w:p>
            <w:pPr>
              <w:widowControl/>
              <w:adjustRightInd w:val="0"/>
              <w:snapToGrid w:val="0"/>
              <w:spacing w:line="360" w:lineRule="auto"/>
              <w:ind w:firstLine="420" w:firstLineChars="200"/>
            </w:pPr>
            <w:r>
              <w:rPr>
                <w:rFonts w:hint="eastAsia"/>
              </w:rPr>
              <w:t>（1）</w:t>
            </w:r>
            <w:r>
              <w:t>四至情况</w:t>
            </w:r>
          </w:p>
          <w:p>
            <w:pPr>
              <w:widowControl/>
              <w:adjustRightInd w:val="0"/>
              <w:snapToGrid w:val="0"/>
              <w:spacing w:line="360" w:lineRule="auto"/>
              <w:ind w:firstLine="420" w:firstLineChars="200"/>
            </w:pPr>
            <w:r>
              <w:t>本项目位于</w:t>
            </w:r>
            <w:r>
              <w:rPr>
                <w:kern w:val="0"/>
              </w:rPr>
              <w:t>惠州市博罗县园洲镇河北片绿化二路东侧</w:t>
            </w:r>
            <w:r>
              <w:t>，根据现场勘察，本项目东面为</w:t>
            </w:r>
            <w:r>
              <w:rPr>
                <w:rFonts w:hint="eastAsia"/>
              </w:rPr>
              <w:t>誉达金属塑胶</w:t>
            </w:r>
            <w:r>
              <w:t>制品</w:t>
            </w:r>
            <w:r>
              <w:rPr>
                <w:rFonts w:hint="eastAsia"/>
              </w:rPr>
              <w:t>（惠州）有限</w:t>
            </w:r>
            <w:r>
              <w:t>公司，南面为</w:t>
            </w:r>
            <w:r>
              <w:rPr>
                <w:rFonts w:hint="eastAsia"/>
              </w:rPr>
              <w:t>道路，</w:t>
            </w:r>
            <w:r>
              <w:t>隔路为临时工棚和空地，西面为</w:t>
            </w:r>
            <w:r>
              <w:rPr>
                <w:rFonts w:hint="eastAsia"/>
              </w:rPr>
              <w:t>惠州市</w:t>
            </w:r>
            <w:r>
              <w:t>联祥</w:t>
            </w:r>
            <w:r>
              <w:rPr>
                <w:rFonts w:hint="eastAsia"/>
              </w:rPr>
              <w:t>家具</w:t>
            </w:r>
            <w:r>
              <w:t>有限公司，北面</w:t>
            </w:r>
            <w:r>
              <w:rPr>
                <w:rFonts w:hint="eastAsia"/>
              </w:rPr>
              <w:t>33米</w:t>
            </w:r>
            <w:r>
              <w:t>为</w:t>
            </w:r>
            <w:r>
              <w:rPr>
                <w:rFonts w:hint="eastAsia"/>
              </w:rPr>
              <w:t>惠州</w:t>
            </w:r>
            <w:r>
              <w:t>澳龙无纺布有限公司，具体四至关系见下表，四邻位置图见附图2。</w:t>
            </w:r>
          </w:p>
          <w:p>
            <w:pPr>
              <w:numPr>
                <w:ilvl w:val="0"/>
                <w:numId w:val="2"/>
              </w:numPr>
              <w:adjustRightInd w:val="0"/>
              <w:snapToGrid w:val="0"/>
              <w:spacing w:line="360" w:lineRule="auto"/>
              <w:ind w:left="322"/>
              <w:jc w:val="center"/>
              <w:rPr>
                <w:b/>
              </w:rPr>
            </w:pPr>
            <w:r>
              <w:rPr>
                <w:b/>
              </w:rPr>
              <w:t>项目四邻关系一览表</w:t>
            </w:r>
          </w:p>
          <w:tbl>
            <w:tblPr>
              <w:tblStyle w:val="29"/>
              <w:tblW w:w="5000" w:type="pct"/>
              <w:jc w:val="center"/>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7"/>
              <w:gridCol w:w="3724"/>
              <w:gridCol w:w="3043"/>
            </w:tblGrid>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35" w:type="pct"/>
                  <w:vAlign w:val="center"/>
                </w:tcPr>
                <w:p>
                  <w:pPr>
                    <w:jc w:val="center"/>
                    <w:rPr>
                      <w:b/>
                      <w:szCs w:val="21"/>
                    </w:rPr>
                  </w:pPr>
                  <w:r>
                    <w:rPr>
                      <w:b/>
                      <w:szCs w:val="21"/>
                    </w:rPr>
                    <w:t>方位</w:t>
                  </w:r>
                </w:p>
              </w:tc>
              <w:tc>
                <w:tcPr>
                  <w:tcW w:w="2182" w:type="pct"/>
                  <w:vAlign w:val="center"/>
                </w:tcPr>
                <w:p>
                  <w:pPr>
                    <w:jc w:val="center"/>
                    <w:rPr>
                      <w:b/>
                      <w:szCs w:val="21"/>
                    </w:rPr>
                  </w:pPr>
                  <w:r>
                    <w:rPr>
                      <w:b/>
                      <w:szCs w:val="21"/>
                    </w:rPr>
                    <w:t>名称</w:t>
                  </w:r>
                </w:p>
              </w:tc>
              <w:tc>
                <w:tcPr>
                  <w:tcW w:w="1783" w:type="pct"/>
                  <w:vAlign w:val="center"/>
                </w:tcPr>
                <w:p>
                  <w:pPr>
                    <w:jc w:val="center"/>
                    <w:rPr>
                      <w:b/>
                      <w:szCs w:val="21"/>
                    </w:rPr>
                  </w:pPr>
                  <w:r>
                    <w:rPr>
                      <w:b/>
                      <w:szCs w:val="21"/>
                    </w:rPr>
                    <w:t>距离（m）</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35" w:type="pct"/>
                  <w:vAlign w:val="center"/>
                </w:tcPr>
                <w:p>
                  <w:pPr>
                    <w:jc w:val="center"/>
                    <w:rPr>
                      <w:szCs w:val="21"/>
                    </w:rPr>
                  </w:pPr>
                  <w:r>
                    <w:rPr>
                      <w:szCs w:val="21"/>
                    </w:rPr>
                    <w:t>东面</w:t>
                  </w:r>
                </w:p>
              </w:tc>
              <w:tc>
                <w:tcPr>
                  <w:tcW w:w="2182" w:type="pct"/>
                  <w:vAlign w:val="center"/>
                </w:tcPr>
                <w:p>
                  <w:pPr>
                    <w:jc w:val="center"/>
                    <w:rPr>
                      <w:szCs w:val="21"/>
                    </w:rPr>
                  </w:pPr>
                  <w:r>
                    <w:rPr>
                      <w:rFonts w:hint="eastAsia"/>
                    </w:rPr>
                    <w:t>誉达金属塑胶</w:t>
                  </w:r>
                  <w:r>
                    <w:t>制品</w:t>
                  </w:r>
                  <w:r>
                    <w:rPr>
                      <w:rFonts w:hint="eastAsia"/>
                    </w:rPr>
                    <w:t>（惠州）有限</w:t>
                  </w:r>
                  <w:r>
                    <w:t>公司</w:t>
                  </w:r>
                </w:p>
              </w:tc>
              <w:tc>
                <w:tcPr>
                  <w:tcW w:w="1783" w:type="pct"/>
                  <w:vAlign w:val="center"/>
                </w:tcPr>
                <w:p>
                  <w:pPr>
                    <w:jc w:val="center"/>
                    <w:rPr>
                      <w:szCs w:val="21"/>
                    </w:rPr>
                  </w:pPr>
                  <w:r>
                    <w:rPr>
                      <w:szCs w:val="21"/>
                    </w:rPr>
                    <w:t>紧邻</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35" w:type="pct"/>
                  <w:vAlign w:val="center"/>
                </w:tcPr>
                <w:p>
                  <w:pPr>
                    <w:jc w:val="center"/>
                    <w:rPr>
                      <w:szCs w:val="21"/>
                    </w:rPr>
                  </w:pPr>
                  <w:r>
                    <w:rPr>
                      <w:szCs w:val="21"/>
                    </w:rPr>
                    <w:t>南面</w:t>
                  </w:r>
                </w:p>
              </w:tc>
              <w:tc>
                <w:tcPr>
                  <w:tcW w:w="2182" w:type="pct"/>
                  <w:vAlign w:val="center"/>
                </w:tcPr>
                <w:p>
                  <w:pPr>
                    <w:jc w:val="center"/>
                    <w:rPr>
                      <w:szCs w:val="21"/>
                    </w:rPr>
                  </w:pPr>
                  <w:r>
                    <w:rPr>
                      <w:rFonts w:hint="eastAsia"/>
                    </w:rPr>
                    <w:t>道路、临时工棚</w:t>
                  </w:r>
                </w:p>
              </w:tc>
              <w:tc>
                <w:tcPr>
                  <w:tcW w:w="1783" w:type="pct"/>
                  <w:vAlign w:val="center"/>
                </w:tcPr>
                <w:p>
                  <w:pPr>
                    <w:jc w:val="center"/>
                    <w:rPr>
                      <w:szCs w:val="21"/>
                    </w:rPr>
                  </w:pPr>
                  <w:r>
                    <w:rPr>
                      <w:szCs w:val="21"/>
                    </w:rPr>
                    <w:t>紧邻</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35" w:type="pct"/>
                  <w:vAlign w:val="center"/>
                </w:tcPr>
                <w:p>
                  <w:pPr>
                    <w:jc w:val="center"/>
                    <w:rPr>
                      <w:szCs w:val="21"/>
                    </w:rPr>
                  </w:pPr>
                  <w:r>
                    <w:rPr>
                      <w:szCs w:val="21"/>
                    </w:rPr>
                    <w:t>西面</w:t>
                  </w:r>
                </w:p>
              </w:tc>
              <w:tc>
                <w:tcPr>
                  <w:tcW w:w="2182" w:type="pct"/>
                  <w:vAlign w:val="center"/>
                </w:tcPr>
                <w:p>
                  <w:pPr>
                    <w:jc w:val="center"/>
                    <w:rPr>
                      <w:szCs w:val="21"/>
                    </w:rPr>
                  </w:pPr>
                  <w:r>
                    <w:rPr>
                      <w:rFonts w:hint="eastAsia"/>
                      <w:szCs w:val="21"/>
                    </w:rPr>
                    <w:t>惠州市联祥家具有限公司</w:t>
                  </w:r>
                </w:p>
              </w:tc>
              <w:tc>
                <w:tcPr>
                  <w:tcW w:w="1783" w:type="pct"/>
                  <w:vAlign w:val="center"/>
                </w:tcPr>
                <w:p>
                  <w:pPr>
                    <w:jc w:val="center"/>
                    <w:rPr>
                      <w:szCs w:val="21"/>
                    </w:rPr>
                  </w:pPr>
                  <w:r>
                    <w:rPr>
                      <w:szCs w:val="21"/>
                    </w:rPr>
                    <w:t>紧邻</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35" w:type="pct"/>
                  <w:vAlign w:val="center"/>
                </w:tcPr>
                <w:p>
                  <w:pPr>
                    <w:jc w:val="center"/>
                    <w:rPr>
                      <w:szCs w:val="21"/>
                    </w:rPr>
                  </w:pPr>
                  <w:r>
                    <w:rPr>
                      <w:szCs w:val="21"/>
                    </w:rPr>
                    <w:t>北面</w:t>
                  </w:r>
                </w:p>
              </w:tc>
              <w:tc>
                <w:tcPr>
                  <w:tcW w:w="2182" w:type="pct"/>
                  <w:vAlign w:val="center"/>
                </w:tcPr>
                <w:p>
                  <w:pPr>
                    <w:jc w:val="center"/>
                    <w:rPr>
                      <w:szCs w:val="21"/>
                    </w:rPr>
                  </w:pPr>
                  <w:r>
                    <w:rPr>
                      <w:rFonts w:hint="eastAsia"/>
                    </w:rPr>
                    <w:t>惠州</w:t>
                  </w:r>
                  <w:r>
                    <w:t>澳龙无纺布有限公司</w:t>
                  </w:r>
                </w:p>
              </w:tc>
              <w:tc>
                <w:tcPr>
                  <w:tcW w:w="1783" w:type="pct"/>
                  <w:vAlign w:val="center"/>
                </w:tcPr>
                <w:p>
                  <w:pPr>
                    <w:jc w:val="center"/>
                    <w:rPr>
                      <w:szCs w:val="21"/>
                    </w:rPr>
                  </w:pPr>
                  <w:r>
                    <w:rPr>
                      <w:szCs w:val="21"/>
                    </w:rPr>
                    <w:t>33</w:t>
                  </w:r>
                </w:p>
              </w:tc>
            </w:tr>
          </w:tbl>
          <w:p>
            <w:pPr>
              <w:widowControl/>
              <w:adjustRightInd w:val="0"/>
              <w:snapToGrid w:val="0"/>
              <w:spacing w:line="360" w:lineRule="auto"/>
              <w:ind w:firstLine="420" w:firstLineChars="200"/>
            </w:pPr>
            <w:r>
              <w:rPr>
                <w:rFonts w:hint="eastAsia"/>
              </w:rPr>
              <w:t>（2）</w:t>
            </w:r>
            <w:r>
              <w:t>平面布置情况</w:t>
            </w:r>
          </w:p>
          <w:p>
            <w:pPr>
              <w:widowControl/>
              <w:adjustRightInd w:val="0"/>
              <w:snapToGrid w:val="0"/>
              <w:spacing w:line="360" w:lineRule="auto"/>
              <w:ind w:firstLine="420" w:firstLineChars="200"/>
            </w:pPr>
            <w:r>
              <w:t>本项目厂区主入口位于厂区</w:t>
            </w:r>
            <w:r>
              <w:rPr>
                <w:rFonts w:hint="eastAsia"/>
              </w:rPr>
              <w:t>南侧</w:t>
            </w:r>
            <w:r>
              <w:t>，</w:t>
            </w:r>
            <w:r>
              <w:rPr>
                <w:rFonts w:hint="eastAsia"/>
              </w:rPr>
              <w:t>生产车间</w:t>
            </w:r>
            <w:r>
              <w:t>和仓库位于厂区</w:t>
            </w:r>
            <w:r>
              <w:rPr>
                <w:rFonts w:hint="eastAsia"/>
              </w:rPr>
              <w:t>中部</w:t>
            </w:r>
            <w:r>
              <w:t>，办公楼位于厂区</w:t>
            </w:r>
            <w:r>
              <w:rPr>
                <w:rFonts w:hint="eastAsia"/>
              </w:rPr>
              <w:t>南</w:t>
            </w:r>
            <w:r>
              <w:t>侧，</w:t>
            </w:r>
            <w:r>
              <w:rPr>
                <w:rFonts w:hint="eastAsia"/>
              </w:rPr>
              <w:t>宿舍楼</w:t>
            </w:r>
            <w:r>
              <w:t>位于厂区北侧，</w:t>
            </w:r>
            <w:r>
              <w:rPr>
                <w:bCs/>
              </w:rPr>
              <w:t>生产功能分区明确，布局合理，总平面布置做到了人流、物流分流，方便生产和办公，同时生产对外环境造成的影响也降至最低。综上所述，本项目平面布置合理。</w:t>
            </w:r>
            <w:r>
              <w:t>项目平面布置图见附图4。与项目生产车间距离最近的敏感点为</w:t>
            </w:r>
            <w:r>
              <w:rPr>
                <w:rFonts w:hint="eastAsia"/>
              </w:rPr>
              <w:t>南</w:t>
            </w:r>
            <w:r>
              <w:t>面的</w:t>
            </w:r>
            <w:r>
              <w:rPr>
                <w:rFonts w:hint="eastAsia"/>
              </w:rPr>
              <w:t>九潭社区居民楼</w:t>
            </w:r>
            <w:r>
              <w:t>，与项目生产单元的距离为122米。</w:t>
            </w:r>
          </w:p>
          <w:p>
            <w:pPr>
              <w:widowControl/>
              <w:spacing w:line="360" w:lineRule="auto"/>
              <w:ind w:firstLine="422" w:firstLineChars="200"/>
              <w:rPr>
                <w:b/>
                <w:bCs/>
                <w:szCs w:val="21"/>
              </w:rPr>
            </w:pPr>
            <w:r>
              <w:rPr>
                <w:rFonts w:hint="eastAsia"/>
                <w:b/>
                <w:bCs/>
                <w:szCs w:val="21"/>
              </w:rPr>
              <w:t>8</w:t>
            </w:r>
            <w:r>
              <w:rPr>
                <w:b/>
                <w:bCs/>
                <w:szCs w:val="21"/>
              </w:rPr>
              <w:t>、劳动定员及工作制度</w:t>
            </w:r>
          </w:p>
          <w:p>
            <w:pPr>
              <w:adjustRightInd w:val="0"/>
              <w:snapToGrid w:val="0"/>
              <w:spacing w:line="360" w:lineRule="auto"/>
              <w:ind w:firstLine="420" w:firstLineChars="200"/>
              <w:jc w:val="left"/>
            </w:pPr>
            <w:r>
              <w:rPr>
                <w:szCs w:val="21"/>
              </w:rPr>
              <w:t>项目拟招员工186人，</w:t>
            </w:r>
            <w:r>
              <w:rPr>
                <w:rFonts w:hint="eastAsia"/>
              </w:rPr>
              <w:t>均在项目</w:t>
            </w:r>
            <w:r>
              <w:t>内食宿，年工作日300d，</w:t>
            </w:r>
            <w:r>
              <w:rPr>
                <w:szCs w:val="21"/>
              </w:rPr>
              <w:t>日运行8小时，</w:t>
            </w:r>
            <w:r>
              <w:rPr>
                <w:rFonts w:hint="eastAsia"/>
                <w:szCs w:val="21"/>
              </w:rPr>
              <w:t>单</w:t>
            </w:r>
            <w:r>
              <w:rPr>
                <w:szCs w:val="21"/>
              </w:rPr>
              <w:t>班制。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88" w:hRule="atLeast"/>
          <w:jc w:val="center"/>
        </w:trPr>
        <w:tc>
          <w:tcPr>
            <w:tcW w:w="537" w:type="pct"/>
            <w:vAlign w:val="center"/>
          </w:tcPr>
          <w:p>
            <w:pPr>
              <w:pStyle w:val="26"/>
              <w:adjustRightInd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t>工艺流程和产排污环节</w:t>
            </w:r>
          </w:p>
        </w:tc>
        <w:tc>
          <w:tcPr>
            <w:tcW w:w="4463" w:type="pct"/>
          </w:tcPr>
          <w:p>
            <w:pPr>
              <w:pStyle w:val="44"/>
              <w:rPr>
                <w:rFonts w:ascii="Times New Roman" w:hAnsi="Times New Roman"/>
                <w:color w:val="auto"/>
              </w:rPr>
            </w:pPr>
            <w:r>
              <w:rPr>
                <w:rFonts w:ascii="Times New Roman" w:hAnsi="Times New Roman"/>
                <w:color w:val="auto"/>
                <w:sz w:val="21"/>
              </w:rPr>
              <mc:AlternateContent>
                <mc:Choice Requires="wpc">
                  <w:drawing>
                    <wp:inline distT="0" distB="0" distL="0" distR="0">
                      <wp:extent cx="5425440" cy="6177915"/>
                      <wp:effectExtent l="0" t="0" r="0" b="0"/>
                      <wp:docPr id="213" name="画布 21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lgn="ctr">
                                <a:noFill/>
                                <a:prstDash val="solid"/>
                                <a:miter lim="800000"/>
                                <a:headEnd type="none" w="med" len="med"/>
                                <a:tailEnd type="none" w="med" len="med"/>
                              </a:ln>
                            </wpc:whole>
                            <wps:wsp>
                              <wps:cNvPr id="8" name="文本框 863"/>
                              <wps:cNvSpPr txBox="1">
                                <a:spLocks noChangeArrowheads="1"/>
                              </wps:cNvSpPr>
                              <wps:spPr bwMode="auto">
                                <a:xfrm>
                                  <a:off x="604861" y="939570"/>
                                  <a:ext cx="1240790" cy="264795"/>
                                </a:xfrm>
                                <a:prstGeom prst="rect">
                                  <a:avLst/>
                                </a:prstGeom>
                                <a:noFill/>
                                <a:ln>
                                  <a:noFill/>
                                </a:ln>
                                <a:effectLst/>
                              </wps:spPr>
                              <wps:txbx>
                                <w:txbxContent>
                                  <w:p>
                                    <w:pPr>
                                      <w:snapToGrid w:val="0"/>
                                      <w:jc w:val="center"/>
                                      <w:rPr>
                                        <w:szCs w:val="21"/>
                                      </w:rPr>
                                    </w:pPr>
                                    <w:r>
                                      <w:rPr>
                                        <w:rFonts w:hint="eastAsia"/>
                                        <w:szCs w:val="21"/>
                                      </w:rPr>
                                      <w:t>锡膏/锡丝、</w:t>
                                    </w:r>
                                    <w:r>
                                      <w:rPr>
                                        <w:szCs w:val="21"/>
                                      </w:rPr>
                                      <w:t>框架</w:t>
                                    </w:r>
                                  </w:p>
                                </w:txbxContent>
                              </wps:txbx>
                              <wps:bodyPr rot="0" vert="horz" wrap="square" lIns="91440" tIns="45720" rIns="91440" bIns="45720" anchor="t" anchorCtr="0" upright="1">
                                <a:noAutofit/>
                              </wps:bodyPr>
                            </wps:wsp>
                            <wps:wsp>
                              <wps:cNvPr id="9" name="自选图形 874"/>
                              <wps:cNvCnPr>
                                <a:cxnSpLocks noChangeShapeType="1"/>
                              </wps:cNvCnPr>
                              <wps:spPr bwMode="auto">
                                <a:xfrm>
                                  <a:off x="2545420" y="3146157"/>
                                  <a:ext cx="1270" cy="232410"/>
                                </a:xfrm>
                                <a:prstGeom prst="straightConnector1">
                                  <a:avLst/>
                                </a:prstGeom>
                                <a:noFill/>
                                <a:ln w="15875">
                                  <a:solidFill>
                                    <a:srgbClr val="000000"/>
                                  </a:solidFill>
                                  <a:round/>
                                  <a:tailEnd type="triangle" w="med" len="med"/>
                                </a:ln>
                                <a:effectLst/>
                              </wps:spPr>
                              <wps:bodyPr/>
                            </wps:wsp>
                            <wps:wsp>
                              <wps:cNvPr id="11" name="文本框 866"/>
                              <wps:cNvSpPr txBox="1">
                                <a:spLocks noChangeArrowheads="1"/>
                              </wps:cNvSpPr>
                              <wps:spPr bwMode="auto">
                                <a:xfrm>
                                  <a:off x="2160610" y="5878570"/>
                                  <a:ext cx="772160" cy="264160"/>
                                </a:xfrm>
                                <a:prstGeom prst="rect">
                                  <a:avLst/>
                                </a:prstGeom>
                                <a:noFill/>
                                <a:ln w="9525" algn="ctr">
                                  <a:solidFill>
                                    <a:srgbClr val="000000"/>
                                  </a:solidFill>
                                  <a:miter lim="800000"/>
                                </a:ln>
                                <a:effectLst/>
                              </wps:spPr>
                              <wps:txbx>
                                <w:txbxContent>
                                  <w:p>
                                    <w:pPr>
                                      <w:snapToGrid w:val="0"/>
                                      <w:jc w:val="center"/>
                                      <w:rPr>
                                        <w:szCs w:val="21"/>
                                      </w:rPr>
                                    </w:pPr>
                                    <w:r>
                                      <w:rPr>
                                        <w:rFonts w:hint="eastAsia"/>
                                        <w:szCs w:val="21"/>
                                      </w:rPr>
                                      <w:t>包装出货</w:t>
                                    </w:r>
                                  </w:p>
                                </w:txbxContent>
                              </wps:txbx>
                              <wps:bodyPr rot="0" vert="horz" wrap="square" lIns="91440" tIns="45720" rIns="91440" bIns="45720" anchor="t" anchorCtr="0" upright="1">
                                <a:noAutofit/>
                              </wps:bodyPr>
                            </wps:wsp>
                            <wps:wsp>
                              <wps:cNvPr id="32" name="文本框 891"/>
                              <wps:cNvSpPr txBox="1">
                                <a:spLocks noChangeArrowheads="1"/>
                              </wps:cNvSpPr>
                              <wps:spPr bwMode="auto">
                                <a:xfrm>
                                  <a:off x="3074374" y="853912"/>
                                  <a:ext cx="1261406" cy="467623"/>
                                </a:xfrm>
                                <a:prstGeom prst="rect">
                                  <a:avLst/>
                                </a:prstGeom>
                                <a:noFill/>
                                <a:ln>
                                  <a:noFill/>
                                </a:ln>
                                <a:effectLst/>
                              </wps:spPr>
                              <wps:txbx>
                                <w:txbxContent>
                                  <w:p>
                                    <w:pPr>
                                      <w:snapToGrid w:val="0"/>
                                      <w:jc w:val="center"/>
                                      <w:rPr>
                                        <w:caps/>
                                        <w:szCs w:val="21"/>
                                      </w:rPr>
                                    </w:pPr>
                                    <w:r>
                                      <w:rPr>
                                        <w:rFonts w:hint="eastAsia"/>
                                        <w:caps/>
                                        <w:szCs w:val="21"/>
                                      </w:rPr>
                                      <w:t>有机废气、锡及其化合物</w:t>
                                    </w:r>
                                    <w:r>
                                      <w:rPr>
                                        <w:caps/>
                                        <w:szCs w:val="21"/>
                                      </w:rPr>
                                      <w:t>、</w:t>
                                    </w:r>
                                    <w:r>
                                      <w:rPr>
                                        <w:rFonts w:hint="eastAsia"/>
                                        <w:caps/>
                                        <w:szCs w:val="21"/>
                                      </w:rPr>
                                      <w:t>噪声</w:t>
                                    </w:r>
                                  </w:p>
                                </w:txbxContent>
                              </wps:txbx>
                              <wps:bodyPr rot="0" vert="horz" wrap="square" lIns="91440" tIns="45720" rIns="91440" bIns="45720" anchor="t" anchorCtr="0" upright="1">
                                <a:noAutofit/>
                              </wps:bodyPr>
                            </wps:wsp>
                            <wps:wsp>
                              <wps:cNvPr id="47" name="自选图形 908"/>
                              <wps:cNvCnPr>
                                <a:cxnSpLocks noChangeShapeType="1"/>
                              </wps:cNvCnPr>
                              <wps:spPr bwMode="auto">
                                <a:xfrm>
                                  <a:off x="2487617" y="1665773"/>
                                  <a:ext cx="1905" cy="232410"/>
                                </a:xfrm>
                                <a:prstGeom prst="straightConnector1">
                                  <a:avLst/>
                                </a:prstGeom>
                                <a:noFill/>
                                <a:ln w="15875">
                                  <a:solidFill>
                                    <a:srgbClr val="000000"/>
                                  </a:solidFill>
                                  <a:round/>
                                  <a:tailEnd type="triangle" w="med" len="med"/>
                                </a:ln>
                                <a:effectLst/>
                              </wps:spPr>
                              <wps:bodyPr/>
                            </wps:wsp>
                            <wps:wsp>
                              <wps:cNvPr id="66" name="自选图形 911"/>
                              <wps:cNvCnPr>
                                <a:cxnSpLocks noChangeShapeType="1"/>
                              </wps:cNvCnPr>
                              <wps:spPr bwMode="auto">
                                <a:xfrm>
                                  <a:off x="2730840" y="2036652"/>
                                  <a:ext cx="343535" cy="635"/>
                                </a:xfrm>
                                <a:prstGeom prst="straightConnector1">
                                  <a:avLst/>
                                </a:prstGeom>
                                <a:noFill/>
                                <a:ln w="12700">
                                  <a:solidFill>
                                    <a:srgbClr val="000000"/>
                                  </a:solidFill>
                                  <a:prstDash val="dash"/>
                                  <a:round/>
                                  <a:tailEnd type="triangle" w="med" len="med"/>
                                </a:ln>
                                <a:effectLst/>
                              </wps:spPr>
                              <wps:bodyPr/>
                            </wps:wsp>
                            <wps:wsp>
                              <wps:cNvPr id="102" name="自选图形 908"/>
                              <wps:cNvCnPr>
                                <a:cxnSpLocks noChangeShapeType="1"/>
                              </wps:cNvCnPr>
                              <wps:spPr bwMode="auto">
                                <a:xfrm>
                                  <a:off x="2481285" y="1168568"/>
                                  <a:ext cx="1905" cy="232410"/>
                                </a:xfrm>
                                <a:prstGeom prst="straightConnector1">
                                  <a:avLst/>
                                </a:prstGeom>
                                <a:noFill/>
                                <a:ln w="15875">
                                  <a:solidFill>
                                    <a:srgbClr val="000000"/>
                                  </a:solidFill>
                                  <a:round/>
                                  <a:tailEnd type="triangle" w="med" len="med"/>
                                </a:ln>
                                <a:effectLst/>
                              </wps:spPr>
                              <wps:bodyPr/>
                            </wps:wsp>
                            <wps:wsp>
                              <wps:cNvPr id="111" name="文本框 907"/>
                              <wps:cNvSpPr txBox="1">
                                <a:spLocks noChangeArrowheads="1"/>
                              </wps:cNvSpPr>
                              <wps:spPr bwMode="auto">
                                <a:xfrm>
                                  <a:off x="2243321" y="1898183"/>
                                  <a:ext cx="464659" cy="264795"/>
                                </a:xfrm>
                                <a:prstGeom prst="rect">
                                  <a:avLst/>
                                </a:prstGeom>
                                <a:noFill/>
                                <a:ln w="9525" algn="ctr">
                                  <a:solidFill>
                                    <a:srgbClr val="000000"/>
                                  </a:solidFill>
                                  <a:miter lim="800000"/>
                                </a:ln>
                                <a:effectLst/>
                              </wps:spPr>
                              <wps:txbx>
                                <w:txbxContent>
                                  <w:p>
                                    <w:pPr>
                                      <w:snapToGrid w:val="0"/>
                                      <w:jc w:val="center"/>
                                      <w:rPr>
                                        <w:szCs w:val="21"/>
                                      </w:rPr>
                                    </w:pPr>
                                    <w:r>
                                      <w:rPr>
                                        <w:rFonts w:hint="eastAsia"/>
                                        <w:szCs w:val="21"/>
                                      </w:rPr>
                                      <w:t>检验</w:t>
                                    </w:r>
                                  </w:p>
                                </w:txbxContent>
                              </wps:txbx>
                              <wps:bodyPr rot="0" vert="horz" wrap="square" lIns="91440" tIns="45720" rIns="91440" bIns="45720" anchor="t" anchorCtr="0" upright="1">
                                <a:noAutofit/>
                              </wps:bodyPr>
                            </wps:wsp>
                            <wps:wsp>
                              <wps:cNvPr id="126" name="自选图形 908"/>
                              <wps:cNvCnPr>
                                <a:cxnSpLocks noChangeShapeType="1"/>
                              </wps:cNvCnPr>
                              <wps:spPr bwMode="auto">
                                <a:xfrm>
                                  <a:off x="2543515" y="2665321"/>
                                  <a:ext cx="1905" cy="232410"/>
                                </a:xfrm>
                                <a:prstGeom prst="straightConnector1">
                                  <a:avLst/>
                                </a:prstGeom>
                                <a:noFill/>
                                <a:ln w="15875">
                                  <a:solidFill>
                                    <a:srgbClr val="000000"/>
                                  </a:solidFill>
                                  <a:round/>
                                  <a:tailEnd type="triangle" w="med" len="med"/>
                                </a:ln>
                                <a:effectLst/>
                              </wps:spPr>
                              <wps:bodyPr/>
                            </wps:wsp>
                            <wps:wsp>
                              <wps:cNvPr id="198" name="文本框 907"/>
                              <wps:cNvSpPr txBox="1">
                                <a:spLocks noChangeArrowheads="1"/>
                              </wps:cNvSpPr>
                              <wps:spPr bwMode="auto">
                                <a:xfrm>
                                  <a:off x="2160610" y="3378567"/>
                                  <a:ext cx="808990" cy="264795"/>
                                </a:xfrm>
                                <a:prstGeom prst="rect">
                                  <a:avLst/>
                                </a:prstGeom>
                                <a:noFill/>
                                <a:ln w="9525" algn="ctr">
                                  <a:solidFill>
                                    <a:srgbClr val="000000"/>
                                  </a:solidFill>
                                  <a:miter lim="800000"/>
                                </a:ln>
                                <a:effectLst/>
                              </wps:spPr>
                              <wps:txbx>
                                <w:txbxContent>
                                  <w:p>
                                    <w:pPr>
                                      <w:snapToGrid w:val="0"/>
                                      <w:jc w:val="center"/>
                                      <w:rPr>
                                        <w:szCs w:val="21"/>
                                      </w:rPr>
                                    </w:pPr>
                                    <w:r>
                                      <w:rPr>
                                        <w:rFonts w:hint="eastAsia"/>
                                        <w:szCs w:val="21"/>
                                      </w:rPr>
                                      <w:t>外发电镀</w:t>
                                    </w:r>
                                  </w:p>
                                </w:txbxContent>
                              </wps:txbx>
                              <wps:bodyPr rot="0" vert="horz" wrap="square" lIns="91440" tIns="45720" rIns="91440" bIns="45720" anchor="t" anchorCtr="0" upright="1">
                                <a:noAutofit/>
                              </wps:bodyPr>
                            </wps:wsp>
                            <wps:wsp>
                              <wps:cNvPr id="199" name="自选图形 908"/>
                              <wps:cNvCnPr>
                                <a:cxnSpLocks noChangeShapeType="1"/>
                              </wps:cNvCnPr>
                              <wps:spPr bwMode="auto">
                                <a:xfrm>
                                  <a:off x="2489522" y="2168116"/>
                                  <a:ext cx="1905" cy="232410"/>
                                </a:xfrm>
                                <a:prstGeom prst="straightConnector1">
                                  <a:avLst/>
                                </a:prstGeom>
                                <a:noFill/>
                                <a:ln w="15875">
                                  <a:solidFill>
                                    <a:srgbClr val="000000"/>
                                  </a:solidFill>
                                  <a:round/>
                                  <a:tailEnd type="triangle" w="med" len="med"/>
                                </a:ln>
                                <a:effectLst/>
                              </wps:spPr>
                              <wps:bodyPr/>
                            </wps:wsp>
                            <wps:wsp>
                              <wps:cNvPr id="200" name="自选图形 900"/>
                              <wps:cNvCnPr>
                                <a:cxnSpLocks noChangeShapeType="1"/>
                              </wps:cNvCnPr>
                              <wps:spPr bwMode="auto">
                                <a:xfrm>
                                  <a:off x="2730840" y="1048450"/>
                                  <a:ext cx="343535" cy="635"/>
                                </a:xfrm>
                                <a:prstGeom prst="straightConnector1">
                                  <a:avLst/>
                                </a:prstGeom>
                                <a:noFill/>
                                <a:ln w="12700">
                                  <a:solidFill>
                                    <a:srgbClr val="000000"/>
                                  </a:solidFill>
                                  <a:prstDash val="dash"/>
                                  <a:round/>
                                  <a:tailEnd type="triangle" w="med" len="med"/>
                                </a:ln>
                                <a:effectLst/>
                              </wps:spPr>
                              <wps:bodyPr/>
                            </wps:wsp>
                            <wps:wsp>
                              <wps:cNvPr id="204" name="文本框 912"/>
                              <wps:cNvSpPr txBox="1">
                                <a:spLocks noChangeArrowheads="1"/>
                              </wps:cNvSpPr>
                              <wps:spPr bwMode="auto">
                                <a:xfrm>
                                  <a:off x="3075305" y="2882433"/>
                                  <a:ext cx="950935" cy="309088"/>
                                </a:xfrm>
                                <a:prstGeom prst="rect">
                                  <a:avLst/>
                                </a:prstGeom>
                                <a:noFill/>
                                <a:ln>
                                  <a:noFill/>
                                </a:ln>
                                <a:effectLst/>
                              </wps:spPr>
                              <wps:txbx>
                                <w:txbxContent>
                                  <w:p>
                                    <w:pPr>
                                      <w:snapToGrid w:val="0"/>
                                      <w:jc w:val="center"/>
                                      <w:rPr>
                                        <w:caps/>
                                        <w:szCs w:val="21"/>
                                      </w:rPr>
                                    </w:pPr>
                                    <w:r>
                                      <w:rPr>
                                        <w:rFonts w:hint="eastAsia"/>
                                        <w:caps/>
                                        <w:szCs w:val="21"/>
                                      </w:rPr>
                                      <w:t>有机废气</w:t>
                                    </w:r>
                                  </w:p>
                                </w:txbxContent>
                              </wps:txbx>
                              <wps:bodyPr rot="0" vert="horz" wrap="square" lIns="91440" tIns="45720" rIns="91440" bIns="45720" anchor="t" anchorCtr="0" upright="1">
                                <a:noAutofit/>
                              </wps:bodyPr>
                            </wps:wsp>
                            <wps:wsp>
                              <wps:cNvPr id="207" name="文本框 907"/>
                              <wps:cNvSpPr txBox="1">
                                <a:spLocks noChangeArrowheads="1"/>
                              </wps:cNvSpPr>
                              <wps:spPr bwMode="auto">
                                <a:xfrm>
                                  <a:off x="2221570" y="1400978"/>
                                  <a:ext cx="509270" cy="264795"/>
                                </a:xfrm>
                                <a:prstGeom prst="rect">
                                  <a:avLst/>
                                </a:prstGeom>
                                <a:noFill/>
                                <a:ln w="9525" algn="ctr">
                                  <a:solidFill>
                                    <a:srgbClr val="000000"/>
                                  </a:solidFill>
                                  <a:miter lim="800000"/>
                                </a:ln>
                                <a:effectLst/>
                              </wps:spPr>
                              <wps:txbx>
                                <w:txbxContent>
                                  <w:p>
                                    <w:pPr>
                                      <w:snapToGrid w:val="0"/>
                                      <w:jc w:val="center"/>
                                      <w:rPr>
                                        <w:szCs w:val="21"/>
                                      </w:rPr>
                                    </w:pPr>
                                    <w:r>
                                      <w:rPr>
                                        <w:rFonts w:hint="eastAsia"/>
                                        <w:szCs w:val="21"/>
                                      </w:rPr>
                                      <w:t>焊线</w:t>
                                    </w:r>
                                  </w:p>
                                </w:txbxContent>
                              </wps:txbx>
                              <wps:bodyPr rot="0" vert="horz" wrap="square" lIns="91440" tIns="45720" rIns="91440" bIns="45720" anchor="t" anchorCtr="0" upright="1">
                                <a:noAutofit/>
                              </wps:bodyPr>
                            </wps:wsp>
                            <wps:wsp>
                              <wps:cNvPr id="187" name="文本框 907"/>
                              <wps:cNvSpPr txBox="1">
                                <a:spLocks noChangeArrowheads="1"/>
                              </wps:cNvSpPr>
                              <wps:spPr bwMode="auto">
                                <a:xfrm>
                                  <a:off x="2255225" y="2400526"/>
                                  <a:ext cx="510540" cy="264795"/>
                                </a:xfrm>
                                <a:prstGeom prst="rect">
                                  <a:avLst/>
                                </a:prstGeom>
                                <a:noFill/>
                                <a:ln w="9525" algn="ctr">
                                  <a:solidFill>
                                    <a:srgbClr val="000000"/>
                                  </a:solidFill>
                                  <a:miter lim="800000"/>
                                </a:ln>
                                <a:effectLst/>
                              </wps:spPr>
                              <wps:txbx>
                                <w:txbxContent>
                                  <w:p>
                                    <w:pPr>
                                      <w:pStyle w:val="26"/>
                                      <w:spacing w:before="0" w:beforeAutospacing="0" w:after="0" w:afterAutospacing="0"/>
                                      <w:jc w:val="center"/>
                                      <w:rPr>
                                        <w:szCs w:val="24"/>
                                      </w:rPr>
                                    </w:pPr>
                                    <w:r>
                                      <w:rPr>
                                        <w:rFonts w:hint="eastAsia" w:ascii="Times New Roman"/>
                                        <w:kern w:val="2"/>
                                        <w:sz w:val="21"/>
                                        <w:szCs w:val="21"/>
                                      </w:rPr>
                                      <w:t>塑封</w:t>
                                    </w:r>
                                  </w:p>
                                </w:txbxContent>
                              </wps:txbx>
                              <wps:bodyPr rot="0" vert="horz" wrap="square" lIns="91440" tIns="45720" rIns="91440" bIns="45720" anchor="t" anchorCtr="0" upright="1">
                                <a:noAutofit/>
                              </wps:bodyPr>
                            </wps:wsp>
                            <wps:wsp>
                              <wps:cNvPr id="268" name="自选图形 911"/>
                              <wps:cNvCnPr>
                                <a:cxnSpLocks noChangeShapeType="1"/>
                              </wps:cNvCnPr>
                              <wps:spPr bwMode="auto">
                                <a:xfrm>
                                  <a:off x="2677160" y="131606"/>
                                  <a:ext cx="343535" cy="635"/>
                                </a:xfrm>
                                <a:prstGeom prst="straightConnector1">
                                  <a:avLst/>
                                </a:prstGeom>
                                <a:noFill/>
                                <a:ln w="12700">
                                  <a:solidFill>
                                    <a:srgbClr val="000000"/>
                                  </a:solidFill>
                                  <a:prstDash val="dash"/>
                                  <a:round/>
                                  <a:tailEnd type="triangle" w="med" len="med"/>
                                </a:ln>
                                <a:effectLst/>
                              </wps:spPr>
                              <wps:bodyPr/>
                            </wps:wsp>
                            <wps:wsp>
                              <wps:cNvPr id="269" name="文本框 891"/>
                              <wps:cNvSpPr txBox="1">
                                <a:spLocks noChangeArrowheads="1"/>
                              </wps:cNvSpPr>
                              <wps:spPr bwMode="auto">
                                <a:xfrm>
                                  <a:off x="2959100" y="3336"/>
                                  <a:ext cx="1132840" cy="296707"/>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caps/>
                                        <w:kern w:val="2"/>
                                        <w:sz w:val="21"/>
                                        <w:szCs w:val="21"/>
                                      </w:rPr>
                                      <w:t>噪声、硅屑</w:t>
                                    </w:r>
                                  </w:p>
                                </w:txbxContent>
                              </wps:txbx>
                              <wps:bodyPr rot="0" vert="horz" wrap="square" lIns="91440" tIns="45720" rIns="91440" bIns="45720" anchor="t" anchorCtr="0" upright="1">
                                <a:noAutofit/>
                              </wps:bodyPr>
                            </wps:wsp>
                            <wps:wsp>
                              <wps:cNvPr id="168" name="文本框 863"/>
                              <wps:cNvSpPr txBox="1">
                                <a:spLocks noChangeArrowheads="1"/>
                              </wps:cNvSpPr>
                              <wps:spPr bwMode="auto">
                                <a:xfrm>
                                  <a:off x="1395730" y="0"/>
                                  <a:ext cx="449580" cy="264795"/>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kern w:val="2"/>
                                        <w:sz w:val="21"/>
                                        <w:szCs w:val="21"/>
                                      </w:rPr>
                                      <w:t>芯片</w:t>
                                    </w:r>
                                  </w:p>
                                </w:txbxContent>
                              </wps:txbx>
                              <wps:bodyPr rot="0" vert="horz" wrap="square" lIns="91440" tIns="45720" rIns="91440" bIns="45720" anchor="t" anchorCtr="0" upright="1">
                                <a:noAutofit/>
                              </wps:bodyPr>
                            </wps:wsp>
                            <wps:wsp>
                              <wps:cNvPr id="14" name="文本框 14"/>
                              <wps:cNvSpPr txBox="1"/>
                              <wps:spPr>
                                <a:xfrm>
                                  <a:off x="2237105" y="3336"/>
                                  <a:ext cx="456565" cy="2355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center"/>
                                    </w:pPr>
                                    <w:r>
                                      <w:rPr>
                                        <w:rFonts w:hint="eastAsia"/>
                                      </w:rPr>
                                      <w:t>划片</w:t>
                                    </w:r>
                                  </w:p>
                                </w:txbxContent>
                              </wps:txbx>
                              <wps:bodyPr rot="0" spcFirstLastPara="0" vertOverflow="overflow" horzOverflow="overflow" vert="horz" wrap="none" lIns="91440" tIns="45720" rIns="91440" bIns="45720" numCol="1" spcCol="0" rtlCol="0" fromWordArt="0" anchor="t" anchorCtr="0" forceAA="0" compatLnSpc="1">
                                <a:noAutofit/>
                              </wps:bodyPr>
                            </wps:wsp>
                            <wps:wsp>
                              <wps:cNvPr id="172" name="文本框 907"/>
                              <wps:cNvSpPr txBox="1">
                                <a:spLocks noChangeArrowheads="1"/>
                              </wps:cNvSpPr>
                              <wps:spPr bwMode="auto">
                                <a:xfrm>
                                  <a:off x="2240280" y="939570"/>
                                  <a:ext cx="490560" cy="231856"/>
                                </a:xfrm>
                                <a:prstGeom prst="rect">
                                  <a:avLst/>
                                </a:prstGeom>
                                <a:noFill/>
                                <a:ln w="9525" algn="ctr">
                                  <a:solidFill>
                                    <a:srgbClr val="000000"/>
                                  </a:solidFill>
                                  <a:miter lim="800000"/>
                                </a:ln>
                                <a:effectLst/>
                              </wps:spPr>
                              <wps:txbx>
                                <w:txbxContent>
                                  <w:p>
                                    <w:pPr>
                                      <w:pStyle w:val="26"/>
                                      <w:spacing w:before="0" w:beforeAutospacing="0" w:after="0" w:afterAutospacing="0"/>
                                      <w:rPr>
                                        <w:szCs w:val="24"/>
                                      </w:rPr>
                                    </w:pPr>
                                    <w:r>
                                      <w:rPr>
                                        <w:rFonts w:hint="eastAsia" w:ascii="Times New Roman"/>
                                        <w:kern w:val="2"/>
                                        <w:sz w:val="21"/>
                                        <w:szCs w:val="21"/>
                                      </w:rPr>
                                      <w:t>粘片</w:t>
                                    </w:r>
                                  </w:p>
                                </w:txbxContent>
                              </wps:txbx>
                              <wps:bodyPr rot="0" vert="horz" wrap="square" lIns="91440" tIns="45720" rIns="91440" bIns="45720" anchor="t" anchorCtr="0" upright="1">
                                <a:noAutofit/>
                              </wps:bodyPr>
                            </wps:wsp>
                            <wps:wsp>
                              <wps:cNvPr id="183" name="文本框 907"/>
                              <wps:cNvSpPr txBox="1">
                                <a:spLocks noChangeArrowheads="1"/>
                              </wps:cNvSpPr>
                              <wps:spPr bwMode="auto">
                                <a:xfrm>
                                  <a:off x="2258400" y="2897731"/>
                                  <a:ext cx="525780" cy="248426"/>
                                </a:xfrm>
                                <a:prstGeom prst="rect">
                                  <a:avLst/>
                                </a:prstGeom>
                                <a:noFill/>
                                <a:ln w="9525" algn="ctr">
                                  <a:solidFill>
                                    <a:srgbClr val="000000"/>
                                  </a:solidFill>
                                  <a:miter lim="800000"/>
                                </a:ln>
                                <a:effectLst/>
                              </wps:spPr>
                              <wps:txbx>
                                <w:txbxContent>
                                  <w:p>
                                    <w:pPr>
                                      <w:pStyle w:val="26"/>
                                      <w:spacing w:before="0" w:beforeAutospacing="0" w:after="0" w:afterAutospacing="0"/>
                                      <w:jc w:val="center"/>
                                      <w:rPr>
                                        <w:szCs w:val="24"/>
                                      </w:rPr>
                                    </w:pPr>
                                    <w:r>
                                      <w:rPr>
                                        <w:rFonts w:hint="eastAsia" w:ascii="Times New Roman"/>
                                        <w:kern w:val="2"/>
                                        <w:sz w:val="21"/>
                                        <w:szCs w:val="21"/>
                                      </w:rPr>
                                      <w:t>固化</w:t>
                                    </w:r>
                                  </w:p>
                                </w:txbxContent>
                              </wps:txbx>
                              <wps:bodyPr rot="0" vert="horz" wrap="square" lIns="91440" tIns="45720" rIns="91440" bIns="45720" anchor="t" anchorCtr="0" upright="1">
                                <a:noAutofit/>
                              </wps:bodyPr>
                            </wps:wsp>
                            <wps:wsp>
                              <wps:cNvPr id="29" name="直接箭头连接符 29"/>
                              <wps:cNvCnPr>
                                <a:stCxn id="183" idx="3"/>
                              </wps:cNvCnPr>
                              <wps:spPr>
                                <a:xfrm>
                                  <a:off x="2784180" y="3021944"/>
                                  <a:ext cx="400980" cy="3105"/>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90" name="文本框 891"/>
                              <wps:cNvSpPr txBox="1">
                                <a:spLocks noChangeArrowheads="1"/>
                              </wps:cNvSpPr>
                              <wps:spPr bwMode="auto">
                                <a:xfrm>
                                  <a:off x="3119120" y="2400342"/>
                                  <a:ext cx="1330960" cy="264795"/>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caps/>
                                        <w:kern w:val="2"/>
                                        <w:sz w:val="21"/>
                                        <w:szCs w:val="21"/>
                                      </w:rPr>
                                      <w:t>塑封废料</w:t>
                                    </w:r>
                                    <w:r>
                                      <w:rPr>
                                        <w:rFonts w:ascii="Times New Roman"/>
                                        <w:caps/>
                                        <w:kern w:val="2"/>
                                        <w:sz w:val="21"/>
                                        <w:szCs w:val="21"/>
                                      </w:rPr>
                                      <w:t>、</w:t>
                                    </w:r>
                                    <w:r>
                                      <w:rPr>
                                        <w:rFonts w:hint="eastAsia" w:ascii="Times New Roman"/>
                                        <w:caps/>
                                        <w:kern w:val="2"/>
                                        <w:sz w:val="21"/>
                                        <w:szCs w:val="21"/>
                                      </w:rPr>
                                      <w:t>噪声</w:t>
                                    </w:r>
                                  </w:p>
                                </w:txbxContent>
                              </wps:txbx>
                              <wps:bodyPr rot="0" vert="horz" wrap="square" lIns="91440" tIns="45720" rIns="91440" bIns="45720" anchor="t" anchorCtr="0" upright="1">
                                <a:noAutofit/>
                              </wps:bodyPr>
                            </wps:wsp>
                            <wps:wsp>
                              <wps:cNvPr id="192" name="文本框 891"/>
                              <wps:cNvSpPr txBox="1">
                                <a:spLocks noChangeArrowheads="1"/>
                              </wps:cNvSpPr>
                              <wps:spPr bwMode="auto">
                                <a:xfrm>
                                  <a:off x="3060065" y="1890999"/>
                                  <a:ext cx="470875" cy="296545"/>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caps/>
                                        <w:kern w:val="2"/>
                                        <w:sz w:val="21"/>
                                        <w:szCs w:val="21"/>
                                      </w:rPr>
                                      <w:t>次品</w:t>
                                    </w:r>
                                  </w:p>
                                </w:txbxContent>
                              </wps:txbx>
                              <wps:bodyPr rot="0" vert="horz" wrap="square" lIns="91440" tIns="45720" rIns="91440" bIns="45720" anchor="t" anchorCtr="0" upright="1">
                                <a:noAutofit/>
                              </wps:bodyPr>
                            </wps:wsp>
                            <wps:wsp>
                              <wps:cNvPr id="225" name="直接箭头连接符 225"/>
                              <wps:cNvCnPr/>
                              <wps:spPr>
                                <a:xfrm flipV="1">
                                  <a:off x="1845310" y="1529765"/>
                                  <a:ext cx="376260" cy="19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3" name="自选图形 900"/>
                              <wps:cNvCnPr>
                                <a:cxnSpLocks noChangeShapeType="1"/>
                              </wps:cNvCnPr>
                              <wps:spPr bwMode="auto">
                                <a:xfrm>
                                  <a:off x="2731770" y="1527084"/>
                                  <a:ext cx="343535" cy="635"/>
                                </a:xfrm>
                                <a:prstGeom prst="straightConnector1">
                                  <a:avLst/>
                                </a:prstGeom>
                                <a:noFill/>
                                <a:ln w="12700">
                                  <a:solidFill>
                                    <a:srgbClr val="000000"/>
                                  </a:solidFill>
                                  <a:prstDash val="dash"/>
                                  <a:round/>
                                  <a:tailEnd type="triangle" w="med" len="med"/>
                                </a:ln>
                                <a:effectLst/>
                              </wps:spPr>
                              <wps:bodyPr/>
                            </wps:wsp>
                            <wps:wsp>
                              <wps:cNvPr id="194" name="文本框 912"/>
                              <wps:cNvSpPr txBox="1">
                                <a:spLocks noChangeArrowheads="1"/>
                              </wps:cNvSpPr>
                              <wps:spPr bwMode="auto">
                                <a:xfrm>
                                  <a:off x="3817620" y="1890999"/>
                                  <a:ext cx="559140" cy="308610"/>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caps/>
                                        <w:kern w:val="2"/>
                                        <w:sz w:val="21"/>
                                        <w:szCs w:val="21"/>
                                      </w:rPr>
                                      <w:t>返工</w:t>
                                    </w:r>
                                  </w:p>
                                </w:txbxContent>
                              </wps:txbx>
                              <wps:bodyPr rot="0" vert="horz" wrap="square" lIns="91440" tIns="45720" rIns="91440" bIns="45720" anchor="t" anchorCtr="0" upright="1">
                                <a:noAutofit/>
                              </wps:bodyPr>
                            </wps:wsp>
                            <wps:wsp>
                              <wps:cNvPr id="221" name="文本框 866"/>
                              <wps:cNvSpPr txBox="1">
                                <a:spLocks noChangeArrowheads="1"/>
                              </wps:cNvSpPr>
                              <wps:spPr bwMode="auto">
                                <a:xfrm>
                                  <a:off x="2160610" y="3876702"/>
                                  <a:ext cx="772160" cy="264160"/>
                                </a:xfrm>
                                <a:prstGeom prst="rect">
                                  <a:avLst/>
                                </a:prstGeom>
                                <a:noFill/>
                                <a:ln w="9525" algn="ctr">
                                  <a:solidFill>
                                    <a:srgbClr val="000000"/>
                                  </a:solidFill>
                                  <a:miter lim="800000"/>
                                </a:ln>
                                <a:effectLst/>
                              </wps:spPr>
                              <wps:txbx>
                                <w:txbxContent>
                                  <w:p>
                                    <w:pPr>
                                      <w:pStyle w:val="26"/>
                                      <w:spacing w:before="0" w:beforeAutospacing="0" w:after="0" w:afterAutospacing="0"/>
                                      <w:jc w:val="center"/>
                                      <w:rPr>
                                        <w:szCs w:val="24"/>
                                      </w:rPr>
                                    </w:pPr>
                                    <w:r>
                                      <w:rPr>
                                        <w:rFonts w:hint="eastAsia" w:ascii="Times New Roman"/>
                                        <w:kern w:val="2"/>
                                        <w:sz w:val="21"/>
                                        <w:szCs w:val="21"/>
                                      </w:rPr>
                                      <w:t>外观</w:t>
                                    </w:r>
                                    <w:r>
                                      <w:rPr>
                                        <w:rFonts w:ascii="Times New Roman"/>
                                        <w:kern w:val="2"/>
                                        <w:sz w:val="21"/>
                                        <w:szCs w:val="21"/>
                                      </w:rPr>
                                      <w:t>全检</w:t>
                                    </w:r>
                                  </w:p>
                                </w:txbxContent>
                              </wps:txbx>
                              <wps:bodyPr rot="0" vert="horz" wrap="square" lIns="91440" tIns="45720" rIns="91440" bIns="45720" anchor="t" anchorCtr="0" upright="1">
                                <a:noAutofit/>
                              </wps:bodyPr>
                            </wps:wsp>
                            <wps:wsp>
                              <wps:cNvPr id="288" name="自选图形 908"/>
                              <wps:cNvCnPr>
                                <a:cxnSpLocks noChangeShapeType="1"/>
                              </wps:cNvCnPr>
                              <wps:spPr bwMode="auto">
                                <a:xfrm>
                                  <a:off x="2536825" y="5646160"/>
                                  <a:ext cx="1905" cy="232410"/>
                                </a:xfrm>
                                <a:prstGeom prst="straightConnector1">
                                  <a:avLst/>
                                </a:prstGeom>
                                <a:noFill/>
                                <a:ln w="15875">
                                  <a:solidFill>
                                    <a:srgbClr val="000000"/>
                                  </a:solidFill>
                                  <a:round/>
                                  <a:tailEnd type="triangle" w="med" len="med"/>
                                </a:ln>
                                <a:effectLst/>
                              </wps:spPr>
                              <wps:bodyPr/>
                            </wps:wsp>
                            <wps:wsp>
                              <wps:cNvPr id="289" name="自选图形 908"/>
                              <wps:cNvCnPr>
                                <a:cxnSpLocks noChangeShapeType="1"/>
                              </wps:cNvCnPr>
                              <wps:spPr bwMode="auto">
                                <a:xfrm>
                                  <a:off x="2538730" y="5148955"/>
                                  <a:ext cx="1905" cy="232410"/>
                                </a:xfrm>
                                <a:prstGeom prst="straightConnector1">
                                  <a:avLst/>
                                </a:prstGeom>
                                <a:noFill/>
                                <a:ln w="15875">
                                  <a:solidFill>
                                    <a:srgbClr val="000000"/>
                                  </a:solidFill>
                                  <a:round/>
                                  <a:tailEnd type="triangle" w="med" len="med"/>
                                </a:ln>
                                <a:effectLst/>
                              </wps:spPr>
                              <wps:bodyPr/>
                            </wps:wsp>
                            <wps:wsp>
                              <wps:cNvPr id="290" name="自选图形 908"/>
                              <wps:cNvCnPr>
                                <a:cxnSpLocks noChangeShapeType="1"/>
                              </wps:cNvCnPr>
                              <wps:spPr bwMode="auto">
                                <a:xfrm>
                                  <a:off x="2541610" y="4640660"/>
                                  <a:ext cx="1905" cy="232410"/>
                                </a:xfrm>
                                <a:prstGeom prst="straightConnector1">
                                  <a:avLst/>
                                </a:prstGeom>
                                <a:noFill/>
                                <a:ln w="15875">
                                  <a:solidFill>
                                    <a:srgbClr val="000000"/>
                                  </a:solidFill>
                                  <a:round/>
                                  <a:tailEnd type="triangle" w="med" len="med"/>
                                </a:ln>
                                <a:effectLst/>
                              </wps:spPr>
                              <wps:bodyPr/>
                            </wps:wsp>
                            <wps:wsp>
                              <wps:cNvPr id="291" name="自选图形 908"/>
                              <wps:cNvCnPr>
                                <a:cxnSpLocks noChangeShapeType="1"/>
                              </wps:cNvCnPr>
                              <wps:spPr bwMode="auto">
                                <a:xfrm>
                                  <a:off x="2549865" y="4143197"/>
                                  <a:ext cx="1905" cy="232410"/>
                                </a:xfrm>
                                <a:prstGeom prst="straightConnector1">
                                  <a:avLst/>
                                </a:prstGeom>
                                <a:noFill/>
                                <a:ln w="15875">
                                  <a:solidFill>
                                    <a:srgbClr val="000000"/>
                                  </a:solidFill>
                                  <a:round/>
                                  <a:tailEnd type="triangle" w="med" len="med"/>
                                </a:ln>
                                <a:effectLst/>
                              </wps:spPr>
                              <wps:bodyPr/>
                            </wps:wsp>
                            <wps:wsp>
                              <wps:cNvPr id="292" name="自选图形 908"/>
                              <wps:cNvCnPr>
                                <a:cxnSpLocks noChangeShapeType="1"/>
                              </wps:cNvCnPr>
                              <wps:spPr bwMode="auto">
                                <a:xfrm>
                                  <a:off x="2546690" y="3644292"/>
                                  <a:ext cx="1905" cy="232410"/>
                                </a:xfrm>
                                <a:prstGeom prst="straightConnector1">
                                  <a:avLst/>
                                </a:prstGeom>
                                <a:noFill/>
                                <a:ln w="15875">
                                  <a:solidFill>
                                    <a:srgbClr val="000000"/>
                                  </a:solidFill>
                                  <a:round/>
                                  <a:tailEnd type="triangle" w="med" len="med"/>
                                </a:ln>
                                <a:effectLst/>
                              </wps:spPr>
                              <wps:bodyPr/>
                            </wps:wsp>
                            <wps:wsp>
                              <wps:cNvPr id="294" name="文本框 907"/>
                              <wps:cNvSpPr txBox="1">
                                <a:spLocks noChangeArrowheads="1"/>
                              </wps:cNvSpPr>
                              <wps:spPr bwMode="auto">
                                <a:xfrm>
                                  <a:off x="2048215" y="5381365"/>
                                  <a:ext cx="929005" cy="264795"/>
                                </a:xfrm>
                                <a:prstGeom prst="rect">
                                  <a:avLst/>
                                </a:prstGeom>
                                <a:noFill/>
                                <a:ln w="9525" algn="ctr">
                                  <a:solidFill>
                                    <a:srgbClr val="000000"/>
                                  </a:solidFill>
                                  <a:miter lim="800000"/>
                                </a:ln>
                                <a:effectLst/>
                              </wps:spPr>
                              <wps:txbx>
                                <w:txbxContent>
                                  <w:p>
                                    <w:pPr>
                                      <w:pStyle w:val="26"/>
                                      <w:spacing w:before="0" w:beforeAutospacing="0" w:after="0" w:afterAutospacing="0"/>
                                      <w:jc w:val="center"/>
                                      <w:rPr>
                                        <w:szCs w:val="24"/>
                                      </w:rPr>
                                    </w:pPr>
                                    <w:r>
                                      <w:rPr>
                                        <w:rFonts w:hint="eastAsia" w:ascii="Times New Roman"/>
                                        <w:kern w:val="2"/>
                                        <w:sz w:val="21"/>
                                        <w:szCs w:val="21"/>
                                      </w:rPr>
                                      <w:t>测试、</w:t>
                                    </w:r>
                                    <w:r>
                                      <w:rPr>
                                        <w:rFonts w:ascii="Times New Roman"/>
                                        <w:kern w:val="2"/>
                                        <w:sz w:val="21"/>
                                        <w:szCs w:val="21"/>
                                      </w:rPr>
                                      <w:t>打标</w:t>
                                    </w:r>
                                  </w:p>
                                </w:txbxContent>
                              </wps:txbx>
                              <wps:bodyPr rot="0" vert="horz" wrap="square" lIns="91440" tIns="45720" rIns="91440" bIns="45720" anchor="t" anchorCtr="0" upright="1">
                                <a:noAutofit/>
                              </wps:bodyPr>
                            </wps:wsp>
                            <wps:wsp>
                              <wps:cNvPr id="295" name="文本框 907"/>
                              <wps:cNvSpPr txBox="1">
                                <a:spLocks noChangeArrowheads="1"/>
                              </wps:cNvSpPr>
                              <wps:spPr bwMode="auto">
                                <a:xfrm>
                                  <a:off x="2275205" y="4866380"/>
                                  <a:ext cx="510540" cy="264795"/>
                                </a:xfrm>
                                <a:prstGeom prst="rect">
                                  <a:avLst/>
                                </a:prstGeom>
                                <a:noFill/>
                                <a:ln w="9525" algn="ctr">
                                  <a:solidFill>
                                    <a:srgbClr val="000000"/>
                                  </a:solidFill>
                                  <a:miter lim="800000"/>
                                </a:ln>
                                <a:effectLst/>
                              </wps:spPr>
                              <wps:txbx>
                                <w:txbxContent>
                                  <w:p>
                                    <w:pPr>
                                      <w:pStyle w:val="26"/>
                                      <w:spacing w:before="0" w:beforeAutospacing="0" w:after="0" w:afterAutospacing="0"/>
                                      <w:jc w:val="center"/>
                                      <w:rPr>
                                        <w:szCs w:val="24"/>
                                      </w:rPr>
                                    </w:pPr>
                                    <w:r>
                                      <w:rPr>
                                        <w:rFonts w:hint="eastAsia" w:ascii="Times New Roman"/>
                                        <w:kern w:val="2"/>
                                        <w:sz w:val="21"/>
                                        <w:szCs w:val="21"/>
                                      </w:rPr>
                                      <w:t>切筋</w:t>
                                    </w:r>
                                  </w:p>
                                </w:txbxContent>
                              </wps:txbx>
                              <wps:bodyPr rot="0" vert="horz" wrap="square" lIns="91440" tIns="45720" rIns="91440" bIns="45720" anchor="t" anchorCtr="0" upright="1">
                                <a:noAutofit/>
                              </wps:bodyPr>
                            </wps:wsp>
                            <wps:wsp>
                              <wps:cNvPr id="296" name="文本框 907"/>
                              <wps:cNvSpPr txBox="1">
                                <a:spLocks noChangeArrowheads="1"/>
                              </wps:cNvSpPr>
                              <wps:spPr bwMode="auto">
                                <a:xfrm>
                                  <a:off x="2273640" y="4375607"/>
                                  <a:ext cx="510540" cy="264795"/>
                                </a:xfrm>
                                <a:prstGeom prst="rect">
                                  <a:avLst/>
                                </a:prstGeom>
                                <a:noFill/>
                                <a:ln w="9525" algn="ctr">
                                  <a:solidFill>
                                    <a:srgbClr val="000000"/>
                                  </a:solidFill>
                                  <a:miter lim="800000"/>
                                </a:ln>
                                <a:effectLst/>
                              </wps:spPr>
                              <wps:txbx>
                                <w:txbxContent>
                                  <w:p>
                                    <w:pPr>
                                      <w:pStyle w:val="26"/>
                                      <w:spacing w:before="0" w:beforeAutospacing="0" w:after="0" w:afterAutospacing="0"/>
                                      <w:jc w:val="center"/>
                                      <w:rPr>
                                        <w:szCs w:val="24"/>
                                      </w:rPr>
                                    </w:pPr>
                                    <w:r>
                                      <w:rPr>
                                        <w:rFonts w:hint="eastAsia" w:ascii="Times New Roman"/>
                                        <w:kern w:val="2"/>
                                        <w:sz w:val="21"/>
                                        <w:szCs w:val="21"/>
                                      </w:rPr>
                                      <w:t>点胶</w:t>
                                    </w:r>
                                  </w:p>
                                </w:txbxContent>
                              </wps:txbx>
                              <wps:bodyPr rot="0" vert="horz" wrap="square" lIns="91440" tIns="45720" rIns="91440" bIns="45720" anchor="t" anchorCtr="0" upright="1">
                                <a:noAutofit/>
                              </wps:bodyPr>
                            </wps:wsp>
                            <wps:wsp>
                              <wps:cNvPr id="313" name="直接箭头连接符 313"/>
                              <wps:cNvCnPr/>
                              <wps:spPr>
                                <a:xfrm flipV="1">
                                  <a:off x="1845650" y="1054762"/>
                                  <a:ext cx="375920" cy="19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14" name="文本框 863"/>
                              <wps:cNvSpPr txBox="1">
                                <a:spLocks noChangeArrowheads="1"/>
                              </wps:cNvSpPr>
                              <wps:spPr bwMode="auto">
                                <a:xfrm>
                                  <a:off x="780120" y="1388573"/>
                                  <a:ext cx="962955" cy="264795"/>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kern w:val="2"/>
                                        <w:sz w:val="21"/>
                                        <w:szCs w:val="21"/>
                                      </w:rPr>
                                      <w:t>铜钱、</w:t>
                                    </w:r>
                                    <w:r>
                                      <w:rPr>
                                        <w:rFonts w:ascii="Times New Roman"/>
                                        <w:kern w:val="2"/>
                                        <w:sz w:val="21"/>
                                        <w:szCs w:val="21"/>
                                      </w:rPr>
                                      <w:t>铝线</w:t>
                                    </w:r>
                                  </w:p>
                                </w:txbxContent>
                              </wps:txbx>
                              <wps:bodyPr rot="0" vert="horz" wrap="square" lIns="91440" tIns="45720" rIns="91440" bIns="45720" anchor="t" anchorCtr="0" upright="1">
                                <a:noAutofit/>
                              </wps:bodyPr>
                            </wps:wsp>
                            <wps:wsp>
                              <wps:cNvPr id="315" name="文本框 863"/>
                              <wps:cNvSpPr txBox="1">
                                <a:spLocks noChangeArrowheads="1"/>
                              </wps:cNvSpPr>
                              <wps:spPr bwMode="auto">
                                <a:xfrm>
                                  <a:off x="2981325" y="471331"/>
                                  <a:ext cx="1227161" cy="264795"/>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kern w:val="2"/>
                                        <w:sz w:val="21"/>
                                        <w:szCs w:val="21"/>
                                      </w:rPr>
                                      <w:t>噪声、</w:t>
                                    </w:r>
                                    <w:r>
                                      <w:rPr>
                                        <w:rFonts w:ascii="Times New Roman"/>
                                        <w:kern w:val="2"/>
                                        <w:sz w:val="21"/>
                                        <w:szCs w:val="21"/>
                                      </w:rPr>
                                      <w:t>清洗废水</w:t>
                                    </w:r>
                                  </w:p>
                                </w:txbxContent>
                              </wps:txbx>
                              <wps:bodyPr rot="0" vert="horz" wrap="square" lIns="91440" tIns="45720" rIns="91440" bIns="45720" anchor="t" anchorCtr="0" upright="1">
                                <a:noAutofit/>
                              </wps:bodyPr>
                            </wps:wsp>
                            <wps:wsp>
                              <wps:cNvPr id="316" name="文本框 863"/>
                              <wps:cNvSpPr txBox="1">
                                <a:spLocks noChangeArrowheads="1"/>
                              </wps:cNvSpPr>
                              <wps:spPr bwMode="auto">
                                <a:xfrm>
                                  <a:off x="841080" y="4375607"/>
                                  <a:ext cx="1004571" cy="264795"/>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kern w:val="2"/>
                                        <w:sz w:val="21"/>
                                        <w:szCs w:val="21"/>
                                      </w:rPr>
                                      <w:t>环氧树脂</w:t>
                                    </w:r>
                                    <w:r>
                                      <w:rPr>
                                        <w:rFonts w:ascii="Times New Roman"/>
                                        <w:kern w:val="2"/>
                                        <w:sz w:val="21"/>
                                        <w:szCs w:val="21"/>
                                      </w:rPr>
                                      <w:t>胶</w:t>
                                    </w:r>
                                  </w:p>
                                </w:txbxContent>
                              </wps:txbx>
                              <wps:bodyPr rot="0" vert="horz" wrap="square" lIns="91440" tIns="45720" rIns="91440" bIns="45720" anchor="t" anchorCtr="0" upright="1">
                                <a:noAutofit/>
                              </wps:bodyPr>
                            </wps:wsp>
                            <wps:wsp>
                              <wps:cNvPr id="317" name="文本框 863"/>
                              <wps:cNvSpPr txBox="1">
                                <a:spLocks noChangeArrowheads="1"/>
                              </wps:cNvSpPr>
                              <wps:spPr bwMode="auto">
                                <a:xfrm>
                                  <a:off x="944881" y="2400526"/>
                                  <a:ext cx="798194" cy="264795"/>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kern w:val="2"/>
                                        <w:sz w:val="21"/>
                                        <w:szCs w:val="21"/>
                                      </w:rPr>
                                      <w:t>塑封</w:t>
                                    </w:r>
                                    <w:r>
                                      <w:rPr>
                                        <w:rFonts w:ascii="Times New Roman"/>
                                        <w:kern w:val="2"/>
                                        <w:sz w:val="21"/>
                                        <w:szCs w:val="21"/>
                                      </w:rPr>
                                      <w:t>材料</w:t>
                                    </w:r>
                                  </w:p>
                                </w:txbxContent>
                              </wps:txbx>
                              <wps:bodyPr rot="0" vert="horz" wrap="square" lIns="91440" tIns="45720" rIns="91440" bIns="45720" anchor="t" anchorCtr="0" upright="1">
                                <a:noAutofit/>
                              </wps:bodyPr>
                            </wps:wsp>
                            <wps:wsp>
                              <wps:cNvPr id="318" name="直接箭头连接符 318"/>
                              <wps:cNvCnPr/>
                              <wps:spPr>
                                <a:xfrm flipV="1">
                                  <a:off x="1864360" y="2510124"/>
                                  <a:ext cx="375920" cy="19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19" name="直接箭头连接符 319"/>
                              <wps:cNvCnPr/>
                              <wps:spPr>
                                <a:xfrm flipV="1">
                                  <a:off x="1867401" y="4506622"/>
                                  <a:ext cx="375920" cy="19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20" name="文本框 891"/>
                              <wps:cNvSpPr txBox="1">
                                <a:spLocks noChangeArrowheads="1"/>
                              </wps:cNvSpPr>
                              <wps:spPr bwMode="auto">
                                <a:xfrm>
                                  <a:off x="3060065" y="1400637"/>
                                  <a:ext cx="782955" cy="263201"/>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caps/>
                                        <w:kern w:val="2"/>
                                        <w:sz w:val="21"/>
                                        <w:szCs w:val="21"/>
                                      </w:rPr>
                                      <w:t>噪声</w:t>
                                    </w:r>
                                  </w:p>
                                </w:txbxContent>
                              </wps:txbx>
                              <wps:bodyPr rot="0" vert="horz" wrap="square" lIns="91440" tIns="45720" rIns="91440" bIns="45720" anchor="t" anchorCtr="0" upright="1">
                                <a:noAutofit/>
                              </wps:bodyPr>
                            </wps:wsp>
                            <wps:wsp>
                              <wps:cNvPr id="321" name="直接箭头连接符 321"/>
                              <wps:cNvCnPr/>
                              <wps:spPr>
                                <a:xfrm flipV="1">
                                  <a:off x="3467100" y="2017602"/>
                                  <a:ext cx="375920" cy="19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22" name="自选图形 900"/>
                              <wps:cNvCnPr>
                                <a:cxnSpLocks noChangeShapeType="1"/>
                              </wps:cNvCnPr>
                              <wps:spPr bwMode="auto">
                                <a:xfrm>
                                  <a:off x="2765765" y="2525364"/>
                                  <a:ext cx="343535" cy="635"/>
                                </a:xfrm>
                                <a:prstGeom prst="straightConnector1">
                                  <a:avLst/>
                                </a:prstGeom>
                                <a:noFill/>
                                <a:ln w="12700">
                                  <a:solidFill>
                                    <a:srgbClr val="000000"/>
                                  </a:solidFill>
                                  <a:prstDash val="dash"/>
                                  <a:round/>
                                  <a:tailEnd type="triangle" w="med" len="med"/>
                                </a:ln>
                                <a:effectLst/>
                              </wps:spPr>
                              <wps:bodyPr/>
                            </wps:wsp>
                            <wps:wsp>
                              <wps:cNvPr id="329" name="自选图形 908"/>
                              <wps:cNvCnPr>
                                <a:cxnSpLocks noChangeShapeType="1"/>
                              </wps:cNvCnPr>
                              <wps:spPr bwMode="auto">
                                <a:xfrm>
                                  <a:off x="2465388" y="238921"/>
                                  <a:ext cx="1905" cy="232410"/>
                                </a:xfrm>
                                <a:prstGeom prst="straightConnector1">
                                  <a:avLst/>
                                </a:prstGeom>
                                <a:noFill/>
                                <a:ln w="15875">
                                  <a:solidFill>
                                    <a:srgbClr val="000000"/>
                                  </a:solidFill>
                                  <a:round/>
                                  <a:tailEnd type="triangle" w="med" len="med"/>
                                </a:ln>
                                <a:effectLst/>
                              </wps:spPr>
                              <wps:bodyPr/>
                            </wps:wsp>
                            <wps:wsp>
                              <wps:cNvPr id="330" name="自选图形 908"/>
                              <wps:cNvCnPr>
                                <a:cxnSpLocks noChangeShapeType="1"/>
                              </wps:cNvCnPr>
                              <wps:spPr bwMode="auto">
                                <a:xfrm>
                                  <a:off x="2473307" y="703106"/>
                                  <a:ext cx="1905" cy="232410"/>
                                </a:xfrm>
                                <a:prstGeom prst="straightConnector1">
                                  <a:avLst/>
                                </a:prstGeom>
                                <a:noFill/>
                                <a:ln w="15875">
                                  <a:solidFill>
                                    <a:srgbClr val="000000"/>
                                  </a:solidFill>
                                  <a:round/>
                                  <a:tailEnd type="triangle" w="med" len="med"/>
                                </a:ln>
                                <a:effectLst/>
                              </wps:spPr>
                              <wps:bodyPr/>
                            </wps:wsp>
                            <wps:wsp>
                              <wps:cNvPr id="331" name="文本框 907"/>
                              <wps:cNvSpPr txBox="1">
                                <a:spLocks noChangeArrowheads="1"/>
                              </wps:cNvSpPr>
                              <wps:spPr bwMode="auto">
                                <a:xfrm>
                                  <a:off x="2222160" y="471331"/>
                                  <a:ext cx="490220" cy="231775"/>
                                </a:xfrm>
                                <a:prstGeom prst="rect">
                                  <a:avLst/>
                                </a:prstGeom>
                                <a:noFill/>
                                <a:ln w="9525" algn="ctr">
                                  <a:solidFill>
                                    <a:srgbClr val="000000"/>
                                  </a:solidFill>
                                  <a:miter lim="800000"/>
                                </a:ln>
                                <a:effectLst/>
                              </wps:spPr>
                              <wps:txbx>
                                <w:txbxContent>
                                  <w:p>
                                    <w:pPr>
                                      <w:pStyle w:val="26"/>
                                      <w:spacing w:before="0" w:beforeAutospacing="0" w:after="0" w:afterAutospacing="0"/>
                                      <w:rPr>
                                        <w:szCs w:val="24"/>
                                      </w:rPr>
                                    </w:pPr>
                                    <w:r>
                                      <w:rPr>
                                        <w:rFonts w:hint="eastAsia" w:ascii="Times New Roman"/>
                                        <w:kern w:val="2"/>
                                        <w:sz w:val="21"/>
                                        <w:szCs w:val="21"/>
                                      </w:rPr>
                                      <w:t>清洗</w:t>
                                    </w:r>
                                  </w:p>
                                </w:txbxContent>
                              </wps:txbx>
                              <wps:bodyPr rot="0" vert="horz" wrap="square" lIns="91440" tIns="45720" rIns="91440" bIns="45720" anchor="t" anchorCtr="0" upright="1">
                                <a:noAutofit/>
                              </wps:bodyPr>
                            </wps:wsp>
                            <wps:wsp>
                              <wps:cNvPr id="332" name="直接箭头连接符 332"/>
                              <wps:cNvCnPr/>
                              <wps:spPr>
                                <a:xfrm>
                                  <a:off x="2718435" y="582477"/>
                                  <a:ext cx="302260"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333" name="自选图形 911"/>
                              <wps:cNvCnPr>
                                <a:cxnSpLocks noChangeShapeType="1"/>
                              </wps:cNvCnPr>
                              <wps:spPr bwMode="auto">
                                <a:xfrm>
                                  <a:off x="2785745" y="4505987"/>
                                  <a:ext cx="343535" cy="635"/>
                                </a:xfrm>
                                <a:prstGeom prst="straightConnector1">
                                  <a:avLst/>
                                </a:prstGeom>
                                <a:noFill/>
                                <a:ln w="12700">
                                  <a:solidFill>
                                    <a:srgbClr val="000000"/>
                                  </a:solidFill>
                                  <a:prstDash val="dash"/>
                                  <a:round/>
                                  <a:tailEnd type="triangle" w="med" len="med"/>
                                </a:ln>
                                <a:effectLst/>
                              </wps:spPr>
                              <wps:bodyPr/>
                            </wps:wsp>
                            <wps:wsp>
                              <wps:cNvPr id="334" name="文本框 912"/>
                              <wps:cNvSpPr txBox="1">
                                <a:spLocks noChangeArrowheads="1"/>
                              </wps:cNvSpPr>
                              <wps:spPr bwMode="auto">
                                <a:xfrm>
                                  <a:off x="3015955" y="4375607"/>
                                  <a:ext cx="1274105" cy="308610"/>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caps/>
                                        <w:kern w:val="2"/>
                                        <w:sz w:val="21"/>
                                        <w:szCs w:val="21"/>
                                      </w:rPr>
                                      <w:t>有机废气、</w:t>
                                    </w:r>
                                    <w:r>
                                      <w:rPr>
                                        <w:rFonts w:ascii="Times New Roman"/>
                                        <w:caps/>
                                        <w:kern w:val="2"/>
                                        <w:sz w:val="21"/>
                                        <w:szCs w:val="21"/>
                                      </w:rPr>
                                      <w:t>噪声</w:t>
                                    </w:r>
                                  </w:p>
                                </w:txbxContent>
                              </wps:txbx>
                              <wps:bodyPr rot="0" vert="horz" wrap="square" lIns="91440" tIns="45720" rIns="91440" bIns="45720" anchor="t" anchorCtr="0" upright="1">
                                <a:noAutofit/>
                              </wps:bodyPr>
                            </wps:wsp>
                            <wps:wsp>
                              <wps:cNvPr id="335" name="文本框 891"/>
                              <wps:cNvSpPr txBox="1">
                                <a:spLocks noChangeArrowheads="1"/>
                              </wps:cNvSpPr>
                              <wps:spPr bwMode="auto">
                                <a:xfrm>
                                  <a:off x="3109300" y="4866380"/>
                                  <a:ext cx="525440" cy="264795"/>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caps/>
                                        <w:kern w:val="2"/>
                                        <w:sz w:val="21"/>
                                        <w:szCs w:val="21"/>
                                      </w:rPr>
                                      <w:t>噪声</w:t>
                                    </w:r>
                                  </w:p>
                                </w:txbxContent>
                              </wps:txbx>
                              <wps:bodyPr rot="0" vert="horz" wrap="square" lIns="91440" tIns="45720" rIns="91440" bIns="45720" anchor="t" anchorCtr="0" upright="1">
                                <a:noAutofit/>
                              </wps:bodyPr>
                            </wps:wsp>
                            <wps:wsp>
                              <wps:cNvPr id="336" name="自选图形 911"/>
                              <wps:cNvCnPr>
                                <a:cxnSpLocks noChangeShapeType="1"/>
                              </wps:cNvCnPr>
                              <wps:spPr bwMode="auto">
                                <a:xfrm>
                                  <a:off x="2785745" y="5002077"/>
                                  <a:ext cx="343535" cy="635"/>
                                </a:xfrm>
                                <a:prstGeom prst="straightConnector1">
                                  <a:avLst/>
                                </a:prstGeom>
                                <a:noFill/>
                                <a:ln w="12700">
                                  <a:solidFill>
                                    <a:srgbClr val="000000"/>
                                  </a:solidFill>
                                  <a:prstDash val="dash"/>
                                  <a:round/>
                                  <a:tailEnd type="triangle" w="med" len="med"/>
                                </a:ln>
                                <a:effectLst/>
                              </wps:spPr>
                              <wps:bodyPr/>
                            </wps:wsp>
                            <wps:wsp>
                              <wps:cNvPr id="337" name="自选图形 911"/>
                              <wps:cNvCnPr>
                                <a:cxnSpLocks noChangeShapeType="1"/>
                              </wps:cNvCnPr>
                              <wps:spPr bwMode="auto">
                                <a:xfrm>
                                  <a:off x="2977220" y="5512617"/>
                                  <a:ext cx="343535" cy="635"/>
                                </a:xfrm>
                                <a:prstGeom prst="straightConnector1">
                                  <a:avLst/>
                                </a:prstGeom>
                                <a:noFill/>
                                <a:ln w="12700">
                                  <a:solidFill>
                                    <a:srgbClr val="000000"/>
                                  </a:solidFill>
                                  <a:prstDash val="dash"/>
                                  <a:round/>
                                  <a:tailEnd type="triangle" w="med" len="med"/>
                                </a:ln>
                                <a:effectLst/>
                              </wps:spPr>
                              <wps:bodyPr/>
                            </wps:wsp>
                            <wps:wsp>
                              <wps:cNvPr id="338" name="文本框 891"/>
                              <wps:cNvSpPr txBox="1">
                                <a:spLocks noChangeArrowheads="1"/>
                              </wps:cNvSpPr>
                              <wps:spPr bwMode="auto">
                                <a:xfrm>
                                  <a:off x="3279481" y="5877387"/>
                                  <a:ext cx="1056299" cy="264795"/>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caps/>
                                        <w:kern w:val="2"/>
                                        <w:sz w:val="21"/>
                                        <w:szCs w:val="21"/>
                                      </w:rPr>
                                      <w:t>废包装</w:t>
                                    </w:r>
                                    <w:r>
                                      <w:rPr>
                                        <w:rFonts w:ascii="Times New Roman"/>
                                        <w:caps/>
                                        <w:kern w:val="2"/>
                                        <w:sz w:val="21"/>
                                        <w:szCs w:val="21"/>
                                      </w:rPr>
                                      <w:t>材料</w:t>
                                    </w:r>
                                  </w:p>
                                </w:txbxContent>
                              </wps:txbx>
                              <wps:bodyPr rot="0" vert="horz" wrap="square" lIns="91440" tIns="45720" rIns="91440" bIns="45720" anchor="t" anchorCtr="0" upright="1">
                                <a:noAutofit/>
                              </wps:bodyPr>
                            </wps:wsp>
                            <wps:wsp>
                              <wps:cNvPr id="339" name="文本框 891"/>
                              <wps:cNvSpPr txBox="1">
                                <a:spLocks noChangeArrowheads="1"/>
                              </wps:cNvSpPr>
                              <wps:spPr bwMode="auto">
                                <a:xfrm>
                                  <a:off x="3279481" y="5381369"/>
                                  <a:ext cx="1233805" cy="264795"/>
                                </a:xfrm>
                                <a:prstGeom prst="rect">
                                  <a:avLst/>
                                </a:prstGeom>
                                <a:noFill/>
                                <a:ln>
                                  <a:noFill/>
                                </a:ln>
                                <a:effectLst/>
                              </wps:spPr>
                              <wps:txbx>
                                <w:txbxContent>
                                  <w:p>
                                    <w:pPr>
                                      <w:pStyle w:val="26"/>
                                      <w:spacing w:before="0" w:beforeAutospacing="0" w:after="0" w:afterAutospacing="0"/>
                                      <w:jc w:val="center"/>
                                      <w:rPr>
                                        <w:szCs w:val="24"/>
                                      </w:rPr>
                                    </w:pPr>
                                    <w:r>
                                      <w:rPr>
                                        <w:rFonts w:hint="eastAsia" w:ascii="Times New Roman"/>
                                        <w:caps/>
                                        <w:kern w:val="2"/>
                                        <w:sz w:val="21"/>
                                        <w:szCs w:val="21"/>
                                      </w:rPr>
                                      <w:t>噪声、</w:t>
                                    </w:r>
                                    <w:r>
                                      <w:rPr>
                                        <w:rFonts w:ascii="Times New Roman"/>
                                        <w:caps/>
                                        <w:kern w:val="2"/>
                                        <w:sz w:val="21"/>
                                        <w:szCs w:val="21"/>
                                      </w:rPr>
                                      <w:t>废次品</w:t>
                                    </w:r>
                                  </w:p>
                                </w:txbxContent>
                              </wps:txbx>
                              <wps:bodyPr rot="0" vert="horz" wrap="square" lIns="91440" tIns="45720" rIns="91440" bIns="45720" anchor="t" anchorCtr="0" upright="1">
                                <a:noAutofit/>
                              </wps:bodyPr>
                            </wps:wsp>
                            <wps:wsp>
                              <wps:cNvPr id="340" name="自选图形 911"/>
                              <wps:cNvCnPr>
                                <a:cxnSpLocks noChangeShapeType="1"/>
                              </wps:cNvCnPr>
                              <wps:spPr bwMode="auto">
                                <a:xfrm>
                                  <a:off x="2949280" y="6007917"/>
                                  <a:ext cx="343535" cy="635"/>
                                </a:xfrm>
                                <a:prstGeom prst="straightConnector1">
                                  <a:avLst/>
                                </a:prstGeom>
                                <a:noFill/>
                                <a:ln w="12700">
                                  <a:solidFill>
                                    <a:srgbClr val="000000"/>
                                  </a:solidFill>
                                  <a:prstDash val="dash"/>
                                  <a:round/>
                                  <a:tailEnd type="triangle" w="med" len="med"/>
                                </a:ln>
                                <a:effectLst/>
                              </wps:spPr>
                              <wps:bodyPr/>
                            </wps:wsp>
                            <wps:wsp>
                              <wps:cNvPr id="341" name="直接箭头连接符 341"/>
                              <wps:cNvCnPr/>
                              <wps:spPr>
                                <a:xfrm flipV="1">
                                  <a:off x="1864360" y="100786"/>
                                  <a:ext cx="375920" cy="19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_x0000_s1026" o:spid="_x0000_s1026" o:spt="203" style="height:486.45pt;width:427.2pt;" coordsize="5425440,6178388" editas="canvas" o:gfxdata="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">
                      <o:lock v:ext="edit" aspectratio="f"/>
                      <v:shape id="_x0000_s1026" o:spid="_x0000_s1026" style="position:absolute;left:0;top:0;height:6178388;width:5425440;" filled="f" stroked="f" coordsize="21600,21600" o:gfxdata="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">
                        <v:fill on="f" focussize="0,0"/>
                        <v:stroke on="f" miterlimit="8" joinstyle="miter"/>
                        <v:imagedata o:title=""/>
                        <o:lock v:ext="edit" aspectratio="t"/>
                      </v:shape>
                      <v:shape id="文本框 863" o:spid="_x0000_s1026" o:spt="202" type="#_x0000_t202" style="position:absolute;left:604861;top:939570;height:264795;width:1240790;"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9&#10;lc7j1AAAAAUBAAAPAAAAAAAAAAEAIAAAACIAAABkcnMvZG93bnJldi54bWxQSwECFAAUAAAACACH&#10;TuJAnIr6LigCAAAvBAAADgAAAAAAAAABACAAAAAjAQAAZHJzL2Uyb0RvYy54bWxQSwUGAAAAAAYA&#10;BgBZAQAAvQUAAAAA&#10;">
                        <v:fill on="f" focussize="0,0"/>
                        <v:stroke on="f"/>
                        <v:imagedata o:title=""/>
                        <o:lock v:ext="edit" aspectratio="f"/>
                        <v:textbox>
                          <w:txbxContent>
                            <w:p>
                              <w:pPr>
                                <w:snapToGrid w:val="0"/>
                                <w:jc w:val="center"/>
                                <w:rPr>
                                  <w:szCs w:val="21"/>
                                </w:rPr>
                              </w:pPr>
                              <w:r>
                                <w:rPr>
                                  <w:rFonts w:hint="eastAsia"/>
                                  <w:szCs w:val="21"/>
                                </w:rPr>
                                <w:t>锡膏/锡丝、</w:t>
                              </w:r>
                              <w:r>
                                <w:rPr>
                                  <w:szCs w:val="21"/>
                                </w:rPr>
                                <w:t>框架</w:t>
                              </w:r>
                            </w:p>
                          </w:txbxContent>
                        </v:textbox>
                      </v:shape>
                      <v:shape id="自选图形 874" o:spid="_x0000_s1026" o:spt="32" type="#_x0000_t32" style="position:absolute;left:2545420;top:3146157;height:232410;width:1270;" filled="f" stroked="t" coordsize="21600,21600" o:gfxdata="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mR6lt1wAA&#10;AAUBAAAPAAAAAAAAAAEAIAAAACIAAABkcnMvZG93bnJldi54bWxQSwECFAAUAAAACACHTuJAB7oR&#10;uB8CAAACBAAADgAAAAAAAAABACAAAAAmAQAAZHJzL2Uyb0RvYy54bWxQSwUGAAAAAAYABgBZAQAA&#10;twUAAAAA&#10;">
                        <v:fill on="f" focussize="0,0"/>
                        <v:stroke weight="1.25pt" color="#000000" joinstyle="round" endarrow="block"/>
                        <v:imagedata o:title=""/>
                        <o:lock v:ext="edit" aspectratio="f"/>
                      </v:shape>
                      <v:shape id="文本框 866" o:spid="_x0000_s1026" o:spt="202" type="#_x0000_t202" style="position:absolute;left:2160610;top:5878570;height:264160;width:772160;" filled="f" stroked="t" coordsize="21600,21600" o:gfxdata="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Hj3WpDUAAAABQEAAA8A&#10;AAAAAAAAAQAgAAAAIgAAAGRycy9kb3ducmV2LnhtbFBLAQIUABQAAAAIAIdO4kAqdLf7VAIAAIUE&#10;AAAOAAAAAAAAAAEAIAAAACMBAABkcnMvZTJvRG9jLnhtbFBLBQYAAAAABgAGAFkBAADpBQAAAAA=&#10;">
                        <v:fill on="f" focussize="0,0"/>
                        <v:stroke color="#000000" miterlimit="8" joinstyle="miter"/>
                        <v:imagedata o:title=""/>
                        <o:lock v:ext="edit" aspectratio="f"/>
                        <v:textbox>
                          <w:txbxContent>
                            <w:p>
                              <w:pPr>
                                <w:snapToGrid w:val="0"/>
                                <w:jc w:val="center"/>
                                <w:rPr>
                                  <w:szCs w:val="21"/>
                                </w:rPr>
                              </w:pPr>
                              <w:r>
                                <w:rPr>
                                  <w:rFonts w:hint="eastAsia"/>
                                  <w:szCs w:val="21"/>
                                </w:rPr>
                                <w:t>包装出货</w:t>
                              </w:r>
                            </w:p>
                          </w:txbxContent>
                        </v:textbox>
                      </v:shape>
                      <v:shape id="文本框 891" o:spid="_x0000_s1026" o:spt="202" type="#_x0000_t202" style="position:absolute;left:3074374;top:853912;height:467623;width:1261406;"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2VzuPUAAAABQEAAA8AAAAAAAAAAQAgAAAAIgAAAGRycy9kb3ducmV2LnhtbFBLAQIUABQAAAAI&#10;AIdO4kAIPzdSKgIAADEEAAAOAAAAAAAAAAEAIAAAACMBAABkcnMvZTJvRG9jLnhtbFBLBQYAAAAA&#10;BgAGAFkBAAC/BQAAAAA=&#10;">
                        <v:fill on="f" focussize="0,0"/>
                        <v:stroke on="f"/>
                        <v:imagedata o:title=""/>
                        <o:lock v:ext="edit" aspectratio="f"/>
                        <v:textbox>
                          <w:txbxContent>
                            <w:p>
                              <w:pPr>
                                <w:snapToGrid w:val="0"/>
                                <w:jc w:val="center"/>
                                <w:rPr>
                                  <w:caps/>
                                  <w:szCs w:val="21"/>
                                </w:rPr>
                              </w:pPr>
                              <w:r>
                                <w:rPr>
                                  <w:rFonts w:hint="eastAsia"/>
                                  <w:caps/>
                                  <w:szCs w:val="21"/>
                                </w:rPr>
                                <w:t>有机废气、锡及其化合物</w:t>
                              </w:r>
                              <w:r>
                                <w:rPr>
                                  <w:caps/>
                                  <w:szCs w:val="21"/>
                                </w:rPr>
                                <w:t>、</w:t>
                              </w:r>
                              <w:r>
                                <w:rPr>
                                  <w:rFonts w:hint="eastAsia"/>
                                  <w:caps/>
                                  <w:szCs w:val="21"/>
                                </w:rPr>
                                <w:t>噪声</w:t>
                              </w:r>
                            </w:p>
                          </w:txbxContent>
                        </v:textbox>
                      </v:shape>
                      <v:shape id="自选图形 908" o:spid="_x0000_s1026" o:spt="32" type="#_x0000_t32" style="position:absolute;left:2487617;top:1665773;height:232410;width:1905;" filled="f" stroked="t" coordsize="21600,21600" o:gfxdata="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ZHqW3X&#10;AAAABQEAAA8AAAAAAAAAAQAgAAAAIgAAAGRycy9kb3ducmV2LnhtbFBLAQIUABQAAAAIAIdO4kA0&#10;NsElIQIAAAMEAAAOAAAAAAAAAAEAIAAAACYBAABkcnMvZTJvRG9jLnhtbFBLBQYAAAAABgAGAFkB&#10;AAC5BQAAAAA=&#10;">
                        <v:fill on="f" focussize="0,0"/>
                        <v:stroke weight="1.25pt" color="#000000" joinstyle="round" endarrow="block"/>
                        <v:imagedata o:title=""/>
                        <o:lock v:ext="edit" aspectratio="f"/>
                      </v:shape>
                      <v:shape id="自选图形 911" o:spid="_x0000_s1026" o:spt="32" type="#_x0000_t32" style="position:absolute;left:2730840;top:2036652;height:635;width:343535;" filled="f" stroked="t" coordsize="21600,21600" o:gfxdata="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Hug9uzYAAAABQEAAA8AAAAAAAAAAQAgAAAAIgAAAGRycy9kb3ducmV2LnhtbFBLAQIUABQAAAAI&#10;AIdO4kAskz+tJgIAABoEAAAOAAAAAAAAAAEAIAAAACcBAABkcnMvZTJvRG9jLnhtbFBLBQYAAAAA&#10;BgAGAFkBAAC/BQAAAAA=&#10;">
                        <v:fill on="f" focussize="0,0"/>
                        <v:stroke weight="1pt" color="#000000" joinstyle="round" dashstyle="dash" endarrow="block"/>
                        <v:imagedata o:title=""/>
                        <o:lock v:ext="edit" aspectratio="f"/>
                      </v:shape>
                      <v:shape id="自选图形 908" o:spid="_x0000_s1026" o:spt="32" type="#_x0000_t32" style="position:absolute;left:2481285;top:1168568;height:232410;width:1905;" filled="f" stroked="t" coordsize="21600,21600" o:gfxdata="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JkepbdcA&#10;AAAFAQAADwAAAAAAAAABACAAAAAiAAAAZHJzL2Rvd25yZXYueG1sUEsBAhQAFAAAAAgAh07iQKpR&#10;5FsgAgAABAQAAA4AAAAAAAAAAQAgAAAAJgEAAGRycy9lMm9Eb2MueG1sUEsFBgAAAAAGAAYAWQEA&#10;ALgFAAAAAA==&#10;">
                        <v:fill on="f" focussize="0,0"/>
                        <v:stroke weight="1.25pt" color="#000000" joinstyle="round" endarrow="block"/>
                        <v:imagedata o:title=""/>
                        <o:lock v:ext="edit" aspectratio="f"/>
                      </v:shape>
                      <v:shape id="文本框 907" o:spid="_x0000_s1026" o:spt="202" type="#_x0000_t202" style="position:absolute;left:2243321;top:1898183;height:264795;width:464659;" filled="f" stroked="t" coordsize="21600,21600" o:gfxdata="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Hj3WpDUAAAA&#10;BQEAAA8AAAAAAAAAAQAgAAAAIgAAAGRycy9kb3ducmV2LnhtbFBLAQIUABQAAAAIAIdO4kDRUiLr&#10;WgIAAIYEAAAOAAAAAAAAAAEAIAAAACMBAABkcnMvZTJvRG9jLnhtbFBLBQYAAAAABgAGAFkBAADv&#10;BQAAAAA=&#10;">
                        <v:fill on="f" focussize="0,0"/>
                        <v:stroke color="#000000" miterlimit="8" joinstyle="miter"/>
                        <v:imagedata o:title=""/>
                        <o:lock v:ext="edit" aspectratio="f"/>
                        <v:textbox>
                          <w:txbxContent>
                            <w:p>
                              <w:pPr>
                                <w:snapToGrid w:val="0"/>
                                <w:jc w:val="center"/>
                                <w:rPr>
                                  <w:szCs w:val="21"/>
                                </w:rPr>
                              </w:pPr>
                              <w:r>
                                <w:rPr>
                                  <w:rFonts w:hint="eastAsia"/>
                                  <w:szCs w:val="21"/>
                                </w:rPr>
                                <w:t>检验</w:t>
                              </w:r>
                            </w:p>
                          </w:txbxContent>
                        </v:textbox>
                      </v:shape>
                      <v:shape id="自选图形 908" o:spid="_x0000_s1026" o:spt="32" type="#_x0000_t32" style="position:absolute;left:2543515;top:2665321;height:232410;width:1905;" filled="f" stroked="t" coordsize="21600,21600" o:gfxdata="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mR6lt1wAA&#10;AAUBAAAPAAAAAAAAAAEAIAAAACIAAABkcnMvZG93bnJldi54bWxQSwECFAAUAAAACACHTuJADiC8&#10;vx8CAAAEBAAADgAAAAAAAAABACAAAAAmAQAAZHJzL2Uyb0RvYy54bWxQSwUGAAAAAAYABgBZAQAA&#10;twUAAAAA&#10;">
                        <v:fill on="f" focussize="0,0"/>
                        <v:stroke weight="1.25pt" color="#000000" joinstyle="round" endarrow="block"/>
                        <v:imagedata o:title=""/>
                        <o:lock v:ext="edit" aspectratio="f"/>
                      </v:shape>
                      <v:shape id="文本框 907" o:spid="_x0000_s1026" o:spt="202" type="#_x0000_t202" style="position:absolute;left:2160610;top:3378567;height:264795;width:808990;" filled="f" stroked="t" coordsize="21600,21600" o:gfxdata="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Hj3WpDUAAAA&#10;BQEAAA8AAAAAAAAAAQAgAAAAIgAAAGRycy9kb3ducmV2LnhtbFBLAQIUABQAAAAIAIdO4kBfg7v8&#10;WgIAAIYEAAAOAAAAAAAAAAEAIAAAACMBAABkcnMvZTJvRG9jLnhtbFBLBQYAAAAABgAGAFkBAADv&#10;BQAAAAA=&#10;">
                        <v:fill on="f" focussize="0,0"/>
                        <v:stroke color="#000000" miterlimit="8" joinstyle="miter"/>
                        <v:imagedata o:title=""/>
                        <o:lock v:ext="edit" aspectratio="f"/>
                        <v:textbox>
                          <w:txbxContent>
                            <w:p>
                              <w:pPr>
                                <w:snapToGrid w:val="0"/>
                                <w:jc w:val="center"/>
                                <w:rPr>
                                  <w:szCs w:val="21"/>
                                </w:rPr>
                              </w:pPr>
                              <w:r>
                                <w:rPr>
                                  <w:rFonts w:hint="eastAsia"/>
                                  <w:szCs w:val="21"/>
                                </w:rPr>
                                <w:t>外发电镀</w:t>
                              </w:r>
                            </w:p>
                          </w:txbxContent>
                        </v:textbox>
                      </v:shape>
                      <v:shape id="自选图形 908" o:spid="_x0000_s1026" o:spt="32" type="#_x0000_t32" style="position:absolute;left:2489522;top:2168116;height:232410;width:1905;" filled="f" stroked="t" coordsize="21600,21600" o:gfxdata="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JkepbdcA&#10;AAAFAQAADwAAAAAAAAABACAAAAAiAAAAZHJzL2Rvd25yZXYueG1sUEsBAhQAFAAAAAgAh07iQGe4&#10;JwYgAgAABAQAAA4AAAAAAAAAAQAgAAAAJgEAAGRycy9lMm9Eb2MueG1sUEsFBgAAAAAGAAYAWQEA&#10;ALgFAAAAAA==&#10;">
                        <v:fill on="f" focussize="0,0"/>
                        <v:stroke weight="1.25pt" color="#000000" joinstyle="round" endarrow="block"/>
                        <v:imagedata o:title=""/>
                        <o:lock v:ext="edit" aspectratio="f"/>
                      </v:shape>
                      <v:shape id="自选图形 900" o:spid="_x0000_s1026" o:spt="32" type="#_x0000_t32" style="position:absolute;left:2730840;top:1048450;height:635;width:343535;" filled="f" stroked="t" coordsize="21600,21600" o:gfxdata="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e6D27NgAAAAFAQAADwAAAAAAAAABACAAAAAiAAAAZHJzL2Rvd25yZXYueG1sUEsBAhQAFAAAAAgA&#10;h07iQJaXqfslAgAAGwQAAA4AAAAAAAAAAQAgAAAAJwEAAGRycy9lMm9Eb2MueG1sUEsFBgAAAAAG&#10;AAYAWQEAAL4FAAAAAA==&#10;">
                        <v:fill on="f" focussize="0,0"/>
                        <v:stroke weight="1pt" color="#000000" joinstyle="round" dashstyle="dash" endarrow="block"/>
                        <v:imagedata o:title=""/>
                        <o:lock v:ext="edit" aspectratio="f"/>
                      </v:shape>
                      <v:shape id="文本框 912" o:spid="_x0000_s1026" o:spt="202" type="#_x0000_t202" style="position:absolute;left:3075305;top:2882433;height:309088;width:950935;"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9lc7j1AAAAAUBAAAPAAAAAAAAAAEAIAAAACIAAABkcnMvZG93bnJldi54bWxQSwECFAAUAAAA&#10;CACHTuJAyu5gdysCAAAyBAAADgAAAAAAAAABACAAAAAjAQAAZHJzL2Uyb0RvYy54bWxQSwUGAAAA&#10;AAYABgBZAQAAwAUAAAAA&#10;">
                        <v:fill on="f" focussize="0,0"/>
                        <v:stroke on="f"/>
                        <v:imagedata o:title=""/>
                        <o:lock v:ext="edit" aspectratio="f"/>
                        <v:textbox>
                          <w:txbxContent>
                            <w:p>
                              <w:pPr>
                                <w:snapToGrid w:val="0"/>
                                <w:jc w:val="center"/>
                                <w:rPr>
                                  <w:caps/>
                                  <w:szCs w:val="21"/>
                                </w:rPr>
                              </w:pPr>
                              <w:r>
                                <w:rPr>
                                  <w:rFonts w:hint="eastAsia"/>
                                  <w:caps/>
                                  <w:szCs w:val="21"/>
                                </w:rPr>
                                <w:t>有机废气</w:t>
                              </w:r>
                            </w:p>
                          </w:txbxContent>
                        </v:textbox>
                      </v:shape>
                      <v:shape id="文本框 907" o:spid="_x0000_s1026" o:spt="202" type="#_x0000_t202" style="position:absolute;left:2221570;top:1400978;height:264795;width:509270;" filled="f" stroked="t" coordsize="21600,21600" o:gfxdata="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491qQ1AAAAAUB&#10;AAAPAAAAAAAAAAEAIAAAACIAAABkcnMvZG93bnJldi54bWxQSwECFAAUAAAACACHTuJAglasqlgC&#10;AACGBAAADgAAAAAAAAABACAAAAAjAQAAZHJzL2Uyb0RvYy54bWxQSwUGAAAAAAYABgBZAQAA7QUA&#10;AAAA&#10;">
                        <v:fill on="f" focussize="0,0"/>
                        <v:stroke color="#000000" miterlimit="8" joinstyle="miter"/>
                        <v:imagedata o:title=""/>
                        <o:lock v:ext="edit" aspectratio="f"/>
                        <v:textbox>
                          <w:txbxContent>
                            <w:p>
                              <w:pPr>
                                <w:snapToGrid w:val="0"/>
                                <w:jc w:val="center"/>
                                <w:rPr>
                                  <w:szCs w:val="21"/>
                                </w:rPr>
                              </w:pPr>
                              <w:r>
                                <w:rPr>
                                  <w:rFonts w:hint="eastAsia"/>
                                  <w:szCs w:val="21"/>
                                </w:rPr>
                                <w:t>焊线</w:t>
                              </w:r>
                            </w:p>
                          </w:txbxContent>
                        </v:textbox>
                      </v:shape>
                      <v:shape id="文本框 907" o:spid="_x0000_s1026" o:spt="202" type="#_x0000_t202" style="position:absolute;left:2255225;top:2400526;height:264795;width:510540;" filled="f" stroked="t" coordsize="21600,21600" o:gfxdata="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ePdakNQAAAAFAQAA&#10;DwAAAAAAAAABACAAAAAiAAAAZHJzL2Rvd25yZXYueG1sUEsBAhQAFAAAAAgAh07iQFXQibNWAgAA&#10;hgQAAA4AAAAAAAAAAQAgAAAAIwEAAGRycy9lMm9Eb2MueG1sUEsFBgAAAAAGAAYAWQEAAOsFAAAA&#10;AA==&#10;">
                        <v:fill on="f" focussize="0,0"/>
                        <v:stroke color="#000000" miterlimit="8" joinstyle="miter"/>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塑封</w:t>
                              </w:r>
                            </w:p>
                          </w:txbxContent>
                        </v:textbox>
                      </v:shape>
                      <v:shape id="自选图形 911" o:spid="_x0000_s1026" o:spt="32" type="#_x0000_t32" style="position:absolute;left:2677160;top:131606;height:635;width:343535;" filled="f" stroked="t" coordsize="21600,21600" o:gfxdata="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ug&#10;9uzYAAAABQEAAA8AAAAAAAAAAQAgAAAAIgAAAGRycy9kb3ducmV2LnhtbFBLAQIUABQAAAAIAIdO&#10;4kAtnv9AIwIAABoEAAAOAAAAAAAAAAEAIAAAACcBAABkcnMvZTJvRG9jLnhtbFBLBQYAAAAABgAG&#10;AFkBAAC8BQAAAAA=&#10;">
                        <v:fill on="f" focussize="0,0"/>
                        <v:stroke weight="1pt" color="#000000" joinstyle="round" dashstyle="dash" endarrow="block"/>
                        <v:imagedata o:title=""/>
                        <o:lock v:ext="edit" aspectratio="f"/>
                      </v:shape>
                      <v:shape id="文本框 891" o:spid="_x0000_s1026" o:spt="202" type="#_x0000_t202" style="position:absolute;left:2959100;top:3336;height:296707;width:1132840;"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9&#10;lc7j1AAAAAUBAAAPAAAAAAAAAAEAIAAAACIAAABkcnMvZG93bnJldi54bWxQSwECFAAUAAAACACH&#10;TuJAovjahigCAAAwBAAADgAAAAAAAAABACAAAAAjAQAAZHJzL2Uyb0RvYy54bWxQSwUGAAAAAAYA&#10;BgBZAQAAvQU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caps/>
                                  <w:kern w:val="2"/>
                                  <w:sz w:val="21"/>
                                  <w:szCs w:val="21"/>
                                </w:rPr>
                                <w:t>噪声、硅屑</w:t>
                              </w:r>
                            </w:p>
                          </w:txbxContent>
                        </v:textbox>
                      </v:shape>
                      <v:shape id="文本框 863" o:spid="_x0000_s1026" o:spt="202" type="#_x0000_t202" style="position:absolute;left:1395730;top:0;height:264795;width:449580;"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9lc7j1AAA&#10;AAUBAAAPAAAAAAAAAAEAIAAAACIAAABkcnMvZG93bnJldi54bWxQSwECFAAUAAAACACHTuJAeZ1t&#10;eyICAAAsBAAADgAAAAAAAAABACAAAAAjAQAAZHJzL2Uyb0RvYy54bWxQSwUGAAAAAAYABgBZAQAA&#10;twU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芯片</w:t>
                              </w:r>
                            </w:p>
                          </w:txbxContent>
                        </v:textbox>
                      </v:shape>
                      <v:shape id="_x0000_s1026" o:spid="_x0000_s1026" o:spt="202" type="#_x0000_t202" style="position:absolute;left:2237105;top:3336;height:235585;width:456565;mso-wrap-style:none;" fillcolor="#FFFFFF [3201]" filled="t" stroked="t" coordsize="21600,21600" o:gfxdata="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PHRv5DYAAAABQEAAA8AAAAAAAAAAQAgAAAAIgAAAGRycy9kb3ducmV2LnhtbFBLAQIU&#10;ABQAAAAIAIdO4kAjOaV6ZQIAAM0EAAAOAAAAAAAAAAEAIAAAACcBAABkcnMvZTJvRG9jLnhtbFBL&#10;BQYAAAAABgAGAFkBAAD+BQAAAAA=&#10;">
                        <v:fill on="t" focussize="0,0"/>
                        <v:stroke weight="0.5pt" color="#000000 [3204]" joinstyle="round"/>
                        <v:imagedata o:title=""/>
                        <o:lock v:ext="edit" aspectratio="f"/>
                        <v:textbox>
                          <w:txbxContent>
                            <w:p>
                              <w:pPr>
                                <w:jc w:val="center"/>
                              </w:pPr>
                              <w:r>
                                <w:rPr>
                                  <w:rFonts w:hint="eastAsia"/>
                                </w:rPr>
                                <w:t>划片</w:t>
                              </w:r>
                            </w:p>
                          </w:txbxContent>
                        </v:textbox>
                      </v:shape>
                      <v:shape id="文本框 907" o:spid="_x0000_s1026" o:spt="202" type="#_x0000_t202" style="position:absolute;left:2240280;top:939570;height:231856;width:490560;" filled="f" stroked="t" coordsize="21600,21600" o:gfxdata="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491qQ1AAAAAUB&#10;AAAPAAAAAAAAAAEAIAAAACIAAABkcnMvZG93bnJldi54bWxQSwECFAAUAAAACACHTuJAm7gcdFgC&#10;AACFBAAADgAAAAAAAAABACAAAAAjAQAAZHJzL2Uyb0RvYy54bWxQSwUGAAAAAAYABgBZAQAA7QUA&#10;AAAA&#10;">
                        <v:fill on="f" focussize="0,0"/>
                        <v:stroke color="#000000" miterlimit="8" joinstyle="miter"/>
                        <v:imagedata o:title=""/>
                        <o:lock v:ext="edit" aspectratio="f"/>
                        <v:textbox>
                          <w:txbxContent>
                            <w:p>
                              <w:pPr>
                                <w:pStyle w:val="26"/>
                                <w:spacing w:before="0" w:beforeAutospacing="0" w:after="0" w:afterAutospacing="0"/>
                                <w:rPr>
                                  <w:szCs w:val="24"/>
                                </w:rPr>
                              </w:pPr>
                              <w:r>
                                <w:rPr>
                                  <w:rFonts w:hint="eastAsia" w:ascii="Times New Roman"/>
                                  <w:kern w:val="2"/>
                                  <w:sz w:val="21"/>
                                  <w:szCs w:val="21"/>
                                </w:rPr>
                                <w:t>粘片</w:t>
                              </w:r>
                            </w:p>
                          </w:txbxContent>
                        </v:textbox>
                      </v:shape>
                      <v:shape id="文本框 907" o:spid="_x0000_s1026" o:spt="202" type="#_x0000_t202" style="position:absolute;left:2258400;top:2897731;height:248426;width:525780;" filled="f" stroked="t" coordsize="21600,21600" o:gfxdata="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491qQ1AAAAAUB&#10;AAAPAAAAAAAAAAEAIAAAACIAAABkcnMvZG93bnJldi54bWxQSwECFAAUAAAACACHTuJAGi3kIVgC&#10;AACGBAAADgAAAAAAAAABACAAAAAjAQAAZHJzL2Uyb0RvYy54bWxQSwUGAAAAAAYABgBZAQAA7QUA&#10;AAAA&#10;">
                        <v:fill on="f" focussize="0,0"/>
                        <v:stroke color="#000000" miterlimit="8" joinstyle="miter"/>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固化</w:t>
                              </w:r>
                            </w:p>
                          </w:txbxContent>
                        </v:textbox>
                      </v:shape>
                      <v:shape id="_x0000_s1026" o:spid="_x0000_s1026" o:spt="32" type="#_x0000_t32" style="position:absolute;left:2784180;top:3021944;height:3105;width:400980;" filled="f" stroked="t" coordsize="21600,21600" o:gfxdata="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N&#10;FU3V1wAAAAUBAAAPAAAAAAAAAAEAIAAAACIAAABkcnMvZG93bnJldi54bWxQSwECFAAUAAAACACH&#10;TuJA7jxoNSUCAAAZBAAADgAAAAAAAAABACAAAAAmAQAAZHJzL2Uyb0RvYy54bWxQSwUGAAAAAAYA&#10;BgBZAQAAvQUAAAAA&#10;">
                        <v:fill on="f" focussize="0,0"/>
                        <v:stroke weight="1pt" color="#000000 [3213]" miterlimit="8" joinstyle="miter" dashstyle="dash" endarrow="block"/>
                        <v:imagedata o:title=""/>
                        <o:lock v:ext="edit" aspectratio="f"/>
                      </v:shape>
                      <v:shape id="文本框 891" o:spid="_x0000_s1026" o:spt="202" type="#_x0000_t202" style="position:absolute;left:3119120;top:2400342;height:264795;width:1330960;"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9&#10;lc7j1AAAAAUBAAAPAAAAAAAAAAEAIAAAACIAAABkcnMvZG93bnJldi54bWxQSwECFAAUAAAACACH&#10;TuJAmT2wTCgCAAAzBAAADgAAAAAAAAABACAAAAAjAQAAZHJzL2Uyb0RvYy54bWxQSwUGAAAAAAYA&#10;BgBZAQAAvQU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caps/>
                                  <w:kern w:val="2"/>
                                  <w:sz w:val="21"/>
                                  <w:szCs w:val="21"/>
                                </w:rPr>
                                <w:t>塑封废料</w:t>
                              </w:r>
                              <w:r>
                                <w:rPr>
                                  <w:rFonts w:ascii="Times New Roman"/>
                                  <w:caps/>
                                  <w:kern w:val="2"/>
                                  <w:sz w:val="21"/>
                                  <w:szCs w:val="21"/>
                                </w:rPr>
                                <w:t>、</w:t>
                              </w:r>
                              <w:r>
                                <w:rPr>
                                  <w:rFonts w:hint="eastAsia" w:ascii="Times New Roman"/>
                                  <w:caps/>
                                  <w:kern w:val="2"/>
                                  <w:sz w:val="21"/>
                                  <w:szCs w:val="21"/>
                                </w:rPr>
                                <w:t>噪声</w:t>
                              </w:r>
                            </w:p>
                          </w:txbxContent>
                        </v:textbox>
                      </v:shape>
                      <v:shape id="文本框 891" o:spid="_x0000_s1026" o:spt="202" type="#_x0000_t202" style="position:absolute;left:3060065;top:1890999;height:296545;width:470875;"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9&#10;lc7j1AAAAAUBAAAPAAAAAAAAAAEAIAAAACIAAABkcnMvZG93bnJldi54bWxQSwECFAAUAAAACACH&#10;TuJAms87oSgCAAAyBAAADgAAAAAAAAABACAAAAAjAQAAZHJzL2Uyb0RvYy54bWxQSwUGAAAAAAYA&#10;BgBZAQAAvQU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caps/>
                                  <w:kern w:val="2"/>
                                  <w:sz w:val="21"/>
                                  <w:szCs w:val="21"/>
                                </w:rPr>
                                <w:t>次品</w:t>
                              </w:r>
                            </w:p>
                          </w:txbxContent>
                        </v:textbox>
                      </v:shape>
                      <v:shape id="_x0000_s1026" o:spid="_x0000_s1026" o:spt="32" type="#_x0000_t32" style="position:absolute;left:1845310;top:1529765;flip:y;height:1905;width:376260;" filled="f" stroked="t" coordsize="21600,21600" o:gfxdata="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LJdNyNcAAAAF&#10;AQAADwAAAAAAAAABACAAAAAiAAAAZHJzL2Rvd25yZXYueG1sUEsBAhQAFAAAAAgAh07iQFsW5Awd&#10;AgAA/QMAAA4AAAAAAAAAAQAgAAAAJgEAAGRycy9lMm9Eb2MueG1sUEsFBgAAAAAGAAYAWQEAALUF&#10;AAAAAA==&#10;">
                        <v:fill on="f" focussize="0,0"/>
                        <v:stroke weight="0.5pt" color="#000000 [3213]" miterlimit="8" joinstyle="miter" endarrow="block"/>
                        <v:imagedata o:title=""/>
                        <o:lock v:ext="edit" aspectratio="f"/>
                      </v:shape>
                      <v:shape id="自选图形 900" o:spid="_x0000_s1026" o:spt="32" type="#_x0000_t32" style="position:absolute;left:2731770;top:1527084;height:635;width:343535;" filled="f" stroked="t" coordsize="21600,21600" o:gfxdata="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7oPbs2AAAAAUBAAAPAAAAAAAAAAEAIAAAACIAAABkcnMvZG93bnJldi54bWxQSwECFAAUAAAA&#10;CACHTuJAChQ0/ycCAAAbBAAADgAAAAAAAAABACAAAAAnAQAAZHJzL2Uyb0RvYy54bWxQSwUGAAAA&#10;AAYABgBZAQAAwAUAAAAA&#10;">
                        <v:fill on="f" focussize="0,0"/>
                        <v:stroke weight="1pt" color="#000000" joinstyle="round" dashstyle="dash" endarrow="block"/>
                        <v:imagedata o:title=""/>
                        <o:lock v:ext="edit" aspectratio="f"/>
                      </v:shape>
                      <v:shape id="文本框 912" o:spid="_x0000_s1026" o:spt="202" type="#_x0000_t202" style="position:absolute;left:3817620;top:1890999;height:308610;width:559140;"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9&#10;lc7j1AAAAAUBAAAPAAAAAAAAAAEAIAAAACIAAABkcnMvZG93bnJldi54bWxQSwECFAAUAAAACACH&#10;TuJAVRGykigCAAAyBAAADgAAAAAAAAABACAAAAAjAQAAZHJzL2Uyb0RvYy54bWxQSwUGAAAAAAYA&#10;BgBZAQAAvQU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caps/>
                                  <w:kern w:val="2"/>
                                  <w:sz w:val="21"/>
                                  <w:szCs w:val="21"/>
                                </w:rPr>
                                <w:t>返工</w:t>
                              </w:r>
                            </w:p>
                          </w:txbxContent>
                        </v:textbox>
                      </v:shape>
                      <v:shape id="文本框 866" o:spid="_x0000_s1026" o:spt="202" type="#_x0000_t202" style="position:absolute;left:2160610;top:3876702;height:264160;width:772160;" filled="f" stroked="t" coordsize="21600,21600" o:gfxdata="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Hj3WpDUAAAABQEA&#10;AA8AAAAAAAAAAQAgAAAAIgAAAGRycy9kb3ducmV2LnhtbFBLAQIUABQAAAAIAIdO4kCwoguiVwIA&#10;AIYEAAAOAAAAAAAAAAEAIAAAACMBAABkcnMvZTJvRG9jLnhtbFBLBQYAAAAABgAGAFkBAADsBQAA&#10;AAA=&#10;">
                        <v:fill on="f" focussize="0,0"/>
                        <v:stroke color="#000000" miterlimit="8" joinstyle="miter"/>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外观</w:t>
                              </w:r>
                              <w:r>
                                <w:rPr>
                                  <w:rFonts w:ascii="Times New Roman"/>
                                  <w:kern w:val="2"/>
                                  <w:sz w:val="21"/>
                                  <w:szCs w:val="21"/>
                                </w:rPr>
                                <w:t>全检</w:t>
                              </w:r>
                            </w:p>
                          </w:txbxContent>
                        </v:textbox>
                      </v:shape>
                      <v:shape id="自选图形 908" o:spid="_x0000_s1026" o:spt="32" type="#_x0000_t32" style="position:absolute;left:2536825;top:5646160;height:232410;width:1905;" filled="f" stroked="t" coordsize="21600,21600" o:gfxdata="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mR6lt1wAA&#10;AAUBAAAPAAAAAAAAAAEAIAAAACIAAABkcnMvZG93bnJldi54bWxQSwECFAAUAAAACACHTuJASE6F&#10;ch8CAAAEBAAADgAAAAAAAAABACAAAAAmAQAAZHJzL2Uyb0RvYy54bWxQSwUGAAAAAAYABgBZAQAA&#10;twUAAAAA&#10;">
                        <v:fill on="f" focussize="0,0"/>
                        <v:stroke weight="1.25pt" color="#000000" joinstyle="round" endarrow="block"/>
                        <v:imagedata o:title=""/>
                        <o:lock v:ext="edit" aspectratio="f"/>
                      </v:shape>
                      <v:shape id="自选图形 908" o:spid="_x0000_s1026" o:spt="32" type="#_x0000_t32" style="position:absolute;left:2538730;top:5148955;height:232410;width:1905;" filled="f" stroked="t" coordsize="21600,21600" o:gfxdata="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ZHqW3X&#10;AAAABQEAAA8AAAAAAAAAAQAgAAAAIgAAAGRycy9kb3ducmV2LnhtbFBLAQIUABQAAAAIAIdO4kDL&#10;AQGmIQIAAAQEAAAOAAAAAAAAAAEAIAAAACYBAABkcnMvZTJvRG9jLnhtbFBLBQYAAAAABgAGAFkB&#10;AAC5BQAAAAA=&#10;">
                        <v:fill on="f" focussize="0,0"/>
                        <v:stroke weight="1.25pt" color="#000000" joinstyle="round" endarrow="block"/>
                        <v:imagedata o:title=""/>
                        <o:lock v:ext="edit" aspectratio="f"/>
                      </v:shape>
                      <v:shape id="自选图形 908" o:spid="_x0000_s1026" o:spt="32" type="#_x0000_t32" style="position:absolute;left:2541610;top:4640660;height:232410;width:1905;" filled="f" stroked="t" coordsize="21600,21600" o:gfxdata="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JkepbdcAAAAF&#10;AQAADwAAAAAAAAABACAAAAAiAAAAZHJzL2Rvd25yZXYueG1sUEsBAhQAFAAAAAgAh07iQD4uRy8d&#10;AgAABAQAAA4AAAAAAAAAAQAgAAAAJgEAAGRycy9lMm9Eb2MueG1sUEsFBgAAAAAGAAYAWQEAALUF&#10;AAAAAA==&#10;">
                        <v:fill on="f" focussize="0,0"/>
                        <v:stroke weight="1.25pt" color="#000000" joinstyle="round" endarrow="block"/>
                        <v:imagedata o:title=""/>
                        <o:lock v:ext="edit" aspectratio="f"/>
                      </v:shape>
                      <v:shape id="自选图形 908" o:spid="_x0000_s1026" o:spt="32" type="#_x0000_t32" style="position:absolute;left:2549865;top:4143197;height:232410;width:1905;" filled="f" stroked="t" coordsize="21600,21600" o:gfxdata="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ZHqW3X&#10;AAAABQEAAA8AAAAAAAAAAQAgAAAAIgAAAGRycy9kb3ducmV2LnhtbFBLAQIUABQAAAAIAIdO4kD3&#10;g/FbIQIAAAQEAAAOAAAAAAAAAAEAIAAAACYBAABkcnMvZTJvRG9jLnhtbFBLBQYAAAAABgAGAFkB&#10;AAC5BQAAAAA=&#10;">
                        <v:fill on="f" focussize="0,0"/>
                        <v:stroke weight="1.25pt" color="#000000" joinstyle="round" endarrow="block"/>
                        <v:imagedata o:title=""/>
                        <o:lock v:ext="edit" aspectratio="f"/>
                      </v:shape>
                      <v:shape id="自选图形 908" o:spid="_x0000_s1026" o:spt="32" type="#_x0000_t32" style="position:absolute;left:2546690;top:3644292;height:232410;width:1905;" filled="f" stroked="t" coordsize="21600,21600" o:gfxdata="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JkepbdcA&#10;AAAFAQAADwAAAAAAAAABACAAAAAiAAAAZHJzL2Rvd25yZXYueG1sUEsBAhQAFAAAAAgAh07iQJ0K&#10;+v0gAgAABAQAAA4AAAAAAAAAAQAgAAAAJgEAAGRycy9lMm9Eb2MueG1sUEsFBgAAAAAGAAYAWQEA&#10;ALgFAAAAAA==&#10;">
                        <v:fill on="f" focussize="0,0"/>
                        <v:stroke weight="1.25pt" color="#000000" joinstyle="round" endarrow="block"/>
                        <v:imagedata o:title=""/>
                        <o:lock v:ext="edit" aspectratio="f"/>
                      </v:shape>
                      <v:shape id="文本框 907" o:spid="_x0000_s1026" o:spt="202" type="#_x0000_t202" style="position:absolute;left:2048215;top:5381365;height:264795;width:929005;" filled="f" stroked="t" coordsize="21600,21600" o:gfxdata="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Hj3WpDUAAAA&#10;BQEAAA8AAAAAAAAAAQAgAAAAIgAAAGRycy9kb3ducmV2LnhtbFBLAQIUABQAAAAIAIdO4kAUfU4p&#10;WgIAAIYEAAAOAAAAAAAAAAEAIAAAACMBAABkcnMvZTJvRG9jLnhtbFBLBQYAAAAABgAGAFkBAADv&#10;BQAAAAA=&#10;">
                        <v:fill on="f" focussize="0,0"/>
                        <v:stroke color="#000000" miterlimit="8" joinstyle="miter"/>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测试、</w:t>
                              </w:r>
                              <w:r>
                                <w:rPr>
                                  <w:rFonts w:ascii="Times New Roman"/>
                                  <w:kern w:val="2"/>
                                  <w:sz w:val="21"/>
                                  <w:szCs w:val="21"/>
                                </w:rPr>
                                <w:t>打标</w:t>
                              </w:r>
                            </w:p>
                          </w:txbxContent>
                        </v:textbox>
                      </v:shape>
                      <v:shape id="文本框 907" o:spid="_x0000_s1026" o:spt="202" type="#_x0000_t202" style="position:absolute;left:2275205;top:4866380;height:264795;width:510540;" filled="f" stroked="t" coordsize="21600,21600" o:gfxdata="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ePdakNQAAAAFAQAA&#10;DwAAAAAAAAABACAAAAAiAAAAZHJzL2Rvd25yZXYueG1sUEsBAhQAFAAAAAgAh07iQH+RMJ5WAgAA&#10;hgQAAA4AAAAAAAAAAQAgAAAAIwEAAGRycy9lMm9Eb2MueG1sUEsFBgAAAAAGAAYAWQEAAOsFAAAA&#10;AA==&#10;">
                        <v:fill on="f" focussize="0,0"/>
                        <v:stroke color="#000000" miterlimit="8" joinstyle="miter"/>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切筋</w:t>
                              </w:r>
                            </w:p>
                          </w:txbxContent>
                        </v:textbox>
                      </v:shape>
                      <v:shape id="文本框 907" o:spid="_x0000_s1026" o:spt="202" type="#_x0000_t202" style="position:absolute;left:2273640;top:4375607;height:264795;width:510540;" filled="f" stroked="t" coordsize="21600,21600" o:gfxdata="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ePdakNQAAAAF&#10;AQAADwAAAAAAAAABACAAAAAiAAAAZHJzL2Rvd25yZXYueG1sUEsBAhQAFAAAAAgAh07iQNKOvadZ&#10;AgAAhgQAAA4AAAAAAAAAAQAgAAAAIwEAAGRycy9lMm9Eb2MueG1sUEsFBgAAAAAGAAYAWQEAAO4F&#10;AAAAAA==&#10;">
                        <v:fill on="f" focussize="0,0"/>
                        <v:stroke color="#000000" miterlimit="8" joinstyle="miter"/>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点胶</w:t>
                              </w:r>
                            </w:p>
                          </w:txbxContent>
                        </v:textbox>
                      </v:shape>
                      <v:shape id="_x0000_s1026" o:spid="_x0000_s1026" o:spt="32" type="#_x0000_t32" style="position:absolute;left:1845650;top:1054762;flip:y;height:1905;width:375920;" filled="f" stroked="t" coordsize="21600,21600" o:gfxdata="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yXTcjXAAAABQEA&#10;AA8AAAAAAAAAAQAgAAAAIgAAAGRycy9kb3ducmV2LnhtbFBLAQIUABQAAAAIAIdO4kAWAfChGwIA&#10;AP0DAAAOAAAAAAAAAAEAIAAAACYBAABkcnMvZTJvRG9jLnhtbFBLBQYAAAAABgAGAFkBAACzBQAA&#10;AAA=&#10;">
                        <v:fill on="f" focussize="0,0"/>
                        <v:stroke weight="0.5pt" color="#000000 [3213]" miterlimit="8" joinstyle="miter" endarrow="block"/>
                        <v:imagedata o:title=""/>
                        <o:lock v:ext="edit" aspectratio="f"/>
                      </v:shape>
                      <v:shape id="文本框 863" o:spid="_x0000_s1026" o:spt="202" type="#_x0000_t202" style="position:absolute;left:780120;top:1388573;height:264795;width:962955;"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vZXO49QAAAAFAQAADwAAAAAAAAABACAAAAAiAAAAZHJzL2Rvd25yZXYueG1sUEsBAhQAFAAAAAgA&#10;h07iQKDgsj0pAgAAMQQAAA4AAAAAAAAAAQAgAAAAIwEAAGRycy9lMm9Eb2MueG1sUEsFBgAAAAAG&#10;AAYAWQEAAL4FA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铜钱、</w:t>
                              </w:r>
                              <w:r>
                                <w:rPr>
                                  <w:rFonts w:ascii="Times New Roman"/>
                                  <w:kern w:val="2"/>
                                  <w:sz w:val="21"/>
                                  <w:szCs w:val="21"/>
                                </w:rPr>
                                <w:t>铝线</w:t>
                              </w:r>
                            </w:p>
                          </w:txbxContent>
                        </v:textbox>
                      </v:shape>
                      <v:shape id="文本框 863" o:spid="_x0000_s1026" o:spt="202" type="#_x0000_t202" style="position:absolute;left:2981325;top:471331;height:264795;width:1227161;"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2VzuPUAAAABQEAAA8AAAAAAAAAAQAgAAAAIgAAAGRycy9kb3ducmV2LnhtbFBLAQIUABQAAAAI&#10;AIdO4kAOUbgMKgIAADIEAAAOAAAAAAAAAAEAIAAAACMBAABkcnMvZTJvRG9jLnhtbFBLBQYAAAAA&#10;BgAGAFkBAAC/BQ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噪声、</w:t>
                              </w:r>
                              <w:r>
                                <w:rPr>
                                  <w:rFonts w:ascii="Times New Roman"/>
                                  <w:kern w:val="2"/>
                                  <w:sz w:val="21"/>
                                  <w:szCs w:val="21"/>
                                </w:rPr>
                                <w:t>清洗废水</w:t>
                              </w:r>
                            </w:p>
                          </w:txbxContent>
                        </v:textbox>
                      </v:shape>
                      <v:shape id="文本框 863" o:spid="_x0000_s1026" o:spt="202" type="#_x0000_t202" style="position:absolute;left:841080;top:4375607;height:264795;width:1004571;"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vZXO49QAAAAFAQAADwAAAAAAAAABACAAAAAiAAAAZHJzL2Rvd25yZXYueG1sUEsBAhQAFAAAAAgA&#10;h07iQBtRTjQpAgAAMgQAAA4AAAAAAAAAAQAgAAAAIwEAAGRycy9lMm9Eb2MueG1sUEsFBgAAAAAG&#10;AAYAWQEAAL4FA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环氧树脂</w:t>
                              </w:r>
                              <w:r>
                                <w:rPr>
                                  <w:rFonts w:ascii="Times New Roman"/>
                                  <w:kern w:val="2"/>
                                  <w:sz w:val="21"/>
                                  <w:szCs w:val="21"/>
                                </w:rPr>
                                <w:t>胶</w:t>
                              </w:r>
                            </w:p>
                          </w:txbxContent>
                        </v:textbox>
                      </v:shape>
                      <v:shape id="文本框 863" o:spid="_x0000_s1026" o:spt="202" type="#_x0000_t202" style="position:absolute;left:944881;top:2400526;height:264795;width:798194;"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2VzuPUAAAABQEAAA8AAAAAAAAAAQAgAAAAIgAAAGRycy9kb3ducmV2LnhtbFBLAQIUABQAAAAI&#10;AIdO4kBuMPnuKgIAADEEAAAOAAAAAAAAAAEAIAAAACMBAABkcnMvZTJvRG9jLnhtbFBLBQYAAAAA&#10;BgAGAFkBAAC/BQ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kern w:val="2"/>
                                  <w:sz w:val="21"/>
                                  <w:szCs w:val="21"/>
                                </w:rPr>
                                <w:t>塑封</w:t>
                              </w:r>
                              <w:r>
                                <w:rPr>
                                  <w:rFonts w:ascii="Times New Roman"/>
                                  <w:kern w:val="2"/>
                                  <w:sz w:val="21"/>
                                  <w:szCs w:val="21"/>
                                </w:rPr>
                                <w:t>材料</w:t>
                              </w:r>
                            </w:p>
                          </w:txbxContent>
                        </v:textbox>
                      </v:shape>
                      <v:shape id="_x0000_s1026" o:spid="_x0000_s1026" o:spt="32" type="#_x0000_t32" style="position:absolute;left:1864360;top:2510124;flip:y;height:1905;width:375920;" filled="f" stroked="t" coordsize="21600,21600" o:gfxdata="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LJdNyNcAAAAF&#10;AQAADwAAAAAAAAABACAAAAAiAAAAZHJzL2Rvd25yZXYueG1sUEsBAhQAFAAAAAgAh07iQMOp+Zod&#10;AgAA/QMAAA4AAAAAAAAAAQAgAAAAJgEAAGRycy9lMm9Eb2MueG1sUEsFBgAAAAAGAAYAWQEAALUF&#10;AAAAAA==&#10;">
                        <v:fill on="f" focussize="0,0"/>
                        <v:stroke weight="0.5pt" color="#000000 [3213]" miterlimit="8" joinstyle="miter" endarrow="block"/>
                        <v:imagedata o:title=""/>
                        <o:lock v:ext="edit" aspectratio="f"/>
                      </v:shape>
                      <v:shape id="_x0000_s1026" o:spid="_x0000_s1026" o:spt="32" type="#_x0000_t32" style="position:absolute;left:1867401;top:4506622;flip:y;height:1905;width:375920;" filled="f" stroked="t" coordsize="21600,21600" o:gfxdata="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yXTcjXAAAA&#10;BQEAAA8AAAAAAAAAAQAgAAAAIgAAAGRycy9kb3ducmV2LnhtbFBLAQIUABQAAAAIAIdO4kB71K3c&#10;HgIAAP0DAAAOAAAAAAAAAAEAIAAAACYBAABkcnMvZTJvRG9jLnhtbFBLBQYAAAAABgAGAFkBAAC2&#10;BQAAAAA=&#10;">
                        <v:fill on="f" focussize="0,0"/>
                        <v:stroke weight="0.5pt" color="#000000 [3213]" miterlimit="8" joinstyle="miter" endarrow="block"/>
                        <v:imagedata o:title=""/>
                        <o:lock v:ext="edit" aspectratio="f"/>
                      </v:shape>
                      <v:shape id="文本框 891" o:spid="_x0000_s1026" o:spt="202" type="#_x0000_t202" style="position:absolute;left:3060065;top:1400637;height:263201;width:782955;"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2V&#10;zuPUAAAABQEAAA8AAAAAAAAAAQAgAAAAIgAAAGRycy9kb3ducmV2LnhtbFBLAQIUABQAAAAIAIdO&#10;4kD2UOWcJwIAADIEAAAOAAAAAAAAAAEAIAAAACMBAABkcnMvZTJvRG9jLnhtbFBLBQYAAAAABgAG&#10;AFkBAAC8BQ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caps/>
                                  <w:kern w:val="2"/>
                                  <w:sz w:val="21"/>
                                  <w:szCs w:val="21"/>
                                </w:rPr>
                                <w:t>噪声</w:t>
                              </w:r>
                            </w:p>
                          </w:txbxContent>
                        </v:textbox>
                      </v:shape>
                      <v:shape id="_x0000_s1026" o:spid="_x0000_s1026" o:spt="32" type="#_x0000_t32" style="position:absolute;left:3467100;top:2017602;flip:y;height:1905;width:375920;" filled="f" stroked="t" coordsize="21600,21600" o:gfxdata="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yXTcjXAAAABQEA&#10;AA8AAAAAAAAAAQAgAAAAIgAAAGRycy9kb3ducmV2LnhtbFBLAQIUABQAAAAIAIdO4kA7k8l/GwIA&#10;AP0DAAAOAAAAAAAAAAEAIAAAACYBAABkcnMvZTJvRG9jLnhtbFBLBQYAAAAABgAGAFkBAACzBQAA&#10;AAA=&#10;">
                        <v:fill on="f" focussize="0,0"/>
                        <v:stroke weight="0.5pt" color="#000000 [3213]" miterlimit="8" joinstyle="miter" endarrow="block"/>
                        <v:imagedata o:title=""/>
                        <o:lock v:ext="edit" aspectratio="f"/>
                      </v:shape>
                      <v:shape id="自选图形 900" o:spid="_x0000_s1026" o:spt="32" type="#_x0000_t32" style="position:absolute;left:2765765;top:2525364;height:635;width:343535;" filled="f" stroked="t" coordsize="21600,21600" o:gfxdata="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e6D27NgAAAAFAQAADwAAAAAAAAABACAAAAAiAAAAZHJzL2Rvd25yZXYueG1sUEsBAhQAFAAAAAgA&#10;h07iQCfKeeclAgAAGwQAAA4AAAAAAAAAAQAgAAAAJwEAAGRycy9lMm9Eb2MueG1sUEsFBgAAAAAG&#10;AAYAWQEAAL4FAAAAAA==&#10;">
                        <v:fill on="f" focussize="0,0"/>
                        <v:stroke weight="1pt" color="#000000" joinstyle="round" dashstyle="dash" endarrow="block"/>
                        <v:imagedata o:title=""/>
                        <o:lock v:ext="edit" aspectratio="f"/>
                      </v:shape>
                      <v:shape id="自选图形 908" o:spid="_x0000_s1026" o:spt="32" type="#_x0000_t32" style="position:absolute;left:2465388;top:238921;height:232410;width:1905;" filled="f" stroked="t" coordsize="21600,21600" o:gfxdata="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mR6lt1wAA&#10;AAUBAAAPAAAAAAAAAAEAIAAAACIAAABkcnMvZG93bnJldi54bWxQSwECFAAUAAAACACHTuJAw1rb&#10;2B8CAAADBAAADgAAAAAAAAABACAAAAAmAQAAZHJzL2Uyb0RvYy54bWxQSwUGAAAAAAYABgBZAQAA&#10;twUAAAAA&#10;">
                        <v:fill on="f" focussize="0,0"/>
                        <v:stroke weight="1.25pt" color="#000000" joinstyle="round" endarrow="block"/>
                        <v:imagedata o:title=""/>
                        <o:lock v:ext="edit" aspectratio="f"/>
                      </v:shape>
                      <v:shape id="自选图形 908" o:spid="_x0000_s1026" o:spt="32" type="#_x0000_t32" style="position:absolute;left:2473307;top:703106;height:232410;width:1905;" filled="f" stroked="t" coordsize="21600,21600" o:gfxdata="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JkepbdcA&#10;AAAFAQAADwAAAAAAAAABACAAAAAiAAAAZHJzL2Rvd25yZXYueG1sUEsBAhQAFAAAAAgAh07iQEZp&#10;KPwgAgAAAwQAAA4AAAAAAAAAAQAgAAAAJgEAAGRycy9lMm9Eb2MueG1sUEsFBgAAAAAGAAYAWQEA&#10;ALgFAAAAAA==&#10;">
                        <v:fill on="f" focussize="0,0"/>
                        <v:stroke weight="1.25pt" color="#000000" joinstyle="round" endarrow="block"/>
                        <v:imagedata o:title=""/>
                        <o:lock v:ext="edit" aspectratio="f"/>
                      </v:shape>
                      <v:shape id="文本框 907" o:spid="_x0000_s1026" o:spt="202" type="#_x0000_t202" style="position:absolute;left:2222160;top:471331;height:231775;width:490220;" filled="f" stroked="t" coordsize="21600,21600" o:gfxdata="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Hj3WpDUAAAABQEA&#10;AA8AAAAAAAAAAQAgAAAAIgAAAGRycy9kb3ducmV2LnhtbFBLAQIUABQAAAAIAIdO4kCtt5PvVwIA&#10;AIUEAAAOAAAAAAAAAAEAIAAAACMBAABkcnMvZTJvRG9jLnhtbFBLBQYAAAAABgAGAFkBAADsBQAA&#10;AAA=&#10;">
                        <v:fill on="f" focussize="0,0"/>
                        <v:stroke color="#000000" miterlimit="8" joinstyle="miter"/>
                        <v:imagedata o:title=""/>
                        <o:lock v:ext="edit" aspectratio="f"/>
                        <v:textbox>
                          <w:txbxContent>
                            <w:p>
                              <w:pPr>
                                <w:pStyle w:val="26"/>
                                <w:spacing w:before="0" w:beforeAutospacing="0" w:after="0" w:afterAutospacing="0"/>
                                <w:rPr>
                                  <w:szCs w:val="24"/>
                                </w:rPr>
                              </w:pPr>
                              <w:r>
                                <w:rPr>
                                  <w:rFonts w:hint="eastAsia" w:ascii="Times New Roman"/>
                                  <w:kern w:val="2"/>
                                  <w:sz w:val="21"/>
                                  <w:szCs w:val="21"/>
                                </w:rPr>
                                <w:t>清洗</w:t>
                              </w:r>
                            </w:p>
                          </w:txbxContent>
                        </v:textbox>
                      </v:shape>
                      <v:shape id="_x0000_s1026" o:spid="_x0000_s1026" o:spt="32" type="#_x0000_t32" style="position:absolute;left:2718435;top:582477;height:0;width:302260;" filled="f" stroked="t" coordsize="21600,21600" o:gfxdata="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NFU3V1wAAAAUBAAAPAAAA&#10;AAAAAAEAIAAAACIAAABkcnMvZG93bnJldi54bWxQSwECFAAUAAAACACHTuJAlaIszRYCAADvAwAA&#10;DgAAAAAAAAABACAAAAAmAQAAZHJzL2Uyb0RvYy54bWxQSwUGAAAAAAYABgBZAQAArgUAAAAA&#10;">
                        <v:fill on="f" focussize="0,0"/>
                        <v:stroke weight="1pt" color="#000000 [3213]" miterlimit="8" joinstyle="miter" dashstyle="dash" endarrow="block"/>
                        <v:imagedata o:title=""/>
                        <o:lock v:ext="edit" aspectratio="f"/>
                      </v:shape>
                      <v:shape id="自选图形 911" o:spid="_x0000_s1026" o:spt="32" type="#_x0000_t32" style="position:absolute;left:2785745;top:4505987;height:635;width:343535;" filled="f" stroked="t" coordsize="21600,21600" o:gfxdata="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e6D27NgAAAAFAQAADwAAAAAAAAABACAAAAAiAAAAZHJzL2Rvd25yZXYueG1sUEsBAhQAFAAA&#10;AAgAh07iQLJjG9YoAgAAGwQAAA4AAAAAAAAAAQAgAAAAJwEAAGRycy9lMm9Eb2MueG1sUEsFBgAA&#10;AAAGAAYAWQEAAMEFAAAAAA==&#10;">
                        <v:fill on="f" focussize="0,0"/>
                        <v:stroke weight="1pt" color="#000000" joinstyle="round" dashstyle="dash" endarrow="block"/>
                        <v:imagedata o:title=""/>
                        <o:lock v:ext="edit" aspectratio="f"/>
                      </v:shape>
                      <v:shape id="文本框 912" o:spid="_x0000_s1026" o:spt="202" type="#_x0000_t202" style="position:absolute;left:3015955;top:4375607;height:308610;width:1274105;"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9lc7j1AAAAAUBAAAPAAAAAAAAAAEAIAAAACIAAABkcnMvZG93bnJldi54bWxQSwECFAAUAAAA&#10;CACHTuJAaNwTFysCAAAzBAAADgAAAAAAAAABACAAAAAjAQAAZHJzL2Uyb0RvYy54bWxQSwUGAAAA&#10;AAYABgBZAQAAwAU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caps/>
                                  <w:kern w:val="2"/>
                                  <w:sz w:val="21"/>
                                  <w:szCs w:val="21"/>
                                </w:rPr>
                                <w:t>有机废气、</w:t>
                              </w:r>
                              <w:r>
                                <w:rPr>
                                  <w:rFonts w:ascii="Times New Roman"/>
                                  <w:caps/>
                                  <w:kern w:val="2"/>
                                  <w:sz w:val="21"/>
                                  <w:szCs w:val="21"/>
                                </w:rPr>
                                <w:t>噪声</w:t>
                              </w:r>
                            </w:p>
                          </w:txbxContent>
                        </v:textbox>
                      </v:shape>
                      <v:shape id="文本框 891" o:spid="_x0000_s1026" o:spt="202" type="#_x0000_t202" style="position:absolute;left:3109300;top:4866380;height:264795;width:525440;"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vZXO49QAAAAFAQAADwAAAAAAAAABACAAAAAiAAAAZHJzL2Rvd25yZXYueG1sUEsBAhQAFAAAAAgA&#10;h07iQB1vZuYpAgAAMgQAAA4AAAAAAAAAAQAgAAAAIwEAAGRycy9lMm9Eb2MueG1sUEsFBgAAAAAG&#10;AAYAWQEAAL4FA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caps/>
                                  <w:kern w:val="2"/>
                                  <w:sz w:val="21"/>
                                  <w:szCs w:val="21"/>
                                </w:rPr>
                                <w:t>噪声</w:t>
                              </w:r>
                            </w:p>
                          </w:txbxContent>
                        </v:textbox>
                      </v:shape>
                      <v:shape id="自选图形 911" o:spid="_x0000_s1026" o:spt="32" type="#_x0000_t32" style="position:absolute;left:2785745;top:5002077;height:635;width:343535;" filled="f" stroked="t" coordsize="21600,21600" o:gfxdata="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7oPbs2AAAAAUBAAAPAAAAAAAAAAEAIAAAACIAAABkcnMvZG93bnJldi54bWxQSwECFAAUAAAA&#10;CACHTuJAuIAhjScCAAAbBAAADgAAAAAAAAABACAAAAAnAQAAZHJzL2Uyb0RvYy54bWxQSwUGAAAA&#10;AAYABgBZAQAAwAUAAAAA&#10;">
                        <v:fill on="f" focussize="0,0"/>
                        <v:stroke weight="1pt" color="#000000" joinstyle="round" dashstyle="dash" endarrow="block"/>
                        <v:imagedata o:title=""/>
                        <o:lock v:ext="edit" aspectratio="f"/>
                      </v:shape>
                      <v:shape id="自选图形 911" o:spid="_x0000_s1026" o:spt="32" type="#_x0000_t32" style="position:absolute;left:2977220;top:5512617;height:635;width:343535;" filled="f" stroked="t" coordsize="21600,21600" o:gfxdata="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e6D27NgAAAAFAQAADwAAAAAAAAABACAAAAAiAAAAZHJzL2Rvd25yZXYueG1sUEsBAhQAFAAA&#10;AAgAh07iQPrOzacoAgAAGwQAAA4AAAAAAAAAAQAgAAAAJwEAAGRycy9lMm9Eb2MueG1sUEsFBgAA&#10;AAAGAAYAWQEAAMEFAAAAAA==&#10;">
                        <v:fill on="f" focussize="0,0"/>
                        <v:stroke weight="1pt" color="#000000" joinstyle="round" dashstyle="dash" endarrow="block"/>
                        <v:imagedata o:title=""/>
                        <o:lock v:ext="edit" aspectratio="f"/>
                      </v:shape>
                      <v:shape id="文本框 891" o:spid="_x0000_s1026" o:spt="202" type="#_x0000_t202" style="position:absolute;left:3279481;top:5877387;height:264795;width:1056299;"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vZXO49QAAAAFAQAADwAAAAAAAAABACAAAAAiAAAAZHJzL2Rvd25yZXYueG1sUEsBAhQAFAAA&#10;AAgAh07iQL6XeJYsAgAAMwQAAA4AAAAAAAAAAQAgAAAAIwEAAGRycy9lMm9Eb2MueG1sUEsFBgAA&#10;AAAGAAYAWQEAAMEFA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caps/>
                                  <w:kern w:val="2"/>
                                  <w:sz w:val="21"/>
                                  <w:szCs w:val="21"/>
                                </w:rPr>
                                <w:t>废包装</w:t>
                              </w:r>
                              <w:r>
                                <w:rPr>
                                  <w:rFonts w:ascii="Times New Roman"/>
                                  <w:caps/>
                                  <w:kern w:val="2"/>
                                  <w:sz w:val="21"/>
                                  <w:szCs w:val="21"/>
                                </w:rPr>
                                <w:t>材料</w:t>
                              </w:r>
                            </w:p>
                          </w:txbxContent>
                        </v:textbox>
                      </v:shape>
                      <v:shape id="文本框 891" o:spid="_x0000_s1026" o:spt="202" type="#_x0000_t202" style="position:absolute;left:3279481;top:5381369;height:264795;width:1233805;" filled="f" stroked="f" coordsize="21600,21600" o:gfxdata="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vZXO49QAAAAFAQAADwAAAAAAAAABACAAAAAiAAAAZHJzL2Rvd25yZXYueG1sUEsBAhQAFAAA&#10;AAgAh07iQKoVZ2YsAgAAMwQAAA4AAAAAAAAAAQAgAAAAIwEAAGRycy9lMm9Eb2MueG1sUEsFBgAA&#10;AAAGAAYAWQEAAMEFAAAAAA==&#10;">
                        <v:fill on="f" focussize="0,0"/>
                        <v:stroke on="f"/>
                        <v:imagedata o:title=""/>
                        <o:lock v:ext="edit" aspectratio="f"/>
                        <v:textbox>
                          <w:txbxContent>
                            <w:p>
                              <w:pPr>
                                <w:pStyle w:val="26"/>
                                <w:spacing w:before="0" w:beforeAutospacing="0" w:after="0" w:afterAutospacing="0"/>
                                <w:jc w:val="center"/>
                                <w:rPr>
                                  <w:szCs w:val="24"/>
                                </w:rPr>
                              </w:pPr>
                              <w:r>
                                <w:rPr>
                                  <w:rFonts w:hint="eastAsia" w:ascii="Times New Roman"/>
                                  <w:caps/>
                                  <w:kern w:val="2"/>
                                  <w:sz w:val="21"/>
                                  <w:szCs w:val="21"/>
                                </w:rPr>
                                <w:t>噪声、</w:t>
                              </w:r>
                              <w:r>
                                <w:rPr>
                                  <w:rFonts w:ascii="Times New Roman"/>
                                  <w:caps/>
                                  <w:kern w:val="2"/>
                                  <w:sz w:val="21"/>
                                  <w:szCs w:val="21"/>
                                </w:rPr>
                                <w:t>废次品</w:t>
                              </w:r>
                            </w:p>
                          </w:txbxContent>
                        </v:textbox>
                      </v:shape>
                      <v:shape id="自选图形 911" o:spid="_x0000_s1026" o:spt="32" type="#_x0000_t32" style="position:absolute;left:2949280;top:6007917;height:635;width:343535;" filled="f" stroked="t" coordsize="21600,21600" o:gfxdata="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7oPbs2AAAAAUBAAAPAAAAAAAAAAEAIAAAACIAAABkcnMvZG93bnJldi54bWxQSwECFAAUAAAA&#10;CACHTuJAhLf4IicCAAAbBAAADgAAAAAAAAABACAAAAAnAQAAZHJzL2Uyb0RvYy54bWxQSwUGAAAA&#10;AAYABgBZAQAAwAUAAAAA&#10;">
                        <v:fill on="f" focussize="0,0"/>
                        <v:stroke weight="1pt" color="#000000" joinstyle="round" dashstyle="dash" endarrow="block"/>
                        <v:imagedata o:title=""/>
                        <o:lock v:ext="edit" aspectratio="f"/>
                      </v:shape>
                      <v:shape id="_x0000_s1026" o:spid="_x0000_s1026" o:spt="32" type="#_x0000_t32" style="position:absolute;left:1864360;top:100786;flip:y;height:1905;width:375920;" filled="f" stroked="t" coordsize="21600,21600" o:gfxdata="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JdNyNcAAAAFAQAA&#10;DwAAAAAAAAABACAAAAAiAAAAZHJzL2Rvd25yZXYueG1sUEsBAhQAFAAAAAgAh07iQByGcyUaAgAA&#10;/AMAAA4AAAAAAAAAAQAgAAAAJgEAAGRycy9lMm9Eb2MueG1sUEsFBgAAAAAGAAYAWQEAALIFAAAA&#10;AA==&#10;">
                        <v:fill on="f" focussize="0,0"/>
                        <v:stroke weight="0.5pt" color="#000000 [3213]" miterlimit="8" joinstyle="miter" endarrow="block"/>
                        <v:imagedata o:title=""/>
                        <o:lock v:ext="edit" aspectratio="f"/>
                      </v:shape>
                      <w10:wrap type="none"/>
                      <w10:anchorlock/>
                    </v:group>
                  </w:pict>
                </mc:Fallback>
              </mc:AlternateContent>
            </w:r>
          </w:p>
          <w:p>
            <w:pPr>
              <w:pStyle w:val="44"/>
              <w:rPr>
                <w:rFonts w:ascii="Times New Roman" w:hAnsi="Times New Roman"/>
                <w:b/>
                <w:color w:val="auto"/>
              </w:rPr>
            </w:pPr>
            <w:r>
              <w:rPr>
                <w:rFonts w:ascii="Times New Roman" w:hAnsi="Times New Roman"/>
                <w:b/>
                <w:color w:val="auto"/>
                <w:sz w:val="21"/>
                <w:szCs w:val="21"/>
              </w:rPr>
              <w:t>图2 项目主要工艺流程及产污环节分析示意图</w:t>
            </w:r>
          </w:p>
          <w:p>
            <w:pPr>
              <w:adjustRightInd w:val="0"/>
              <w:snapToGrid w:val="0"/>
              <w:spacing w:line="360" w:lineRule="auto"/>
              <w:ind w:firstLine="420" w:firstLineChars="200"/>
            </w:pPr>
            <w:r>
              <w:t>工艺流程说明：</w:t>
            </w:r>
          </w:p>
          <w:p>
            <w:pPr>
              <w:adjustRightInd w:val="0"/>
              <w:snapToGrid w:val="0"/>
              <w:spacing w:line="360" w:lineRule="auto"/>
              <w:ind w:firstLine="422" w:firstLineChars="200"/>
            </w:pPr>
            <w:r>
              <w:rPr>
                <w:rFonts w:hint="eastAsia"/>
                <w:b/>
              </w:rPr>
              <w:t>划片</w:t>
            </w:r>
            <w:r>
              <w:rPr>
                <w:b/>
              </w:rPr>
              <w:t>：</w:t>
            </w:r>
            <w:r>
              <w:rPr>
                <w:rFonts w:hint="eastAsia"/>
              </w:rPr>
              <w:t>把芯片按照晶粒大小和布局由划片机切割成单一个体，</w:t>
            </w:r>
            <w:r>
              <w:t>此过程会产生噪声和少量</w:t>
            </w:r>
            <w:r>
              <w:rPr>
                <w:rFonts w:hint="eastAsia"/>
              </w:rPr>
              <w:t>硅屑</w:t>
            </w:r>
            <w:r>
              <w:t>。</w:t>
            </w:r>
          </w:p>
          <w:p>
            <w:pPr>
              <w:adjustRightInd w:val="0"/>
              <w:snapToGrid w:val="0"/>
              <w:spacing w:line="360" w:lineRule="auto"/>
              <w:ind w:firstLine="422" w:firstLineChars="200"/>
            </w:pPr>
            <w:r>
              <w:rPr>
                <w:rFonts w:hint="eastAsia"/>
                <w:b/>
              </w:rPr>
              <w:t>清洗</w:t>
            </w:r>
            <w:r>
              <w:t>：</w:t>
            </w:r>
            <w:r>
              <w:rPr>
                <w:rFonts w:hint="eastAsia"/>
              </w:rPr>
              <w:t>划片后</w:t>
            </w:r>
            <w:r>
              <w:t>采用超声清洗机清洗去除芯片</w:t>
            </w:r>
            <w:r>
              <w:rPr>
                <w:rFonts w:hint="eastAsia"/>
              </w:rPr>
              <w:t>表面残留</w:t>
            </w:r>
            <w:r>
              <w:t>的少量硅屑和灰尘，此过程会产生噪声和清洗废水。</w:t>
            </w:r>
          </w:p>
          <w:p>
            <w:pPr>
              <w:adjustRightInd w:val="0"/>
              <w:snapToGrid w:val="0"/>
              <w:spacing w:line="360" w:lineRule="auto"/>
              <w:ind w:firstLine="422" w:firstLineChars="200"/>
              <w:rPr>
                <w:szCs w:val="21"/>
              </w:rPr>
            </w:pPr>
            <w:r>
              <w:rPr>
                <w:rFonts w:hint="eastAsia"/>
                <w:b/>
              </w:rPr>
              <w:t>粘片</w:t>
            </w:r>
            <w:r>
              <w:rPr>
                <w:b/>
              </w:rPr>
              <w:t>：</w:t>
            </w:r>
            <w:r>
              <w:rPr>
                <w:rFonts w:hint="eastAsia"/>
                <w:szCs w:val="21"/>
              </w:rPr>
              <w:t>划成小粒的芯片清洗后通过粘片机粘贴在外购</w:t>
            </w:r>
            <w:r>
              <w:rPr>
                <w:szCs w:val="21"/>
              </w:rPr>
              <w:t>的专用</w:t>
            </w:r>
            <w:r>
              <w:rPr>
                <w:rFonts w:hint="eastAsia"/>
                <w:szCs w:val="21"/>
              </w:rPr>
              <w:t>框架上，根据</w:t>
            </w:r>
            <w:r>
              <w:rPr>
                <w:szCs w:val="21"/>
              </w:rPr>
              <w:t>不同粘片工艺选择锡膏或锡丝进行粘片，此过程</w:t>
            </w:r>
            <w:r>
              <w:rPr>
                <w:rFonts w:hint="eastAsia"/>
                <w:szCs w:val="21"/>
              </w:rPr>
              <w:t>会产生</w:t>
            </w:r>
            <w:r>
              <w:rPr>
                <w:szCs w:val="21"/>
              </w:rPr>
              <w:t>噪声、锡及其化合物和有机废气</w:t>
            </w:r>
            <w:r>
              <w:rPr>
                <w:rFonts w:hint="eastAsia"/>
                <w:szCs w:val="21"/>
              </w:rPr>
              <w:t>。</w:t>
            </w:r>
          </w:p>
          <w:p>
            <w:pPr>
              <w:adjustRightInd w:val="0"/>
              <w:snapToGrid w:val="0"/>
              <w:spacing w:line="360" w:lineRule="auto"/>
              <w:ind w:firstLine="422" w:firstLineChars="200"/>
            </w:pPr>
            <w:r>
              <w:rPr>
                <w:rFonts w:hint="eastAsia"/>
                <w:b/>
              </w:rPr>
              <w:t>焊线</w:t>
            </w:r>
            <w:r>
              <w:rPr>
                <w:b/>
              </w:rPr>
              <w:t>：</w:t>
            </w:r>
            <w:r>
              <w:rPr>
                <w:rFonts w:hint="eastAsia"/>
              </w:rPr>
              <w:t>使用焊线机焊接相应的金属线（铝线或铜线），使芯片与框架上的端口相连形成电路，焊线机焊接利用</w:t>
            </w:r>
            <w:r>
              <w:t>压焊技术，</w:t>
            </w:r>
            <w:r>
              <w:rPr>
                <w:rFonts w:hint="eastAsia"/>
              </w:rPr>
              <w:t>是一种物理变化过程，首先线材的首端已经经过处理形成球形，接着线材球在温度和压力的共同作用下，在金属焊接表面产生塑性变形，使两种介质达到可靠的接触，并通过超声波摩擦振动，两种金属原子之间在原子亲和力的作用下形成金属键，实现了线材引线的焊接，</w:t>
            </w:r>
            <w:r>
              <w:t>此过程</w:t>
            </w:r>
            <w:r>
              <w:rPr>
                <w:rFonts w:hint="eastAsia"/>
              </w:rPr>
              <w:t>主要</w:t>
            </w:r>
            <w:r>
              <w:t>产生噪声。</w:t>
            </w:r>
          </w:p>
          <w:p>
            <w:pPr>
              <w:adjustRightInd w:val="0"/>
              <w:snapToGrid w:val="0"/>
              <w:spacing w:line="360" w:lineRule="auto"/>
              <w:ind w:firstLine="422" w:firstLineChars="200"/>
              <w:rPr>
                <w:szCs w:val="21"/>
              </w:rPr>
            </w:pPr>
            <w:r>
              <w:rPr>
                <w:rFonts w:hint="eastAsia"/>
                <w:b/>
              </w:rPr>
              <w:t>检验</w:t>
            </w:r>
            <w:r>
              <w:rPr>
                <w:b/>
              </w:rPr>
              <w:t>：</w:t>
            </w:r>
            <w:r>
              <w:t>利用检测设备测试</w:t>
            </w:r>
            <w:r>
              <w:rPr>
                <w:rFonts w:hint="eastAsia"/>
              </w:rPr>
              <w:t>焊线后</w:t>
            </w:r>
            <w:r>
              <w:t>功能是否完整良好，</w:t>
            </w:r>
            <w:r>
              <w:rPr>
                <w:rFonts w:hint="eastAsia"/>
              </w:rPr>
              <w:t>部分</w:t>
            </w:r>
            <w:r>
              <w:t>产品需经回流焊测试，仅将产品送入回流焊机中过一遍，</w:t>
            </w:r>
            <w:r>
              <w:rPr>
                <w:rFonts w:hint="eastAsia"/>
              </w:rPr>
              <w:t>目的观察产品</w:t>
            </w:r>
            <w:r>
              <w:t>经过回流焊机以后</w:t>
            </w:r>
            <w:r>
              <w:rPr>
                <w:rFonts w:hint="eastAsia"/>
              </w:rPr>
              <w:t>性能</w:t>
            </w:r>
            <w:r>
              <w:t>是否改变，此过程</w:t>
            </w:r>
            <w:r>
              <w:rPr>
                <w:rFonts w:hint="eastAsia"/>
              </w:rPr>
              <w:t>不使用</w:t>
            </w:r>
            <w:r>
              <w:t>其他辅料，对不合格产品进行查找原因，并返回各工序</w:t>
            </w:r>
            <w:r>
              <w:rPr>
                <w:rFonts w:hint="eastAsia"/>
                <w:szCs w:val="21"/>
              </w:rPr>
              <w:t>。</w:t>
            </w:r>
          </w:p>
          <w:p>
            <w:pPr>
              <w:adjustRightInd w:val="0"/>
              <w:snapToGrid w:val="0"/>
              <w:spacing w:line="360" w:lineRule="auto"/>
              <w:ind w:firstLine="422" w:firstLineChars="200"/>
              <w:rPr>
                <w:szCs w:val="21"/>
              </w:rPr>
            </w:pPr>
            <w:r>
              <w:rPr>
                <w:rFonts w:hint="eastAsia"/>
                <w:b/>
              </w:rPr>
              <w:t>塑封、</w:t>
            </w:r>
            <w:r>
              <w:rPr>
                <w:b/>
              </w:rPr>
              <w:t>固化：</w:t>
            </w:r>
            <w:r>
              <w:rPr>
                <w:rFonts w:hint="eastAsia"/>
                <w:szCs w:val="21"/>
              </w:rPr>
              <w:t>通过塑封压机和模具，采用塑封材料将载芯框架的半成品封装保护起来，采用环氧树脂等高分子材料在加热和加压一定时间后，使它们固化形成器件的密封外壳，加热温度为 175℃，采用电加热，该工序会产生少量的塑封废料、有机废气和</w:t>
            </w:r>
            <w:r>
              <w:rPr>
                <w:szCs w:val="21"/>
              </w:rPr>
              <w:t>噪声</w:t>
            </w:r>
            <w:r>
              <w:rPr>
                <w:rFonts w:hint="eastAsia"/>
                <w:szCs w:val="21"/>
              </w:rPr>
              <w:t>。</w:t>
            </w:r>
          </w:p>
          <w:p>
            <w:pPr>
              <w:adjustRightInd w:val="0"/>
              <w:snapToGrid w:val="0"/>
              <w:spacing w:line="360" w:lineRule="auto"/>
              <w:ind w:firstLine="422" w:firstLineChars="200"/>
              <w:rPr>
                <w:szCs w:val="21"/>
              </w:rPr>
            </w:pPr>
            <w:r>
              <w:rPr>
                <w:rFonts w:hint="eastAsia"/>
                <w:b/>
              </w:rPr>
              <w:t>外发电镀</w:t>
            </w:r>
            <w:r>
              <w:rPr>
                <w:b/>
              </w:rPr>
              <w:t>：</w:t>
            </w:r>
            <w:r>
              <w:rPr>
                <w:rFonts w:hint="eastAsia"/>
                <w:szCs w:val="21"/>
              </w:rPr>
              <w:t>塑封好</w:t>
            </w:r>
            <w:r>
              <w:rPr>
                <w:szCs w:val="21"/>
              </w:rPr>
              <w:t>的产品外发进行电镀</w:t>
            </w:r>
            <w:r>
              <w:rPr>
                <w:rFonts w:hint="eastAsia"/>
                <w:szCs w:val="21"/>
              </w:rPr>
              <w:t>。</w:t>
            </w:r>
          </w:p>
          <w:p>
            <w:pPr>
              <w:adjustRightInd w:val="0"/>
              <w:snapToGrid w:val="0"/>
              <w:spacing w:line="360" w:lineRule="auto"/>
              <w:ind w:firstLine="422" w:firstLineChars="200"/>
              <w:rPr>
                <w:szCs w:val="21"/>
              </w:rPr>
            </w:pPr>
            <w:r>
              <w:rPr>
                <w:rFonts w:hint="eastAsia"/>
                <w:b/>
              </w:rPr>
              <w:t>外观全检</w:t>
            </w:r>
            <w:r>
              <w:rPr>
                <w:b/>
              </w:rPr>
              <w:t>、点胶：</w:t>
            </w:r>
            <w:r>
              <w:rPr>
                <w:rFonts w:hint="eastAsia"/>
                <w:szCs w:val="21"/>
              </w:rPr>
              <w:t>电镀后</w:t>
            </w:r>
            <w:r>
              <w:rPr>
                <w:szCs w:val="21"/>
              </w:rPr>
              <w:t>返厂的产品进行外观全检，有部分产品塑封有缺陷，</w:t>
            </w:r>
            <w:r>
              <w:rPr>
                <w:rFonts w:hint="eastAsia"/>
                <w:szCs w:val="21"/>
              </w:rPr>
              <w:t>通过</w:t>
            </w:r>
            <w:r>
              <w:rPr>
                <w:szCs w:val="21"/>
              </w:rPr>
              <w:t>点胶机采用环氧树脂胶点胶补救</w:t>
            </w:r>
            <w:r>
              <w:rPr>
                <w:rFonts w:hint="eastAsia"/>
                <w:szCs w:val="21"/>
              </w:rPr>
              <w:t>，点胶过程会产生少量有机废气和</w:t>
            </w:r>
            <w:r>
              <w:rPr>
                <w:szCs w:val="21"/>
              </w:rPr>
              <w:t>噪声</w:t>
            </w:r>
            <w:r>
              <w:rPr>
                <w:rFonts w:hint="eastAsia"/>
                <w:szCs w:val="21"/>
              </w:rPr>
              <w:t>。</w:t>
            </w:r>
          </w:p>
          <w:p>
            <w:pPr>
              <w:adjustRightInd w:val="0"/>
              <w:snapToGrid w:val="0"/>
              <w:spacing w:line="360" w:lineRule="auto"/>
              <w:ind w:firstLine="422" w:firstLineChars="200"/>
              <w:rPr>
                <w:szCs w:val="21"/>
              </w:rPr>
            </w:pPr>
            <w:r>
              <w:rPr>
                <w:rFonts w:hint="eastAsia"/>
                <w:b/>
              </w:rPr>
              <w:t>切筋</w:t>
            </w:r>
            <w:r>
              <w:rPr>
                <w:b/>
              </w:rPr>
              <w:t>：</w:t>
            </w:r>
            <w:r>
              <w:rPr>
                <w:rFonts w:hint="eastAsia"/>
                <w:szCs w:val="21"/>
              </w:rPr>
              <w:t>采用切筋机将整条产品切成一只一只的单个产品，此工序</w:t>
            </w:r>
            <w:r>
              <w:rPr>
                <w:szCs w:val="21"/>
              </w:rPr>
              <w:t>主要产生噪声</w:t>
            </w:r>
            <w:r>
              <w:rPr>
                <w:rFonts w:hint="eastAsia"/>
                <w:szCs w:val="21"/>
              </w:rPr>
              <w:t>。</w:t>
            </w:r>
          </w:p>
          <w:p>
            <w:pPr>
              <w:adjustRightInd w:val="0"/>
              <w:snapToGrid w:val="0"/>
              <w:spacing w:line="360" w:lineRule="auto"/>
              <w:ind w:firstLine="422" w:firstLineChars="200"/>
              <w:rPr>
                <w:szCs w:val="21"/>
              </w:rPr>
            </w:pPr>
            <w:r>
              <w:rPr>
                <w:rFonts w:hint="eastAsia"/>
                <w:b/>
              </w:rPr>
              <w:t>测试、打标</w:t>
            </w:r>
            <w:r>
              <w:rPr>
                <w:b/>
              </w:rPr>
              <w:t>：</w:t>
            </w:r>
            <w:r>
              <w:rPr>
                <w:rFonts w:hint="eastAsia"/>
                <w:szCs w:val="21"/>
              </w:rPr>
              <w:t>切筋后</w:t>
            </w:r>
            <w:r>
              <w:rPr>
                <w:szCs w:val="21"/>
              </w:rPr>
              <w:t>的单个产品经测试合格后，合格品进</w:t>
            </w:r>
            <w:r>
              <w:rPr>
                <w:rFonts w:hint="eastAsia"/>
                <w:szCs w:val="21"/>
              </w:rPr>
              <w:t>激光</w:t>
            </w:r>
            <w:r>
              <w:rPr>
                <w:szCs w:val="21"/>
              </w:rPr>
              <w:t>打标，此工序会产生少量废次品</w:t>
            </w:r>
            <w:r>
              <w:rPr>
                <w:rFonts w:hint="eastAsia"/>
                <w:szCs w:val="21"/>
              </w:rPr>
              <w:t>。</w:t>
            </w:r>
          </w:p>
          <w:p>
            <w:pPr>
              <w:adjustRightInd w:val="0"/>
              <w:snapToGrid w:val="0"/>
              <w:spacing w:line="360" w:lineRule="auto"/>
              <w:ind w:firstLine="422" w:firstLineChars="200"/>
            </w:pPr>
            <w:r>
              <w:rPr>
                <w:b/>
              </w:rPr>
              <w:t>包装</w:t>
            </w:r>
            <w:r>
              <w:rPr>
                <w:rFonts w:hint="eastAsia"/>
                <w:b/>
              </w:rPr>
              <w:t>出货</w:t>
            </w:r>
            <w:r>
              <w:rPr>
                <w:b/>
              </w:rPr>
              <w:t>：</w:t>
            </w:r>
            <w:r>
              <w:rPr>
                <w:rFonts w:hint="eastAsia"/>
                <w:szCs w:val="21"/>
              </w:rPr>
              <w:t>打标后</w:t>
            </w:r>
            <w:r>
              <w:rPr>
                <w:szCs w:val="21"/>
              </w:rPr>
              <w:t>的产品包装入库，包装过程会产生废包装材料</w:t>
            </w:r>
            <w:r>
              <w:t>。</w:t>
            </w:r>
          </w:p>
          <w:p>
            <w:pPr>
              <w:numPr>
                <w:ilvl w:val="0"/>
                <w:numId w:val="2"/>
              </w:numPr>
              <w:adjustRightInd w:val="0"/>
              <w:snapToGrid w:val="0"/>
              <w:spacing w:line="360" w:lineRule="auto"/>
              <w:ind w:left="322"/>
              <w:jc w:val="center"/>
              <w:rPr>
                <w:b/>
                <w:szCs w:val="21"/>
              </w:rPr>
            </w:pPr>
            <w:r>
              <w:rPr>
                <w:b/>
                <w:szCs w:val="21"/>
              </w:rPr>
              <w:t>运营期污染源污染因子分析汇总表</w:t>
            </w:r>
          </w:p>
          <w:tbl>
            <w:tblPr>
              <w:tblStyle w:val="29"/>
              <w:tblW w:w="5000" w:type="pct"/>
              <w:jc w:val="center"/>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2"/>
              <w:gridCol w:w="1077"/>
              <w:gridCol w:w="2284"/>
              <w:gridCol w:w="2140"/>
              <w:gridCol w:w="2521"/>
            </w:tblGrid>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1" w:type="pct"/>
                  <w:gridSpan w:val="2"/>
                  <w:vAlign w:val="center"/>
                </w:tcPr>
                <w:p>
                  <w:pPr>
                    <w:adjustRightInd w:val="0"/>
                    <w:snapToGrid w:val="0"/>
                    <w:jc w:val="center"/>
                    <w:rPr>
                      <w:b/>
                      <w:szCs w:val="21"/>
                    </w:rPr>
                  </w:pPr>
                  <w:r>
                    <w:rPr>
                      <w:b/>
                      <w:szCs w:val="21"/>
                    </w:rPr>
                    <w:t>类别</w:t>
                  </w:r>
                </w:p>
              </w:tc>
              <w:tc>
                <w:tcPr>
                  <w:tcW w:w="1338" w:type="pct"/>
                  <w:vAlign w:val="center"/>
                </w:tcPr>
                <w:p>
                  <w:pPr>
                    <w:adjustRightInd w:val="0"/>
                    <w:snapToGrid w:val="0"/>
                    <w:jc w:val="center"/>
                    <w:rPr>
                      <w:b/>
                      <w:szCs w:val="21"/>
                    </w:rPr>
                  </w:pPr>
                  <w:r>
                    <w:rPr>
                      <w:b/>
                      <w:szCs w:val="21"/>
                    </w:rPr>
                    <w:t>污染源</w:t>
                  </w:r>
                </w:p>
              </w:tc>
              <w:tc>
                <w:tcPr>
                  <w:tcW w:w="1254" w:type="pct"/>
                  <w:vAlign w:val="center"/>
                </w:tcPr>
                <w:p>
                  <w:pPr>
                    <w:adjustRightInd w:val="0"/>
                    <w:snapToGrid w:val="0"/>
                    <w:jc w:val="center"/>
                    <w:rPr>
                      <w:b/>
                      <w:szCs w:val="21"/>
                    </w:rPr>
                  </w:pPr>
                  <w:r>
                    <w:rPr>
                      <w:b/>
                      <w:szCs w:val="21"/>
                    </w:rPr>
                    <w:t>污染物</w:t>
                  </w:r>
                </w:p>
              </w:tc>
              <w:tc>
                <w:tcPr>
                  <w:tcW w:w="1477" w:type="pct"/>
                  <w:vAlign w:val="center"/>
                </w:tcPr>
                <w:p>
                  <w:pPr>
                    <w:adjustRightInd w:val="0"/>
                    <w:snapToGrid w:val="0"/>
                    <w:jc w:val="center"/>
                    <w:rPr>
                      <w:b/>
                      <w:szCs w:val="21"/>
                    </w:rPr>
                  </w:pPr>
                  <w:r>
                    <w:rPr>
                      <w:b/>
                      <w:szCs w:val="21"/>
                    </w:rPr>
                    <w:t>治理措施</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1" w:type="pct"/>
                  <w:gridSpan w:val="2"/>
                  <w:vMerge w:val="restart"/>
                  <w:vAlign w:val="center"/>
                </w:tcPr>
                <w:p>
                  <w:pPr>
                    <w:adjustRightInd w:val="0"/>
                    <w:snapToGrid w:val="0"/>
                    <w:jc w:val="center"/>
                    <w:rPr>
                      <w:szCs w:val="21"/>
                    </w:rPr>
                  </w:pPr>
                  <w:r>
                    <w:rPr>
                      <w:szCs w:val="21"/>
                    </w:rPr>
                    <w:t>废气</w:t>
                  </w:r>
                </w:p>
              </w:tc>
              <w:tc>
                <w:tcPr>
                  <w:tcW w:w="1338" w:type="pct"/>
                  <w:vAlign w:val="center"/>
                </w:tcPr>
                <w:p>
                  <w:pPr>
                    <w:adjustRightInd w:val="0"/>
                    <w:snapToGrid w:val="0"/>
                    <w:jc w:val="center"/>
                    <w:rPr>
                      <w:szCs w:val="21"/>
                    </w:rPr>
                  </w:pPr>
                  <w:r>
                    <w:rPr>
                      <w:rFonts w:hint="eastAsia"/>
                      <w:szCs w:val="21"/>
                    </w:rPr>
                    <w:t>粘片</w:t>
                  </w:r>
                </w:p>
              </w:tc>
              <w:tc>
                <w:tcPr>
                  <w:tcW w:w="1254" w:type="pct"/>
                  <w:vAlign w:val="center"/>
                </w:tcPr>
                <w:p>
                  <w:pPr>
                    <w:adjustRightInd w:val="0"/>
                    <w:snapToGrid w:val="0"/>
                    <w:jc w:val="center"/>
                    <w:rPr>
                      <w:szCs w:val="21"/>
                    </w:rPr>
                  </w:pPr>
                  <w:r>
                    <w:rPr>
                      <w:rFonts w:hint="eastAsia"/>
                      <w:szCs w:val="21"/>
                    </w:rPr>
                    <w:t>有机废气</w:t>
                  </w:r>
                  <w:r>
                    <w:rPr>
                      <w:szCs w:val="21"/>
                    </w:rPr>
                    <w:t>、锡及其化合物</w:t>
                  </w:r>
                </w:p>
              </w:tc>
              <w:tc>
                <w:tcPr>
                  <w:tcW w:w="1477" w:type="pct"/>
                  <w:vMerge w:val="restart"/>
                  <w:vAlign w:val="center"/>
                </w:tcPr>
                <w:p>
                  <w:pPr>
                    <w:adjustRightInd w:val="0"/>
                    <w:snapToGrid w:val="0"/>
                    <w:jc w:val="center"/>
                    <w:rPr>
                      <w:szCs w:val="21"/>
                    </w:rPr>
                  </w:pPr>
                  <w:r>
                    <w:rPr>
                      <w:rFonts w:hint="eastAsia"/>
                      <w:szCs w:val="21"/>
                    </w:rPr>
                    <w:t>“喷淋塔+干式</w:t>
                  </w:r>
                  <w:r>
                    <w:rPr>
                      <w:szCs w:val="21"/>
                    </w:rPr>
                    <w:t>除雾器</w:t>
                  </w:r>
                  <w:r>
                    <w:rPr>
                      <w:rFonts w:hint="eastAsia"/>
                      <w:szCs w:val="21"/>
                    </w:rPr>
                    <w:t>+两级</w:t>
                  </w:r>
                  <w:r>
                    <w:rPr>
                      <w:szCs w:val="21"/>
                    </w:rPr>
                    <w:t>活性炭</w:t>
                  </w:r>
                  <w:r>
                    <w:rPr>
                      <w:rFonts w:hint="eastAsia"/>
                      <w:szCs w:val="21"/>
                    </w:rPr>
                    <w:t>”</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31" w:type="pct"/>
                  <w:gridSpan w:val="2"/>
                  <w:vMerge w:val="continue"/>
                  <w:vAlign w:val="center"/>
                </w:tcPr>
                <w:p>
                  <w:pPr>
                    <w:adjustRightInd w:val="0"/>
                    <w:snapToGrid w:val="0"/>
                    <w:jc w:val="center"/>
                    <w:rPr>
                      <w:szCs w:val="21"/>
                    </w:rPr>
                  </w:pPr>
                </w:p>
              </w:tc>
              <w:tc>
                <w:tcPr>
                  <w:tcW w:w="1338" w:type="pct"/>
                  <w:vAlign w:val="center"/>
                </w:tcPr>
                <w:p>
                  <w:pPr>
                    <w:adjustRightInd w:val="0"/>
                    <w:snapToGrid w:val="0"/>
                    <w:jc w:val="center"/>
                    <w:rPr>
                      <w:szCs w:val="21"/>
                    </w:rPr>
                  </w:pPr>
                  <w:r>
                    <w:rPr>
                      <w:rFonts w:hint="eastAsia"/>
                      <w:szCs w:val="21"/>
                    </w:rPr>
                    <w:t>固化</w:t>
                  </w:r>
                </w:p>
              </w:tc>
              <w:tc>
                <w:tcPr>
                  <w:tcW w:w="1254" w:type="pct"/>
                  <w:vAlign w:val="center"/>
                </w:tcPr>
                <w:p>
                  <w:pPr>
                    <w:adjustRightInd w:val="0"/>
                    <w:snapToGrid w:val="0"/>
                    <w:jc w:val="center"/>
                    <w:rPr>
                      <w:szCs w:val="21"/>
                    </w:rPr>
                  </w:pPr>
                  <w:r>
                    <w:rPr>
                      <w:rFonts w:hint="eastAsia"/>
                      <w:szCs w:val="21"/>
                    </w:rPr>
                    <w:t>有机废气</w:t>
                  </w:r>
                </w:p>
              </w:tc>
              <w:tc>
                <w:tcPr>
                  <w:tcW w:w="1477" w:type="pct"/>
                  <w:vMerge w:val="continue"/>
                  <w:vAlign w:val="center"/>
                </w:tcPr>
                <w:p>
                  <w:pPr>
                    <w:adjustRightInd w:val="0"/>
                    <w:snapToGrid w:val="0"/>
                    <w:jc w:val="center"/>
                    <w:rPr>
                      <w:szCs w:val="21"/>
                    </w:rPr>
                  </w:pP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1" w:type="pct"/>
                  <w:gridSpan w:val="2"/>
                  <w:vMerge w:val="continue"/>
                  <w:vAlign w:val="center"/>
                </w:tcPr>
                <w:p>
                  <w:pPr>
                    <w:adjustRightInd w:val="0"/>
                    <w:snapToGrid w:val="0"/>
                    <w:jc w:val="center"/>
                    <w:rPr>
                      <w:szCs w:val="21"/>
                    </w:rPr>
                  </w:pPr>
                </w:p>
              </w:tc>
              <w:tc>
                <w:tcPr>
                  <w:tcW w:w="1338" w:type="pct"/>
                  <w:vAlign w:val="center"/>
                </w:tcPr>
                <w:p>
                  <w:pPr>
                    <w:adjustRightInd w:val="0"/>
                    <w:snapToGrid w:val="0"/>
                    <w:jc w:val="center"/>
                    <w:rPr>
                      <w:szCs w:val="21"/>
                    </w:rPr>
                  </w:pPr>
                  <w:r>
                    <w:rPr>
                      <w:rFonts w:hint="eastAsia"/>
                      <w:szCs w:val="21"/>
                    </w:rPr>
                    <w:t>点胶</w:t>
                  </w:r>
                </w:p>
              </w:tc>
              <w:tc>
                <w:tcPr>
                  <w:tcW w:w="1254" w:type="pct"/>
                  <w:vAlign w:val="center"/>
                </w:tcPr>
                <w:p>
                  <w:pPr>
                    <w:adjustRightInd w:val="0"/>
                    <w:snapToGrid w:val="0"/>
                    <w:jc w:val="center"/>
                    <w:rPr>
                      <w:szCs w:val="21"/>
                    </w:rPr>
                  </w:pPr>
                  <w:r>
                    <w:rPr>
                      <w:rFonts w:hint="eastAsia"/>
                      <w:szCs w:val="21"/>
                    </w:rPr>
                    <w:t>有机</w:t>
                  </w:r>
                  <w:r>
                    <w:rPr>
                      <w:szCs w:val="21"/>
                    </w:rPr>
                    <w:t>废气</w:t>
                  </w:r>
                </w:p>
              </w:tc>
              <w:tc>
                <w:tcPr>
                  <w:tcW w:w="1477" w:type="pct"/>
                  <w:vMerge w:val="continue"/>
                  <w:vAlign w:val="center"/>
                </w:tcPr>
                <w:p>
                  <w:pPr>
                    <w:adjustRightInd w:val="0"/>
                    <w:snapToGrid w:val="0"/>
                    <w:jc w:val="center"/>
                    <w:rPr>
                      <w:szCs w:val="21"/>
                    </w:rPr>
                  </w:pP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1" w:type="pct"/>
                  <w:gridSpan w:val="2"/>
                  <w:vMerge w:val="restart"/>
                  <w:vAlign w:val="center"/>
                </w:tcPr>
                <w:p>
                  <w:pPr>
                    <w:adjustRightInd w:val="0"/>
                    <w:snapToGrid w:val="0"/>
                    <w:jc w:val="center"/>
                    <w:rPr>
                      <w:szCs w:val="21"/>
                    </w:rPr>
                  </w:pPr>
                  <w:r>
                    <w:rPr>
                      <w:rFonts w:hint="eastAsia"/>
                      <w:szCs w:val="21"/>
                    </w:rPr>
                    <w:t>废水</w:t>
                  </w:r>
                </w:p>
              </w:tc>
              <w:tc>
                <w:tcPr>
                  <w:tcW w:w="1338" w:type="pct"/>
                  <w:vAlign w:val="center"/>
                </w:tcPr>
                <w:p>
                  <w:pPr>
                    <w:adjustRightInd w:val="0"/>
                    <w:snapToGrid w:val="0"/>
                    <w:jc w:val="center"/>
                    <w:rPr>
                      <w:szCs w:val="21"/>
                    </w:rPr>
                  </w:pPr>
                  <w:r>
                    <w:rPr>
                      <w:rFonts w:hint="eastAsia"/>
                      <w:szCs w:val="21"/>
                    </w:rPr>
                    <w:t>员工办公</w:t>
                  </w:r>
                  <w:r>
                    <w:rPr>
                      <w:szCs w:val="21"/>
                    </w:rPr>
                    <w:t>生活</w:t>
                  </w:r>
                </w:p>
              </w:tc>
              <w:tc>
                <w:tcPr>
                  <w:tcW w:w="1254" w:type="pct"/>
                  <w:vAlign w:val="center"/>
                </w:tcPr>
                <w:p>
                  <w:pPr>
                    <w:adjustRightInd w:val="0"/>
                    <w:snapToGrid w:val="0"/>
                    <w:jc w:val="center"/>
                    <w:rPr>
                      <w:szCs w:val="21"/>
                    </w:rPr>
                  </w:pPr>
                  <w:r>
                    <w:rPr>
                      <w:rFonts w:hint="eastAsia"/>
                      <w:szCs w:val="21"/>
                    </w:rPr>
                    <w:t>生活</w:t>
                  </w:r>
                  <w:r>
                    <w:rPr>
                      <w:szCs w:val="21"/>
                    </w:rPr>
                    <w:t>污水</w:t>
                  </w:r>
                </w:p>
              </w:tc>
              <w:tc>
                <w:tcPr>
                  <w:tcW w:w="1477" w:type="pct"/>
                  <w:vAlign w:val="center"/>
                </w:tcPr>
                <w:p>
                  <w:pPr>
                    <w:adjustRightInd w:val="0"/>
                    <w:snapToGrid w:val="0"/>
                    <w:jc w:val="center"/>
                    <w:rPr>
                      <w:szCs w:val="21"/>
                    </w:rPr>
                  </w:pPr>
                  <w:r>
                    <w:rPr>
                      <w:szCs w:val="21"/>
                    </w:rPr>
                    <w:t>经三级化粪池</w:t>
                  </w:r>
                  <w:r>
                    <w:rPr>
                      <w:rFonts w:hint="eastAsia"/>
                      <w:szCs w:val="21"/>
                    </w:rPr>
                    <w:t>、</w:t>
                  </w:r>
                  <w:r>
                    <w:rPr>
                      <w:szCs w:val="21"/>
                    </w:rPr>
                    <w:t>隔油隔渣池预处理后，经市政污水管网排入</w:t>
                  </w:r>
                  <w:r>
                    <w:rPr>
                      <w:rFonts w:hint="eastAsia"/>
                      <w:szCs w:val="21"/>
                    </w:rPr>
                    <w:t>园洲镇第四</w:t>
                  </w:r>
                  <w:r>
                    <w:rPr>
                      <w:szCs w:val="21"/>
                    </w:rPr>
                    <w:t>污水处理厂</w:t>
                  </w:r>
                  <w:r>
                    <w:rPr>
                      <w:rFonts w:hint="eastAsia"/>
                      <w:szCs w:val="21"/>
                    </w:rPr>
                    <w:t>集中</w:t>
                  </w:r>
                  <w:r>
                    <w:rPr>
                      <w:szCs w:val="21"/>
                    </w:rPr>
                    <w:t>处理</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1" w:type="pct"/>
                  <w:gridSpan w:val="2"/>
                  <w:vMerge w:val="continue"/>
                  <w:vAlign w:val="center"/>
                </w:tcPr>
                <w:p>
                  <w:pPr>
                    <w:adjustRightInd w:val="0"/>
                    <w:snapToGrid w:val="0"/>
                    <w:jc w:val="center"/>
                    <w:rPr>
                      <w:szCs w:val="21"/>
                    </w:rPr>
                  </w:pPr>
                </w:p>
              </w:tc>
              <w:tc>
                <w:tcPr>
                  <w:tcW w:w="1338" w:type="pct"/>
                  <w:vAlign w:val="center"/>
                </w:tcPr>
                <w:p>
                  <w:pPr>
                    <w:adjustRightInd w:val="0"/>
                    <w:snapToGrid w:val="0"/>
                    <w:jc w:val="center"/>
                    <w:rPr>
                      <w:szCs w:val="21"/>
                    </w:rPr>
                  </w:pPr>
                  <w:r>
                    <w:rPr>
                      <w:rFonts w:hint="eastAsia"/>
                      <w:szCs w:val="21"/>
                    </w:rPr>
                    <w:t>清洗</w:t>
                  </w:r>
                </w:p>
              </w:tc>
              <w:tc>
                <w:tcPr>
                  <w:tcW w:w="1254" w:type="pct"/>
                  <w:vAlign w:val="center"/>
                </w:tcPr>
                <w:p>
                  <w:pPr>
                    <w:adjustRightInd w:val="0"/>
                    <w:snapToGrid w:val="0"/>
                    <w:jc w:val="center"/>
                    <w:rPr>
                      <w:szCs w:val="21"/>
                    </w:rPr>
                  </w:pPr>
                  <w:r>
                    <w:rPr>
                      <w:rFonts w:hint="eastAsia"/>
                      <w:szCs w:val="21"/>
                    </w:rPr>
                    <w:t>清洗</w:t>
                  </w:r>
                  <w:r>
                    <w:rPr>
                      <w:szCs w:val="21"/>
                    </w:rPr>
                    <w:t>废水</w:t>
                  </w:r>
                </w:p>
              </w:tc>
              <w:tc>
                <w:tcPr>
                  <w:tcW w:w="1477" w:type="pct"/>
                  <w:vAlign w:val="center"/>
                </w:tcPr>
                <w:p>
                  <w:pPr>
                    <w:adjustRightInd w:val="0"/>
                    <w:snapToGrid w:val="0"/>
                    <w:jc w:val="center"/>
                    <w:rPr>
                      <w:szCs w:val="21"/>
                    </w:rPr>
                  </w:pPr>
                  <w:r>
                    <w:rPr>
                      <w:rFonts w:hint="eastAsia"/>
                      <w:szCs w:val="21"/>
                    </w:rPr>
                    <w:t>委托</w:t>
                  </w:r>
                  <w:r>
                    <w:rPr>
                      <w:szCs w:val="21"/>
                    </w:rPr>
                    <w:t>有资质单位处理</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1" w:type="pct"/>
                  <w:gridSpan w:val="2"/>
                  <w:vAlign w:val="center"/>
                </w:tcPr>
                <w:p>
                  <w:pPr>
                    <w:adjustRightInd w:val="0"/>
                    <w:snapToGrid w:val="0"/>
                    <w:jc w:val="center"/>
                    <w:rPr>
                      <w:szCs w:val="21"/>
                    </w:rPr>
                  </w:pPr>
                  <w:r>
                    <w:rPr>
                      <w:szCs w:val="21"/>
                    </w:rPr>
                    <w:t>噪声</w:t>
                  </w:r>
                </w:p>
              </w:tc>
              <w:tc>
                <w:tcPr>
                  <w:tcW w:w="1338" w:type="pct"/>
                  <w:vAlign w:val="center"/>
                </w:tcPr>
                <w:p>
                  <w:pPr>
                    <w:adjustRightInd w:val="0"/>
                    <w:snapToGrid w:val="0"/>
                    <w:jc w:val="center"/>
                    <w:rPr>
                      <w:szCs w:val="21"/>
                    </w:rPr>
                  </w:pPr>
                  <w:r>
                    <w:rPr>
                      <w:rFonts w:hint="eastAsia"/>
                      <w:szCs w:val="21"/>
                    </w:rPr>
                    <w:t>划片、</w:t>
                  </w:r>
                  <w:r>
                    <w:rPr>
                      <w:szCs w:val="21"/>
                    </w:rPr>
                    <w:t>清洗、粘片、焊线</w:t>
                  </w:r>
                  <w:r>
                    <w:rPr>
                      <w:rFonts w:hint="eastAsia"/>
                      <w:szCs w:val="21"/>
                    </w:rPr>
                    <w:t>、</w:t>
                  </w:r>
                  <w:r>
                    <w:rPr>
                      <w:szCs w:val="21"/>
                    </w:rPr>
                    <w:t>塑封、点胶、切筋、测试</w:t>
                  </w:r>
                  <w:r>
                    <w:rPr>
                      <w:rFonts w:hint="eastAsia"/>
                      <w:szCs w:val="21"/>
                    </w:rPr>
                    <w:t>打标</w:t>
                  </w:r>
                </w:p>
              </w:tc>
              <w:tc>
                <w:tcPr>
                  <w:tcW w:w="1254" w:type="pct"/>
                  <w:vAlign w:val="center"/>
                </w:tcPr>
                <w:p>
                  <w:pPr>
                    <w:adjustRightInd w:val="0"/>
                    <w:snapToGrid w:val="0"/>
                    <w:jc w:val="center"/>
                    <w:rPr>
                      <w:szCs w:val="21"/>
                    </w:rPr>
                  </w:pPr>
                  <w:r>
                    <w:rPr>
                      <w:szCs w:val="21"/>
                    </w:rPr>
                    <w:t>噪声</w:t>
                  </w:r>
                </w:p>
              </w:tc>
              <w:tc>
                <w:tcPr>
                  <w:tcW w:w="1477" w:type="pct"/>
                  <w:vAlign w:val="center"/>
                </w:tcPr>
                <w:p>
                  <w:pPr>
                    <w:adjustRightInd w:val="0"/>
                    <w:snapToGrid w:val="0"/>
                    <w:jc w:val="center"/>
                    <w:rPr>
                      <w:szCs w:val="21"/>
                    </w:rPr>
                  </w:pPr>
                  <w:r>
                    <w:rPr>
                      <w:szCs w:val="21"/>
                    </w:rPr>
                    <w:t>隔声、减震、消声</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 w:type="pct"/>
                  <w:vMerge w:val="restart"/>
                  <w:vAlign w:val="center"/>
                </w:tcPr>
                <w:p>
                  <w:pPr>
                    <w:adjustRightInd w:val="0"/>
                    <w:snapToGrid w:val="0"/>
                    <w:jc w:val="center"/>
                    <w:rPr>
                      <w:szCs w:val="21"/>
                    </w:rPr>
                  </w:pPr>
                  <w:r>
                    <w:rPr>
                      <w:szCs w:val="21"/>
                    </w:rPr>
                    <w:t>固体废物</w:t>
                  </w:r>
                </w:p>
              </w:tc>
              <w:tc>
                <w:tcPr>
                  <w:tcW w:w="631" w:type="pct"/>
                  <w:vMerge w:val="restart"/>
                  <w:vAlign w:val="center"/>
                </w:tcPr>
                <w:p>
                  <w:pPr>
                    <w:adjustRightInd w:val="0"/>
                    <w:snapToGrid w:val="0"/>
                    <w:jc w:val="center"/>
                    <w:rPr>
                      <w:szCs w:val="21"/>
                    </w:rPr>
                  </w:pPr>
                  <w:r>
                    <w:rPr>
                      <w:szCs w:val="21"/>
                    </w:rPr>
                    <w:t>一般固废</w:t>
                  </w:r>
                </w:p>
              </w:tc>
              <w:tc>
                <w:tcPr>
                  <w:tcW w:w="1338" w:type="pct"/>
                  <w:vAlign w:val="center"/>
                </w:tcPr>
                <w:p>
                  <w:pPr>
                    <w:adjustRightInd w:val="0"/>
                    <w:snapToGrid w:val="0"/>
                    <w:jc w:val="center"/>
                    <w:rPr>
                      <w:szCs w:val="21"/>
                    </w:rPr>
                  </w:pPr>
                  <w:r>
                    <w:rPr>
                      <w:szCs w:val="21"/>
                    </w:rPr>
                    <w:t>原料使用、产品包装</w:t>
                  </w:r>
                </w:p>
              </w:tc>
              <w:tc>
                <w:tcPr>
                  <w:tcW w:w="1254" w:type="pct"/>
                  <w:vAlign w:val="center"/>
                </w:tcPr>
                <w:p>
                  <w:pPr>
                    <w:adjustRightInd w:val="0"/>
                    <w:snapToGrid w:val="0"/>
                    <w:jc w:val="center"/>
                    <w:rPr>
                      <w:szCs w:val="21"/>
                    </w:rPr>
                  </w:pPr>
                  <w:r>
                    <w:rPr>
                      <w:szCs w:val="21"/>
                    </w:rPr>
                    <w:t>废包装材料</w:t>
                  </w:r>
                </w:p>
              </w:tc>
              <w:tc>
                <w:tcPr>
                  <w:tcW w:w="1477" w:type="pct"/>
                  <w:vMerge w:val="restart"/>
                  <w:vAlign w:val="center"/>
                </w:tcPr>
                <w:p>
                  <w:pPr>
                    <w:adjustRightInd w:val="0"/>
                    <w:snapToGrid w:val="0"/>
                    <w:jc w:val="center"/>
                    <w:rPr>
                      <w:szCs w:val="21"/>
                    </w:rPr>
                  </w:pPr>
                  <w:r>
                    <w:rPr>
                      <w:szCs w:val="21"/>
                    </w:rPr>
                    <w:t>交由相关回收单位回收利用</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 w:type="pct"/>
                  <w:vMerge w:val="continue"/>
                  <w:vAlign w:val="center"/>
                </w:tcPr>
                <w:p>
                  <w:pPr>
                    <w:adjustRightInd w:val="0"/>
                    <w:snapToGrid w:val="0"/>
                    <w:jc w:val="center"/>
                    <w:rPr>
                      <w:szCs w:val="21"/>
                    </w:rPr>
                  </w:pPr>
                </w:p>
              </w:tc>
              <w:tc>
                <w:tcPr>
                  <w:tcW w:w="631" w:type="pct"/>
                  <w:vMerge w:val="continue"/>
                  <w:vAlign w:val="center"/>
                </w:tcPr>
                <w:p>
                  <w:pPr>
                    <w:adjustRightInd w:val="0"/>
                    <w:snapToGrid w:val="0"/>
                    <w:jc w:val="center"/>
                    <w:rPr>
                      <w:szCs w:val="21"/>
                    </w:rPr>
                  </w:pPr>
                </w:p>
              </w:tc>
              <w:tc>
                <w:tcPr>
                  <w:tcW w:w="1338" w:type="pct"/>
                  <w:vAlign w:val="center"/>
                </w:tcPr>
                <w:p>
                  <w:pPr>
                    <w:adjustRightInd w:val="0"/>
                    <w:snapToGrid w:val="0"/>
                    <w:jc w:val="center"/>
                    <w:rPr>
                      <w:szCs w:val="21"/>
                    </w:rPr>
                  </w:pPr>
                  <w:r>
                    <w:rPr>
                      <w:rFonts w:hint="eastAsia"/>
                      <w:szCs w:val="21"/>
                    </w:rPr>
                    <w:t>划片</w:t>
                  </w:r>
                </w:p>
              </w:tc>
              <w:tc>
                <w:tcPr>
                  <w:tcW w:w="1254" w:type="pct"/>
                  <w:vAlign w:val="center"/>
                </w:tcPr>
                <w:p>
                  <w:pPr>
                    <w:adjustRightInd w:val="0"/>
                    <w:snapToGrid w:val="0"/>
                    <w:jc w:val="center"/>
                    <w:rPr>
                      <w:szCs w:val="21"/>
                    </w:rPr>
                  </w:pPr>
                  <w:r>
                    <w:rPr>
                      <w:rFonts w:hint="eastAsia"/>
                      <w:szCs w:val="21"/>
                    </w:rPr>
                    <w:t>硅屑</w:t>
                  </w:r>
                </w:p>
              </w:tc>
              <w:tc>
                <w:tcPr>
                  <w:tcW w:w="1477" w:type="pct"/>
                  <w:vMerge w:val="continue"/>
                  <w:vAlign w:val="center"/>
                </w:tcPr>
                <w:p>
                  <w:pPr>
                    <w:adjustRightInd w:val="0"/>
                    <w:snapToGrid w:val="0"/>
                    <w:jc w:val="center"/>
                    <w:rPr>
                      <w:szCs w:val="21"/>
                    </w:rPr>
                  </w:pP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 w:type="pct"/>
                  <w:vMerge w:val="continue"/>
                  <w:vAlign w:val="center"/>
                </w:tcPr>
                <w:p>
                  <w:pPr>
                    <w:adjustRightInd w:val="0"/>
                    <w:snapToGrid w:val="0"/>
                    <w:jc w:val="center"/>
                    <w:rPr>
                      <w:szCs w:val="21"/>
                    </w:rPr>
                  </w:pPr>
                </w:p>
              </w:tc>
              <w:tc>
                <w:tcPr>
                  <w:tcW w:w="631" w:type="pct"/>
                  <w:vMerge w:val="continue"/>
                  <w:vAlign w:val="center"/>
                </w:tcPr>
                <w:p>
                  <w:pPr>
                    <w:adjustRightInd w:val="0"/>
                    <w:snapToGrid w:val="0"/>
                    <w:jc w:val="center"/>
                    <w:rPr>
                      <w:szCs w:val="21"/>
                    </w:rPr>
                  </w:pPr>
                </w:p>
              </w:tc>
              <w:tc>
                <w:tcPr>
                  <w:tcW w:w="1338" w:type="pct"/>
                  <w:vAlign w:val="center"/>
                </w:tcPr>
                <w:p>
                  <w:pPr>
                    <w:adjustRightInd w:val="0"/>
                    <w:snapToGrid w:val="0"/>
                    <w:jc w:val="center"/>
                    <w:rPr>
                      <w:szCs w:val="21"/>
                    </w:rPr>
                  </w:pPr>
                  <w:r>
                    <w:rPr>
                      <w:rFonts w:hint="eastAsia"/>
                      <w:szCs w:val="21"/>
                    </w:rPr>
                    <w:t>检验</w:t>
                  </w:r>
                </w:p>
              </w:tc>
              <w:tc>
                <w:tcPr>
                  <w:tcW w:w="1254" w:type="pct"/>
                  <w:vAlign w:val="center"/>
                </w:tcPr>
                <w:p>
                  <w:pPr>
                    <w:adjustRightInd w:val="0"/>
                    <w:snapToGrid w:val="0"/>
                    <w:jc w:val="center"/>
                    <w:rPr>
                      <w:szCs w:val="21"/>
                    </w:rPr>
                  </w:pPr>
                  <w:r>
                    <w:rPr>
                      <w:rFonts w:hint="eastAsia"/>
                      <w:szCs w:val="21"/>
                    </w:rPr>
                    <w:t>废次品</w:t>
                  </w:r>
                </w:p>
              </w:tc>
              <w:tc>
                <w:tcPr>
                  <w:tcW w:w="1477" w:type="pct"/>
                  <w:vMerge w:val="continue"/>
                  <w:vAlign w:val="center"/>
                </w:tcPr>
                <w:p>
                  <w:pPr>
                    <w:adjustRightInd w:val="0"/>
                    <w:snapToGrid w:val="0"/>
                    <w:jc w:val="center"/>
                    <w:rPr>
                      <w:szCs w:val="21"/>
                    </w:rPr>
                  </w:pP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 w:type="pct"/>
                  <w:vMerge w:val="continue"/>
                  <w:vAlign w:val="center"/>
                </w:tcPr>
                <w:p>
                  <w:pPr>
                    <w:adjustRightInd w:val="0"/>
                    <w:snapToGrid w:val="0"/>
                    <w:jc w:val="center"/>
                    <w:rPr>
                      <w:szCs w:val="21"/>
                    </w:rPr>
                  </w:pPr>
                </w:p>
              </w:tc>
              <w:tc>
                <w:tcPr>
                  <w:tcW w:w="631" w:type="pct"/>
                  <w:vMerge w:val="continue"/>
                  <w:vAlign w:val="center"/>
                </w:tcPr>
                <w:p>
                  <w:pPr>
                    <w:adjustRightInd w:val="0"/>
                    <w:snapToGrid w:val="0"/>
                    <w:jc w:val="center"/>
                    <w:rPr>
                      <w:szCs w:val="21"/>
                    </w:rPr>
                  </w:pPr>
                </w:p>
              </w:tc>
              <w:tc>
                <w:tcPr>
                  <w:tcW w:w="1338" w:type="pct"/>
                  <w:vAlign w:val="center"/>
                </w:tcPr>
                <w:p>
                  <w:pPr>
                    <w:adjustRightInd w:val="0"/>
                    <w:snapToGrid w:val="0"/>
                    <w:jc w:val="center"/>
                    <w:rPr>
                      <w:szCs w:val="21"/>
                    </w:rPr>
                  </w:pPr>
                  <w:r>
                    <w:rPr>
                      <w:rFonts w:hint="eastAsia"/>
                      <w:szCs w:val="21"/>
                    </w:rPr>
                    <w:t>塑封</w:t>
                  </w:r>
                </w:p>
              </w:tc>
              <w:tc>
                <w:tcPr>
                  <w:tcW w:w="1254" w:type="pct"/>
                  <w:vAlign w:val="center"/>
                </w:tcPr>
                <w:p>
                  <w:pPr>
                    <w:adjustRightInd w:val="0"/>
                    <w:snapToGrid w:val="0"/>
                    <w:jc w:val="center"/>
                    <w:rPr>
                      <w:szCs w:val="21"/>
                    </w:rPr>
                  </w:pPr>
                  <w:r>
                    <w:rPr>
                      <w:rFonts w:hint="eastAsia"/>
                      <w:szCs w:val="21"/>
                    </w:rPr>
                    <w:t>塑封</w:t>
                  </w:r>
                  <w:r>
                    <w:rPr>
                      <w:szCs w:val="21"/>
                    </w:rPr>
                    <w:t>废料</w:t>
                  </w:r>
                </w:p>
              </w:tc>
              <w:tc>
                <w:tcPr>
                  <w:tcW w:w="1477" w:type="pct"/>
                  <w:vMerge w:val="continue"/>
                  <w:vAlign w:val="center"/>
                </w:tcPr>
                <w:p>
                  <w:pPr>
                    <w:adjustRightInd w:val="0"/>
                    <w:snapToGrid w:val="0"/>
                    <w:jc w:val="center"/>
                    <w:rPr>
                      <w:szCs w:val="21"/>
                    </w:rPr>
                  </w:pP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 w:type="pct"/>
                  <w:vMerge w:val="continue"/>
                  <w:vAlign w:val="center"/>
                </w:tcPr>
                <w:p>
                  <w:pPr>
                    <w:adjustRightInd w:val="0"/>
                    <w:snapToGrid w:val="0"/>
                    <w:jc w:val="center"/>
                    <w:rPr>
                      <w:szCs w:val="21"/>
                    </w:rPr>
                  </w:pPr>
                </w:p>
              </w:tc>
              <w:tc>
                <w:tcPr>
                  <w:tcW w:w="631" w:type="pct"/>
                  <w:vMerge w:val="continue"/>
                  <w:vAlign w:val="center"/>
                </w:tcPr>
                <w:p>
                  <w:pPr>
                    <w:adjustRightInd w:val="0"/>
                    <w:snapToGrid w:val="0"/>
                    <w:jc w:val="center"/>
                    <w:rPr>
                      <w:szCs w:val="21"/>
                    </w:rPr>
                  </w:pPr>
                </w:p>
              </w:tc>
              <w:tc>
                <w:tcPr>
                  <w:tcW w:w="1338" w:type="pct"/>
                  <w:vMerge w:val="restart"/>
                  <w:vAlign w:val="center"/>
                </w:tcPr>
                <w:p>
                  <w:pPr>
                    <w:adjustRightInd w:val="0"/>
                    <w:snapToGrid w:val="0"/>
                    <w:jc w:val="center"/>
                    <w:rPr>
                      <w:szCs w:val="21"/>
                    </w:rPr>
                  </w:pPr>
                  <w:r>
                    <w:rPr>
                      <w:szCs w:val="21"/>
                    </w:rPr>
                    <w:t>废气处理</w:t>
                  </w:r>
                </w:p>
              </w:tc>
              <w:tc>
                <w:tcPr>
                  <w:tcW w:w="1254" w:type="pct"/>
                  <w:vAlign w:val="center"/>
                </w:tcPr>
                <w:p>
                  <w:pPr>
                    <w:adjustRightInd w:val="0"/>
                    <w:snapToGrid w:val="0"/>
                    <w:jc w:val="center"/>
                    <w:rPr>
                      <w:szCs w:val="21"/>
                    </w:rPr>
                  </w:pPr>
                  <w:r>
                    <w:rPr>
                      <w:rFonts w:hint="eastAsia"/>
                      <w:szCs w:val="21"/>
                    </w:rPr>
                    <w:t>收集</w:t>
                  </w:r>
                  <w:r>
                    <w:rPr>
                      <w:szCs w:val="21"/>
                    </w:rPr>
                    <w:t>的粉尘</w:t>
                  </w:r>
                </w:p>
              </w:tc>
              <w:tc>
                <w:tcPr>
                  <w:tcW w:w="1477" w:type="pct"/>
                  <w:vMerge w:val="continue"/>
                  <w:vAlign w:val="center"/>
                </w:tcPr>
                <w:p>
                  <w:pPr>
                    <w:adjustRightInd w:val="0"/>
                    <w:snapToGrid w:val="0"/>
                    <w:jc w:val="center"/>
                    <w:rPr>
                      <w:szCs w:val="21"/>
                    </w:rPr>
                  </w:pP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 w:type="pct"/>
                  <w:vMerge w:val="continue"/>
                  <w:vAlign w:val="center"/>
                </w:tcPr>
                <w:p>
                  <w:pPr>
                    <w:adjustRightInd w:val="0"/>
                    <w:snapToGrid w:val="0"/>
                    <w:jc w:val="center"/>
                    <w:rPr>
                      <w:szCs w:val="21"/>
                    </w:rPr>
                  </w:pPr>
                </w:p>
              </w:tc>
              <w:tc>
                <w:tcPr>
                  <w:tcW w:w="631" w:type="pct"/>
                  <w:vAlign w:val="center"/>
                </w:tcPr>
                <w:p>
                  <w:pPr>
                    <w:adjustRightInd w:val="0"/>
                    <w:snapToGrid w:val="0"/>
                    <w:jc w:val="center"/>
                    <w:rPr>
                      <w:szCs w:val="21"/>
                    </w:rPr>
                  </w:pPr>
                  <w:r>
                    <w:rPr>
                      <w:szCs w:val="21"/>
                    </w:rPr>
                    <w:t>危险废物</w:t>
                  </w:r>
                </w:p>
              </w:tc>
              <w:tc>
                <w:tcPr>
                  <w:tcW w:w="1338" w:type="pct"/>
                  <w:vMerge w:val="continue"/>
                  <w:vAlign w:val="center"/>
                </w:tcPr>
                <w:p>
                  <w:pPr>
                    <w:adjustRightInd w:val="0"/>
                    <w:snapToGrid w:val="0"/>
                    <w:jc w:val="center"/>
                    <w:rPr>
                      <w:szCs w:val="21"/>
                    </w:rPr>
                  </w:pPr>
                </w:p>
              </w:tc>
              <w:tc>
                <w:tcPr>
                  <w:tcW w:w="1254" w:type="pct"/>
                  <w:vAlign w:val="center"/>
                </w:tcPr>
                <w:p>
                  <w:pPr>
                    <w:adjustRightInd w:val="0"/>
                    <w:snapToGrid w:val="0"/>
                    <w:jc w:val="center"/>
                    <w:rPr>
                      <w:szCs w:val="21"/>
                    </w:rPr>
                  </w:pPr>
                  <w:r>
                    <w:rPr>
                      <w:szCs w:val="21"/>
                    </w:rPr>
                    <w:t>废活性炭</w:t>
                  </w:r>
                </w:p>
              </w:tc>
              <w:tc>
                <w:tcPr>
                  <w:tcW w:w="1477" w:type="pct"/>
                  <w:vAlign w:val="center"/>
                </w:tcPr>
                <w:p>
                  <w:pPr>
                    <w:adjustRightInd w:val="0"/>
                    <w:snapToGrid w:val="0"/>
                    <w:jc w:val="center"/>
                    <w:rPr>
                      <w:szCs w:val="21"/>
                    </w:rPr>
                  </w:pPr>
                  <w:r>
                    <w:rPr>
                      <w:szCs w:val="21"/>
                    </w:rPr>
                    <w:t>交由有资质单位处理</w:t>
                  </w:r>
                </w:p>
              </w:tc>
            </w:tr>
          </w:tbl>
          <w:p>
            <w:pPr>
              <w:spacing w:line="520" w:lineRule="exact"/>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28" w:hRule="atLeast"/>
          <w:jc w:val="center"/>
        </w:trPr>
        <w:tc>
          <w:tcPr>
            <w:tcW w:w="537" w:type="pct"/>
            <w:vAlign w:val="center"/>
          </w:tcPr>
          <w:p>
            <w:pPr>
              <w:pStyle w:val="26"/>
              <w:adjustRightInd w:val="0"/>
              <w:snapToGrid w:val="0"/>
              <w:spacing w:before="0" w:beforeAutospacing="0" w:after="0" w:afterAutospacing="0"/>
              <w:jc w:val="center"/>
              <w:rPr>
                <w:rFonts w:ascii="Times New Roman" w:hAnsi="Times New Roman"/>
                <w:sz w:val="21"/>
                <w:szCs w:val="21"/>
              </w:rPr>
            </w:pPr>
            <w:r>
              <w:rPr>
                <w:rFonts w:ascii="Times New Roman" w:hAnsi="Times New Roman"/>
                <w:bCs/>
                <w:kern w:val="2"/>
                <w:sz w:val="21"/>
                <w:szCs w:val="21"/>
              </w:rPr>
              <w:t>与项目有关的原有环境污染问题</w:t>
            </w:r>
          </w:p>
        </w:tc>
        <w:tc>
          <w:tcPr>
            <w:tcW w:w="4463" w:type="pct"/>
            <w:vAlign w:val="center"/>
          </w:tcPr>
          <w:p>
            <w:pPr>
              <w:adjustRightInd w:val="0"/>
              <w:snapToGrid w:val="0"/>
              <w:spacing w:line="520" w:lineRule="exact"/>
              <w:jc w:val="center"/>
              <w:rPr>
                <w:bCs/>
                <w:szCs w:val="21"/>
              </w:rPr>
            </w:pPr>
            <w:r>
              <w:rPr>
                <w:bCs/>
                <w:szCs w:val="21"/>
              </w:rPr>
              <w:t>无</w:t>
            </w:r>
          </w:p>
        </w:tc>
      </w:tr>
    </w:tbl>
    <w:p>
      <w:pPr>
        <w:pStyle w:val="26"/>
        <w:jc w:val="center"/>
        <w:rPr>
          <w:rFonts w:ascii="Times New Roman" w:hAnsi="Times New Roman" w:eastAsia="黑体"/>
          <w:snapToGrid w:val="0"/>
          <w:sz w:val="36"/>
          <w:szCs w:val="36"/>
        </w:rPr>
        <w:sectPr>
          <w:pgSz w:w="11906" w:h="16838"/>
          <w:pgMar w:top="1276" w:right="1416" w:bottom="720" w:left="1418" w:header="851" w:footer="851" w:gutter="0"/>
          <w:cols w:space="720" w:num="1"/>
          <w:docGrid w:linePitch="312" w:charSpace="0"/>
        </w:sectPr>
      </w:pPr>
    </w:p>
    <w:p>
      <w:pPr>
        <w:pStyle w:val="26"/>
        <w:adjustRightInd w:val="0"/>
        <w:snapToGrid w:val="0"/>
        <w:spacing w:before="0" w:beforeAutospacing="0" w:after="0" w:afterAutospacing="0" w:line="14" w:lineRule="auto"/>
        <w:jc w:val="center"/>
        <w:rPr>
          <w:rFonts w:ascii="Times New Roman" w:hAnsi="Times New Roman" w:eastAsia="黑体"/>
          <w:snapToGrid w:val="0"/>
          <w:sz w:val="30"/>
          <w:szCs w:val="30"/>
        </w:rPr>
      </w:pPr>
    </w:p>
    <w:p>
      <w:pPr>
        <w:pStyle w:val="26"/>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三、区域环境质量现状、环境保护目标及评价标准</w:t>
      </w:r>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86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478" w:type="pct"/>
            <w:vAlign w:val="center"/>
          </w:tcPr>
          <w:p>
            <w:pPr>
              <w:adjustRightInd w:val="0"/>
              <w:snapToGrid w:val="0"/>
              <w:jc w:val="center"/>
              <w:rPr>
                <w:kern w:val="0"/>
                <w:szCs w:val="21"/>
              </w:rPr>
            </w:pPr>
            <w:r>
              <w:rPr>
                <w:kern w:val="0"/>
                <w:szCs w:val="21"/>
              </w:rPr>
              <w:t>区域</w:t>
            </w:r>
          </w:p>
          <w:p>
            <w:pPr>
              <w:adjustRightInd w:val="0"/>
              <w:snapToGrid w:val="0"/>
              <w:jc w:val="center"/>
              <w:rPr>
                <w:kern w:val="0"/>
                <w:szCs w:val="21"/>
              </w:rPr>
            </w:pPr>
            <w:r>
              <w:rPr>
                <w:kern w:val="0"/>
                <w:szCs w:val="21"/>
              </w:rPr>
              <w:t>环境</w:t>
            </w:r>
          </w:p>
          <w:p>
            <w:pPr>
              <w:adjustRightInd w:val="0"/>
              <w:snapToGrid w:val="0"/>
              <w:jc w:val="center"/>
              <w:rPr>
                <w:kern w:val="0"/>
                <w:szCs w:val="21"/>
              </w:rPr>
            </w:pPr>
            <w:r>
              <w:rPr>
                <w:kern w:val="0"/>
                <w:szCs w:val="21"/>
              </w:rPr>
              <w:t>质量</w:t>
            </w:r>
          </w:p>
          <w:p>
            <w:pPr>
              <w:adjustRightInd w:val="0"/>
              <w:snapToGrid w:val="0"/>
              <w:jc w:val="center"/>
              <w:rPr>
                <w:kern w:val="0"/>
                <w:szCs w:val="21"/>
              </w:rPr>
            </w:pPr>
            <w:r>
              <w:rPr>
                <w:kern w:val="0"/>
                <w:szCs w:val="21"/>
              </w:rPr>
              <w:t>现状</w:t>
            </w:r>
          </w:p>
        </w:tc>
        <w:tc>
          <w:tcPr>
            <w:tcW w:w="4522" w:type="pct"/>
            <w:vAlign w:val="center"/>
          </w:tcPr>
          <w:p>
            <w:pPr>
              <w:widowControl/>
              <w:adjustRightInd w:val="0"/>
              <w:snapToGrid w:val="0"/>
              <w:spacing w:line="360" w:lineRule="auto"/>
              <w:ind w:firstLine="422" w:firstLineChars="200"/>
              <w:rPr>
                <w:b/>
              </w:rPr>
            </w:pPr>
            <w:r>
              <w:rPr>
                <w:rFonts w:hint="eastAsia"/>
                <w:b/>
              </w:rPr>
              <w:t>1、</w:t>
            </w:r>
            <w:r>
              <w:rPr>
                <w:b/>
              </w:rPr>
              <w:t>大气环境</w:t>
            </w:r>
          </w:p>
          <w:p>
            <w:pPr>
              <w:widowControl/>
              <w:adjustRightInd w:val="0"/>
              <w:snapToGrid w:val="0"/>
              <w:spacing w:line="360" w:lineRule="auto"/>
              <w:ind w:firstLine="422" w:firstLineChars="200"/>
              <w:rPr>
                <w:b/>
                <w:bCs/>
              </w:rPr>
            </w:pPr>
            <w:r>
              <w:rPr>
                <w:rFonts w:hint="eastAsia"/>
                <w:b/>
                <w:bCs/>
              </w:rPr>
              <w:t>（1）</w:t>
            </w:r>
            <w:r>
              <w:rPr>
                <w:b/>
                <w:bCs/>
              </w:rPr>
              <w:t>常规</w:t>
            </w:r>
            <w:r>
              <w:rPr>
                <w:rFonts w:hint="eastAsia"/>
                <w:b/>
                <w:bCs/>
              </w:rPr>
              <w:t>污染物环境质量现状</w:t>
            </w:r>
          </w:p>
          <w:p>
            <w:pPr>
              <w:widowControl/>
              <w:adjustRightInd w:val="0"/>
              <w:snapToGrid w:val="0"/>
              <w:spacing w:line="360" w:lineRule="auto"/>
              <w:ind w:firstLine="420" w:firstLineChars="200"/>
            </w:pPr>
            <w:r>
              <w:t>根据2021年惠州市生态环境状况公报，惠州市城市空气质量总体保持良好。</w:t>
            </w:r>
          </w:p>
          <w:p>
            <w:pPr>
              <w:widowControl/>
              <w:adjustRightInd w:val="0"/>
              <w:snapToGrid w:val="0"/>
              <w:spacing w:line="360" w:lineRule="auto"/>
              <w:ind w:firstLine="420" w:firstLineChars="200"/>
            </w:pPr>
            <w:r>
              <w:rPr>
                <w:rFonts w:hint="eastAsia"/>
              </w:rPr>
              <w:t>2021年，各县（区）二氧化硫（SO</w:t>
            </w:r>
            <w:r>
              <w:rPr>
                <w:rFonts w:hint="eastAsia"/>
                <w:vertAlign w:val="subscript"/>
              </w:rPr>
              <w:t>2</w:t>
            </w:r>
            <w:r>
              <w:rPr>
                <w:rFonts w:hint="eastAsia"/>
              </w:rPr>
              <w:t>）、二氧化氮（NO</w:t>
            </w:r>
            <w:r>
              <w:rPr>
                <w:rFonts w:hint="eastAsia"/>
                <w:vertAlign w:val="subscript"/>
              </w:rPr>
              <w:t>2</w:t>
            </w:r>
            <w:r>
              <w:rPr>
                <w:rFonts w:hint="eastAsia"/>
              </w:rPr>
              <w:t>）、一氧化碳（CO）达国家一级标准，臭氧（O</w:t>
            </w:r>
            <w:r>
              <w:rPr>
                <w:rFonts w:hint="eastAsia"/>
                <w:vertAlign w:val="subscript"/>
              </w:rPr>
              <w:t>3</w:t>
            </w:r>
            <w:r>
              <w:rPr>
                <w:rFonts w:hint="eastAsia"/>
              </w:rPr>
              <w:t>）达国家二级标准；龙门县、大亚湾区和惠东县可吸入颗粒物（PM</w:t>
            </w:r>
            <w:r>
              <w:rPr>
                <w:rFonts w:hint="eastAsia"/>
                <w:vertAlign w:val="subscript"/>
              </w:rPr>
              <w:t>10</w:t>
            </w:r>
            <w:r>
              <w:rPr>
                <w:rFonts w:hint="eastAsia"/>
              </w:rPr>
              <w:t>）达国家一级标准，其余县（区）达国家二级标准；龙门县细颗粒物（PM</w:t>
            </w:r>
            <w:r>
              <w:rPr>
                <w:rFonts w:hint="eastAsia"/>
                <w:vertAlign w:val="subscript"/>
              </w:rPr>
              <w:t>2.5</w:t>
            </w:r>
            <w:r>
              <w:rPr>
                <w:rFonts w:hint="eastAsia"/>
              </w:rPr>
              <w:t>）达国家一级标准，其余县（区）达国家二级标准。各县（区）环境空气优良率（达标率）范围在92.6%～99.1%之间；综合指数范围在2.33～3.31之间，主要污染物均为臭氧，次要污染物以可吸入颗粒物PM</w:t>
            </w:r>
            <w:r>
              <w:rPr>
                <w:rFonts w:hint="eastAsia"/>
                <w:vertAlign w:val="subscript"/>
              </w:rPr>
              <w:t>10</w:t>
            </w:r>
            <w:r>
              <w:rPr>
                <w:rFonts w:hint="eastAsia"/>
              </w:rPr>
              <w:t>为主。</w:t>
            </w:r>
          </w:p>
          <w:p>
            <w:pPr>
              <w:widowControl/>
              <w:adjustRightInd w:val="0"/>
              <w:snapToGrid w:val="0"/>
              <w:spacing w:line="360" w:lineRule="auto"/>
              <w:ind w:firstLine="420" w:firstLineChars="200"/>
            </w:pPr>
            <w:r>
              <w:rPr>
                <w:rFonts w:hint="eastAsia"/>
              </w:rPr>
              <w:t>与2020年相比，环境空气质量综合指数除龙门县下降5.7%外，其余各县（区）上升幅度为2.0%～12.2%；优良率龙门县上升0.3%，博罗县持平，其余县（区）略有下降，下降幅度为0.5%～4.3%。</w:t>
            </w:r>
          </w:p>
          <w:p>
            <w:pPr>
              <w:adjustRightInd w:val="0"/>
              <w:snapToGrid w:val="0"/>
              <w:jc w:val="center"/>
              <w:rPr>
                <w:spacing w:val="-2"/>
                <w:kern w:val="0"/>
                <w:szCs w:val="21"/>
              </w:rPr>
            </w:pPr>
            <w:r>
              <w:drawing>
                <wp:inline distT="0" distB="0" distL="0" distR="0">
                  <wp:extent cx="5006340" cy="3282950"/>
                  <wp:effectExtent l="0" t="0" r="381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r:embed="rId10"/>
                          <a:stretch>
                            <a:fillRect/>
                          </a:stretch>
                        </pic:blipFill>
                        <pic:spPr>
                          <a:xfrm>
                            <a:off x="0" y="0"/>
                            <a:ext cx="5009614" cy="3285484"/>
                          </a:xfrm>
                          <a:prstGeom prst="rect">
                            <a:avLst/>
                          </a:prstGeom>
                        </pic:spPr>
                      </pic:pic>
                    </a:graphicData>
                  </a:graphic>
                </wp:inline>
              </w:drawing>
            </w:r>
          </w:p>
          <w:p>
            <w:pPr>
              <w:adjustRightInd w:val="0"/>
              <w:snapToGrid w:val="0"/>
              <w:jc w:val="center"/>
              <w:rPr>
                <w:b/>
                <w:szCs w:val="21"/>
              </w:rPr>
            </w:pPr>
            <w:r>
              <w:rPr>
                <w:b/>
                <w:szCs w:val="21"/>
              </w:rPr>
              <w:t>图3  2021年惠州市生态环境状况公报截图</w:t>
            </w:r>
          </w:p>
          <w:p>
            <w:pPr>
              <w:widowControl/>
              <w:adjustRightInd w:val="0"/>
              <w:snapToGrid w:val="0"/>
              <w:spacing w:line="360" w:lineRule="auto"/>
              <w:ind w:firstLine="422" w:firstLineChars="200"/>
              <w:jc w:val="left"/>
              <w:rPr>
                <w:b/>
              </w:rPr>
            </w:pPr>
            <w:r>
              <w:rPr>
                <w:rFonts w:hint="eastAsia"/>
                <w:b/>
              </w:rPr>
              <w:t>（2）</w:t>
            </w:r>
            <w:r>
              <w:rPr>
                <w:b/>
              </w:rPr>
              <w:t>特征</w:t>
            </w:r>
            <w:r>
              <w:rPr>
                <w:rFonts w:hint="eastAsia"/>
                <w:b/>
              </w:rPr>
              <w:t>污染物</w:t>
            </w:r>
            <w:r>
              <w:rPr>
                <w:rFonts w:hint="eastAsia"/>
                <w:b/>
                <w:bCs/>
              </w:rPr>
              <w:t>环境质量现状</w:t>
            </w:r>
          </w:p>
          <w:p>
            <w:pPr>
              <w:widowControl/>
              <w:adjustRightInd w:val="0"/>
              <w:snapToGrid w:val="0"/>
              <w:spacing w:line="360" w:lineRule="auto"/>
              <w:ind w:firstLine="420" w:firstLineChars="200"/>
              <w:rPr>
                <w:bCs/>
              </w:rPr>
            </w:pPr>
            <w:r>
              <w:rPr>
                <w:bCs/>
              </w:rPr>
              <w:t>本项目特征</w:t>
            </w:r>
            <w:r>
              <w:rPr>
                <w:rFonts w:hint="eastAsia"/>
                <w:bCs/>
              </w:rPr>
              <w:t>污染物为T</w:t>
            </w:r>
            <w:r>
              <w:rPr>
                <w:bCs/>
              </w:rPr>
              <w:t>VOC、TSP</w:t>
            </w:r>
            <w:r>
              <w:rPr>
                <w:rFonts w:hint="eastAsia"/>
                <w:bCs/>
              </w:rPr>
              <w:t>、</w:t>
            </w:r>
            <w:r>
              <w:rPr>
                <w:bCs/>
              </w:rPr>
              <w:t>锡及其化合物，由于</w:t>
            </w:r>
            <w:r>
              <w:rPr>
                <w:rFonts w:hint="eastAsia"/>
                <w:bCs/>
              </w:rPr>
              <w:t>锡及其化合物暂</w:t>
            </w:r>
            <w:r>
              <w:rPr>
                <w:bCs/>
              </w:rPr>
              <w:t>无国家、地方环境质量标准，</w:t>
            </w:r>
            <w:r>
              <w:rPr>
                <w:rFonts w:hint="eastAsia"/>
                <w:bCs/>
              </w:rPr>
              <w:t>因此无需</w:t>
            </w:r>
            <w:r>
              <w:rPr>
                <w:bCs/>
              </w:rPr>
              <w:t>进行现状监测。</w:t>
            </w:r>
          </w:p>
          <w:p>
            <w:pPr>
              <w:widowControl/>
              <w:adjustRightInd w:val="0"/>
              <w:snapToGrid w:val="0"/>
              <w:spacing w:line="360" w:lineRule="auto"/>
              <w:ind w:firstLine="420" w:firstLineChars="200"/>
            </w:pPr>
            <w:r>
              <w:t>本项目特征污染因子TSP</w:t>
            </w:r>
            <w:r>
              <w:rPr>
                <w:rFonts w:hint="eastAsia"/>
              </w:rPr>
              <w:t>、TVOC</w:t>
            </w:r>
            <w:r>
              <w:t>环境质量现状引用</w:t>
            </w:r>
            <w:r>
              <w:rPr>
                <w:rFonts w:hint="eastAsia"/>
              </w:rPr>
              <w:t>《</w:t>
            </w:r>
            <w:r>
              <w:rPr>
                <w:rFonts w:hint="eastAsia" w:cs="宋体"/>
              </w:rPr>
              <w:t>博罗县智能装备产业园起步区规划环境影响报告书</w:t>
            </w:r>
            <w:r>
              <w:rPr>
                <w:rFonts w:hint="eastAsia"/>
              </w:rPr>
              <w:t>》中委托东莞市中鼎检测技术有限公司于</w:t>
            </w:r>
            <w:r>
              <w:t>2020</w:t>
            </w:r>
            <w:r>
              <w:rPr>
                <w:rFonts w:hint="eastAsia"/>
              </w:rPr>
              <w:t>年7月20日至</w:t>
            </w:r>
            <w:r>
              <w:t>2020</w:t>
            </w:r>
            <w:r>
              <w:rPr>
                <w:rFonts w:hint="eastAsia"/>
              </w:rPr>
              <w:t>年7月26日对该项目周边区域的环境空气质量现状进行采样监测，引用监测点位于</w:t>
            </w:r>
            <w:r>
              <w:t>G1</w:t>
            </w:r>
            <w:r>
              <w:rPr>
                <w:rFonts w:hint="eastAsia"/>
              </w:rPr>
              <w:t>规划区所在地，距离本项目西南面约</w:t>
            </w:r>
            <w:r>
              <w:t>3.8km</w:t>
            </w:r>
            <w:r>
              <w:rPr>
                <w:rFonts w:hint="eastAsia"/>
              </w:rPr>
              <w:t>，符合导则规定的厂址外5km范围内，区域污染结构未发生重大改变，</w:t>
            </w:r>
            <w:r>
              <w:t>引用</w:t>
            </w:r>
            <w:r>
              <w:rPr>
                <w:rFonts w:hint="eastAsia"/>
              </w:rPr>
              <w:t>的数据</w:t>
            </w:r>
            <w:r>
              <w:t>监测</w:t>
            </w:r>
            <w:r>
              <w:rPr>
                <w:rFonts w:hint="eastAsia"/>
              </w:rPr>
              <w:t>时间不超过三年，即引用监测数据</w:t>
            </w:r>
            <w:r>
              <w:t>有效，</w:t>
            </w:r>
            <w:r>
              <w:rPr>
                <w:rFonts w:hint="eastAsia"/>
              </w:rPr>
              <w:t>现</w:t>
            </w:r>
            <w:r>
              <w:t>状</w:t>
            </w:r>
            <w:r>
              <w:rPr>
                <w:rFonts w:hint="eastAsia"/>
              </w:rPr>
              <w:t>监测</w:t>
            </w:r>
            <w:r>
              <w:t>点位图详</w:t>
            </w:r>
            <w:r>
              <w:rPr>
                <w:rFonts w:hint="eastAsia"/>
              </w:rPr>
              <w:t>见</w:t>
            </w:r>
            <w:r>
              <w:t>图</w:t>
            </w:r>
            <w:r>
              <w:rPr>
                <w:rFonts w:hint="eastAsia"/>
              </w:rPr>
              <w:t>4</w:t>
            </w:r>
            <w:r>
              <w:t>，现状监测结果详见表</w:t>
            </w:r>
            <w:r>
              <w:rPr>
                <w:rFonts w:hint="eastAsia"/>
              </w:rPr>
              <w:t>11，</w:t>
            </w:r>
            <w:r>
              <w:t>评价结果见表</w:t>
            </w:r>
            <w:r>
              <w:rPr>
                <w:rFonts w:hint="eastAsia"/>
              </w:rPr>
              <w:t>12。</w:t>
            </w:r>
          </w:p>
          <w:p>
            <w:pPr>
              <w:snapToGrid w:val="0"/>
              <w:jc w:val="center"/>
              <w:rPr>
                <w:b/>
              </w:rPr>
            </w:pPr>
            <w:r>
              <mc:AlternateContent>
                <mc:Choice Requires="wps">
                  <w:drawing>
                    <wp:anchor distT="0" distB="0" distL="114300" distR="114300" simplePos="0" relativeHeight="251663360" behindDoc="0" locked="0" layoutInCell="1" allowOverlap="1">
                      <wp:simplePos x="0" y="0"/>
                      <wp:positionH relativeFrom="column">
                        <wp:posOffset>1736090</wp:posOffset>
                      </wp:positionH>
                      <wp:positionV relativeFrom="paragraph">
                        <wp:posOffset>2130425</wp:posOffset>
                      </wp:positionV>
                      <wp:extent cx="667385" cy="286385"/>
                      <wp:effectExtent l="0" t="0" r="0" b="0"/>
                      <wp:wrapNone/>
                      <wp:docPr id="109" name="文本框 109"/>
                      <wp:cNvGraphicFramePr/>
                      <a:graphic xmlns:a="http://schemas.openxmlformats.org/drawingml/2006/main">
                        <a:graphicData uri="http://schemas.microsoft.com/office/word/2010/wordprocessingShape">
                          <wps:wsp>
                            <wps:cNvSpPr txBox="1"/>
                            <wps:spPr>
                              <a:xfrm>
                                <a:off x="0" y="0"/>
                                <a:ext cx="667385" cy="286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b/>
                                      <w:bCs/>
                                      <w:color w:val="FFFF00"/>
                                    </w:rPr>
                                    <w:t>3.8</w:t>
                                  </w:r>
                                  <w:r>
                                    <w:rPr>
                                      <w:rFonts w:hint="eastAsia"/>
                                      <w:b/>
                                      <w:bCs/>
                                      <w:color w:val="FFFF00"/>
                                    </w:rPr>
                                    <w:t>km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6.7pt;margin-top:167.75pt;height:22.55pt;width:52.55pt;z-index:251663360;mso-width-relative:page;mso-height-relative:page;" filled="f" stroked="f" coordsize="21600,21600" o:gfxdata="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&#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rBEAzbAAAACwEAAA8AAAAAAAAAAQAgAAAAIgAAAGRy&#10;cy9kb3ducmV2LnhtbFBLAQIUABQAAAAIAIdO4kDsve74OwIAAGkEAAAOAAAAAAAAAAEAIAAAACoB&#10;AABkcnMvZTJvRG9jLnhtbFBLBQYAAAAABgAGAFkBAADXBQAAAAA=&#10;">
                      <v:fill on="f" focussize="0,0"/>
                      <v:stroke on="f" weight="0.5pt"/>
                      <v:imagedata o:title=""/>
                      <o:lock v:ext="edit" aspectratio="f"/>
                      <v:textbox>
                        <w:txbxContent>
                          <w:p>
                            <w:pPr>
                              <w:rPr>
                                <w:b/>
                                <w:bCs/>
                                <w:color w:val="FFFF00"/>
                              </w:rPr>
                            </w:pPr>
                            <w:r>
                              <w:rPr>
                                <w:b/>
                                <w:bCs/>
                                <w:color w:val="FFFF00"/>
                              </w:rPr>
                              <w:t>3.8</w:t>
                            </w:r>
                            <w:r>
                              <w:rPr>
                                <w:rFonts w:hint="eastAsia"/>
                                <w:b/>
                                <w:bCs/>
                                <w:color w:val="FFFF00"/>
                              </w:rPr>
                              <w:t>km</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1120775</wp:posOffset>
                      </wp:positionH>
                      <wp:positionV relativeFrom="paragraph">
                        <wp:posOffset>1779905</wp:posOffset>
                      </wp:positionV>
                      <wp:extent cx="3093720" cy="882650"/>
                      <wp:effectExtent l="38100" t="0" r="30480" b="69850"/>
                      <wp:wrapNone/>
                      <wp:docPr id="23" name="直接箭头连接符 23"/>
                      <wp:cNvGraphicFramePr/>
                      <a:graphic xmlns:a="http://schemas.openxmlformats.org/drawingml/2006/main">
                        <a:graphicData uri="http://schemas.microsoft.com/office/word/2010/wordprocessingShape">
                          <wps:wsp>
                            <wps:cNvCnPr/>
                            <wps:spPr>
                              <a:xfrm flipH="1">
                                <a:off x="0" y="0"/>
                                <a:ext cx="3093720" cy="882650"/>
                              </a:xfrm>
                              <a:prstGeom prst="straightConnector1">
                                <a:avLst/>
                              </a:prstGeom>
                              <a:ln>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88.25pt;margin-top:140.15pt;height:69.5pt;width:243.6pt;z-index:251662336;mso-width-relative:page;mso-height-relative:page;" filled="f" stroked="t" coordsize="21600,21600" o:gfxdata="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U+PXq2QAAAAsBAAAPAAAA&#10;AAAAAAEAIAAAACIAAABkcnMvZG93bnJldi54bWxQSwECFAAUAAAACACHTuJAlxw6yxQCAADyAwAA&#10;DgAAAAAAAAABACAAAAAoAQAAZHJzL2Uyb0RvYy54bWxQSwUGAAAAAAYABgBZAQAArgUAAAAA&#10;">
                      <v:fill on="f" focussize="0,0"/>
                      <v:stroke weight="0.5pt" color="#FFFF00 [3204]" miterlimit="8" joinstyle="miter" endarrow="block"/>
                      <v:imagedata o:title=""/>
                      <o:lock v:ext="edit" aspectratio="f"/>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3951605</wp:posOffset>
                      </wp:positionH>
                      <wp:positionV relativeFrom="paragraph">
                        <wp:posOffset>1945640</wp:posOffset>
                      </wp:positionV>
                      <wp:extent cx="749935" cy="260350"/>
                      <wp:effectExtent l="0" t="0" r="0" b="0"/>
                      <wp:wrapNone/>
                      <wp:docPr id="80" name="文本框 80"/>
                      <wp:cNvGraphicFramePr/>
                      <a:graphic xmlns:a="http://schemas.openxmlformats.org/drawingml/2006/main">
                        <a:graphicData uri="http://schemas.microsoft.com/office/word/2010/wordprocessingShape">
                          <wps:wsp>
                            <wps:cNvSpPr txBox="1"/>
                            <wps:spPr>
                              <a:xfrm>
                                <a:off x="5422265" y="2255520"/>
                                <a:ext cx="749935"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0000"/>
                                    </w:rPr>
                                  </w:pPr>
                                  <w:r>
                                    <w:rPr>
                                      <w:rFonts w:hint="eastAsia"/>
                                      <w:b/>
                                      <w:bCs/>
                                      <w:color w:val="FF0000"/>
                                    </w:rPr>
                                    <w:t>项目位置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1.15pt;margin-top:153.2pt;height:20.5pt;width:59.05pt;z-index:251661312;mso-width-relative:page;mso-height-relative:page;" filled="f" stroked="f" coordsize="21600,21600" o:gfxdata="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q//ONtsAAAALAQAADwAAAAAAAAAB&#10;ACAAAAAiAAAAZHJzL2Rvd25yZXYueG1sUEsBAhQAFAAAAAgAh07iQAcaKQZGAgAAcwQAAA4AAAAA&#10;AAAAAQAgAAAAKgEAAGRycy9lMm9Eb2MueG1sUEsFBgAAAAAGAAYAWQEAAOIFAAAAAA==&#10;">
                      <v:fill on="f" focussize="0,0"/>
                      <v:stroke on="f" weight="0.5pt"/>
                      <v:imagedata o:title=""/>
                      <o:lock v:ext="edit" aspectratio="f"/>
                      <v:textbox>
                        <w:txbxContent>
                          <w:p>
                            <w:pPr>
                              <w:rPr>
                                <w:b/>
                                <w:bCs/>
                                <w:color w:val="FF0000"/>
                              </w:rPr>
                            </w:pPr>
                            <w:r>
                              <w:rPr>
                                <w:rFonts w:hint="eastAsia"/>
                                <w:b/>
                                <w:bCs/>
                                <w:color w:val="FF0000"/>
                              </w:rPr>
                              <w:t>项目位置</w:t>
                            </w:r>
                          </w:p>
                        </w:txbxContent>
                      </v:textbox>
                    </v:shape>
                  </w:pict>
                </mc:Fallback>
              </mc:AlternateContent>
            </w:r>
            <w:r>
              <w:drawing>
                <wp:anchor distT="0" distB="0" distL="114300" distR="114300" simplePos="0" relativeHeight="251664384" behindDoc="0" locked="0" layoutInCell="1" allowOverlap="1">
                  <wp:simplePos x="0" y="0"/>
                  <wp:positionH relativeFrom="column">
                    <wp:posOffset>4442460</wp:posOffset>
                  </wp:positionH>
                  <wp:positionV relativeFrom="paragraph">
                    <wp:posOffset>-7620</wp:posOffset>
                  </wp:positionV>
                  <wp:extent cx="725170" cy="680085"/>
                  <wp:effectExtent l="0" t="0" r="11430" b="5715"/>
                  <wp:wrapNone/>
                  <wp:docPr id="130" name="图片 1" descr="博罗2001-2020风向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 descr="博罗2001-2020风向标"/>
                          <pic:cNvPicPr>
                            <a:picLocks noChangeAspect="1"/>
                          </pic:cNvPicPr>
                        </pic:nvPicPr>
                        <pic:blipFill>
                          <a:blip r:embed="rId11"/>
                          <a:stretch>
                            <a:fillRect/>
                          </a:stretch>
                        </pic:blipFill>
                        <pic:spPr>
                          <a:xfrm>
                            <a:off x="0" y="0"/>
                            <a:ext cx="725170" cy="680085"/>
                          </a:xfrm>
                          <a:prstGeom prst="rect">
                            <a:avLst/>
                          </a:prstGeom>
                          <a:noFill/>
                          <a:ln w="9525" cap="flat" cmpd="sng">
                            <a:noFill/>
                            <a:prstDash val="solid"/>
                            <a:miter/>
                            <a:headEnd type="none" w="med" len="med"/>
                            <a:tailEnd type="none" w="med" len="med"/>
                          </a:ln>
                        </pic:spPr>
                      </pic:pic>
                    </a:graphicData>
                  </a:graphic>
                </wp:anchor>
              </w:drawing>
            </w:r>
            <w:r>
              <mc:AlternateContent>
                <mc:Choice Requires="wps">
                  <w:drawing>
                    <wp:anchor distT="0" distB="0" distL="114300" distR="114300" simplePos="0" relativeHeight="251665408" behindDoc="0" locked="0" layoutInCell="1" allowOverlap="1">
                      <wp:simplePos x="0" y="0"/>
                      <wp:positionH relativeFrom="column">
                        <wp:posOffset>398145</wp:posOffset>
                      </wp:positionH>
                      <wp:positionV relativeFrom="paragraph">
                        <wp:posOffset>2779395</wp:posOffset>
                      </wp:positionV>
                      <wp:extent cx="1235710" cy="247650"/>
                      <wp:effectExtent l="0" t="0" r="0" b="0"/>
                      <wp:wrapNone/>
                      <wp:docPr id="30" name="文本框 30"/>
                      <wp:cNvGraphicFramePr/>
                      <a:graphic xmlns:a="http://schemas.openxmlformats.org/drawingml/2006/main">
                        <a:graphicData uri="http://schemas.microsoft.com/office/word/2010/wordprocessingShape">
                          <wps:wsp>
                            <wps:cNvSpPr txBox="1"/>
                            <wps:spPr>
                              <a:xfrm>
                                <a:off x="2046605" y="3992880"/>
                                <a:ext cx="1235710" cy="2476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G1规划区所在地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5pt;margin-top:218.85pt;height:19.5pt;width:97.3pt;z-index:251665408;mso-width-relative:page;mso-height-relative:page;" filled="f" stroked="f" coordsize="21600,21600" o:gfxdata="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ePPCM2wAAAAoBAAAPAAAAAAAA&#10;AAEAIAAAACIAAABkcnMvZG93bnJldi54bWxQSwECFAAUAAAACACHTuJAq9YoNkgCAAB0BAAADgAA&#10;AAAAAAABACAAAAAqAQAAZHJzL2Uyb0RvYy54bWxQSwUGAAAAAAYABgBZAQAA5AUAAAAA&#10;">
                      <v:fill on="f" focussize="0,0"/>
                      <v:stroke on="f" weight="0.5pt"/>
                      <v:imagedata o:title=""/>
                      <o:lock v:ext="edit" aspectratio="f"/>
                      <v:textbox>
                        <w:txbxContent>
                          <w:p>
                            <w:pPr>
                              <w:rPr>
                                <w:b/>
                                <w:bCs/>
                                <w:color w:val="FFFF00"/>
                              </w:rPr>
                            </w:pPr>
                            <w:r>
                              <w:rPr>
                                <w:rFonts w:hint="eastAsia"/>
                                <w:b/>
                                <w:bCs/>
                                <w:color w:val="FFFF00"/>
                              </w:rPr>
                              <w:t>G1规划区所在地</w:t>
                            </w:r>
                          </w:p>
                        </w:txbxContent>
                      </v:textbox>
                    </v:shape>
                  </w:pict>
                </mc:Fallback>
              </mc:AlternateContent>
            </w:r>
            <w:r>
              <w:t xml:space="preserve"> </w:t>
            </w:r>
            <w:r>
              <w:drawing>
                <wp:inline distT="0" distB="0" distL="0" distR="0">
                  <wp:extent cx="4991100" cy="440626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2"/>
                          <a:stretch>
                            <a:fillRect/>
                          </a:stretch>
                        </pic:blipFill>
                        <pic:spPr>
                          <a:xfrm>
                            <a:off x="0" y="0"/>
                            <a:ext cx="5000155" cy="4414415"/>
                          </a:xfrm>
                          <a:prstGeom prst="rect">
                            <a:avLst/>
                          </a:prstGeom>
                        </pic:spPr>
                      </pic:pic>
                    </a:graphicData>
                  </a:graphic>
                </wp:inline>
              </w:drawing>
            </w:r>
          </w:p>
          <w:p>
            <w:pPr>
              <w:adjustRightInd w:val="0"/>
              <w:snapToGrid w:val="0"/>
              <w:spacing w:line="360" w:lineRule="auto"/>
              <w:jc w:val="center"/>
              <w:rPr>
                <w:b/>
              </w:rPr>
            </w:pPr>
            <w:r>
              <w:rPr>
                <w:b/>
                <w:bCs/>
              </w:rPr>
              <w:t>图4 引用的大气监测点位图</w:t>
            </w:r>
          </w:p>
          <w:p>
            <w:pPr>
              <w:numPr>
                <w:ilvl w:val="0"/>
                <w:numId w:val="5"/>
              </w:numPr>
              <w:adjustRightInd w:val="0"/>
              <w:snapToGrid w:val="0"/>
              <w:spacing w:line="360" w:lineRule="auto"/>
              <w:jc w:val="center"/>
              <w:rPr>
                <w:b/>
                <w:bCs/>
              </w:rPr>
            </w:pPr>
            <w:r>
              <w:rPr>
                <w:rFonts w:hint="eastAsia"/>
                <w:b/>
                <w:bCs/>
              </w:rPr>
              <w:t>特征</w:t>
            </w:r>
            <w:r>
              <w:rPr>
                <w:b/>
                <w:bCs/>
              </w:rPr>
              <w:t>污染因子现状监测结果</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1131"/>
              <w:gridCol w:w="1266"/>
              <w:gridCol w:w="1837"/>
              <w:gridCol w:w="1245"/>
              <w:gridCol w:w="892"/>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2" w:type="dxa"/>
                  <w:vAlign w:val="center"/>
                </w:tcPr>
                <w:p>
                  <w:pPr>
                    <w:adjustRightInd w:val="0"/>
                    <w:snapToGrid w:val="0"/>
                    <w:jc w:val="center"/>
                    <w:rPr>
                      <w:b/>
                      <w:bCs/>
                    </w:rPr>
                  </w:pPr>
                  <w:r>
                    <w:rPr>
                      <w:rFonts w:hint="eastAsia"/>
                      <w:b/>
                      <w:bCs/>
                    </w:rPr>
                    <w:t>检测点位</w:t>
                  </w:r>
                </w:p>
              </w:tc>
              <w:tc>
                <w:tcPr>
                  <w:tcW w:w="1090" w:type="dxa"/>
                  <w:vAlign w:val="center"/>
                </w:tcPr>
                <w:p>
                  <w:pPr>
                    <w:adjustRightInd w:val="0"/>
                    <w:snapToGrid w:val="0"/>
                    <w:jc w:val="center"/>
                    <w:rPr>
                      <w:b/>
                      <w:bCs/>
                    </w:rPr>
                  </w:pPr>
                  <w:r>
                    <w:rPr>
                      <w:rFonts w:hint="eastAsia"/>
                      <w:b/>
                      <w:bCs/>
                    </w:rPr>
                    <w:t>检测项目</w:t>
                  </w:r>
                </w:p>
              </w:tc>
              <w:tc>
                <w:tcPr>
                  <w:tcW w:w="1220" w:type="dxa"/>
                  <w:vAlign w:val="center"/>
                </w:tcPr>
                <w:p>
                  <w:pPr>
                    <w:adjustRightInd w:val="0"/>
                    <w:snapToGrid w:val="0"/>
                    <w:jc w:val="center"/>
                    <w:rPr>
                      <w:b/>
                      <w:bCs/>
                    </w:rPr>
                  </w:pPr>
                  <w:r>
                    <w:rPr>
                      <w:rFonts w:hint="eastAsia"/>
                      <w:b/>
                      <w:bCs/>
                    </w:rPr>
                    <w:t>日期</w:t>
                  </w:r>
                </w:p>
              </w:tc>
              <w:tc>
                <w:tcPr>
                  <w:tcW w:w="1770" w:type="dxa"/>
                  <w:vAlign w:val="center"/>
                </w:tcPr>
                <w:p>
                  <w:pPr>
                    <w:adjustRightInd w:val="0"/>
                    <w:snapToGrid w:val="0"/>
                    <w:jc w:val="center"/>
                    <w:rPr>
                      <w:b/>
                      <w:bCs/>
                    </w:rPr>
                  </w:pPr>
                  <w:r>
                    <w:rPr>
                      <w:rFonts w:hint="eastAsia"/>
                      <w:b/>
                      <w:bCs/>
                    </w:rPr>
                    <w:t>时段</w:t>
                  </w:r>
                </w:p>
              </w:tc>
              <w:tc>
                <w:tcPr>
                  <w:tcW w:w="1200" w:type="dxa"/>
                  <w:vAlign w:val="center"/>
                </w:tcPr>
                <w:p>
                  <w:pPr>
                    <w:adjustRightInd w:val="0"/>
                    <w:snapToGrid w:val="0"/>
                    <w:jc w:val="center"/>
                    <w:rPr>
                      <w:b/>
                      <w:bCs/>
                    </w:rPr>
                  </w:pPr>
                  <w:r>
                    <w:rPr>
                      <w:rFonts w:hint="eastAsia"/>
                      <w:b/>
                      <w:bCs/>
                    </w:rPr>
                    <w:t>检测结果</w:t>
                  </w:r>
                </w:p>
              </w:tc>
              <w:tc>
                <w:tcPr>
                  <w:tcW w:w="860" w:type="dxa"/>
                  <w:vAlign w:val="center"/>
                </w:tcPr>
                <w:p>
                  <w:pPr>
                    <w:adjustRightInd w:val="0"/>
                    <w:snapToGrid w:val="0"/>
                    <w:jc w:val="center"/>
                    <w:rPr>
                      <w:b/>
                      <w:bCs/>
                    </w:rPr>
                  </w:pPr>
                  <w:r>
                    <w:rPr>
                      <w:rFonts w:hint="eastAsia"/>
                      <w:b/>
                      <w:bCs/>
                    </w:rPr>
                    <w:t>单位</w:t>
                  </w:r>
                </w:p>
              </w:tc>
              <w:tc>
                <w:tcPr>
                  <w:tcW w:w="882" w:type="dxa"/>
                  <w:vAlign w:val="center"/>
                </w:tcPr>
                <w:p>
                  <w:pPr>
                    <w:adjustRightInd w:val="0"/>
                    <w:snapToGrid w:val="0"/>
                    <w:jc w:val="center"/>
                    <w:rPr>
                      <w:b/>
                      <w:bCs/>
                    </w:rPr>
                  </w:pPr>
                  <w:r>
                    <w:rPr>
                      <w:rFonts w:hint="eastAsia"/>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102" w:type="dxa"/>
                  <w:vMerge w:val="restart"/>
                  <w:vAlign w:val="center"/>
                </w:tcPr>
                <w:p>
                  <w:pPr>
                    <w:adjustRightInd w:val="0"/>
                    <w:snapToGrid w:val="0"/>
                    <w:jc w:val="center"/>
                  </w:pPr>
                  <w:r>
                    <w:rPr>
                      <w:rFonts w:hint="eastAsia"/>
                    </w:rPr>
                    <w:t>G1规划区所在地</w:t>
                  </w:r>
                </w:p>
              </w:tc>
              <w:tc>
                <w:tcPr>
                  <w:tcW w:w="1090" w:type="dxa"/>
                  <w:vMerge w:val="restart"/>
                  <w:vAlign w:val="center"/>
                </w:tcPr>
                <w:p>
                  <w:pPr>
                    <w:adjustRightInd w:val="0"/>
                    <w:snapToGrid w:val="0"/>
                    <w:jc w:val="center"/>
                  </w:pPr>
                  <w:r>
                    <w:rPr>
                      <w:rFonts w:hint="eastAsia"/>
                    </w:rPr>
                    <w:t>TVOC</w:t>
                  </w:r>
                </w:p>
              </w:tc>
              <w:tc>
                <w:tcPr>
                  <w:tcW w:w="1220" w:type="dxa"/>
                  <w:vAlign w:val="center"/>
                </w:tcPr>
                <w:p>
                  <w:pPr>
                    <w:adjustRightInd w:val="0"/>
                    <w:snapToGrid w:val="0"/>
                    <w:jc w:val="center"/>
                  </w:pPr>
                  <w:r>
                    <w:rPr>
                      <w:rFonts w:hint="eastAsia"/>
                    </w:rPr>
                    <w:t>2020.07.20</w:t>
                  </w:r>
                </w:p>
              </w:tc>
              <w:tc>
                <w:tcPr>
                  <w:tcW w:w="1770" w:type="dxa"/>
                  <w:vAlign w:val="center"/>
                </w:tcPr>
                <w:p>
                  <w:pPr>
                    <w:adjustRightInd w:val="0"/>
                    <w:snapToGrid w:val="0"/>
                    <w:jc w:val="center"/>
                  </w:pPr>
                  <w:r>
                    <w:rPr>
                      <w:rFonts w:hint="eastAsia"/>
                    </w:rPr>
                    <w:t>12:07-20:07</w:t>
                  </w:r>
                </w:p>
              </w:tc>
              <w:tc>
                <w:tcPr>
                  <w:tcW w:w="1200" w:type="dxa"/>
                  <w:vAlign w:val="center"/>
                </w:tcPr>
                <w:p>
                  <w:pPr>
                    <w:adjustRightInd w:val="0"/>
                    <w:snapToGrid w:val="0"/>
                    <w:jc w:val="center"/>
                  </w:pPr>
                  <w:r>
                    <w:t>4.44×10</w:t>
                  </w:r>
                  <w:r>
                    <w:rPr>
                      <w:vertAlign w:val="superscript"/>
                    </w:rPr>
                    <w:t>-2</w:t>
                  </w:r>
                </w:p>
              </w:tc>
              <w:tc>
                <w:tcPr>
                  <w:tcW w:w="860" w:type="dxa"/>
                  <w:vMerge w:val="restart"/>
                  <w:vAlign w:val="center"/>
                </w:tcPr>
                <w:p>
                  <w:pPr>
                    <w:adjustRightInd w:val="0"/>
                    <w:snapToGrid w:val="0"/>
                    <w:jc w:val="center"/>
                  </w:pPr>
                  <w:r>
                    <w:rPr>
                      <w:rFonts w:hint="eastAsia"/>
                    </w:rPr>
                    <w:t>mg/m</w:t>
                  </w:r>
                  <w:r>
                    <w:rPr>
                      <w:rFonts w:hint="eastAsia"/>
                      <w:vertAlign w:val="superscript"/>
                    </w:rPr>
                    <w:t>3</w:t>
                  </w:r>
                </w:p>
              </w:tc>
              <w:tc>
                <w:tcPr>
                  <w:tcW w:w="882" w:type="dxa"/>
                  <w:vMerge w:val="restart"/>
                  <w:vAlign w:val="center"/>
                </w:tcPr>
                <w:p>
                  <w:pPr>
                    <w:adjustRightInd w:val="0"/>
                    <w:snapToGrid w:val="0"/>
                    <w:jc w:val="center"/>
                  </w:pPr>
                  <w:r>
                    <w:rPr>
                      <w:rFonts w:hint="eastAsia"/>
                    </w:rPr>
                    <w:t>8小时均值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102" w:type="dxa"/>
                  <w:vMerge w:val="continue"/>
                  <w:vAlign w:val="center"/>
                </w:tcPr>
                <w:p>
                  <w:pPr>
                    <w:adjustRightInd w:val="0"/>
                    <w:snapToGrid w:val="0"/>
                    <w:jc w:val="center"/>
                  </w:pPr>
                </w:p>
              </w:tc>
              <w:tc>
                <w:tcPr>
                  <w:tcW w:w="1090" w:type="dxa"/>
                  <w:vMerge w:val="continue"/>
                  <w:vAlign w:val="center"/>
                </w:tcPr>
                <w:p>
                  <w:pPr>
                    <w:adjustRightInd w:val="0"/>
                    <w:snapToGrid w:val="0"/>
                    <w:jc w:val="center"/>
                  </w:pPr>
                </w:p>
              </w:tc>
              <w:tc>
                <w:tcPr>
                  <w:tcW w:w="1220" w:type="dxa"/>
                  <w:vAlign w:val="center"/>
                </w:tcPr>
                <w:p>
                  <w:pPr>
                    <w:adjustRightInd w:val="0"/>
                    <w:snapToGrid w:val="0"/>
                    <w:jc w:val="center"/>
                  </w:pPr>
                  <w:r>
                    <w:rPr>
                      <w:rFonts w:hint="eastAsia"/>
                    </w:rPr>
                    <w:t>2020.07.21</w:t>
                  </w:r>
                </w:p>
              </w:tc>
              <w:tc>
                <w:tcPr>
                  <w:tcW w:w="1770" w:type="dxa"/>
                  <w:vAlign w:val="center"/>
                </w:tcPr>
                <w:p>
                  <w:pPr>
                    <w:adjustRightInd w:val="0"/>
                    <w:snapToGrid w:val="0"/>
                    <w:jc w:val="center"/>
                  </w:pPr>
                  <w:r>
                    <w:rPr>
                      <w:rFonts w:hint="eastAsia"/>
                    </w:rPr>
                    <w:t>08:50-16:50</w:t>
                  </w:r>
                </w:p>
              </w:tc>
              <w:tc>
                <w:tcPr>
                  <w:tcW w:w="1200" w:type="dxa"/>
                  <w:vAlign w:val="center"/>
                </w:tcPr>
                <w:p>
                  <w:pPr>
                    <w:adjustRightInd w:val="0"/>
                    <w:snapToGrid w:val="0"/>
                    <w:jc w:val="center"/>
                  </w:pPr>
                  <w:r>
                    <w:t>4.</w:t>
                  </w:r>
                  <w:r>
                    <w:rPr>
                      <w:rFonts w:hint="eastAsia"/>
                    </w:rPr>
                    <w:t>79</w:t>
                  </w:r>
                  <w:r>
                    <w:t>×10</w:t>
                  </w:r>
                  <w:r>
                    <w:rPr>
                      <w:vertAlign w:val="superscript"/>
                    </w:rPr>
                    <w:t>-2</w:t>
                  </w:r>
                </w:p>
              </w:tc>
              <w:tc>
                <w:tcPr>
                  <w:tcW w:w="860" w:type="dxa"/>
                  <w:vMerge w:val="continue"/>
                  <w:vAlign w:val="center"/>
                </w:tcPr>
                <w:p>
                  <w:pPr>
                    <w:adjustRightInd w:val="0"/>
                    <w:snapToGrid w:val="0"/>
                    <w:jc w:val="center"/>
                  </w:pPr>
                </w:p>
              </w:tc>
              <w:tc>
                <w:tcPr>
                  <w:tcW w:w="882" w:type="dxa"/>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102" w:type="dxa"/>
                  <w:vMerge w:val="continue"/>
                  <w:vAlign w:val="center"/>
                </w:tcPr>
                <w:p>
                  <w:pPr>
                    <w:adjustRightInd w:val="0"/>
                    <w:snapToGrid w:val="0"/>
                    <w:jc w:val="center"/>
                  </w:pPr>
                </w:p>
              </w:tc>
              <w:tc>
                <w:tcPr>
                  <w:tcW w:w="1090" w:type="dxa"/>
                  <w:vMerge w:val="continue"/>
                  <w:vAlign w:val="center"/>
                </w:tcPr>
                <w:p>
                  <w:pPr>
                    <w:adjustRightInd w:val="0"/>
                    <w:snapToGrid w:val="0"/>
                    <w:jc w:val="center"/>
                  </w:pPr>
                </w:p>
              </w:tc>
              <w:tc>
                <w:tcPr>
                  <w:tcW w:w="1220" w:type="dxa"/>
                  <w:vAlign w:val="center"/>
                </w:tcPr>
                <w:p>
                  <w:pPr>
                    <w:adjustRightInd w:val="0"/>
                    <w:snapToGrid w:val="0"/>
                    <w:jc w:val="center"/>
                  </w:pPr>
                  <w:r>
                    <w:rPr>
                      <w:rFonts w:hint="eastAsia"/>
                    </w:rPr>
                    <w:t>2020.07.22</w:t>
                  </w:r>
                </w:p>
              </w:tc>
              <w:tc>
                <w:tcPr>
                  <w:tcW w:w="1770" w:type="dxa"/>
                  <w:vAlign w:val="center"/>
                </w:tcPr>
                <w:p>
                  <w:pPr>
                    <w:adjustRightInd w:val="0"/>
                    <w:snapToGrid w:val="0"/>
                    <w:jc w:val="center"/>
                  </w:pPr>
                  <w:r>
                    <w:rPr>
                      <w:rFonts w:hint="eastAsia"/>
                    </w:rPr>
                    <w:t>08:40-16:40</w:t>
                  </w:r>
                </w:p>
              </w:tc>
              <w:tc>
                <w:tcPr>
                  <w:tcW w:w="1200" w:type="dxa"/>
                  <w:vAlign w:val="center"/>
                </w:tcPr>
                <w:p>
                  <w:pPr>
                    <w:adjustRightInd w:val="0"/>
                    <w:snapToGrid w:val="0"/>
                    <w:jc w:val="center"/>
                  </w:pPr>
                  <w:r>
                    <w:rPr>
                      <w:rFonts w:hint="eastAsia"/>
                    </w:rPr>
                    <w:t>2.34</w:t>
                  </w:r>
                  <w:r>
                    <w:t>×10</w:t>
                  </w:r>
                  <w:r>
                    <w:rPr>
                      <w:vertAlign w:val="superscript"/>
                    </w:rPr>
                    <w:t>-2</w:t>
                  </w:r>
                </w:p>
              </w:tc>
              <w:tc>
                <w:tcPr>
                  <w:tcW w:w="860" w:type="dxa"/>
                  <w:vMerge w:val="continue"/>
                  <w:vAlign w:val="center"/>
                </w:tcPr>
                <w:p>
                  <w:pPr>
                    <w:adjustRightInd w:val="0"/>
                    <w:snapToGrid w:val="0"/>
                    <w:jc w:val="center"/>
                  </w:pPr>
                </w:p>
              </w:tc>
              <w:tc>
                <w:tcPr>
                  <w:tcW w:w="882" w:type="dxa"/>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02" w:type="dxa"/>
                  <w:vMerge w:val="continue"/>
                  <w:vAlign w:val="center"/>
                </w:tcPr>
                <w:p>
                  <w:pPr>
                    <w:adjustRightInd w:val="0"/>
                    <w:snapToGrid w:val="0"/>
                    <w:jc w:val="center"/>
                  </w:pPr>
                </w:p>
              </w:tc>
              <w:tc>
                <w:tcPr>
                  <w:tcW w:w="1090" w:type="dxa"/>
                  <w:vMerge w:val="continue"/>
                  <w:vAlign w:val="center"/>
                </w:tcPr>
                <w:p>
                  <w:pPr>
                    <w:adjustRightInd w:val="0"/>
                    <w:snapToGrid w:val="0"/>
                    <w:jc w:val="center"/>
                  </w:pPr>
                </w:p>
              </w:tc>
              <w:tc>
                <w:tcPr>
                  <w:tcW w:w="1220" w:type="dxa"/>
                  <w:vAlign w:val="center"/>
                </w:tcPr>
                <w:p>
                  <w:pPr>
                    <w:adjustRightInd w:val="0"/>
                    <w:snapToGrid w:val="0"/>
                    <w:jc w:val="center"/>
                  </w:pPr>
                  <w:r>
                    <w:rPr>
                      <w:rFonts w:hint="eastAsia"/>
                    </w:rPr>
                    <w:t>2020.07.23</w:t>
                  </w:r>
                </w:p>
              </w:tc>
              <w:tc>
                <w:tcPr>
                  <w:tcW w:w="1770" w:type="dxa"/>
                  <w:vAlign w:val="center"/>
                </w:tcPr>
                <w:p>
                  <w:pPr>
                    <w:adjustRightInd w:val="0"/>
                    <w:snapToGrid w:val="0"/>
                    <w:jc w:val="center"/>
                  </w:pPr>
                  <w:r>
                    <w:rPr>
                      <w:rFonts w:hint="eastAsia"/>
                    </w:rPr>
                    <w:t>08:46-16:46</w:t>
                  </w:r>
                </w:p>
              </w:tc>
              <w:tc>
                <w:tcPr>
                  <w:tcW w:w="1200" w:type="dxa"/>
                  <w:vAlign w:val="center"/>
                </w:tcPr>
                <w:p>
                  <w:pPr>
                    <w:adjustRightInd w:val="0"/>
                    <w:snapToGrid w:val="0"/>
                    <w:jc w:val="center"/>
                  </w:pPr>
                  <w:r>
                    <w:rPr>
                      <w:rFonts w:hint="eastAsia"/>
                    </w:rPr>
                    <w:t>2.97</w:t>
                  </w:r>
                  <w:r>
                    <w:t>×10</w:t>
                  </w:r>
                  <w:r>
                    <w:rPr>
                      <w:vertAlign w:val="superscript"/>
                    </w:rPr>
                    <w:t>-2</w:t>
                  </w:r>
                </w:p>
              </w:tc>
              <w:tc>
                <w:tcPr>
                  <w:tcW w:w="860" w:type="dxa"/>
                  <w:vMerge w:val="continue"/>
                  <w:vAlign w:val="center"/>
                </w:tcPr>
                <w:p>
                  <w:pPr>
                    <w:adjustRightInd w:val="0"/>
                    <w:snapToGrid w:val="0"/>
                    <w:jc w:val="center"/>
                  </w:pPr>
                </w:p>
              </w:tc>
              <w:tc>
                <w:tcPr>
                  <w:tcW w:w="882" w:type="dxa"/>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102" w:type="dxa"/>
                  <w:vMerge w:val="continue"/>
                  <w:vAlign w:val="center"/>
                </w:tcPr>
                <w:p>
                  <w:pPr>
                    <w:adjustRightInd w:val="0"/>
                    <w:snapToGrid w:val="0"/>
                    <w:jc w:val="center"/>
                  </w:pPr>
                </w:p>
              </w:tc>
              <w:tc>
                <w:tcPr>
                  <w:tcW w:w="1090" w:type="dxa"/>
                  <w:vMerge w:val="continue"/>
                  <w:vAlign w:val="center"/>
                </w:tcPr>
                <w:p>
                  <w:pPr>
                    <w:adjustRightInd w:val="0"/>
                    <w:snapToGrid w:val="0"/>
                    <w:jc w:val="center"/>
                  </w:pPr>
                </w:p>
              </w:tc>
              <w:tc>
                <w:tcPr>
                  <w:tcW w:w="1220" w:type="dxa"/>
                  <w:vAlign w:val="center"/>
                </w:tcPr>
                <w:p>
                  <w:pPr>
                    <w:adjustRightInd w:val="0"/>
                    <w:snapToGrid w:val="0"/>
                    <w:jc w:val="center"/>
                  </w:pPr>
                  <w:r>
                    <w:rPr>
                      <w:rFonts w:hint="eastAsia"/>
                    </w:rPr>
                    <w:t>2020.07.24</w:t>
                  </w:r>
                </w:p>
              </w:tc>
              <w:tc>
                <w:tcPr>
                  <w:tcW w:w="1770" w:type="dxa"/>
                  <w:vAlign w:val="center"/>
                </w:tcPr>
                <w:p>
                  <w:pPr>
                    <w:adjustRightInd w:val="0"/>
                    <w:snapToGrid w:val="0"/>
                    <w:jc w:val="center"/>
                  </w:pPr>
                  <w:r>
                    <w:rPr>
                      <w:rFonts w:hint="eastAsia"/>
                    </w:rPr>
                    <w:t>08:53-16:53</w:t>
                  </w:r>
                </w:p>
              </w:tc>
              <w:tc>
                <w:tcPr>
                  <w:tcW w:w="1200" w:type="dxa"/>
                  <w:vAlign w:val="center"/>
                </w:tcPr>
                <w:p>
                  <w:pPr>
                    <w:adjustRightInd w:val="0"/>
                    <w:snapToGrid w:val="0"/>
                    <w:jc w:val="center"/>
                  </w:pPr>
                  <w:r>
                    <w:rPr>
                      <w:rFonts w:hint="eastAsia"/>
                    </w:rPr>
                    <w:t>1.79</w:t>
                  </w:r>
                  <w:r>
                    <w:t>×10</w:t>
                  </w:r>
                  <w:r>
                    <w:rPr>
                      <w:vertAlign w:val="superscript"/>
                    </w:rPr>
                    <w:t>-2</w:t>
                  </w:r>
                </w:p>
              </w:tc>
              <w:tc>
                <w:tcPr>
                  <w:tcW w:w="860" w:type="dxa"/>
                  <w:vMerge w:val="continue"/>
                  <w:vAlign w:val="center"/>
                </w:tcPr>
                <w:p>
                  <w:pPr>
                    <w:adjustRightInd w:val="0"/>
                    <w:snapToGrid w:val="0"/>
                    <w:jc w:val="center"/>
                  </w:pPr>
                </w:p>
              </w:tc>
              <w:tc>
                <w:tcPr>
                  <w:tcW w:w="882" w:type="dxa"/>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102" w:type="dxa"/>
                  <w:vMerge w:val="continue"/>
                  <w:vAlign w:val="center"/>
                </w:tcPr>
                <w:p>
                  <w:pPr>
                    <w:adjustRightInd w:val="0"/>
                    <w:snapToGrid w:val="0"/>
                    <w:jc w:val="center"/>
                  </w:pPr>
                </w:p>
              </w:tc>
              <w:tc>
                <w:tcPr>
                  <w:tcW w:w="1090" w:type="dxa"/>
                  <w:vMerge w:val="continue"/>
                  <w:vAlign w:val="center"/>
                </w:tcPr>
                <w:p>
                  <w:pPr>
                    <w:adjustRightInd w:val="0"/>
                    <w:snapToGrid w:val="0"/>
                    <w:jc w:val="center"/>
                  </w:pPr>
                </w:p>
              </w:tc>
              <w:tc>
                <w:tcPr>
                  <w:tcW w:w="1220" w:type="dxa"/>
                  <w:vAlign w:val="center"/>
                </w:tcPr>
                <w:p>
                  <w:pPr>
                    <w:adjustRightInd w:val="0"/>
                    <w:snapToGrid w:val="0"/>
                    <w:jc w:val="center"/>
                  </w:pPr>
                  <w:r>
                    <w:rPr>
                      <w:rFonts w:hint="eastAsia"/>
                    </w:rPr>
                    <w:t>2020.07.25</w:t>
                  </w:r>
                </w:p>
              </w:tc>
              <w:tc>
                <w:tcPr>
                  <w:tcW w:w="1770" w:type="dxa"/>
                  <w:vAlign w:val="center"/>
                </w:tcPr>
                <w:p>
                  <w:pPr>
                    <w:adjustRightInd w:val="0"/>
                    <w:snapToGrid w:val="0"/>
                    <w:jc w:val="center"/>
                  </w:pPr>
                  <w:r>
                    <w:rPr>
                      <w:rFonts w:hint="eastAsia"/>
                    </w:rPr>
                    <w:t>08:46-16:46</w:t>
                  </w:r>
                </w:p>
              </w:tc>
              <w:tc>
                <w:tcPr>
                  <w:tcW w:w="1200" w:type="dxa"/>
                  <w:vAlign w:val="center"/>
                </w:tcPr>
                <w:p>
                  <w:pPr>
                    <w:adjustRightInd w:val="0"/>
                    <w:snapToGrid w:val="0"/>
                    <w:jc w:val="center"/>
                  </w:pPr>
                  <w:r>
                    <w:rPr>
                      <w:rFonts w:hint="eastAsia"/>
                    </w:rPr>
                    <w:t>3.78</w:t>
                  </w:r>
                  <w:r>
                    <w:t>×10</w:t>
                  </w:r>
                  <w:r>
                    <w:rPr>
                      <w:vertAlign w:val="superscript"/>
                    </w:rPr>
                    <w:t>-2</w:t>
                  </w:r>
                </w:p>
              </w:tc>
              <w:tc>
                <w:tcPr>
                  <w:tcW w:w="860" w:type="dxa"/>
                  <w:vMerge w:val="continue"/>
                  <w:vAlign w:val="center"/>
                </w:tcPr>
                <w:p>
                  <w:pPr>
                    <w:adjustRightInd w:val="0"/>
                    <w:snapToGrid w:val="0"/>
                    <w:jc w:val="center"/>
                  </w:pPr>
                </w:p>
              </w:tc>
              <w:tc>
                <w:tcPr>
                  <w:tcW w:w="882" w:type="dxa"/>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102" w:type="dxa"/>
                  <w:vMerge w:val="continue"/>
                  <w:vAlign w:val="center"/>
                </w:tcPr>
                <w:p>
                  <w:pPr>
                    <w:adjustRightInd w:val="0"/>
                    <w:snapToGrid w:val="0"/>
                    <w:jc w:val="center"/>
                  </w:pPr>
                </w:p>
              </w:tc>
              <w:tc>
                <w:tcPr>
                  <w:tcW w:w="1090" w:type="dxa"/>
                  <w:vMerge w:val="continue"/>
                  <w:vAlign w:val="center"/>
                </w:tcPr>
                <w:p>
                  <w:pPr>
                    <w:adjustRightInd w:val="0"/>
                    <w:snapToGrid w:val="0"/>
                    <w:jc w:val="center"/>
                  </w:pPr>
                </w:p>
              </w:tc>
              <w:tc>
                <w:tcPr>
                  <w:tcW w:w="1220" w:type="dxa"/>
                  <w:vAlign w:val="center"/>
                </w:tcPr>
                <w:p>
                  <w:pPr>
                    <w:adjustRightInd w:val="0"/>
                    <w:snapToGrid w:val="0"/>
                    <w:jc w:val="center"/>
                  </w:pPr>
                  <w:r>
                    <w:rPr>
                      <w:rFonts w:hint="eastAsia"/>
                    </w:rPr>
                    <w:t>2020.07.26</w:t>
                  </w:r>
                </w:p>
              </w:tc>
              <w:tc>
                <w:tcPr>
                  <w:tcW w:w="1770" w:type="dxa"/>
                  <w:vAlign w:val="center"/>
                </w:tcPr>
                <w:p>
                  <w:pPr>
                    <w:adjustRightInd w:val="0"/>
                    <w:snapToGrid w:val="0"/>
                    <w:jc w:val="center"/>
                  </w:pPr>
                  <w:r>
                    <w:rPr>
                      <w:rFonts w:hint="eastAsia"/>
                    </w:rPr>
                    <w:t>08:39-16:39</w:t>
                  </w:r>
                </w:p>
              </w:tc>
              <w:tc>
                <w:tcPr>
                  <w:tcW w:w="1200" w:type="dxa"/>
                  <w:vAlign w:val="center"/>
                </w:tcPr>
                <w:p>
                  <w:pPr>
                    <w:adjustRightInd w:val="0"/>
                    <w:snapToGrid w:val="0"/>
                    <w:jc w:val="center"/>
                  </w:pPr>
                  <w:r>
                    <w:rPr>
                      <w:rFonts w:hint="eastAsia"/>
                    </w:rPr>
                    <w:t>2.50</w:t>
                  </w:r>
                  <w:r>
                    <w:t>×10</w:t>
                  </w:r>
                  <w:r>
                    <w:rPr>
                      <w:vertAlign w:val="superscript"/>
                    </w:rPr>
                    <w:t>-2</w:t>
                  </w:r>
                </w:p>
              </w:tc>
              <w:tc>
                <w:tcPr>
                  <w:tcW w:w="860" w:type="dxa"/>
                  <w:vMerge w:val="continue"/>
                  <w:vAlign w:val="center"/>
                </w:tcPr>
                <w:p>
                  <w:pPr>
                    <w:adjustRightInd w:val="0"/>
                    <w:snapToGrid w:val="0"/>
                    <w:jc w:val="center"/>
                  </w:pPr>
                </w:p>
              </w:tc>
              <w:tc>
                <w:tcPr>
                  <w:tcW w:w="882" w:type="dxa"/>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102" w:type="dxa"/>
                  <w:vMerge w:val="continue"/>
                  <w:vAlign w:val="center"/>
                </w:tcPr>
                <w:p>
                  <w:pPr>
                    <w:adjustRightInd w:val="0"/>
                    <w:snapToGrid w:val="0"/>
                    <w:jc w:val="center"/>
                  </w:pPr>
                </w:p>
              </w:tc>
              <w:tc>
                <w:tcPr>
                  <w:tcW w:w="1090" w:type="dxa"/>
                  <w:vMerge w:val="restart"/>
                  <w:vAlign w:val="center"/>
                </w:tcPr>
                <w:p>
                  <w:pPr>
                    <w:adjustRightInd w:val="0"/>
                    <w:snapToGrid w:val="0"/>
                    <w:jc w:val="center"/>
                  </w:pPr>
                  <w:r>
                    <w:rPr>
                      <w:rFonts w:hint="eastAsia"/>
                    </w:rPr>
                    <w:t>TSP</w:t>
                  </w:r>
                </w:p>
              </w:tc>
              <w:tc>
                <w:tcPr>
                  <w:tcW w:w="1220" w:type="dxa"/>
                  <w:vAlign w:val="center"/>
                </w:tcPr>
                <w:p>
                  <w:pPr>
                    <w:adjustRightInd w:val="0"/>
                    <w:snapToGrid w:val="0"/>
                    <w:jc w:val="center"/>
                  </w:pPr>
                  <w:r>
                    <w:rPr>
                      <w:rFonts w:hint="eastAsia"/>
                    </w:rPr>
                    <w:t>2020.07.20</w:t>
                  </w:r>
                </w:p>
              </w:tc>
              <w:tc>
                <w:tcPr>
                  <w:tcW w:w="1770" w:type="dxa"/>
                  <w:vAlign w:val="center"/>
                </w:tcPr>
                <w:p>
                  <w:pPr>
                    <w:adjustRightInd w:val="0"/>
                    <w:snapToGrid w:val="0"/>
                    <w:jc w:val="center"/>
                  </w:pPr>
                  <w:r>
                    <w:rPr>
                      <w:rFonts w:hint="eastAsia"/>
                    </w:rPr>
                    <w:t>12:01-次日12:01</w:t>
                  </w:r>
                </w:p>
              </w:tc>
              <w:tc>
                <w:tcPr>
                  <w:tcW w:w="1200" w:type="dxa"/>
                  <w:vAlign w:val="center"/>
                </w:tcPr>
                <w:p>
                  <w:pPr>
                    <w:adjustRightInd w:val="0"/>
                    <w:snapToGrid w:val="0"/>
                    <w:jc w:val="center"/>
                  </w:pPr>
                  <w:r>
                    <w:rPr>
                      <w:rFonts w:hint="eastAsia"/>
                    </w:rPr>
                    <w:t>0.187</w:t>
                  </w:r>
                </w:p>
              </w:tc>
              <w:tc>
                <w:tcPr>
                  <w:tcW w:w="860" w:type="dxa"/>
                  <w:vMerge w:val="restart"/>
                  <w:vAlign w:val="center"/>
                </w:tcPr>
                <w:p>
                  <w:pPr>
                    <w:adjustRightInd w:val="0"/>
                    <w:snapToGrid w:val="0"/>
                    <w:jc w:val="center"/>
                  </w:pPr>
                  <w:r>
                    <w:rPr>
                      <w:rFonts w:hint="eastAsia"/>
                    </w:rPr>
                    <w:t>mg/m</w:t>
                  </w:r>
                  <w:r>
                    <w:rPr>
                      <w:rFonts w:hint="eastAsia"/>
                      <w:vertAlign w:val="superscript"/>
                    </w:rPr>
                    <w:t>3</w:t>
                  </w:r>
                </w:p>
              </w:tc>
              <w:tc>
                <w:tcPr>
                  <w:tcW w:w="882" w:type="dxa"/>
                  <w:vMerge w:val="restart"/>
                  <w:vAlign w:val="center"/>
                </w:tcPr>
                <w:p>
                  <w:pPr>
                    <w:adjustRightInd w:val="0"/>
                    <w:snapToGrid w:val="0"/>
                    <w:jc w:val="center"/>
                  </w:pPr>
                  <w:r>
                    <w:rPr>
                      <w:rFonts w:hint="eastAsia"/>
                    </w:rPr>
                    <w:t>24小时均值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102" w:type="dxa"/>
                  <w:vMerge w:val="continue"/>
                  <w:vAlign w:val="center"/>
                </w:tcPr>
                <w:p>
                  <w:pPr>
                    <w:adjustRightInd w:val="0"/>
                    <w:snapToGrid w:val="0"/>
                    <w:jc w:val="center"/>
                  </w:pPr>
                </w:p>
              </w:tc>
              <w:tc>
                <w:tcPr>
                  <w:tcW w:w="1090" w:type="dxa"/>
                  <w:vMerge w:val="continue"/>
                  <w:vAlign w:val="center"/>
                </w:tcPr>
                <w:p>
                  <w:pPr>
                    <w:adjustRightInd w:val="0"/>
                    <w:snapToGrid w:val="0"/>
                    <w:jc w:val="center"/>
                  </w:pPr>
                </w:p>
              </w:tc>
              <w:tc>
                <w:tcPr>
                  <w:tcW w:w="1220" w:type="dxa"/>
                  <w:vAlign w:val="center"/>
                </w:tcPr>
                <w:p>
                  <w:pPr>
                    <w:adjustRightInd w:val="0"/>
                    <w:snapToGrid w:val="0"/>
                    <w:jc w:val="center"/>
                    <w:rPr>
                      <w:b/>
                      <w:bCs/>
                    </w:rPr>
                  </w:pPr>
                  <w:r>
                    <w:rPr>
                      <w:rFonts w:hint="eastAsia"/>
                    </w:rPr>
                    <w:t>2020.07.21</w:t>
                  </w:r>
                </w:p>
              </w:tc>
              <w:tc>
                <w:tcPr>
                  <w:tcW w:w="1770" w:type="dxa"/>
                  <w:vAlign w:val="center"/>
                </w:tcPr>
                <w:p>
                  <w:pPr>
                    <w:adjustRightInd w:val="0"/>
                    <w:snapToGrid w:val="0"/>
                    <w:jc w:val="center"/>
                  </w:pPr>
                  <w:r>
                    <w:rPr>
                      <w:rFonts w:hint="eastAsia"/>
                    </w:rPr>
                    <w:t>13:10-次日13:10</w:t>
                  </w:r>
                </w:p>
              </w:tc>
              <w:tc>
                <w:tcPr>
                  <w:tcW w:w="1200" w:type="dxa"/>
                  <w:vAlign w:val="center"/>
                </w:tcPr>
                <w:p>
                  <w:pPr>
                    <w:adjustRightInd w:val="0"/>
                    <w:snapToGrid w:val="0"/>
                    <w:jc w:val="center"/>
                  </w:pPr>
                  <w:r>
                    <w:rPr>
                      <w:rFonts w:hint="eastAsia"/>
                    </w:rPr>
                    <w:t>0.194</w:t>
                  </w:r>
                </w:p>
              </w:tc>
              <w:tc>
                <w:tcPr>
                  <w:tcW w:w="860" w:type="dxa"/>
                  <w:vMerge w:val="continue"/>
                  <w:vAlign w:val="center"/>
                </w:tcPr>
                <w:p>
                  <w:pPr>
                    <w:adjustRightInd w:val="0"/>
                    <w:snapToGrid w:val="0"/>
                    <w:jc w:val="center"/>
                    <w:rPr>
                      <w:b/>
                      <w:bCs/>
                    </w:rPr>
                  </w:pPr>
                </w:p>
              </w:tc>
              <w:tc>
                <w:tcPr>
                  <w:tcW w:w="882" w:type="dxa"/>
                  <w:vMerge w:val="continue"/>
                  <w:vAlign w:val="center"/>
                </w:tcPr>
                <w:p>
                  <w:pPr>
                    <w:adjustRightInd w:val="0"/>
                    <w:snapToGrid w:val="0"/>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102" w:type="dxa"/>
                  <w:vMerge w:val="continue"/>
                  <w:vAlign w:val="center"/>
                </w:tcPr>
                <w:p>
                  <w:pPr>
                    <w:adjustRightInd w:val="0"/>
                    <w:snapToGrid w:val="0"/>
                    <w:jc w:val="center"/>
                    <w:rPr>
                      <w:b/>
                      <w:bCs/>
                    </w:rPr>
                  </w:pPr>
                </w:p>
              </w:tc>
              <w:tc>
                <w:tcPr>
                  <w:tcW w:w="1090" w:type="dxa"/>
                  <w:vMerge w:val="continue"/>
                  <w:vAlign w:val="center"/>
                </w:tcPr>
                <w:p>
                  <w:pPr>
                    <w:adjustRightInd w:val="0"/>
                    <w:snapToGrid w:val="0"/>
                    <w:jc w:val="center"/>
                    <w:rPr>
                      <w:b/>
                      <w:bCs/>
                    </w:rPr>
                  </w:pPr>
                </w:p>
              </w:tc>
              <w:tc>
                <w:tcPr>
                  <w:tcW w:w="1220" w:type="dxa"/>
                  <w:vAlign w:val="center"/>
                </w:tcPr>
                <w:p>
                  <w:pPr>
                    <w:adjustRightInd w:val="0"/>
                    <w:snapToGrid w:val="0"/>
                    <w:jc w:val="center"/>
                    <w:rPr>
                      <w:b/>
                      <w:bCs/>
                    </w:rPr>
                  </w:pPr>
                  <w:r>
                    <w:rPr>
                      <w:rFonts w:hint="eastAsia"/>
                    </w:rPr>
                    <w:t>2020.07.22</w:t>
                  </w:r>
                </w:p>
              </w:tc>
              <w:tc>
                <w:tcPr>
                  <w:tcW w:w="1770" w:type="dxa"/>
                  <w:vAlign w:val="center"/>
                </w:tcPr>
                <w:p>
                  <w:pPr>
                    <w:adjustRightInd w:val="0"/>
                    <w:snapToGrid w:val="0"/>
                    <w:jc w:val="center"/>
                  </w:pPr>
                  <w:r>
                    <w:rPr>
                      <w:rFonts w:hint="eastAsia"/>
                    </w:rPr>
                    <w:t>13:14-次日13:14</w:t>
                  </w:r>
                </w:p>
              </w:tc>
              <w:tc>
                <w:tcPr>
                  <w:tcW w:w="1200" w:type="dxa"/>
                  <w:vAlign w:val="center"/>
                </w:tcPr>
                <w:p>
                  <w:pPr>
                    <w:adjustRightInd w:val="0"/>
                    <w:snapToGrid w:val="0"/>
                    <w:jc w:val="center"/>
                  </w:pPr>
                  <w:r>
                    <w:rPr>
                      <w:rFonts w:hint="eastAsia"/>
                    </w:rPr>
                    <w:t>0.209</w:t>
                  </w:r>
                </w:p>
              </w:tc>
              <w:tc>
                <w:tcPr>
                  <w:tcW w:w="860" w:type="dxa"/>
                  <w:vMerge w:val="continue"/>
                  <w:vAlign w:val="center"/>
                </w:tcPr>
                <w:p>
                  <w:pPr>
                    <w:adjustRightInd w:val="0"/>
                    <w:snapToGrid w:val="0"/>
                    <w:jc w:val="center"/>
                    <w:rPr>
                      <w:b/>
                      <w:bCs/>
                    </w:rPr>
                  </w:pPr>
                </w:p>
              </w:tc>
              <w:tc>
                <w:tcPr>
                  <w:tcW w:w="882" w:type="dxa"/>
                  <w:vMerge w:val="continue"/>
                  <w:vAlign w:val="center"/>
                </w:tcPr>
                <w:p>
                  <w:pPr>
                    <w:adjustRightInd w:val="0"/>
                    <w:snapToGrid w:val="0"/>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102" w:type="dxa"/>
                  <w:vMerge w:val="continue"/>
                  <w:vAlign w:val="center"/>
                </w:tcPr>
                <w:p>
                  <w:pPr>
                    <w:adjustRightInd w:val="0"/>
                    <w:snapToGrid w:val="0"/>
                    <w:jc w:val="center"/>
                    <w:rPr>
                      <w:b/>
                      <w:bCs/>
                    </w:rPr>
                  </w:pPr>
                </w:p>
              </w:tc>
              <w:tc>
                <w:tcPr>
                  <w:tcW w:w="1090" w:type="dxa"/>
                  <w:vMerge w:val="continue"/>
                  <w:vAlign w:val="center"/>
                </w:tcPr>
                <w:p>
                  <w:pPr>
                    <w:adjustRightInd w:val="0"/>
                    <w:snapToGrid w:val="0"/>
                    <w:jc w:val="center"/>
                    <w:rPr>
                      <w:b/>
                      <w:bCs/>
                    </w:rPr>
                  </w:pPr>
                </w:p>
              </w:tc>
              <w:tc>
                <w:tcPr>
                  <w:tcW w:w="1220" w:type="dxa"/>
                  <w:vAlign w:val="center"/>
                </w:tcPr>
                <w:p>
                  <w:pPr>
                    <w:adjustRightInd w:val="0"/>
                    <w:snapToGrid w:val="0"/>
                    <w:jc w:val="center"/>
                    <w:rPr>
                      <w:b/>
                      <w:bCs/>
                    </w:rPr>
                  </w:pPr>
                  <w:r>
                    <w:rPr>
                      <w:rFonts w:hint="eastAsia"/>
                    </w:rPr>
                    <w:t>2020.07.23</w:t>
                  </w:r>
                </w:p>
              </w:tc>
              <w:tc>
                <w:tcPr>
                  <w:tcW w:w="1770" w:type="dxa"/>
                  <w:vAlign w:val="center"/>
                </w:tcPr>
                <w:p>
                  <w:pPr>
                    <w:adjustRightInd w:val="0"/>
                    <w:snapToGrid w:val="0"/>
                    <w:jc w:val="center"/>
                  </w:pPr>
                  <w:r>
                    <w:rPr>
                      <w:rFonts w:hint="eastAsia"/>
                    </w:rPr>
                    <w:t>13:39-次日13:39</w:t>
                  </w:r>
                </w:p>
              </w:tc>
              <w:tc>
                <w:tcPr>
                  <w:tcW w:w="1200" w:type="dxa"/>
                  <w:vAlign w:val="center"/>
                </w:tcPr>
                <w:p>
                  <w:pPr>
                    <w:adjustRightInd w:val="0"/>
                    <w:snapToGrid w:val="0"/>
                    <w:jc w:val="center"/>
                  </w:pPr>
                  <w:r>
                    <w:rPr>
                      <w:rFonts w:hint="eastAsia"/>
                    </w:rPr>
                    <w:t>0.192</w:t>
                  </w:r>
                </w:p>
              </w:tc>
              <w:tc>
                <w:tcPr>
                  <w:tcW w:w="860" w:type="dxa"/>
                  <w:vMerge w:val="continue"/>
                  <w:vAlign w:val="center"/>
                </w:tcPr>
                <w:p>
                  <w:pPr>
                    <w:adjustRightInd w:val="0"/>
                    <w:snapToGrid w:val="0"/>
                    <w:jc w:val="center"/>
                    <w:rPr>
                      <w:b/>
                      <w:bCs/>
                    </w:rPr>
                  </w:pPr>
                </w:p>
              </w:tc>
              <w:tc>
                <w:tcPr>
                  <w:tcW w:w="882" w:type="dxa"/>
                  <w:vMerge w:val="continue"/>
                  <w:vAlign w:val="center"/>
                </w:tcPr>
                <w:p>
                  <w:pPr>
                    <w:adjustRightInd w:val="0"/>
                    <w:snapToGrid w:val="0"/>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102" w:type="dxa"/>
                  <w:vMerge w:val="continue"/>
                  <w:vAlign w:val="center"/>
                </w:tcPr>
                <w:p>
                  <w:pPr>
                    <w:adjustRightInd w:val="0"/>
                    <w:snapToGrid w:val="0"/>
                    <w:jc w:val="center"/>
                    <w:rPr>
                      <w:b/>
                      <w:bCs/>
                    </w:rPr>
                  </w:pPr>
                </w:p>
              </w:tc>
              <w:tc>
                <w:tcPr>
                  <w:tcW w:w="1090" w:type="dxa"/>
                  <w:vMerge w:val="continue"/>
                  <w:vAlign w:val="center"/>
                </w:tcPr>
                <w:p>
                  <w:pPr>
                    <w:adjustRightInd w:val="0"/>
                    <w:snapToGrid w:val="0"/>
                    <w:jc w:val="center"/>
                    <w:rPr>
                      <w:b/>
                      <w:bCs/>
                    </w:rPr>
                  </w:pPr>
                </w:p>
              </w:tc>
              <w:tc>
                <w:tcPr>
                  <w:tcW w:w="1220" w:type="dxa"/>
                  <w:vAlign w:val="center"/>
                </w:tcPr>
                <w:p>
                  <w:pPr>
                    <w:adjustRightInd w:val="0"/>
                    <w:snapToGrid w:val="0"/>
                    <w:jc w:val="center"/>
                    <w:rPr>
                      <w:b/>
                      <w:bCs/>
                    </w:rPr>
                  </w:pPr>
                  <w:r>
                    <w:rPr>
                      <w:rFonts w:hint="eastAsia"/>
                    </w:rPr>
                    <w:t>2020.07.24</w:t>
                  </w:r>
                </w:p>
              </w:tc>
              <w:tc>
                <w:tcPr>
                  <w:tcW w:w="1770" w:type="dxa"/>
                  <w:vAlign w:val="center"/>
                </w:tcPr>
                <w:p>
                  <w:pPr>
                    <w:adjustRightInd w:val="0"/>
                    <w:snapToGrid w:val="0"/>
                    <w:jc w:val="center"/>
                  </w:pPr>
                  <w:r>
                    <w:rPr>
                      <w:rFonts w:hint="eastAsia"/>
                    </w:rPr>
                    <w:t>14:36-次日13:36</w:t>
                  </w:r>
                </w:p>
              </w:tc>
              <w:tc>
                <w:tcPr>
                  <w:tcW w:w="1200" w:type="dxa"/>
                  <w:vAlign w:val="center"/>
                </w:tcPr>
                <w:p>
                  <w:pPr>
                    <w:adjustRightInd w:val="0"/>
                    <w:snapToGrid w:val="0"/>
                    <w:jc w:val="center"/>
                  </w:pPr>
                  <w:r>
                    <w:rPr>
                      <w:rFonts w:hint="eastAsia"/>
                    </w:rPr>
                    <w:t>0.203</w:t>
                  </w:r>
                </w:p>
              </w:tc>
              <w:tc>
                <w:tcPr>
                  <w:tcW w:w="860" w:type="dxa"/>
                  <w:vMerge w:val="continue"/>
                  <w:vAlign w:val="center"/>
                </w:tcPr>
                <w:p>
                  <w:pPr>
                    <w:adjustRightInd w:val="0"/>
                    <w:snapToGrid w:val="0"/>
                    <w:jc w:val="center"/>
                    <w:rPr>
                      <w:b/>
                      <w:bCs/>
                    </w:rPr>
                  </w:pPr>
                </w:p>
              </w:tc>
              <w:tc>
                <w:tcPr>
                  <w:tcW w:w="882" w:type="dxa"/>
                  <w:vMerge w:val="continue"/>
                  <w:vAlign w:val="center"/>
                </w:tcPr>
                <w:p>
                  <w:pPr>
                    <w:adjustRightInd w:val="0"/>
                    <w:snapToGrid w:val="0"/>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102" w:type="dxa"/>
                  <w:vMerge w:val="continue"/>
                  <w:vAlign w:val="center"/>
                </w:tcPr>
                <w:p>
                  <w:pPr>
                    <w:adjustRightInd w:val="0"/>
                    <w:snapToGrid w:val="0"/>
                    <w:jc w:val="center"/>
                    <w:rPr>
                      <w:b/>
                      <w:bCs/>
                    </w:rPr>
                  </w:pPr>
                </w:p>
              </w:tc>
              <w:tc>
                <w:tcPr>
                  <w:tcW w:w="1090" w:type="dxa"/>
                  <w:vMerge w:val="continue"/>
                  <w:vAlign w:val="center"/>
                </w:tcPr>
                <w:p>
                  <w:pPr>
                    <w:adjustRightInd w:val="0"/>
                    <w:snapToGrid w:val="0"/>
                    <w:jc w:val="center"/>
                    <w:rPr>
                      <w:b/>
                      <w:bCs/>
                    </w:rPr>
                  </w:pPr>
                </w:p>
              </w:tc>
              <w:tc>
                <w:tcPr>
                  <w:tcW w:w="1220" w:type="dxa"/>
                  <w:vAlign w:val="center"/>
                </w:tcPr>
                <w:p>
                  <w:pPr>
                    <w:adjustRightInd w:val="0"/>
                    <w:snapToGrid w:val="0"/>
                    <w:jc w:val="center"/>
                    <w:rPr>
                      <w:b/>
                      <w:bCs/>
                    </w:rPr>
                  </w:pPr>
                  <w:r>
                    <w:rPr>
                      <w:rFonts w:hint="eastAsia"/>
                    </w:rPr>
                    <w:t>2020.07.25</w:t>
                  </w:r>
                </w:p>
              </w:tc>
              <w:tc>
                <w:tcPr>
                  <w:tcW w:w="1770" w:type="dxa"/>
                  <w:vAlign w:val="center"/>
                </w:tcPr>
                <w:p>
                  <w:pPr>
                    <w:adjustRightInd w:val="0"/>
                    <w:snapToGrid w:val="0"/>
                    <w:jc w:val="center"/>
                  </w:pPr>
                  <w:r>
                    <w:rPr>
                      <w:rFonts w:hint="eastAsia"/>
                    </w:rPr>
                    <w:t>13:39-次日13:39</w:t>
                  </w:r>
                </w:p>
              </w:tc>
              <w:tc>
                <w:tcPr>
                  <w:tcW w:w="1200" w:type="dxa"/>
                  <w:vAlign w:val="center"/>
                </w:tcPr>
                <w:p>
                  <w:pPr>
                    <w:adjustRightInd w:val="0"/>
                    <w:snapToGrid w:val="0"/>
                    <w:jc w:val="center"/>
                  </w:pPr>
                  <w:r>
                    <w:rPr>
                      <w:rFonts w:hint="eastAsia"/>
                    </w:rPr>
                    <w:t>0.190</w:t>
                  </w:r>
                </w:p>
              </w:tc>
              <w:tc>
                <w:tcPr>
                  <w:tcW w:w="860" w:type="dxa"/>
                  <w:vMerge w:val="continue"/>
                  <w:vAlign w:val="center"/>
                </w:tcPr>
                <w:p>
                  <w:pPr>
                    <w:adjustRightInd w:val="0"/>
                    <w:snapToGrid w:val="0"/>
                    <w:jc w:val="center"/>
                    <w:rPr>
                      <w:b/>
                      <w:bCs/>
                    </w:rPr>
                  </w:pPr>
                </w:p>
              </w:tc>
              <w:tc>
                <w:tcPr>
                  <w:tcW w:w="882" w:type="dxa"/>
                  <w:vMerge w:val="continue"/>
                  <w:vAlign w:val="center"/>
                </w:tcPr>
                <w:p>
                  <w:pPr>
                    <w:adjustRightInd w:val="0"/>
                    <w:snapToGrid w:val="0"/>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102" w:type="dxa"/>
                  <w:vMerge w:val="continue"/>
                  <w:vAlign w:val="center"/>
                </w:tcPr>
                <w:p>
                  <w:pPr>
                    <w:adjustRightInd w:val="0"/>
                    <w:snapToGrid w:val="0"/>
                    <w:jc w:val="center"/>
                    <w:rPr>
                      <w:b/>
                      <w:bCs/>
                    </w:rPr>
                  </w:pPr>
                </w:p>
              </w:tc>
              <w:tc>
                <w:tcPr>
                  <w:tcW w:w="1090" w:type="dxa"/>
                  <w:vMerge w:val="continue"/>
                  <w:vAlign w:val="center"/>
                </w:tcPr>
                <w:p>
                  <w:pPr>
                    <w:adjustRightInd w:val="0"/>
                    <w:snapToGrid w:val="0"/>
                    <w:jc w:val="center"/>
                    <w:rPr>
                      <w:b/>
                      <w:bCs/>
                    </w:rPr>
                  </w:pPr>
                </w:p>
              </w:tc>
              <w:tc>
                <w:tcPr>
                  <w:tcW w:w="1220" w:type="dxa"/>
                  <w:vAlign w:val="center"/>
                </w:tcPr>
                <w:p>
                  <w:pPr>
                    <w:adjustRightInd w:val="0"/>
                    <w:snapToGrid w:val="0"/>
                    <w:jc w:val="center"/>
                    <w:rPr>
                      <w:b/>
                      <w:bCs/>
                    </w:rPr>
                  </w:pPr>
                  <w:r>
                    <w:rPr>
                      <w:rFonts w:hint="eastAsia"/>
                    </w:rPr>
                    <w:t>2020.07.26</w:t>
                  </w:r>
                </w:p>
              </w:tc>
              <w:tc>
                <w:tcPr>
                  <w:tcW w:w="1770" w:type="dxa"/>
                  <w:vAlign w:val="center"/>
                </w:tcPr>
                <w:p>
                  <w:pPr>
                    <w:adjustRightInd w:val="0"/>
                    <w:snapToGrid w:val="0"/>
                    <w:jc w:val="center"/>
                  </w:pPr>
                  <w:r>
                    <w:rPr>
                      <w:rFonts w:hint="eastAsia"/>
                    </w:rPr>
                    <w:t>13:41-次日13:41</w:t>
                  </w:r>
                </w:p>
              </w:tc>
              <w:tc>
                <w:tcPr>
                  <w:tcW w:w="1200" w:type="dxa"/>
                  <w:vAlign w:val="center"/>
                </w:tcPr>
                <w:p>
                  <w:pPr>
                    <w:adjustRightInd w:val="0"/>
                    <w:snapToGrid w:val="0"/>
                    <w:jc w:val="center"/>
                  </w:pPr>
                  <w:r>
                    <w:rPr>
                      <w:rFonts w:hint="eastAsia"/>
                    </w:rPr>
                    <w:t>0.202</w:t>
                  </w:r>
                </w:p>
              </w:tc>
              <w:tc>
                <w:tcPr>
                  <w:tcW w:w="860" w:type="dxa"/>
                  <w:vMerge w:val="continue"/>
                  <w:vAlign w:val="center"/>
                </w:tcPr>
                <w:p>
                  <w:pPr>
                    <w:adjustRightInd w:val="0"/>
                    <w:snapToGrid w:val="0"/>
                    <w:jc w:val="center"/>
                    <w:rPr>
                      <w:b/>
                      <w:bCs/>
                    </w:rPr>
                  </w:pPr>
                </w:p>
              </w:tc>
              <w:tc>
                <w:tcPr>
                  <w:tcW w:w="882" w:type="dxa"/>
                  <w:vMerge w:val="continue"/>
                  <w:vAlign w:val="center"/>
                </w:tcPr>
                <w:p>
                  <w:pPr>
                    <w:adjustRightInd w:val="0"/>
                    <w:snapToGrid w:val="0"/>
                    <w:jc w:val="center"/>
                    <w:rPr>
                      <w:b/>
                      <w:bCs/>
                    </w:rPr>
                  </w:pPr>
                </w:p>
              </w:tc>
            </w:tr>
          </w:tbl>
          <w:p>
            <w:pPr>
              <w:numPr>
                <w:ilvl w:val="0"/>
                <w:numId w:val="5"/>
              </w:numPr>
              <w:adjustRightInd w:val="0"/>
              <w:snapToGrid w:val="0"/>
              <w:spacing w:line="360" w:lineRule="auto"/>
              <w:ind w:left="322"/>
              <w:jc w:val="center"/>
              <w:rPr>
                <w:b/>
                <w:bCs/>
              </w:rPr>
            </w:pPr>
            <w:r>
              <w:rPr>
                <w:rFonts w:hint="eastAsia"/>
                <w:b/>
                <w:bCs/>
              </w:rPr>
              <w:t>空气监测评价结果</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2"/>
              <w:gridCol w:w="986"/>
              <w:gridCol w:w="1328"/>
              <w:gridCol w:w="1557"/>
              <w:gridCol w:w="1580"/>
              <w:gridCol w:w="1090"/>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140" w:type="dxa"/>
                  <w:vAlign w:val="center"/>
                </w:tcPr>
                <w:p>
                  <w:pPr>
                    <w:pStyle w:val="5"/>
                    <w:adjustRightInd w:val="0"/>
                    <w:snapToGrid w:val="0"/>
                    <w:spacing w:before="0" w:after="0" w:line="240" w:lineRule="auto"/>
                    <w:jc w:val="center"/>
                    <w:rPr>
                      <w:rFonts w:ascii="Times New Roman" w:hAnsi="Times New Roman" w:eastAsia="宋体" w:cs="Times New Roman"/>
                      <w:sz w:val="21"/>
                    </w:rPr>
                  </w:pPr>
                  <w:r>
                    <w:rPr>
                      <w:rFonts w:ascii="Times New Roman" w:hAnsi="Times New Roman" w:eastAsia="宋体" w:cs="Times New Roman"/>
                      <w:sz w:val="21"/>
                    </w:rPr>
                    <w:t>监测点</w:t>
                  </w:r>
                </w:p>
              </w:tc>
              <w:tc>
                <w:tcPr>
                  <w:tcW w:w="950" w:type="dxa"/>
                  <w:vAlign w:val="center"/>
                </w:tcPr>
                <w:p>
                  <w:pPr>
                    <w:pStyle w:val="5"/>
                    <w:adjustRightInd w:val="0"/>
                    <w:snapToGrid w:val="0"/>
                    <w:spacing w:before="0" w:after="0" w:line="240" w:lineRule="auto"/>
                    <w:jc w:val="center"/>
                    <w:rPr>
                      <w:rFonts w:ascii="Times New Roman" w:hAnsi="Times New Roman" w:eastAsia="宋体" w:cs="Times New Roman"/>
                      <w:sz w:val="21"/>
                    </w:rPr>
                  </w:pPr>
                  <w:r>
                    <w:rPr>
                      <w:rFonts w:ascii="Times New Roman" w:hAnsi="Times New Roman" w:eastAsia="宋体" w:cs="Times New Roman"/>
                      <w:sz w:val="21"/>
                    </w:rPr>
                    <w:t>污染物</w:t>
                  </w:r>
                </w:p>
              </w:tc>
              <w:tc>
                <w:tcPr>
                  <w:tcW w:w="1280" w:type="dxa"/>
                  <w:vAlign w:val="center"/>
                </w:tcPr>
                <w:p>
                  <w:pPr>
                    <w:pStyle w:val="5"/>
                    <w:adjustRightInd w:val="0"/>
                    <w:snapToGrid w:val="0"/>
                    <w:spacing w:before="0" w:after="0" w:line="240" w:lineRule="auto"/>
                    <w:jc w:val="center"/>
                    <w:rPr>
                      <w:rFonts w:ascii="Times New Roman" w:hAnsi="Times New Roman" w:eastAsia="宋体" w:cs="Times New Roman"/>
                      <w:sz w:val="21"/>
                    </w:rPr>
                  </w:pPr>
                  <w:r>
                    <w:rPr>
                      <w:rFonts w:ascii="Times New Roman" w:hAnsi="Times New Roman" w:eastAsia="宋体" w:cs="Times New Roman"/>
                      <w:sz w:val="21"/>
                    </w:rPr>
                    <w:t>评价标准（mg/m</w:t>
                  </w:r>
                  <w:r>
                    <w:rPr>
                      <w:rFonts w:ascii="Times New Roman" w:hAnsi="Times New Roman" w:eastAsia="宋体" w:cs="Times New Roman"/>
                      <w:sz w:val="21"/>
                      <w:vertAlign w:val="superscript"/>
                    </w:rPr>
                    <w:t>3</w:t>
                  </w:r>
                  <w:r>
                    <w:rPr>
                      <w:rFonts w:ascii="Times New Roman" w:hAnsi="Times New Roman" w:eastAsia="宋体" w:cs="Times New Roman"/>
                      <w:sz w:val="21"/>
                    </w:rPr>
                    <w:t>）</w:t>
                  </w:r>
                </w:p>
              </w:tc>
              <w:tc>
                <w:tcPr>
                  <w:tcW w:w="1500" w:type="dxa"/>
                  <w:vAlign w:val="center"/>
                </w:tcPr>
                <w:p>
                  <w:pPr>
                    <w:pStyle w:val="5"/>
                    <w:adjustRightInd w:val="0"/>
                    <w:snapToGrid w:val="0"/>
                    <w:spacing w:before="0" w:after="0" w:line="240" w:lineRule="auto"/>
                    <w:jc w:val="center"/>
                    <w:rPr>
                      <w:rFonts w:ascii="Times New Roman" w:hAnsi="Times New Roman" w:eastAsia="宋体" w:cs="Times New Roman"/>
                      <w:sz w:val="21"/>
                    </w:rPr>
                  </w:pPr>
                  <w:r>
                    <w:rPr>
                      <w:rFonts w:ascii="Times New Roman" w:hAnsi="Times New Roman" w:eastAsia="宋体" w:cs="Times New Roman"/>
                      <w:sz w:val="21"/>
                    </w:rPr>
                    <w:t>8小时均值浓度范围（mg/m</w:t>
                  </w:r>
                  <w:r>
                    <w:rPr>
                      <w:rFonts w:ascii="Times New Roman" w:hAnsi="Times New Roman" w:eastAsia="宋体" w:cs="Times New Roman"/>
                      <w:sz w:val="21"/>
                      <w:vertAlign w:val="superscript"/>
                    </w:rPr>
                    <w:t>3</w:t>
                  </w:r>
                  <w:r>
                    <w:rPr>
                      <w:rFonts w:ascii="Times New Roman" w:hAnsi="Times New Roman" w:eastAsia="宋体" w:cs="Times New Roman"/>
                      <w:sz w:val="21"/>
                    </w:rPr>
                    <w:t>）</w:t>
                  </w:r>
                </w:p>
              </w:tc>
              <w:tc>
                <w:tcPr>
                  <w:tcW w:w="1522" w:type="dxa"/>
                  <w:vAlign w:val="center"/>
                </w:tcPr>
                <w:p>
                  <w:pPr>
                    <w:pStyle w:val="5"/>
                    <w:adjustRightInd w:val="0"/>
                    <w:snapToGrid w:val="0"/>
                    <w:spacing w:before="0" w:after="0" w:line="240" w:lineRule="auto"/>
                    <w:jc w:val="center"/>
                    <w:rPr>
                      <w:rFonts w:ascii="Times New Roman" w:hAnsi="Times New Roman" w:eastAsia="宋体" w:cs="Times New Roman"/>
                      <w:sz w:val="21"/>
                    </w:rPr>
                  </w:pPr>
                  <w:r>
                    <w:rPr>
                      <w:rFonts w:ascii="Times New Roman" w:hAnsi="Times New Roman" w:eastAsia="宋体" w:cs="Times New Roman"/>
                      <w:sz w:val="21"/>
                    </w:rPr>
                    <w:t>24小时均值浓度范围（mg/m</w:t>
                  </w:r>
                  <w:r>
                    <w:rPr>
                      <w:rFonts w:ascii="Times New Roman" w:hAnsi="Times New Roman" w:eastAsia="宋体" w:cs="Times New Roman"/>
                      <w:sz w:val="21"/>
                      <w:vertAlign w:val="superscript"/>
                    </w:rPr>
                    <w:t>3</w:t>
                  </w:r>
                  <w:r>
                    <w:rPr>
                      <w:rFonts w:ascii="Times New Roman" w:hAnsi="Times New Roman" w:eastAsia="宋体" w:cs="Times New Roman"/>
                      <w:sz w:val="21"/>
                    </w:rPr>
                    <w:t>）</w:t>
                  </w:r>
                </w:p>
              </w:tc>
              <w:tc>
                <w:tcPr>
                  <w:tcW w:w="1050" w:type="dxa"/>
                  <w:vAlign w:val="center"/>
                </w:tcPr>
                <w:p>
                  <w:pPr>
                    <w:pStyle w:val="5"/>
                    <w:adjustRightInd w:val="0"/>
                    <w:snapToGrid w:val="0"/>
                    <w:spacing w:before="0" w:after="0" w:line="240" w:lineRule="auto"/>
                    <w:jc w:val="center"/>
                    <w:rPr>
                      <w:rFonts w:ascii="Times New Roman" w:hAnsi="Times New Roman" w:eastAsia="宋体" w:cs="Times New Roman"/>
                      <w:sz w:val="21"/>
                    </w:rPr>
                  </w:pPr>
                  <w:r>
                    <w:rPr>
                      <w:rFonts w:ascii="Times New Roman" w:hAnsi="Times New Roman" w:eastAsia="宋体" w:cs="Times New Roman"/>
                      <w:sz w:val="21"/>
                    </w:rPr>
                    <w:t>最大浓度占标率（%）</w:t>
                  </w:r>
                </w:p>
              </w:tc>
              <w:tc>
                <w:tcPr>
                  <w:tcW w:w="682" w:type="dxa"/>
                  <w:vAlign w:val="center"/>
                </w:tcPr>
                <w:p>
                  <w:pPr>
                    <w:pStyle w:val="5"/>
                    <w:adjustRightInd w:val="0"/>
                    <w:snapToGrid w:val="0"/>
                    <w:spacing w:before="0" w:after="0" w:line="240" w:lineRule="auto"/>
                    <w:jc w:val="center"/>
                    <w:rPr>
                      <w:rFonts w:ascii="Times New Roman" w:hAnsi="Times New Roman" w:eastAsia="宋体" w:cs="Times New Roman"/>
                      <w:sz w:val="21"/>
                    </w:rPr>
                  </w:pPr>
                  <w:r>
                    <w:rPr>
                      <w:rFonts w:ascii="Times New Roman" w:hAnsi="Times New Roman" w:eastAsia="宋体" w:cs="Times New Roman"/>
                      <w:sz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140" w:type="dxa"/>
                  <w:vMerge w:val="restart"/>
                  <w:vAlign w:val="center"/>
                </w:tcPr>
                <w:p>
                  <w:pPr>
                    <w:pStyle w:val="5"/>
                    <w:adjustRightInd w:val="0"/>
                    <w:snapToGrid w:val="0"/>
                    <w:spacing w:before="0" w:after="0" w:line="240" w:lineRule="auto"/>
                    <w:jc w:val="center"/>
                    <w:rPr>
                      <w:rFonts w:ascii="Times New Roman" w:hAnsi="Times New Roman" w:eastAsia="宋体" w:cs="Times New Roman"/>
                      <w:sz w:val="21"/>
                    </w:rPr>
                  </w:pPr>
                  <w:r>
                    <w:rPr>
                      <w:rFonts w:ascii="Times New Roman" w:hAnsi="Times New Roman" w:eastAsia="宋体" w:cs="Times New Roman"/>
                      <w:b w:val="0"/>
                      <w:sz w:val="21"/>
                    </w:rPr>
                    <w:t>G1规划区所在地</w:t>
                  </w:r>
                </w:p>
              </w:tc>
              <w:tc>
                <w:tcPr>
                  <w:tcW w:w="950" w:type="dxa"/>
                  <w:vAlign w:val="center"/>
                </w:tcPr>
                <w:p>
                  <w:pPr>
                    <w:pStyle w:val="5"/>
                    <w:adjustRightInd w:val="0"/>
                    <w:snapToGrid w:val="0"/>
                    <w:spacing w:before="0" w:after="0" w:line="240" w:lineRule="auto"/>
                    <w:jc w:val="center"/>
                    <w:rPr>
                      <w:rFonts w:ascii="Times New Roman" w:hAnsi="Times New Roman" w:eastAsia="宋体" w:cs="Times New Roman"/>
                      <w:b w:val="0"/>
                      <w:bCs w:val="0"/>
                      <w:sz w:val="21"/>
                    </w:rPr>
                  </w:pPr>
                  <w:r>
                    <w:rPr>
                      <w:rFonts w:ascii="Times New Roman" w:hAnsi="Times New Roman" w:eastAsia="宋体" w:cs="Times New Roman"/>
                      <w:b w:val="0"/>
                      <w:sz w:val="21"/>
                    </w:rPr>
                    <w:t>TVOC</w:t>
                  </w:r>
                </w:p>
              </w:tc>
              <w:tc>
                <w:tcPr>
                  <w:tcW w:w="1280" w:type="dxa"/>
                  <w:vAlign w:val="center"/>
                </w:tcPr>
                <w:p>
                  <w:pPr>
                    <w:pStyle w:val="5"/>
                    <w:adjustRightInd w:val="0"/>
                    <w:snapToGrid w:val="0"/>
                    <w:spacing w:before="0" w:after="0" w:line="240" w:lineRule="auto"/>
                    <w:jc w:val="center"/>
                    <w:rPr>
                      <w:rFonts w:ascii="Times New Roman" w:hAnsi="Times New Roman" w:eastAsia="宋体" w:cs="Times New Roman"/>
                      <w:b w:val="0"/>
                      <w:bCs w:val="0"/>
                      <w:sz w:val="21"/>
                    </w:rPr>
                  </w:pPr>
                  <w:r>
                    <w:rPr>
                      <w:rFonts w:ascii="Times New Roman" w:hAnsi="Times New Roman" w:eastAsia="宋体" w:cs="Times New Roman"/>
                      <w:b w:val="0"/>
                      <w:sz w:val="21"/>
                    </w:rPr>
                    <w:t>0.6</w:t>
                  </w:r>
                </w:p>
              </w:tc>
              <w:tc>
                <w:tcPr>
                  <w:tcW w:w="1500" w:type="dxa"/>
                  <w:vAlign w:val="center"/>
                </w:tcPr>
                <w:p>
                  <w:pPr>
                    <w:pStyle w:val="5"/>
                    <w:adjustRightInd w:val="0"/>
                    <w:snapToGrid w:val="0"/>
                    <w:spacing w:before="0" w:after="0" w:line="240" w:lineRule="auto"/>
                    <w:jc w:val="center"/>
                    <w:rPr>
                      <w:rFonts w:ascii="Times New Roman" w:hAnsi="Times New Roman" w:eastAsia="宋体" w:cs="Times New Roman"/>
                      <w:b w:val="0"/>
                      <w:bCs w:val="0"/>
                      <w:sz w:val="21"/>
                    </w:rPr>
                  </w:pPr>
                  <w:r>
                    <w:rPr>
                      <w:rFonts w:ascii="Times New Roman" w:hAnsi="Times New Roman" w:eastAsia="宋体" w:cs="Times New Roman"/>
                      <w:b w:val="0"/>
                      <w:sz w:val="21"/>
                    </w:rPr>
                    <w:t>1.79×10</w:t>
                  </w:r>
                  <w:r>
                    <w:rPr>
                      <w:rFonts w:ascii="Times New Roman" w:hAnsi="Times New Roman" w:eastAsia="宋体" w:cs="Times New Roman"/>
                      <w:b w:val="0"/>
                      <w:sz w:val="21"/>
                      <w:vertAlign w:val="superscript"/>
                    </w:rPr>
                    <w:t xml:space="preserve">-2 </w:t>
                  </w:r>
                  <w:r>
                    <w:rPr>
                      <w:rFonts w:ascii="Times New Roman" w:hAnsi="Times New Roman" w:eastAsia="宋体" w:cs="Times New Roman"/>
                      <w:b w:val="0"/>
                      <w:sz w:val="21"/>
                    </w:rPr>
                    <w:t>~4.79×10</w:t>
                  </w:r>
                  <w:r>
                    <w:rPr>
                      <w:rFonts w:ascii="Times New Roman" w:hAnsi="Times New Roman" w:eastAsia="宋体" w:cs="Times New Roman"/>
                      <w:b w:val="0"/>
                      <w:sz w:val="21"/>
                      <w:vertAlign w:val="superscript"/>
                    </w:rPr>
                    <w:t>-2</w:t>
                  </w:r>
                </w:p>
              </w:tc>
              <w:tc>
                <w:tcPr>
                  <w:tcW w:w="1522" w:type="dxa"/>
                  <w:vAlign w:val="center"/>
                </w:tcPr>
                <w:p>
                  <w:pPr>
                    <w:pStyle w:val="5"/>
                    <w:adjustRightInd w:val="0"/>
                    <w:snapToGrid w:val="0"/>
                    <w:spacing w:before="0" w:after="0" w:line="240" w:lineRule="auto"/>
                    <w:jc w:val="center"/>
                    <w:rPr>
                      <w:rFonts w:ascii="Times New Roman" w:hAnsi="Times New Roman" w:eastAsia="宋体" w:cs="Times New Roman"/>
                      <w:b w:val="0"/>
                      <w:bCs w:val="0"/>
                      <w:sz w:val="21"/>
                    </w:rPr>
                  </w:pPr>
                  <w:r>
                    <w:rPr>
                      <w:rFonts w:ascii="Times New Roman" w:hAnsi="Times New Roman" w:eastAsia="宋体" w:cs="Times New Roman"/>
                      <w:b w:val="0"/>
                      <w:sz w:val="21"/>
                    </w:rPr>
                    <w:t>/</w:t>
                  </w:r>
                </w:p>
              </w:tc>
              <w:tc>
                <w:tcPr>
                  <w:tcW w:w="1050" w:type="dxa"/>
                  <w:vAlign w:val="center"/>
                </w:tcPr>
                <w:p>
                  <w:pPr>
                    <w:pStyle w:val="5"/>
                    <w:adjustRightInd w:val="0"/>
                    <w:snapToGrid w:val="0"/>
                    <w:spacing w:before="0" w:after="0" w:line="240" w:lineRule="auto"/>
                    <w:jc w:val="center"/>
                    <w:rPr>
                      <w:rFonts w:ascii="Times New Roman" w:hAnsi="Times New Roman" w:eastAsia="宋体" w:cs="Times New Roman"/>
                      <w:b w:val="0"/>
                      <w:bCs w:val="0"/>
                      <w:sz w:val="21"/>
                    </w:rPr>
                  </w:pPr>
                  <w:r>
                    <w:rPr>
                      <w:rFonts w:ascii="Times New Roman" w:hAnsi="Times New Roman" w:eastAsia="宋体" w:cs="Times New Roman"/>
                      <w:b w:val="0"/>
                      <w:sz w:val="21"/>
                    </w:rPr>
                    <w:t>7.98</w:t>
                  </w:r>
                </w:p>
              </w:tc>
              <w:tc>
                <w:tcPr>
                  <w:tcW w:w="682" w:type="dxa"/>
                  <w:vAlign w:val="center"/>
                </w:tcPr>
                <w:p>
                  <w:pPr>
                    <w:pStyle w:val="5"/>
                    <w:adjustRightInd w:val="0"/>
                    <w:snapToGrid w:val="0"/>
                    <w:spacing w:before="0" w:after="0" w:line="240" w:lineRule="auto"/>
                    <w:jc w:val="center"/>
                    <w:rPr>
                      <w:rFonts w:ascii="Times New Roman" w:hAnsi="Times New Roman" w:eastAsia="宋体" w:cs="Times New Roman"/>
                      <w:b w:val="0"/>
                      <w:bCs w:val="0"/>
                      <w:sz w:val="21"/>
                    </w:rPr>
                  </w:pPr>
                  <w:r>
                    <w:rPr>
                      <w:rFonts w:ascii="Times New Roman" w:hAnsi="Times New Roman" w:eastAsia="宋体" w:cs="Times New Roman"/>
                      <w:b w:val="0"/>
                      <w:sz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6" w:hRule="atLeast"/>
                <w:jc w:val="center"/>
              </w:trPr>
              <w:tc>
                <w:tcPr>
                  <w:tcW w:w="1140" w:type="dxa"/>
                  <w:vMerge w:val="continue"/>
                  <w:vAlign w:val="center"/>
                </w:tcPr>
                <w:p>
                  <w:pPr>
                    <w:pStyle w:val="5"/>
                    <w:adjustRightInd w:val="0"/>
                    <w:snapToGrid w:val="0"/>
                    <w:spacing w:before="0" w:after="0" w:line="240" w:lineRule="auto"/>
                    <w:jc w:val="center"/>
                    <w:rPr>
                      <w:rFonts w:ascii="Times New Roman" w:hAnsi="Times New Roman" w:eastAsia="宋体" w:cs="Times New Roman"/>
                      <w:sz w:val="21"/>
                    </w:rPr>
                  </w:pPr>
                </w:p>
              </w:tc>
              <w:tc>
                <w:tcPr>
                  <w:tcW w:w="950" w:type="dxa"/>
                  <w:vAlign w:val="center"/>
                </w:tcPr>
                <w:p>
                  <w:pPr>
                    <w:pStyle w:val="5"/>
                    <w:adjustRightInd w:val="0"/>
                    <w:snapToGrid w:val="0"/>
                    <w:spacing w:before="0" w:after="0" w:line="240" w:lineRule="auto"/>
                    <w:jc w:val="center"/>
                    <w:rPr>
                      <w:rFonts w:ascii="Times New Roman" w:hAnsi="Times New Roman" w:eastAsia="宋体" w:cs="Times New Roman"/>
                      <w:b w:val="0"/>
                      <w:bCs w:val="0"/>
                      <w:sz w:val="21"/>
                    </w:rPr>
                  </w:pPr>
                  <w:r>
                    <w:rPr>
                      <w:rFonts w:ascii="Times New Roman" w:hAnsi="Times New Roman" w:eastAsia="宋体" w:cs="Times New Roman"/>
                      <w:b w:val="0"/>
                      <w:sz w:val="21"/>
                    </w:rPr>
                    <w:t>TSP</w:t>
                  </w:r>
                </w:p>
              </w:tc>
              <w:tc>
                <w:tcPr>
                  <w:tcW w:w="1280" w:type="dxa"/>
                  <w:vAlign w:val="center"/>
                </w:tcPr>
                <w:p>
                  <w:pPr>
                    <w:pStyle w:val="5"/>
                    <w:adjustRightInd w:val="0"/>
                    <w:snapToGrid w:val="0"/>
                    <w:spacing w:before="0" w:after="0" w:line="240" w:lineRule="auto"/>
                    <w:jc w:val="center"/>
                    <w:rPr>
                      <w:rFonts w:ascii="Times New Roman" w:hAnsi="Times New Roman" w:eastAsia="宋体" w:cs="Times New Roman"/>
                      <w:b w:val="0"/>
                      <w:bCs w:val="0"/>
                      <w:sz w:val="21"/>
                    </w:rPr>
                  </w:pPr>
                  <w:r>
                    <w:rPr>
                      <w:rFonts w:ascii="Times New Roman" w:hAnsi="Times New Roman" w:eastAsia="宋体" w:cs="Times New Roman"/>
                      <w:b w:val="0"/>
                      <w:sz w:val="21"/>
                    </w:rPr>
                    <w:t>0.3</w:t>
                  </w:r>
                </w:p>
              </w:tc>
              <w:tc>
                <w:tcPr>
                  <w:tcW w:w="1500" w:type="dxa"/>
                  <w:vAlign w:val="center"/>
                </w:tcPr>
                <w:p>
                  <w:pPr>
                    <w:pStyle w:val="5"/>
                    <w:adjustRightInd w:val="0"/>
                    <w:snapToGrid w:val="0"/>
                    <w:spacing w:before="0" w:after="0" w:line="240" w:lineRule="auto"/>
                    <w:jc w:val="center"/>
                    <w:rPr>
                      <w:rFonts w:ascii="Times New Roman" w:hAnsi="Times New Roman" w:eastAsia="宋体" w:cs="Times New Roman"/>
                      <w:b w:val="0"/>
                      <w:bCs w:val="0"/>
                      <w:sz w:val="21"/>
                    </w:rPr>
                  </w:pPr>
                  <w:r>
                    <w:rPr>
                      <w:rFonts w:ascii="Times New Roman" w:hAnsi="Times New Roman" w:eastAsia="宋体" w:cs="Times New Roman"/>
                      <w:b w:val="0"/>
                      <w:sz w:val="21"/>
                    </w:rPr>
                    <w:t>/</w:t>
                  </w:r>
                </w:p>
              </w:tc>
              <w:tc>
                <w:tcPr>
                  <w:tcW w:w="1522" w:type="dxa"/>
                  <w:vAlign w:val="center"/>
                </w:tcPr>
                <w:p>
                  <w:pPr>
                    <w:pStyle w:val="5"/>
                    <w:adjustRightInd w:val="0"/>
                    <w:snapToGrid w:val="0"/>
                    <w:spacing w:before="0" w:after="0" w:line="240" w:lineRule="auto"/>
                    <w:jc w:val="center"/>
                    <w:rPr>
                      <w:rFonts w:ascii="Times New Roman" w:hAnsi="Times New Roman" w:eastAsia="宋体" w:cs="Times New Roman"/>
                      <w:b w:val="0"/>
                      <w:bCs w:val="0"/>
                      <w:sz w:val="21"/>
                    </w:rPr>
                  </w:pPr>
                  <w:r>
                    <w:rPr>
                      <w:rFonts w:ascii="Times New Roman" w:hAnsi="Times New Roman" w:eastAsia="宋体" w:cs="Times New Roman"/>
                      <w:b w:val="0"/>
                      <w:sz w:val="21"/>
                    </w:rPr>
                    <w:t>0.187~0.209</w:t>
                  </w:r>
                </w:p>
              </w:tc>
              <w:tc>
                <w:tcPr>
                  <w:tcW w:w="1050" w:type="dxa"/>
                  <w:vAlign w:val="center"/>
                </w:tcPr>
                <w:p>
                  <w:pPr>
                    <w:pStyle w:val="5"/>
                    <w:adjustRightInd w:val="0"/>
                    <w:snapToGrid w:val="0"/>
                    <w:spacing w:before="0" w:after="0" w:line="240" w:lineRule="auto"/>
                    <w:jc w:val="center"/>
                    <w:rPr>
                      <w:rFonts w:ascii="Times New Roman" w:hAnsi="Times New Roman" w:eastAsia="宋体" w:cs="Times New Roman"/>
                      <w:b w:val="0"/>
                      <w:bCs w:val="0"/>
                      <w:sz w:val="21"/>
                    </w:rPr>
                  </w:pPr>
                  <w:r>
                    <w:rPr>
                      <w:rFonts w:ascii="Times New Roman" w:hAnsi="Times New Roman" w:eastAsia="宋体" w:cs="Times New Roman"/>
                      <w:b w:val="0"/>
                      <w:sz w:val="21"/>
                    </w:rPr>
                    <w:t>69.67</w:t>
                  </w:r>
                </w:p>
              </w:tc>
              <w:tc>
                <w:tcPr>
                  <w:tcW w:w="682" w:type="dxa"/>
                  <w:vAlign w:val="center"/>
                </w:tcPr>
                <w:p>
                  <w:pPr>
                    <w:pStyle w:val="5"/>
                    <w:adjustRightInd w:val="0"/>
                    <w:snapToGrid w:val="0"/>
                    <w:spacing w:before="0" w:after="0" w:line="240" w:lineRule="auto"/>
                    <w:jc w:val="center"/>
                    <w:rPr>
                      <w:rFonts w:ascii="Times New Roman" w:hAnsi="Times New Roman" w:eastAsia="宋体" w:cs="Times New Roman"/>
                      <w:b w:val="0"/>
                      <w:bCs w:val="0"/>
                      <w:sz w:val="21"/>
                    </w:rPr>
                  </w:pPr>
                  <w:r>
                    <w:rPr>
                      <w:rFonts w:ascii="Times New Roman" w:hAnsi="Times New Roman" w:eastAsia="宋体" w:cs="Times New Roman"/>
                      <w:b w:val="0"/>
                      <w:sz w:val="21"/>
                    </w:rPr>
                    <w:t>达标</w:t>
                  </w:r>
                </w:p>
              </w:tc>
            </w:tr>
          </w:tbl>
          <w:p>
            <w:pPr>
              <w:widowControl/>
              <w:adjustRightInd w:val="0"/>
              <w:snapToGrid w:val="0"/>
              <w:spacing w:line="360" w:lineRule="auto"/>
              <w:ind w:firstLine="422" w:firstLineChars="200"/>
              <w:jc w:val="left"/>
              <w:rPr>
                <w:b/>
              </w:rPr>
            </w:pPr>
            <w:r>
              <w:rPr>
                <w:rFonts w:hint="eastAsia"/>
                <w:b/>
              </w:rPr>
              <w:t>（</w:t>
            </w:r>
            <w:r>
              <w:rPr>
                <w:b/>
              </w:rPr>
              <w:t>3</w:t>
            </w:r>
            <w:r>
              <w:rPr>
                <w:rFonts w:hint="eastAsia"/>
                <w:b/>
              </w:rPr>
              <w:t>）评价大气环境质量现状达标情况</w:t>
            </w:r>
          </w:p>
          <w:p>
            <w:pPr>
              <w:widowControl/>
              <w:adjustRightInd w:val="0"/>
              <w:snapToGrid w:val="0"/>
              <w:spacing w:line="360" w:lineRule="auto"/>
              <w:ind w:firstLine="420" w:firstLineChars="200"/>
              <w:rPr>
                <w:szCs w:val="21"/>
              </w:rPr>
            </w:pPr>
            <w:r>
              <w:rPr>
                <w:szCs w:val="21"/>
              </w:rPr>
              <w:t>根据《关于印发&lt;惠州市环境空气质量功能区划（2021年修订）&gt;的通知》（惠市环[2021]1号），本项目所在区域属于环境空气质量二类功能区，执行《环境空气质量标准》（GB3095-2012）及其2108年修改单中的二级标准。根据《2021年惠州市环境质量状况公报》资料显示，项目所在</w:t>
            </w:r>
            <w:r>
              <w:rPr>
                <w:rFonts w:hint="eastAsia"/>
                <w:szCs w:val="21"/>
              </w:rPr>
              <w:t>区域环境</w:t>
            </w:r>
            <w:r>
              <w:rPr>
                <w:szCs w:val="21"/>
              </w:rPr>
              <w:t>空气中六项基本污染物环境质量</w:t>
            </w:r>
            <w:r>
              <w:rPr>
                <w:rFonts w:hint="eastAsia"/>
                <w:szCs w:val="21"/>
              </w:rPr>
              <w:t>均</w:t>
            </w:r>
            <w:r>
              <w:rPr>
                <w:szCs w:val="21"/>
              </w:rPr>
              <w:t>满足《环境空气质量标准》（GB3095-2012）及其2018年修改单中的二级标准</w:t>
            </w:r>
            <w:r>
              <w:rPr>
                <w:rFonts w:hint="eastAsia"/>
                <w:szCs w:val="21"/>
              </w:rPr>
              <w:t>的</w:t>
            </w:r>
            <w:r>
              <w:rPr>
                <w:szCs w:val="21"/>
              </w:rPr>
              <w:t>要求，</w:t>
            </w:r>
            <w:r>
              <w:rPr>
                <w:rFonts w:hint="eastAsia"/>
                <w:szCs w:val="21"/>
              </w:rPr>
              <w:t>项目</w:t>
            </w:r>
            <w:r>
              <w:rPr>
                <w:szCs w:val="21"/>
              </w:rPr>
              <w:t>所在</w:t>
            </w:r>
            <w:r>
              <w:rPr>
                <w:rFonts w:hint="eastAsia"/>
                <w:szCs w:val="21"/>
              </w:rPr>
              <w:t>区域</w:t>
            </w:r>
            <w:r>
              <w:rPr>
                <w:szCs w:val="21"/>
              </w:rPr>
              <w:t>为</w:t>
            </w:r>
            <w:r>
              <w:rPr>
                <w:rFonts w:hint="eastAsia"/>
                <w:szCs w:val="21"/>
              </w:rPr>
              <w:t>环境</w:t>
            </w:r>
            <w:r>
              <w:rPr>
                <w:szCs w:val="21"/>
              </w:rPr>
              <w:t>空气质量达标区域</w:t>
            </w:r>
            <w:r>
              <w:rPr>
                <w:rFonts w:hint="eastAsia"/>
                <w:szCs w:val="21"/>
              </w:rPr>
              <w:t>。由引用</w:t>
            </w:r>
            <w:r>
              <w:rPr>
                <w:szCs w:val="21"/>
              </w:rPr>
              <w:t>的特征污染物现状监测</w:t>
            </w:r>
            <w:r>
              <w:rPr>
                <w:rFonts w:hint="eastAsia"/>
                <w:szCs w:val="21"/>
              </w:rPr>
              <w:t>结果</w:t>
            </w:r>
            <w:r>
              <w:rPr>
                <w:szCs w:val="21"/>
              </w:rPr>
              <w:t>表明</w:t>
            </w:r>
            <w:r>
              <w:rPr>
                <w:rFonts w:hint="eastAsia"/>
                <w:szCs w:val="21"/>
              </w:rPr>
              <w:t>，项目评价区域内TSP</w:t>
            </w:r>
            <w:r>
              <w:rPr>
                <w:szCs w:val="21"/>
              </w:rPr>
              <w:t xml:space="preserve"> </w:t>
            </w:r>
            <w:r>
              <w:rPr>
                <w:rFonts w:hint="eastAsia"/>
                <w:szCs w:val="21"/>
              </w:rPr>
              <w:t>2</w:t>
            </w:r>
            <w:r>
              <w:rPr>
                <w:szCs w:val="21"/>
              </w:rPr>
              <w:t>4</w:t>
            </w:r>
            <w:r>
              <w:rPr>
                <w:rFonts w:hint="eastAsia"/>
                <w:szCs w:val="21"/>
              </w:rPr>
              <w:t>小</w:t>
            </w:r>
            <w:r>
              <w:rPr>
                <w:szCs w:val="21"/>
              </w:rPr>
              <w:t>时</w:t>
            </w:r>
            <w:r>
              <w:rPr>
                <w:rFonts w:hint="eastAsia"/>
                <w:szCs w:val="21"/>
              </w:rPr>
              <w:t>均值满足《环境空气质量标准》（GB3095-2012）及其2018年修改单中的二级标准</w:t>
            </w:r>
            <w:r>
              <w:rPr>
                <w:szCs w:val="21"/>
              </w:rPr>
              <w:t>，</w:t>
            </w:r>
            <w:r>
              <w:rPr>
                <w:rFonts w:hint="eastAsia"/>
                <w:szCs w:val="21"/>
              </w:rPr>
              <w:t>TVOC8小时</w:t>
            </w:r>
            <w:r>
              <w:rPr>
                <w:szCs w:val="21"/>
              </w:rPr>
              <w:t>均值满足</w:t>
            </w:r>
            <w:r>
              <w:t>《环境影响评价技术导则－大气环境》（HJ2.2-2018）附录D“表D.1其他污染物空气质量浓度参考限值”要求</w:t>
            </w:r>
            <w:r>
              <w:rPr>
                <w:rFonts w:hint="eastAsia"/>
              </w:rPr>
              <w:t>，</w:t>
            </w:r>
            <w:r>
              <w:rPr>
                <w:rFonts w:hint="eastAsia"/>
                <w:szCs w:val="21"/>
              </w:rPr>
              <w:t>综</w:t>
            </w:r>
            <w:r>
              <w:rPr>
                <w:szCs w:val="21"/>
              </w:rPr>
              <w:t>上，项目所在区域环境</w:t>
            </w:r>
            <w:r>
              <w:rPr>
                <w:rFonts w:hint="eastAsia"/>
                <w:szCs w:val="21"/>
              </w:rPr>
              <w:t>空气</w:t>
            </w:r>
            <w:r>
              <w:rPr>
                <w:szCs w:val="21"/>
              </w:rPr>
              <w:t>质量现状良好。</w:t>
            </w:r>
          </w:p>
          <w:p>
            <w:pPr>
              <w:widowControl/>
              <w:adjustRightInd w:val="0"/>
              <w:snapToGrid w:val="0"/>
              <w:spacing w:line="360" w:lineRule="auto"/>
              <w:ind w:firstLine="422" w:firstLineChars="200"/>
              <w:rPr>
                <w:b/>
              </w:rPr>
            </w:pPr>
            <w:r>
              <w:rPr>
                <w:rFonts w:hint="eastAsia"/>
                <w:b/>
              </w:rPr>
              <w:t>2</w:t>
            </w:r>
            <w:r>
              <w:rPr>
                <w:b/>
              </w:rPr>
              <w:t>、地表水环境</w:t>
            </w:r>
          </w:p>
          <w:p>
            <w:pPr>
              <w:widowControl/>
              <w:adjustRightInd w:val="0"/>
              <w:snapToGrid w:val="0"/>
              <w:spacing w:line="360" w:lineRule="auto"/>
              <w:ind w:firstLine="420" w:firstLineChars="200"/>
            </w:pPr>
            <w:r>
              <w:t>本项目主要外排污水为生活污水，生活污水经三级化粪池</w:t>
            </w:r>
            <w:r>
              <w:rPr>
                <w:rFonts w:hint="eastAsia"/>
              </w:rPr>
              <w:t>、</w:t>
            </w:r>
            <w:r>
              <w:t>隔油隔渣池预处理后纳入园洲镇第四污水处理厂处理，处理达标后排入</w:t>
            </w:r>
            <w:r>
              <w:rPr>
                <w:rFonts w:hint="eastAsia"/>
              </w:rPr>
              <w:t>新村</w:t>
            </w:r>
            <w:r>
              <w:t>排渠，然后汇入</w:t>
            </w:r>
            <w:r>
              <w:rPr>
                <w:rFonts w:hint="eastAsia"/>
              </w:rPr>
              <w:t>沙河</w:t>
            </w:r>
            <w:r>
              <w:t>，最终汇入东江。根据《关于印发&lt;广东省地表水环境功能区划&gt;》的通知》（粤环[2011]14号），</w:t>
            </w:r>
            <w:r>
              <w:rPr>
                <w:rFonts w:hint="eastAsia"/>
              </w:rPr>
              <w:t>沙河</w:t>
            </w:r>
            <w:r>
              <w:t>水质目标为</w:t>
            </w:r>
            <w:r>
              <w:rPr>
                <w:rFonts w:hint="eastAsia" w:ascii="宋体" w:hAnsi="宋体" w:cs="宋体"/>
              </w:rPr>
              <w:t>Ⅲ</w:t>
            </w:r>
            <w:r>
              <w:t>类，执行《地表水环境质量标准》（GB3838-2002）中的</w:t>
            </w:r>
            <w:r>
              <w:rPr>
                <w:rFonts w:hint="eastAsia" w:ascii="宋体" w:hAnsi="宋体" w:cs="宋体"/>
              </w:rPr>
              <w:t>Ⅲ</w:t>
            </w:r>
            <w:r>
              <w:t>类标准；查阅《广东省地表水环境功能区划》（粤环[2011]14号），未明确</w:t>
            </w:r>
            <w:r>
              <w:rPr>
                <w:rFonts w:hint="eastAsia"/>
              </w:rPr>
              <w:t>新村</w:t>
            </w:r>
            <w:r>
              <w:t>排渠的水功能功能区划，根据其现状功能，</w:t>
            </w:r>
            <w:r>
              <w:rPr>
                <w:rFonts w:hint="eastAsia"/>
              </w:rPr>
              <w:t>新村</w:t>
            </w:r>
            <w:r>
              <w:t>排渠按V类水体控制，执行《地表水环境质量标准》（GB3838-2002）V 类标准。</w:t>
            </w:r>
          </w:p>
          <w:p>
            <w:pPr>
              <w:adjustRightInd w:val="0"/>
              <w:snapToGrid w:val="0"/>
              <w:spacing w:line="360" w:lineRule="auto"/>
              <w:ind w:firstLine="422" w:firstLineChars="200"/>
              <w:rPr>
                <w:b/>
                <w:bCs/>
              </w:rPr>
            </w:pPr>
            <w:r>
              <w:rPr>
                <w:b/>
                <w:bCs/>
              </w:rPr>
              <w:t>（1）</w:t>
            </w:r>
            <w:r>
              <w:rPr>
                <w:rFonts w:hint="eastAsia"/>
                <w:b/>
                <w:bCs/>
              </w:rPr>
              <w:t>纳污水体</w:t>
            </w:r>
            <w:r>
              <w:rPr>
                <w:b/>
                <w:bCs/>
              </w:rPr>
              <w:t>质量现状</w:t>
            </w:r>
          </w:p>
          <w:p>
            <w:pPr>
              <w:widowControl/>
              <w:adjustRightInd w:val="0"/>
              <w:snapToGrid w:val="0"/>
              <w:spacing w:line="360" w:lineRule="auto"/>
              <w:ind w:firstLine="420" w:firstLineChars="200"/>
            </w:pPr>
            <w:r>
              <w:rPr>
                <w:rFonts w:hint="eastAsia"/>
              </w:rPr>
              <w:t>为了解</w:t>
            </w:r>
            <w:r>
              <w:t>项目纳污水体水环境质量现状，</w:t>
            </w:r>
            <w:r>
              <w:rPr>
                <w:bCs/>
              </w:rPr>
              <w:t>本环评引用《</w:t>
            </w:r>
            <w:r>
              <w:rPr>
                <w:rFonts w:hint="eastAsia"/>
                <w:bCs/>
              </w:rPr>
              <w:t>博罗县园洲镇三角电排站工程环境影响报告书</w:t>
            </w:r>
            <w:r>
              <w:rPr>
                <w:bCs/>
              </w:rPr>
              <w:t>》中</w:t>
            </w:r>
            <w:r>
              <w:t>委托</w:t>
            </w:r>
            <w:r>
              <w:rPr>
                <w:rFonts w:hint="eastAsia"/>
              </w:rPr>
              <w:t>江门中环检测技术有限公司</w:t>
            </w:r>
            <w:r>
              <w:t>于20</w:t>
            </w:r>
            <w:r>
              <w:rPr>
                <w:rFonts w:hint="eastAsia"/>
              </w:rPr>
              <w:t>20</w:t>
            </w:r>
            <w:r>
              <w:t>年</w:t>
            </w:r>
            <w:r>
              <w:rPr>
                <w:rFonts w:hint="eastAsia"/>
              </w:rPr>
              <w:t>1</w:t>
            </w:r>
            <w:r>
              <w:t>月</w:t>
            </w:r>
            <w:r>
              <w:rPr>
                <w:rFonts w:hint="eastAsia"/>
              </w:rPr>
              <w:t>3</w:t>
            </w:r>
            <w:r>
              <w:t>日~</w:t>
            </w:r>
            <w:r>
              <w:rPr>
                <w:rFonts w:hint="eastAsia"/>
              </w:rPr>
              <w:t>1</w:t>
            </w:r>
            <w:r>
              <w:t>月</w:t>
            </w:r>
            <w:r>
              <w:rPr>
                <w:rFonts w:hint="eastAsia"/>
              </w:rPr>
              <w:t>5</w:t>
            </w:r>
            <w:r>
              <w:t>日对</w:t>
            </w:r>
            <w:r>
              <w:rPr>
                <w:rFonts w:hint="eastAsia"/>
              </w:rPr>
              <w:t>园洲镇新村</w:t>
            </w:r>
            <w:r>
              <w:t>排渠</w:t>
            </w:r>
            <w:r>
              <w:rPr>
                <w:rFonts w:hint="eastAsia"/>
              </w:rPr>
              <w:t>、沙河进行</w:t>
            </w:r>
            <w:r>
              <w:t>监测</w:t>
            </w:r>
            <w:r>
              <w:rPr>
                <w:rFonts w:hint="eastAsia"/>
              </w:rPr>
              <w:t>的报告</w:t>
            </w:r>
            <w:r>
              <w:t>数据</w:t>
            </w:r>
            <w:r>
              <w:rPr>
                <w:rFonts w:hint="eastAsia"/>
              </w:rPr>
              <w:t>（报告编号：JMZH20200103AHP-09）</w:t>
            </w:r>
            <w:r>
              <w:t>，</w:t>
            </w:r>
            <w:r>
              <w:rPr>
                <w:rFonts w:hint="eastAsia"/>
              </w:rPr>
              <w:t>连续监测3天，每日监测一次。具体监测断面见</w:t>
            </w:r>
            <w:r>
              <w:t>表</w:t>
            </w:r>
            <w:r>
              <w:rPr>
                <w:rFonts w:hint="eastAsia"/>
              </w:rPr>
              <w:t>1</w:t>
            </w:r>
            <w:r>
              <w:t>3</w:t>
            </w:r>
            <w:r>
              <w:rPr>
                <w:rFonts w:hint="eastAsia"/>
              </w:rPr>
              <w:t>，监测数据见</w:t>
            </w:r>
            <w:r>
              <w:t>14，</w:t>
            </w:r>
            <w:r>
              <w:rPr>
                <w:rFonts w:hint="eastAsia"/>
              </w:rPr>
              <w:t>水质</w:t>
            </w:r>
            <w:r>
              <w:t>评价结果见表</w:t>
            </w:r>
            <w:r>
              <w:rPr>
                <w:rFonts w:hint="eastAsia"/>
              </w:rPr>
              <w:t>15,</w:t>
            </w:r>
            <w:r>
              <w:t>。</w:t>
            </w:r>
          </w:p>
          <w:p>
            <w:pPr>
              <w:numPr>
                <w:ilvl w:val="0"/>
                <w:numId w:val="5"/>
              </w:numPr>
              <w:adjustRightInd w:val="0"/>
              <w:snapToGrid w:val="0"/>
              <w:spacing w:line="360" w:lineRule="auto"/>
              <w:ind w:left="322"/>
              <w:jc w:val="center"/>
              <w:rPr>
                <w:b/>
              </w:rPr>
            </w:pPr>
            <w:r>
              <w:rPr>
                <w:b/>
              </w:rPr>
              <w:t>地表水水质监测断面一览表</w:t>
            </w:r>
          </w:p>
          <w:tbl>
            <w:tblPr>
              <w:tblStyle w:val="29"/>
              <w:tblW w:w="8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2705"/>
              <w:gridCol w:w="1681"/>
              <w:gridCol w:w="1525"/>
              <w:gridCol w:w="1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702" w:type="dxa"/>
                  <w:vAlign w:val="center"/>
                </w:tcPr>
                <w:p>
                  <w:pPr>
                    <w:pStyle w:val="44"/>
                    <w:rPr>
                      <w:rFonts w:ascii="Times New Roman" w:hAnsi="Times New Roman"/>
                      <w:b/>
                      <w:bCs/>
                      <w:color w:val="auto"/>
                      <w:sz w:val="21"/>
                      <w:szCs w:val="21"/>
                    </w:rPr>
                  </w:pPr>
                  <w:r>
                    <w:rPr>
                      <w:rFonts w:ascii="Times New Roman" w:hAnsi="Times New Roman"/>
                      <w:b/>
                      <w:bCs/>
                      <w:color w:val="auto"/>
                      <w:sz w:val="21"/>
                      <w:szCs w:val="21"/>
                    </w:rPr>
                    <w:t>断面编号</w:t>
                  </w:r>
                </w:p>
              </w:tc>
              <w:tc>
                <w:tcPr>
                  <w:tcW w:w="2705" w:type="dxa"/>
                  <w:vAlign w:val="center"/>
                </w:tcPr>
                <w:p>
                  <w:pPr>
                    <w:pStyle w:val="44"/>
                    <w:rPr>
                      <w:rFonts w:ascii="Times New Roman" w:hAnsi="Times New Roman"/>
                      <w:b/>
                      <w:bCs/>
                      <w:color w:val="auto"/>
                      <w:sz w:val="21"/>
                      <w:szCs w:val="21"/>
                    </w:rPr>
                  </w:pPr>
                  <w:r>
                    <w:rPr>
                      <w:rFonts w:ascii="Times New Roman" w:hAnsi="Times New Roman"/>
                      <w:b/>
                      <w:bCs/>
                      <w:color w:val="auto"/>
                      <w:sz w:val="21"/>
                      <w:szCs w:val="21"/>
                    </w:rPr>
                    <w:t>监测断面</w:t>
                  </w:r>
                </w:p>
              </w:tc>
              <w:tc>
                <w:tcPr>
                  <w:tcW w:w="1681" w:type="dxa"/>
                  <w:vAlign w:val="center"/>
                </w:tcPr>
                <w:p>
                  <w:pPr>
                    <w:pStyle w:val="44"/>
                    <w:rPr>
                      <w:rFonts w:ascii="Times New Roman" w:hAnsi="Times New Roman"/>
                      <w:b/>
                      <w:bCs/>
                      <w:color w:val="auto"/>
                      <w:sz w:val="21"/>
                      <w:szCs w:val="21"/>
                    </w:rPr>
                  </w:pPr>
                  <w:r>
                    <w:rPr>
                      <w:rFonts w:hint="eastAsia" w:ascii="Times New Roman" w:hAnsi="Times New Roman"/>
                      <w:b/>
                      <w:bCs/>
                      <w:color w:val="auto"/>
                      <w:sz w:val="21"/>
                      <w:szCs w:val="21"/>
                    </w:rPr>
                    <w:t>所属水域</w:t>
                  </w:r>
                </w:p>
              </w:tc>
              <w:tc>
                <w:tcPr>
                  <w:tcW w:w="1525" w:type="dxa"/>
                  <w:vAlign w:val="center"/>
                </w:tcPr>
                <w:p>
                  <w:pPr>
                    <w:pStyle w:val="44"/>
                    <w:rPr>
                      <w:rFonts w:ascii="Times New Roman" w:hAnsi="Times New Roman"/>
                      <w:b/>
                      <w:bCs/>
                      <w:color w:val="auto"/>
                      <w:sz w:val="21"/>
                      <w:szCs w:val="21"/>
                    </w:rPr>
                  </w:pPr>
                  <w:r>
                    <w:rPr>
                      <w:rFonts w:hint="eastAsia" w:ascii="Times New Roman" w:hAnsi="Times New Roman"/>
                      <w:b/>
                      <w:bCs/>
                      <w:color w:val="auto"/>
                      <w:sz w:val="21"/>
                      <w:szCs w:val="21"/>
                    </w:rPr>
                    <w:t>水质控制级别</w:t>
                  </w:r>
                </w:p>
              </w:tc>
              <w:tc>
                <w:tcPr>
                  <w:tcW w:w="1525" w:type="dxa"/>
                  <w:vAlign w:val="center"/>
                </w:tcPr>
                <w:p>
                  <w:pPr>
                    <w:pStyle w:val="44"/>
                    <w:rPr>
                      <w:rFonts w:ascii="Times New Roman" w:hAnsi="Times New Roman"/>
                      <w:b/>
                      <w:bCs/>
                      <w:color w:val="auto"/>
                      <w:sz w:val="21"/>
                      <w:szCs w:val="21"/>
                    </w:rPr>
                  </w:pPr>
                  <w:r>
                    <w:rPr>
                      <w:rFonts w:ascii="Times New Roman" w:hAnsi="Times New Roman"/>
                      <w:b/>
                      <w:bCs/>
                      <w:color w:val="auto"/>
                      <w:sz w:val="21"/>
                      <w:szCs w:val="21"/>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702" w:type="dxa"/>
                  <w:vAlign w:val="center"/>
                </w:tcPr>
                <w:p>
                  <w:pPr>
                    <w:pStyle w:val="44"/>
                    <w:rPr>
                      <w:rFonts w:ascii="Times New Roman" w:hAnsi="Times New Roman"/>
                      <w:color w:val="auto"/>
                      <w:sz w:val="21"/>
                      <w:szCs w:val="21"/>
                    </w:rPr>
                  </w:pPr>
                  <w:r>
                    <w:rPr>
                      <w:rFonts w:ascii="Times New Roman" w:hAnsi="Times New Roman"/>
                      <w:color w:val="auto"/>
                      <w:sz w:val="21"/>
                      <w:szCs w:val="21"/>
                    </w:rPr>
                    <w:t>W1</w:t>
                  </w:r>
                </w:p>
              </w:tc>
              <w:tc>
                <w:tcPr>
                  <w:tcW w:w="2705" w:type="dxa"/>
                  <w:vAlign w:val="center"/>
                </w:tcPr>
                <w:p>
                  <w:pPr>
                    <w:pStyle w:val="44"/>
                    <w:rPr>
                      <w:rFonts w:ascii="Times New Roman" w:hAnsi="Times New Roman"/>
                      <w:color w:val="auto"/>
                      <w:sz w:val="21"/>
                      <w:szCs w:val="21"/>
                    </w:rPr>
                  </w:pPr>
                  <w:r>
                    <w:rPr>
                      <w:rFonts w:hint="eastAsia" w:ascii="Times New Roman" w:hAnsi="Times New Roman"/>
                      <w:color w:val="auto"/>
                      <w:sz w:val="21"/>
                      <w:szCs w:val="21"/>
                    </w:rPr>
                    <w:t>博罗县园洲镇三角电排站工程所在地新村排渠上游 200m 处</w:t>
                  </w:r>
                </w:p>
              </w:tc>
              <w:tc>
                <w:tcPr>
                  <w:tcW w:w="1681" w:type="dxa"/>
                  <w:vAlign w:val="center"/>
                </w:tcPr>
                <w:p>
                  <w:pPr>
                    <w:pStyle w:val="44"/>
                    <w:rPr>
                      <w:rFonts w:ascii="Times New Roman" w:hAnsi="Times New Roman"/>
                      <w:color w:val="auto"/>
                      <w:sz w:val="21"/>
                      <w:szCs w:val="21"/>
                    </w:rPr>
                  </w:pPr>
                  <w:r>
                    <w:rPr>
                      <w:rFonts w:hint="eastAsia" w:ascii="Times New Roman" w:hAnsi="Times New Roman"/>
                      <w:color w:val="auto"/>
                      <w:sz w:val="21"/>
                      <w:szCs w:val="21"/>
                    </w:rPr>
                    <w:t>新村</w:t>
                  </w:r>
                  <w:r>
                    <w:rPr>
                      <w:rFonts w:ascii="Times New Roman" w:hAnsi="Times New Roman"/>
                      <w:color w:val="auto"/>
                      <w:sz w:val="21"/>
                      <w:szCs w:val="21"/>
                    </w:rPr>
                    <w:t>排渠</w:t>
                  </w:r>
                </w:p>
              </w:tc>
              <w:tc>
                <w:tcPr>
                  <w:tcW w:w="1525" w:type="dxa"/>
                  <w:vMerge w:val="restart"/>
                  <w:vAlign w:val="center"/>
                </w:tcPr>
                <w:p>
                  <w:pPr>
                    <w:pStyle w:val="44"/>
                    <w:rPr>
                      <w:rFonts w:ascii="Times New Roman" w:hAnsi="Times New Roman"/>
                      <w:color w:val="auto"/>
                      <w:sz w:val="21"/>
                      <w:szCs w:val="21"/>
                    </w:rPr>
                  </w:pPr>
                  <w:r>
                    <w:rPr>
                      <w:rFonts w:hint="eastAsia" w:hAnsi="宋体" w:cs="宋体"/>
                      <w:color w:val="auto"/>
                      <w:sz w:val="21"/>
                      <w:szCs w:val="21"/>
                    </w:rPr>
                    <w:t>Ⅴ</w:t>
                  </w:r>
                  <w:r>
                    <w:rPr>
                      <w:rFonts w:ascii="Times New Roman" w:hAnsi="Times New Roman"/>
                      <w:color w:val="auto"/>
                      <w:sz w:val="21"/>
                      <w:szCs w:val="21"/>
                    </w:rPr>
                    <w:t>类</w:t>
                  </w:r>
                </w:p>
              </w:tc>
              <w:tc>
                <w:tcPr>
                  <w:tcW w:w="1525" w:type="dxa"/>
                  <w:vMerge w:val="restart"/>
                  <w:vAlign w:val="center"/>
                </w:tcPr>
                <w:p>
                  <w:pPr>
                    <w:pStyle w:val="44"/>
                    <w:rPr>
                      <w:rFonts w:ascii="Times New Roman" w:hAnsi="Times New Roman"/>
                      <w:color w:val="auto"/>
                      <w:sz w:val="21"/>
                      <w:szCs w:val="21"/>
                    </w:rPr>
                  </w:pPr>
                  <w:r>
                    <w:rPr>
                      <w:rFonts w:hint="eastAsia" w:ascii="Times New Roman" w:hAnsi="Times New Roman"/>
                      <w:color w:val="auto"/>
                      <w:sz w:val="21"/>
                      <w:szCs w:val="21"/>
                    </w:rPr>
                    <w:t>pH、水温、DO、COD</w:t>
                  </w:r>
                  <w:r>
                    <w:rPr>
                      <w:rFonts w:hint="eastAsia" w:ascii="Times New Roman" w:hAnsi="Times New Roman"/>
                      <w:color w:val="auto"/>
                      <w:sz w:val="21"/>
                      <w:szCs w:val="21"/>
                      <w:vertAlign w:val="subscript"/>
                    </w:rPr>
                    <w:t>Cr</w:t>
                  </w:r>
                  <w:r>
                    <w:rPr>
                      <w:rFonts w:hint="eastAsia" w:ascii="Times New Roman" w:hAnsi="Times New Roman"/>
                      <w:color w:val="auto"/>
                      <w:sz w:val="21"/>
                      <w:szCs w:val="21"/>
                    </w:rPr>
                    <w:t>、BOD</w:t>
                  </w:r>
                  <w:r>
                    <w:rPr>
                      <w:rFonts w:hint="eastAsia" w:ascii="Times New Roman" w:hAnsi="Times New Roman"/>
                      <w:color w:val="auto"/>
                      <w:sz w:val="21"/>
                      <w:szCs w:val="21"/>
                      <w:vertAlign w:val="subscript"/>
                    </w:rPr>
                    <w:t>5</w:t>
                  </w:r>
                  <w:r>
                    <w:rPr>
                      <w:rFonts w:hint="eastAsia" w:ascii="Times New Roman" w:hAnsi="Times New Roman"/>
                      <w:color w:val="auto"/>
                      <w:sz w:val="21"/>
                      <w:szCs w:val="21"/>
                    </w:rPr>
                    <w:t>、NH</w:t>
                  </w:r>
                  <w:r>
                    <w:rPr>
                      <w:rFonts w:hint="eastAsia" w:ascii="Times New Roman" w:hAnsi="Times New Roman"/>
                      <w:color w:val="auto"/>
                      <w:sz w:val="21"/>
                      <w:szCs w:val="21"/>
                      <w:vertAlign w:val="subscript"/>
                    </w:rPr>
                    <w:t>3</w:t>
                  </w:r>
                  <w:r>
                    <w:rPr>
                      <w:rFonts w:hint="eastAsia" w:ascii="Times New Roman" w:hAnsi="Times New Roman"/>
                      <w:color w:val="auto"/>
                      <w:sz w:val="21"/>
                      <w:szCs w:val="21"/>
                    </w:rPr>
                    <w:t>-N、TP、TN、石油类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702" w:type="dxa"/>
                  <w:vAlign w:val="center"/>
                </w:tcPr>
                <w:p>
                  <w:pPr>
                    <w:pStyle w:val="44"/>
                    <w:rPr>
                      <w:rFonts w:ascii="Times New Roman" w:hAnsi="Times New Roman"/>
                      <w:color w:val="auto"/>
                      <w:sz w:val="21"/>
                      <w:szCs w:val="21"/>
                    </w:rPr>
                  </w:pPr>
                  <w:r>
                    <w:rPr>
                      <w:rFonts w:ascii="Times New Roman" w:hAnsi="Times New Roman"/>
                      <w:color w:val="auto"/>
                      <w:sz w:val="21"/>
                      <w:szCs w:val="21"/>
                    </w:rPr>
                    <w:t>W</w:t>
                  </w:r>
                  <w:r>
                    <w:rPr>
                      <w:rFonts w:hint="eastAsia" w:ascii="Times New Roman" w:hAnsi="Times New Roman"/>
                      <w:color w:val="auto"/>
                      <w:sz w:val="21"/>
                      <w:szCs w:val="21"/>
                    </w:rPr>
                    <w:t>2</w:t>
                  </w:r>
                </w:p>
              </w:tc>
              <w:tc>
                <w:tcPr>
                  <w:tcW w:w="2705" w:type="dxa"/>
                  <w:vAlign w:val="center"/>
                </w:tcPr>
                <w:p>
                  <w:pPr>
                    <w:pStyle w:val="44"/>
                    <w:rPr>
                      <w:rFonts w:ascii="Times New Roman" w:hAnsi="Times New Roman"/>
                      <w:color w:val="auto"/>
                      <w:sz w:val="21"/>
                      <w:szCs w:val="21"/>
                    </w:rPr>
                  </w:pPr>
                  <w:r>
                    <w:rPr>
                      <w:rFonts w:hint="eastAsia" w:ascii="Times New Roman" w:hAnsi="Times New Roman"/>
                      <w:color w:val="auto"/>
                      <w:sz w:val="21"/>
                      <w:szCs w:val="21"/>
                    </w:rPr>
                    <w:t>博罗县园洲镇三角电排站工程所在地新村排渠下游 1000m 处</w:t>
                  </w:r>
                </w:p>
              </w:tc>
              <w:tc>
                <w:tcPr>
                  <w:tcW w:w="1681" w:type="dxa"/>
                  <w:vAlign w:val="center"/>
                </w:tcPr>
                <w:p>
                  <w:pPr>
                    <w:pStyle w:val="44"/>
                    <w:rPr>
                      <w:rFonts w:ascii="Times New Roman" w:hAnsi="Times New Roman"/>
                      <w:color w:val="auto"/>
                      <w:sz w:val="21"/>
                      <w:szCs w:val="21"/>
                    </w:rPr>
                  </w:pPr>
                  <w:r>
                    <w:rPr>
                      <w:rFonts w:hint="eastAsia" w:ascii="Times New Roman" w:hAnsi="Times New Roman"/>
                      <w:color w:val="auto"/>
                      <w:sz w:val="21"/>
                      <w:szCs w:val="21"/>
                    </w:rPr>
                    <w:t>新村</w:t>
                  </w:r>
                  <w:r>
                    <w:rPr>
                      <w:rFonts w:ascii="Times New Roman" w:hAnsi="Times New Roman"/>
                      <w:color w:val="auto"/>
                      <w:sz w:val="21"/>
                      <w:szCs w:val="21"/>
                    </w:rPr>
                    <w:t>排渠</w:t>
                  </w:r>
                </w:p>
              </w:tc>
              <w:tc>
                <w:tcPr>
                  <w:tcW w:w="1525" w:type="dxa"/>
                  <w:vMerge w:val="continue"/>
                  <w:vAlign w:val="center"/>
                </w:tcPr>
                <w:p>
                  <w:pPr>
                    <w:pStyle w:val="44"/>
                    <w:rPr>
                      <w:rFonts w:ascii="Times New Roman" w:hAnsi="Times New Roman"/>
                      <w:color w:val="auto"/>
                      <w:sz w:val="21"/>
                      <w:szCs w:val="21"/>
                    </w:rPr>
                  </w:pPr>
                </w:p>
              </w:tc>
              <w:tc>
                <w:tcPr>
                  <w:tcW w:w="1525" w:type="dxa"/>
                  <w:vMerge w:val="continue"/>
                  <w:vAlign w:val="center"/>
                </w:tcPr>
                <w:p>
                  <w:pPr>
                    <w:pStyle w:val="44"/>
                    <w:rPr>
                      <w:rFonts w:ascii="Times New Roman" w:hAns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702" w:type="dxa"/>
                  <w:vAlign w:val="center"/>
                </w:tcPr>
                <w:p>
                  <w:pPr>
                    <w:pStyle w:val="44"/>
                    <w:rPr>
                      <w:rFonts w:ascii="Times New Roman" w:hAnsi="Times New Roman"/>
                      <w:color w:val="auto"/>
                      <w:sz w:val="21"/>
                      <w:szCs w:val="21"/>
                    </w:rPr>
                  </w:pPr>
                  <w:r>
                    <w:rPr>
                      <w:rFonts w:ascii="Times New Roman" w:hAnsi="Times New Roman"/>
                      <w:color w:val="auto"/>
                      <w:sz w:val="21"/>
                      <w:szCs w:val="21"/>
                    </w:rPr>
                    <w:t>W</w:t>
                  </w:r>
                  <w:r>
                    <w:rPr>
                      <w:rFonts w:hint="eastAsia" w:ascii="Times New Roman" w:hAnsi="Times New Roman"/>
                      <w:color w:val="auto"/>
                      <w:sz w:val="21"/>
                      <w:szCs w:val="21"/>
                    </w:rPr>
                    <w:t>5</w:t>
                  </w:r>
                </w:p>
              </w:tc>
              <w:tc>
                <w:tcPr>
                  <w:tcW w:w="2705" w:type="dxa"/>
                  <w:vAlign w:val="center"/>
                </w:tcPr>
                <w:p>
                  <w:pPr>
                    <w:pStyle w:val="44"/>
                    <w:rPr>
                      <w:rFonts w:ascii="Times New Roman" w:hAnsi="Times New Roman"/>
                      <w:color w:val="auto"/>
                      <w:sz w:val="21"/>
                      <w:szCs w:val="21"/>
                    </w:rPr>
                  </w:pPr>
                  <w:r>
                    <w:rPr>
                      <w:rFonts w:hint="eastAsia" w:ascii="Times New Roman" w:hAnsi="Times New Roman"/>
                      <w:color w:val="auto"/>
                      <w:sz w:val="21"/>
                      <w:szCs w:val="21"/>
                    </w:rPr>
                    <w:t>沙河（与新村排渠交界上游 500 米）</w:t>
                  </w:r>
                </w:p>
              </w:tc>
              <w:tc>
                <w:tcPr>
                  <w:tcW w:w="1681" w:type="dxa"/>
                  <w:vAlign w:val="center"/>
                </w:tcPr>
                <w:p>
                  <w:pPr>
                    <w:pStyle w:val="44"/>
                    <w:rPr>
                      <w:rFonts w:ascii="Times New Roman" w:hAnsi="Times New Roman"/>
                      <w:color w:val="auto"/>
                      <w:sz w:val="21"/>
                      <w:szCs w:val="21"/>
                    </w:rPr>
                  </w:pPr>
                  <w:r>
                    <w:rPr>
                      <w:rFonts w:ascii="Times New Roman" w:hAnsi="Times New Roman"/>
                      <w:color w:val="auto"/>
                      <w:sz w:val="21"/>
                      <w:szCs w:val="21"/>
                    </w:rPr>
                    <w:t>沙河</w:t>
                  </w:r>
                </w:p>
              </w:tc>
              <w:tc>
                <w:tcPr>
                  <w:tcW w:w="1525" w:type="dxa"/>
                  <w:vMerge w:val="restart"/>
                  <w:vAlign w:val="center"/>
                </w:tcPr>
                <w:p>
                  <w:pPr>
                    <w:pStyle w:val="44"/>
                    <w:rPr>
                      <w:rFonts w:ascii="Times New Roman" w:hAnsi="Times New Roman"/>
                      <w:color w:val="auto"/>
                      <w:sz w:val="21"/>
                      <w:szCs w:val="21"/>
                    </w:rPr>
                  </w:pPr>
                  <w:r>
                    <w:rPr>
                      <w:rFonts w:hint="eastAsia" w:hAnsi="宋体" w:cs="宋体"/>
                      <w:color w:val="auto"/>
                      <w:sz w:val="21"/>
                      <w:szCs w:val="21"/>
                    </w:rPr>
                    <w:t>Ⅲ</w:t>
                  </w:r>
                  <w:r>
                    <w:rPr>
                      <w:rFonts w:ascii="Times New Roman" w:hAnsi="Times New Roman"/>
                      <w:color w:val="auto"/>
                      <w:sz w:val="21"/>
                      <w:szCs w:val="21"/>
                    </w:rPr>
                    <w:t>类</w:t>
                  </w:r>
                </w:p>
              </w:tc>
              <w:tc>
                <w:tcPr>
                  <w:tcW w:w="1525" w:type="dxa"/>
                  <w:vMerge w:val="continue"/>
                  <w:vAlign w:val="center"/>
                </w:tcPr>
                <w:p>
                  <w:pPr>
                    <w:pStyle w:val="44"/>
                    <w:rPr>
                      <w:rFonts w:ascii="Times New Roman" w:hAns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2" w:type="dxa"/>
                  <w:vAlign w:val="center"/>
                </w:tcPr>
                <w:p>
                  <w:pPr>
                    <w:pStyle w:val="44"/>
                    <w:rPr>
                      <w:rFonts w:ascii="Times New Roman" w:hAnsi="Times New Roman"/>
                      <w:color w:val="auto"/>
                      <w:sz w:val="21"/>
                      <w:szCs w:val="21"/>
                    </w:rPr>
                  </w:pPr>
                  <w:r>
                    <w:rPr>
                      <w:rFonts w:ascii="Times New Roman" w:hAnsi="Times New Roman"/>
                      <w:color w:val="auto"/>
                      <w:sz w:val="21"/>
                      <w:szCs w:val="21"/>
                    </w:rPr>
                    <w:t>W</w:t>
                  </w:r>
                  <w:r>
                    <w:rPr>
                      <w:rFonts w:hint="eastAsia" w:ascii="Times New Roman" w:hAnsi="Times New Roman"/>
                      <w:color w:val="auto"/>
                      <w:sz w:val="21"/>
                      <w:szCs w:val="21"/>
                    </w:rPr>
                    <w:t>6</w:t>
                  </w:r>
                </w:p>
              </w:tc>
              <w:tc>
                <w:tcPr>
                  <w:tcW w:w="2705" w:type="dxa"/>
                  <w:vAlign w:val="center"/>
                </w:tcPr>
                <w:p>
                  <w:pPr>
                    <w:pStyle w:val="44"/>
                    <w:rPr>
                      <w:rFonts w:ascii="Times New Roman" w:hAnsi="Times New Roman"/>
                      <w:color w:val="auto"/>
                      <w:sz w:val="21"/>
                      <w:szCs w:val="21"/>
                    </w:rPr>
                  </w:pPr>
                  <w:r>
                    <w:rPr>
                      <w:rFonts w:hint="eastAsia" w:ascii="Times New Roman" w:hAnsi="Times New Roman"/>
                      <w:color w:val="auto"/>
                      <w:sz w:val="21"/>
                      <w:szCs w:val="21"/>
                    </w:rPr>
                    <w:t>沙河（与新村排渠交界下游 500 米）</w:t>
                  </w:r>
                </w:p>
              </w:tc>
              <w:tc>
                <w:tcPr>
                  <w:tcW w:w="1681" w:type="dxa"/>
                  <w:vAlign w:val="center"/>
                </w:tcPr>
                <w:p>
                  <w:pPr>
                    <w:pStyle w:val="44"/>
                    <w:rPr>
                      <w:rFonts w:ascii="Times New Roman" w:hAnsi="Times New Roman"/>
                      <w:color w:val="auto"/>
                      <w:sz w:val="21"/>
                      <w:szCs w:val="21"/>
                    </w:rPr>
                  </w:pPr>
                  <w:r>
                    <w:rPr>
                      <w:rFonts w:ascii="Times New Roman" w:hAnsi="Times New Roman"/>
                      <w:color w:val="auto"/>
                      <w:sz w:val="21"/>
                      <w:szCs w:val="21"/>
                    </w:rPr>
                    <w:t>沙河</w:t>
                  </w:r>
                </w:p>
              </w:tc>
              <w:tc>
                <w:tcPr>
                  <w:tcW w:w="1525" w:type="dxa"/>
                  <w:vMerge w:val="continue"/>
                  <w:vAlign w:val="center"/>
                </w:tcPr>
                <w:p>
                  <w:pPr>
                    <w:pStyle w:val="44"/>
                    <w:rPr>
                      <w:rFonts w:ascii="Times New Roman" w:hAnsi="Times New Roman"/>
                      <w:color w:val="auto"/>
                      <w:sz w:val="21"/>
                      <w:szCs w:val="21"/>
                    </w:rPr>
                  </w:pPr>
                </w:p>
              </w:tc>
              <w:tc>
                <w:tcPr>
                  <w:tcW w:w="1525" w:type="dxa"/>
                  <w:vMerge w:val="continue"/>
                  <w:vAlign w:val="center"/>
                </w:tcPr>
                <w:p>
                  <w:pPr>
                    <w:pStyle w:val="44"/>
                    <w:rPr>
                      <w:rFonts w:ascii="Times New Roman" w:hAnsi="Times New Roman"/>
                      <w:color w:val="auto"/>
                      <w:sz w:val="21"/>
                      <w:szCs w:val="21"/>
                    </w:rPr>
                  </w:pPr>
                </w:p>
              </w:tc>
            </w:tr>
          </w:tbl>
          <w:p>
            <w:pPr>
              <w:numPr>
                <w:ilvl w:val="0"/>
                <w:numId w:val="5"/>
              </w:numPr>
              <w:adjustRightInd w:val="0"/>
              <w:snapToGrid w:val="0"/>
              <w:spacing w:line="360" w:lineRule="auto"/>
              <w:ind w:left="322"/>
              <w:jc w:val="center"/>
              <w:rPr>
                <w:b/>
              </w:rPr>
            </w:pPr>
            <w:r>
              <w:rPr>
                <w:b/>
              </w:rPr>
              <w:t>地表水水质现状监测结果一览表</w:t>
            </w:r>
            <w:r>
              <w:rPr>
                <w:rStyle w:val="40"/>
                <w:b/>
              </w:rPr>
              <w:t xml:space="preserve"> </w:t>
            </w:r>
            <w:r>
              <w:rPr>
                <w:b/>
              </w:rPr>
              <w:t>单位：mg/L，水温为</w:t>
            </w:r>
            <w:r>
              <w:rPr>
                <w:rFonts w:hint="eastAsia" w:ascii="宋体" w:hAnsi="宋体" w:cs="宋体"/>
                <w:b/>
              </w:rPr>
              <w:t>℃</w:t>
            </w:r>
            <w:r>
              <w:rPr>
                <w:b/>
              </w:rPr>
              <w:t>，pH为无量纲</w:t>
            </w:r>
          </w:p>
          <w:tbl>
            <w:tblPr>
              <w:tblStyle w:val="29"/>
              <w:tblW w:w="4999" w:type="pct"/>
              <w:jc w:val="center"/>
              <w:tblLayout w:type="autofit"/>
              <w:tblCellMar>
                <w:top w:w="0" w:type="dxa"/>
                <w:left w:w="10" w:type="dxa"/>
                <w:bottom w:w="0" w:type="dxa"/>
                <w:right w:w="10" w:type="dxa"/>
              </w:tblCellMar>
            </w:tblPr>
            <w:tblGrid>
              <w:gridCol w:w="660"/>
              <w:gridCol w:w="1285"/>
              <w:gridCol w:w="972"/>
              <w:gridCol w:w="861"/>
              <w:gridCol w:w="797"/>
              <w:gridCol w:w="744"/>
              <w:gridCol w:w="653"/>
              <w:gridCol w:w="701"/>
              <w:gridCol w:w="704"/>
              <w:gridCol w:w="522"/>
              <w:gridCol w:w="540"/>
            </w:tblGrid>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tcBorders>
                  <w:vAlign w:val="center"/>
                </w:tcPr>
                <w:p>
                  <w:pPr>
                    <w:jc w:val="center"/>
                    <w:rPr>
                      <w:b/>
                    </w:rPr>
                  </w:pPr>
                  <w:r>
                    <w:rPr>
                      <w:b/>
                    </w:rPr>
                    <w:t>测点编号</w:t>
                  </w:r>
                </w:p>
              </w:tc>
              <w:tc>
                <w:tcPr>
                  <w:tcW w:w="761" w:type="pct"/>
                  <w:vMerge w:val="restart"/>
                  <w:tcBorders>
                    <w:top w:val="single" w:color="auto" w:sz="4" w:space="0"/>
                    <w:left w:val="single" w:color="auto" w:sz="4" w:space="0"/>
                  </w:tcBorders>
                  <w:vAlign w:val="center"/>
                </w:tcPr>
                <w:p>
                  <w:pPr>
                    <w:jc w:val="center"/>
                    <w:rPr>
                      <w:b/>
                    </w:rPr>
                  </w:pPr>
                  <w:r>
                    <w:rPr>
                      <w:b/>
                    </w:rPr>
                    <w:t>采样时间</w:t>
                  </w:r>
                </w:p>
              </w:tc>
              <w:tc>
                <w:tcPr>
                  <w:tcW w:w="3847" w:type="pct"/>
                  <w:gridSpan w:val="9"/>
                  <w:tcBorders>
                    <w:top w:val="single" w:color="auto" w:sz="4" w:space="0"/>
                    <w:left w:val="single" w:color="auto" w:sz="4" w:space="0"/>
                    <w:right w:val="single" w:color="auto" w:sz="4" w:space="0"/>
                  </w:tcBorders>
                  <w:vAlign w:val="center"/>
                </w:tcPr>
                <w:p>
                  <w:pPr>
                    <w:jc w:val="center"/>
                    <w:rPr>
                      <w:b/>
                    </w:rPr>
                  </w:pPr>
                  <w:r>
                    <w:rPr>
                      <w:b/>
                    </w:rPr>
                    <w:t>检测结果监测项目及监测结果（mg/L，pH 为无量纲、注明除外）</w:t>
                  </w:r>
                </w:p>
              </w:tc>
            </w:tr>
            <w:tr>
              <w:tblPrEx>
                <w:tblCellMar>
                  <w:top w:w="0" w:type="dxa"/>
                  <w:left w:w="10" w:type="dxa"/>
                  <w:bottom w:w="0" w:type="dxa"/>
                  <w:right w:w="10" w:type="dxa"/>
                </w:tblCellMar>
              </w:tblPrEx>
              <w:trPr>
                <w:jc w:val="center"/>
              </w:trPr>
              <w:tc>
                <w:tcPr>
                  <w:tcW w:w="391" w:type="pct"/>
                  <w:vMerge w:val="continue"/>
                  <w:tcBorders>
                    <w:left w:val="single" w:color="auto" w:sz="4" w:space="0"/>
                    <w:bottom w:val="single" w:color="000000" w:sz="4" w:space="0"/>
                  </w:tcBorders>
                  <w:vAlign w:val="center"/>
                </w:tcPr>
                <w:p>
                  <w:pPr>
                    <w:jc w:val="center"/>
                    <w:rPr>
                      <w:b/>
                    </w:rPr>
                  </w:pPr>
                </w:p>
              </w:tc>
              <w:tc>
                <w:tcPr>
                  <w:tcW w:w="761" w:type="pct"/>
                  <w:vMerge w:val="continue"/>
                  <w:tcBorders>
                    <w:left w:val="single" w:color="auto" w:sz="4" w:space="0"/>
                    <w:bottom w:val="single" w:color="000000" w:sz="4" w:space="0"/>
                  </w:tcBorders>
                  <w:vAlign w:val="center"/>
                </w:tcPr>
                <w:p>
                  <w:pPr>
                    <w:jc w:val="center"/>
                    <w:rPr>
                      <w:b/>
                    </w:rPr>
                  </w:pPr>
                </w:p>
              </w:tc>
              <w:tc>
                <w:tcPr>
                  <w:tcW w:w="576" w:type="pct"/>
                  <w:tcBorders>
                    <w:top w:val="single" w:color="auto" w:sz="4" w:space="0"/>
                    <w:left w:val="single" w:color="auto" w:sz="4" w:space="0"/>
                    <w:bottom w:val="single" w:color="000000" w:sz="4" w:space="0"/>
                  </w:tcBorders>
                  <w:vAlign w:val="center"/>
                </w:tcPr>
                <w:p>
                  <w:pPr>
                    <w:jc w:val="center"/>
                    <w:rPr>
                      <w:bCs/>
                      <w:lang w:eastAsia="en-US"/>
                    </w:rPr>
                  </w:pPr>
                  <w:r>
                    <w:rPr>
                      <w:bCs/>
                      <w:lang w:eastAsia="en-US"/>
                    </w:rPr>
                    <w:t>水温（</w:t>
                  </w:r>
                  <w:r>
                    <w:rPr>
                      <w:rFonts w:hint="eastAsia" w:ascii="宋体" w:hAnsi="宋体" w:cs="宋体"/>
                      <w:bCs/>
                      <w:lang w:eastAsia="en-US"/>
                    </w:rPr>
                    <w:t>℃</w:t>
                  </w:r>
                  <w:r>
                    <w:rPr>
                      <w:bCs/>
                      <w:lang w:eastAsia="en-US"/>
                    </w:rPr>
                    <w:t>）</w:t>
                  </w:r>
                </w:p>
              </w:tc>
              <w:tc>
                <w:tcPr>
                  <w:tcW w:w="510" w:type="pct"/>
                  <w:tcBorders>
                    <w:top w:val="single" w:color="auto" w:sz="4" w:space="0"/>
                    <w:left w:val="single" w:color="auto" w:sz="4" w:space="0"/>
                    <w:bottom w:val="single" w:color="000000" w:sz="4" w:space="0"/>
                  </w:tcBorders>
                  <w:vAlign w:val="center"/>
                </w:tcPr>
                <w:p>
                  <w:pPr>
                    <w:jc w:val="center"/>
                    <w:rPr>
                      <w:bCs/>
                    </w:rPr>
                  </w:pPr>
                  <w:r>
                    <w:rPr>
                      <w:bCs/>
                    </w:rPr>
                    <w:t>pH值</w:t>
                  </w:r>
                </w:p>
              </w:tc>
              <w:tc>
                <w:tcPr>
                  <w:tcW w:w="472" w:type="pct"/>
                  <w:tcBorders>
                    <w:top w:val="single" w:color="auto" w:sz="4" w:space="0"/>
                    <w:left w:val="single" w:color="auto" w:sz="4" w:space="0"/>
                    <w:bottom w:val="single" w:color="000000" w:sz="4" w:space="0"/>
                  </w:tcBorders>
                  <w:vAlign w:val="center"/>
                </w:tcPr>
                <w:p>
                  <w:pPr>
                    <w:jc w:val="center"/>
                    <w:rPr>
                      <w:bCs/>
                    </w:rPr>
                  </w:pPr>
                  <w:r>
                    <w:rPr>
                      <w:bCs/>
                    </w:rPr>
                    <w:t>COD</w:t>
                  </w:r>
                  <w:r>
                    <w:rPr>
                      <w:bCs/>
                      <w:vertAlign w:val="subscript"/>
                    </w:rPr>
                    <w:t>Cr</w:t>
                  </w:r>
                </w:p>
              </w:tc>
              <w:tc>
                <w:tcPr>
                  <w:tcW w:w="441" w:type="pct"/>
                  <w:tcBorders>
                    <w:top w:val="single" w:color="auto" w:sz="4" w:space="0"/>
                    <w:left w:val="single" w:color="auto" w:sz="4" w:space="0"/>
                    <w:bottom w:val="single" w:color="000000" w:sz="4" w:space="0"/>
                  </w:tcBorders>
                  <w:vAlign w:val="center"/>
                </w:tcPr>
                <w:p>
                  <w:pPr>
                    <w:jc w:val="center"/>
                    <w:rPr>
                      <w:bCs/>
                    </w:rPr>
                  </w:pPr>
                  <w:r>
                    <w:rPr>
                      <w:bCs/>
                    </w:rPr>
                    <w:t>BOD</w:t>
                  </w:r>
                  <w:r>
                    <w:rPr>
                      <w:bCs/>
                      <w:vertAlign w:val="subscript"/>
                    </w:rPr>
                    <w:t>5</w:t>
                  </w:r>
                </w:p>
              </w:tc>
              <w:tc>
                <w:tcPr>
                  <w:tcW w:w="387" w:type="pct"/>
                  <w:tcBorders>
                    <w:top w:val="single" w:color="auto" w:sz="4" w:space="0"/>
                    <w:left w:val="single" w:color="auto" w:sz="4" w:space="0"/>
                    <w:bottom w:val="single" w:color="000000" w:sz="4" w:space="0"/>
                  </w:tcBorders>
                  <w:vAlign w:val="center"/>
                </w:tcPr>
                <w:p>
                  <w:pPr>
                    <w:jc w:val="center"/>
                    <w:rPr>
                      <w:bCs/>
                    </w:rPr>
                  </w:pPr>
                  <w:r>
                    <w:rPr>
                      <w:bCs/>
                    </w:rPr>
                    <w:t>氨氮</w:t>
                  </w:r>
                </w:p>
              </w:tc>
              <w:tc>
                <w:tcPr>
                  <w:tcW w:w="415" w:type="pct"/>
                  <w:tcBorders>
                    <w:top w:val="single" w:color="auto" w:sz="4" w:space="0"/>
                    <w:left w:val="single" w:color="auto" w:sz="4" w:space="0"/>
                    <w:bottom w:val="single" w:color="000000" w:sz="4" w:space="0"/>
                    <w:right w:val="single" w:color="auto" w:sz="4" w:space="0"/>
                  </w:tcBorders>
                  <w:vAlign w:val="center"/>
                </w:tcPr>
                <w:p>
                  <w:pPr>
                    <w:jc w:val="center"/>
                  </w:pPr>
                  <w:r>
                    <w:t>溶解氧</w:t>
                  </w:r>
                </w:p>
              </w:tc>
              <w:tc>
                <w:tcPr>
                  <w:tcW w:w="417" w:type="pct"/>
                  <w:tcBorders>
                    <w:top w:val="single" w:color="auto" w:sz="4" w:space="0"/>
                    <w:left w:val="single" w:color="auto" w:sz="4" w:space="0"/>
                    <w:bottom w:val="single" w:color="000000" w:sz="4" w:space="0"/>
                    <w:right w:val="single" w:color="auto" w:sz="4" w:space="0"/>
                  </w:tcBorders>
                  <w:vAlign w:val="center"/>
                </w:tcPr>
                <w:p>
                  <w:pPr>
                    <w:jc w:val="center"/>
                  </w:pPr>
                  <w:r>
                    <w:t>石油类</w:t>
                  </w:r>
                </w:p>
              </w:tc>
              <w:tc>
                <w:tcPr>
                  <w:tcW w:w="309" w:type="pct"/>
                  <w:tcBorders>
                    <w:top w:val="single" w:color="auto" w:sz="4" w:space="0"/>
                    <w:left w:val="single" w:color="auto" w:sz="4" w:space="0"/>
                    <w:bottom w:val="single" w:color="000000" w:sz="4" w:space="0"/>
                    <w:right w:val="single" w:color="auto" w:sz="4" w:space="0"/>
                  </w:tcBorders>
                  <w:vAlign w:val="center"/>
                </w:tcPr>
                <w:p>
                  <w:pPr>
                    <w:jc w:val="center"/>
                  </w:pPr>
                  <w:r>
                    <w:t>总磷</w:t>
                  </w:r>
                </w:p>
              </w:tc>
              <w:tc>
                <w:tcPr>
                  <w:tcW w:w="315" w:type="pct"/>
                  <w:tcBorders>
                    <w:top w:val="single" w:color="auto" w:sz="4" w:space="0"/>
                    <w:left w:val="single" w:color="auto" w:sz="4" w:space="0"/>
                    <w:bottom w:val="single" w:color="000000" w:sz="4" w:space="0"/>
                    <w:right w:val="single" w:color="auto" w:sz="4" w:space="0"/>
                  </w:tcBorders>
                  <w:vAlign w:val="center"/>
                </w:tcPr>
                <w:p>
                  <w:pPr>
                    <w:jc w:val="center"/>
                  </w:pPr>
                  <w:r>
                    <w:t>总氮</w:t>
                  </w:r>
                </w:p>
              </w:tc>
            </w:tr>
            <w:tr>
              <w:tblPrEx>
                <w:tblCellMar>
                  <w:top w:w="0" w:type="dxa"/>
                  <w:left w:w="10" w:type="dxa"/>
                  <w:bottom w:w="0" w:type="dxa"/>
                  <w:right w:w="10" w:type="dxa"/>
                </w:tblCellMar>
              </w:tblPrEx>
              <w:trPr>
                <w:jc w:val="center"/>
              </w:trPr>
              <w:tc>
                <w:tcPr>
                  <w:tcW w:w="391" w:type="pct"/>
                  <w:vMerge w:val="restart"/>
                  <w:tcBorders>
                    <w:top w:val="single" w:color="000000" w:sz="4" w:space="0"/>
                    <w:left w:val="single" w:color="000000" w:sz="4" w:space="0"/>
                    <w:bottom w:val="single" w:color="000000" w:sz="4" w:space="0"/>
                    <w:right w:val="single" w:color="000000" w:sz="4" w:space="0"/>
                  </w:tcBorders>
                  <w:vAlign w:val="center"/>
                </w:tcPr>
                <w:p>
                  <w:pPr>
                    <w:jc w:val="center"/>
                  </w:pPr>
                  <w:r>
                    <w:t>W1</w:t>
                  </w:r>
                </w:p>
              </w:tc>
              <w:tc>
                <w:tcPr>
                  <w:tcW w:w="761" w:type="pct"/>
                  <w:tcBorders>
                    <w:top w:val="single" w:color="000000" w:sz="4" w:space="0"/>
                    <w:left w:val="single" w:color="000000" w:sz="4" w:space="0"/>
                    <w:bottom w:val="single" w:color="000000" w:sz="4" w:space="0"/>
                  </w:tcBorders>
                  <w:vAlign w:val="center"/>
                </w:tcPr>
                <w:p>
                  <w:pPr>
                    <w:jc w:val="center"/>
                  </w:pPr>
                  <w:r>
                    <w:t>2020.1.3</w:t>
                  </w:r>
                </w:p>
              </w:tc>
              <w:tc>
                <w:tcPr>
                  <w:tcW w:w="576"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pPr>
                  <w:r>
                    <w:t>17.5</w:t>
                  </w:r>
                </w:p>
              </w:tc>
              <w:tc>
                <w:tcPr>
                  <w:tcW w:w="510"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pPr>
                  <w:r>
                    <w:t>6.86</w:t>
                  </w:r>
                </w:p>
              </w:tc>
              <w:tc>
                <w:tcPr>
                  <w:tcW w:w="472"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pPr>
                  <w:r>
                    <w:t>26</w:t>
                  </w:r>
                </w:p>
              </w:tc>
              <w:tc>
                <w:tcPr>
                  <w:tcW w:w="441"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pPr>
                  <w:r>
                    <w:t>6.4</w:t>
                  </w:r>
                </w:p>
              </w:tc>
              <w:tc>
                <w:tcPr>
                  <w:tcW w:w="387"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pPr>
                  <w:r>
                    <w:t>2.01</w:t>
                  </w:r>
                </w:p>
              </w:tc>
              <w:tc>
                <w:tcPr>
                  <w:tcW w:w="415"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pPr>
                  <w:r>
                    <w:t>4.1</w:t>
                  </w:r>
                </w:p>
              </w:tc>
              <w:tc>
                <w:tcPr>
                  <w:tcW w:w="417"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pPr>
                  <w:r>
                    <w:t>0.02</w:t>
                  </w:r>
                </w:p>
              </w:tc>
              <w:tc>
                <w:tcPr>
                  <w:tcW w:w="309" w:type="pct"/>
                  <w:tcBorders>
                    <w:top w:val="single" w:color="000000" w:sz="4" w:space="0"/>
                    <w:left w:val="single" w:color="auto" w:sz="4" w:space="0"/>
                    <w:bottom w:val="single" w:color="000000" w:sz="4" w:space="0"/>
                    <w:right w:val="single" w:color="000000" w:sz="4" w:space="0"/>
                  </w:tcBorders>
                  <w:vAlign w:val="center"/>
                </w:tcPr>
                <w:p>
                  <w:pPr>
                    <w:jc w:val="center"/>
                  </w:pPr>
                  <w:r>
                    <w:t>0.14</w:t>
                  </w:r>
                </w:p>
              </w:tc>
              <w:tc>
                <w:tcPr>
                  <w:tcW w:w="315" w:type="pct"/>
                  <w:tcBorders>
                    <w:top w:val="single" w:color="000000" w:sz="4" w:space="0"/>
                    <w:left w:val="single" w:color="auto" w:sz="4" w:space="0"/>
                    <w:bottom w:val="single" w:color="000000" w:sz="4" w:space="0"/>
                    <w:right w:val="single" w:color="000000" w:sz="4" w:space="0"/>
                  </w:tcBorders>
                  <w:vAlign w:val="center"/>
                </w:tcPr>
                <w:p>
                  <w:pPr>
                    <w:jc w:val="center"/>
                  </w:pPr>
                  <w:r>
                    <w:t>7.09</w:t>
                  </w:r>
                </w:p>
              </w:tc>
            </w:tr>
            <w:tr>
              <w:tblPrEx>
                <w:tblCellMar>
                  <w:top w:w="0" w:type="dxa"/>
                  <w:left w:w="10" w:type="dxa"/>
                  <w:bottom w:w="0" w:type="dxa"/>
                  <w:right w:w="10" w:type="dxa"/>
                </w:tblCellMar>
              </w:tblPrEx>
              <w:trPr>
                <w:jc w:val="center"/>
              </w:trPr>
              <w:tc>
                <w:tcPr>
                  <w:tcW w:w="391" w:type="pct"/>
                  <w:vMerge w:val="continue"/>
                  <w:tcBorders>
                    <w:top w:val="single" w:color="000000" w:sz="4" w:space="0"/>
                    <w:left w:val="single" w:color="000000" w:sz="4" w:space="0"/>
                    <w:right w:val="single" w:color="000000" w:sz="4" w:space="0"/>
                  </w:tcBorders>
                  <w:vAlign w:val="center"/>
                </w:tcPr>
                <w:p>
                  <w:pPr>
                    <w:jc w:val="center"/>
                  </w:pPr>
                </w:p>
              </w:tc>
              <w:tc>
                <w:tcPr>
                  <w:tcW w:w="761" w:type="pct"/>
                  <w:tcBorders>
                    <w:top w:val="single" w:color="000000" w:sz="4" w:space="0"/>
                    <w:left w:val="single" w:color="000000" w:sz="4" w:space="0"/>
                  </w:tcBorders>
                  <w:vAlign w:val="center"/>
                </w:tcPr>
                <w:p>
                  <w:pPr>
                    <w:jc w:val="center"/>
                  </w:pPr>
                  <w:r>
                    <w:t>2020.1.4</w:t>
                  </w:r>
                </w:p>
              </w:tc>
              <w:tc>
                <w:tcPr>
                  <w:tcW w:w="576" w:type="pct"/>
                  <w:tcBorders>
                    <w:top w:val="single" w:color="000000" w:sz="4" w:space="0"/>
                    <w:left w:val="single" w:color="auto" w:sz="4" w:space="0"/>
                  </w:tcBorders>
                  <w:vAlign w:val="center"/>
                </w:tcPr>
                <w:p>
                  <w:pPr>
                    <w:autoSpaceDE w:val="0"/>
                    <w:autoSpaceDN w:val="0"/>
                    <w:spacing w:line="300" w:lineRule="exact"/>
                    <w:jc w:val="center"/>
                  </w:pPr>
                  <w:r>
                    <w:t>17.2</w:t>
                  </w:r>
                </w:p>
              </w:tc>
              <w:tc>
                <w:tcPr>
                  <w:tcW w:w="510" w:type="pct"/>
                  <w:tcBorders>
                    <w:top w:val="single" w:color="000000" w:sz="4" w:space="0"/>
                    <w:left w:val="single" w:color="auto" w:sz="4" w:space="0"/>
                  </w:tcBorders>
                  <w:vAlign w:val="center"/>
                </w:tcPr>
                <w:p>
                  <w:pPr>
                    <w:autoSpaceDE w:val="0"/>
                    <w:autoSpaceDN w:val="0"/>
                    <w:spacing w:line="300" w:lineRule="exact"/>
                    <w:jc w:val="center"/>
                  </w:pPr>
                  <w:r>
                    <w:t>6.91</w:t>
                  </w:r>
                </w:p>
              </w:tc>
              <w:tc>
                <w:tcPr>
                  <w:tcW w:w="472" w:type="pct"/>
                  <w:tcBorders>
                    <w:top w:val="single" w:color="000000" w:sz="4" w:space="0"/>
                    <w:left w:val="single" w:color="auto" w:sz="4" w:space="0"/>
                  </w:tcBorders>
                  <w:vAlign w:val="center"/>
                </w:tcPr>
                <w:p>
                  <w:pPr>
                    <w:autoSpaceDE w:val="0"/>
                    <w:autoSpaceDN w:val="0"/>
                    <w:spacing w:line="300" w:lineRule="exact"/>
                    <w:jc w:val="center"/>
                  </w:pPr>
                  <w:r>
                    <w:t>28</w:t>
                  </w:r>
                </w:p>
              </w:tc>
              <w:tc>
                <w:tcPr>
                  <w:tcW w:w="441" w:type="pct"/>
                  <w:tcBorders>
                    <w:top w:val="single" w:color="000000" w:sz="4" w:space="0"/>
                    <w:left w:val="single" w:color="auto" w:sz="4" w:space="0"/>
                  </w:tcBorders>
                  <w:vAlign w:val="center"/>
                </w:tcPr>
                <w:p>
                  <w:pPr>
                    <w:autoSpaceDE w:val="0"/>
                    <w:autoSpaceDN w:val="0"/>
                    <w:spacing w:line="300" w:lineRule="exact"/>
                    <w:jc w:val="center"/>
                  </w:pPr>
                  <w:r>
                    <w:t>6.6</w:t>
                  </w:r>
                </w:p>
              </w:tc>
              <w:tc>
                <w:tcPr>
                  <w:tcW w:w="387" w:type="pct"/>
                  <w:tcBorders>
                    <w:top w:val="single" w:color="000000" w:sz="4" w:space="0"/>
                    <w:left w:val="single" w:color="auto" w:sz="4" w:space="0"/>
                  </w:tcBorders>
                  <w:vAlign w:val="center"/>
                </w:tcPr>
                <w:p>
                  <w:pPr>
                    <w:autoSpaceDE w:val="0"/>
                    <w:autoSpaceDN w:val="0"/>
                    <w:spacing w:line="300" w:lineRule="exact"/>
                    <w:jc w:val="center"/>
                  </w:pPr>
                  <w:r>
                    <w:t>1.93</w:t>
                  </w:r>
                </w:p>
              </w:tc>
              <w:tc>
                <w:tcPr>
                  <w:tcW w:w="415" w:type="pct"/>
                  <w:tcBorders>
                    <w:top w:val="single" w:color="000000" w:sz="4" w:space="0"/>
                    <w:left w:val="single" w:color="auto" w:sz="4" w:space="0"/>
                  </w:tcBorders>
                  <w:vAlign w:val="center"/>
                </w:tcPr>
                <w:p>
                  <w:pPr>
                    <w:autoSpaceDE w:val="0"/>
                    <w:autoSpaceDN w:val="0"/>
                    <w:spacing w:line="300" w:lineRule="exact"/>
                    <w:jc w:val="center"/>
                  </w:pPr>
                  <w:r>
                    <w:t>4.9</w:t>
                  </w:r>
                </w:p>
              </w:tc>
              <w:tc>
                <w:tcPr>
                  <w:tcW w:w="417" w:type="pct"/>
                  <w:tcBorders>
                    <w:top w:val="single" w:color="000000" w:sz="4" w:space="0"/>
                    <w:left w:val="single" w:color="auto" w:sz="4" w:space="0"/>
                  </w:tcBorders>
                  <w:vAlign w:val="center"/>
                </w:tcPr>
                <w:p>
                  <w:pPr>
                    <w:autoSpaceDE w:val="0"/>
                    <w:autoSpaceDN w:val="0"/>
                    <w:spacing w:line="300" w:lineRule="exact"/>
                    <w:jc w:val="center"/>
                  </w:pPr>
                  <w:r>
                    <w:t>0.04</w:t>
                  </w:r>
                </w:p>
              </w:tc>
              <w:tc>
                <w:tcPr>
                  <w:tcW w:w="309" w:type="pct"/>
                  <w:tcBorders>
                    <w:top w:val="single" w:color="000000" w:sz="4" w:space="0"/>
                    <w:left w:val="single" w:color="auto" w:sz="4" w:space="0"/>
                    <w:right w:val="single" w:color="auto" w:sz="4" w:space="0"/>
                  </w:tcBorders>
                  <w:vAlign w:val="center"/>
                </w:tcPr>
                <w:p>
                  <w:pPr>
                    <w:jc w:val="center"/>
                  </w:pPr>
                  <w:r>
                    <w:t>0.12</w:t>
                  </w:r>
                </w:p>
              </w:tc>
              <w:tc>
                <w:tcPr>
                  <w:tcW w:w="315" w:type="pct"/>
                  <w:tcBorders>
                    <w:top w:val="single" w:color="000000" w:sz="4" w:space="0"/>
                    <w:left w:val="single" w:color="auto" w:sz="4" w:space="0"/>
                    <w:right w:val="single" w:color="auto" w:sz="4" w:space="0"/>
                  </w:tcBorders>
                  <w:vAlign w:val="center"/>
                </w:tcPr>
                <w:p>
                  <w:pPr>
                    <w:jc w:val="center"/>
                  </w:pPr>
                  <w:r>
                    <w:t>6.96</w:t>
                  </w:r>
                </w:p>
              </w:tc>
            </w:tr>
            <w:tr>
              <w:tblPrEx>
                <w:tblCellMar>
                  <w:top w:w="0" w:type="dxa"/>
                  <w:left w:w="10" w:type="dxa"/>
                  <w:bottom w:w="0" w:type="dxa"/>
                  <w:right w:w="10" w:type="dxa"/>
                </w:tblCellMar>
              </w:tblPrEx>
              <w:trPr>
                <w:jc w:val="center"/>
              </w:trPr>
              <w:tc>
                <w:tcPr>
                  <w:tcW w:w="391" w:type="pct"/>
                  <w:vMerge w:val="continue"/>
                  <w:tcBorders>
                    <w:left w:val="single" w:color="000000" w:sz="4" w:space="0"/>
                    <w:bottom w:val="single" w:color="auto" w:sz="4" w:space="0"/>
                    <w:right w:val="single" w:color="000000" w:sz="4" w:space="0"/>
                  </w:tcBorders>
                  <w:vAlign w:val="center"/>
                </w:tcPr>
                <w:p>
                  <w:pPr>
                    <w:jc w:val="center"/>
                  </w:pPr>
                </w:p>
              </w:tc>
              <w:tc>
                <w:tcPr>
                  <w:tcW w:w="761" w:type="pct"/>
                  <w:tcBorders>
                    <w:top w:val="single" w:color="auto" w:sz="4" w:space="0"/>
                    <w:left w:val="single" w:color="000000" w:sz="4" w:space="0"/>
                  </w:tcBorders>
                  <w:vAlign w:val="center"/>
                </w:tcPr>
                <w:p>
                  <w:pPr>
                    <w:jc w:val="center"/>
                  </w:pPr>
                  <w:r>
                    <w:t>2020.1.5</w:t>
                  </w:r>
                </w:p>
              </w:tc>
              <w:tc>
                <w:tcPr>
                  <w:tcW w:w="576" w:type="pct"/>
                  <w:tcBorders>
                    <w:top w:val="single" w:color="auto" w:sz="4" w:space="0"/>
                    <w:left w:val="single" w:color="auto" w:sz="4" w:space="0"/>
                  </w:tcBorders>
                  <w:vAlign w:val="center"/>
                </w:tcPr>
                <w:p>
                  <w:pPr>
                    <w:autoSpaceDE w:val="0"/>
                    <w:autoSpaceDN w:val="0"/>
                    <w:spacing w:line="298" w:lineRule="exact"/>
                    <w:jc w:val="center"/>
                  </w:pPr>
                  <w:r>
                    <w:t>18.1</w:t>
                  </w:r>
                </w:p>
              </w:tc>
              <w:tc>
                <w:tcPr>
                  <w:tcW w:w="510" w:type="pct"/>
                  <w:tcBorders>
                    <w:top w:val="single" w:color="auto" w:sz="4" w:space="0"/>
                    <w:left w:val="single" w:color="auto" w:sz="4" w:space="0"/>
                  </w:tcBorders>
                  <w:vAlign w:val="center"/>
                </w:tcPr>
                <w:p>
                  <w:pPr>
                    <w:autoSpaceDE w:val="0"/>
                    <w:autoSpaceDN w:val="0"/>
                    <w:spacing w:line="298" w:lineRule="exact"/>
                    <w:jc w:val="center"/>
                  </w:pPr>
                  <w:r>
                    <w:t>6.83</w:t>
                  </w:r>
                </w:p>
              </w:tc>
              <w:tc>
                <w:tcPr>
                  <w:tcW w:w="472" w:type="pct"/>
                  <w:tcBorders>
                    <w:top w:val="single" w:color="auto" w:sz="4" w:space="0"/>
                    <w:left w:val="single" w:color="auto" w:sz="4" w:space="0"/>
                  </w:tcBorders>
                  <w:vAlign w:val="center"/>
                </w:tcPr>
                <w:p>
                  <w:pPr>
                    <w:autoSpaceDE w:val="0"/>
                    <w:autoSpaceDN w:val="0"/>
                    <w:spacing w:line="298" w:lineRule="exact"/>
                    <w:jc w:val="center"/>
                  </w:pPr>
                  <w:r>
                    <w:t>27</w:t>
                  </w:r>
                </w:p>
              </w:tc>
              <w:tc>
                <w:tcPr>
                  <w:tcW w:w="441" w:type="pct"/>
                  <w:tcBorders>
                    <w:top w:val="single" w:color="auto" w:sz="4" w:space="0"/>
                    <w:left w:val="single" w:color="auto" w:sz="4" w:space="0"/>
                  </w:tcBorders>
                  <w:vAlign w:val="center"/>
                </w:tcPr>
                <w:p>
                  <w:pPr>
                    <w:autoSpaceDE w:val="0"/>
                    <w:autoSpaceDN w:val="0"/>
                    <w:spacing w:line="298" w:lineRule="exact"/>
                    <w:jc w:val="center"/>
                  </w:pPr>
                  <w:r>
                    <w:t>6.7</w:t>
                  </w:r>
                </w:p>
              </w:tc>
              <w:tc>
                <w:tcPr>
                  <w:tcW w:w="387" w:type="pct"/>
                  <w:tcBorders>
                    <w:top w:val="single" w:color="auto" w:sz="4" w:space="0"/>
                    <w:left w:val="single" w:color="auto" w:sz="4" w:space="0"/>
                  </w:tcBorders>
                  <w:vAlign w:val="center"/>
                </w:tcPr>
                <w:p>
                  <w:pPr>
                    <w:jc w:val="center"/>
                  </w:pPr>
                  <w:r>
                    <w:t>2.17</w:t>
                  </w:r>
                </w:p>
              </w:tc>
              <w:tc>
                <w:tcPr>
                  <w:tcW w:w="415" w:type="pct"/>
                  <w:tcBorders>
                    <w:top w:val="single" w:color="auto" w:sz="4" w:space="0"/>
                    <w:left w:val="single" w:color="auto" w:sz="4" w:space="0"/>
                  </w:tcBorders>
                  <w:vAlign w:val="center"/>
                </w:tcPr>
                <w:p>
                  <w:pPr>
                    <w:autoSpaceDE w:val="0"/>
                    <w:autoSpaceDN w:val="0"/>
                    <w:spacing w:line="298" w:lineRule="exact"/>
                    <w:jc w:val="center"/>
                  </w:pPr>
                  <w:r>
                    <w:t>4.5</w:t>
                  </w:r>
                </w:p>
              </w:tc>
              <w:tc>
                <w:tcPr>
                  <w:tcW w:w="417" w:type="pct"/>
                  <w:tcBorders>
                    <w:top w:val="single" w:color="auto" w:sz="4" w:space="0"/>
                    <w:left w:val="single" w:color="auto" w:sz="4" w:space="0"/>
                  </w:tcBorders>
                  <w:vAlign w:val="center"/>
                </w:tcPr>
                <w:p>
                  <w:pPr>
                    <w:autoSpaceDE w:val="0"/>
                    <w:autoSpaceDN w:val="0"/>
                    <w:spacing w:line="298" w:lineRule="exact"/>
                    <w:jc w:val="center"/>
                  </w:pPr>
                  <w:r>
                    <w:t>0.03</w:t>
                  </w:r>
                </w:p>
              </w:tc>
              <w:tc>
                <w:tcPr>
                  <w:tcW w:w="309" w:type="pct"/>
                  <w:tcBorders>
                    <w:top w:val="single" w:color="auto" w:sz="4" w:space="0"/>
                    <w:left w:val="single" w:color="auto" w:sz="4" w:space="0"/>
                    <w:right w:val="single" w:color="auto" w:sz="4" w:space="0"/>
                  </w:tcBorders>
                  <w:vAlign w:val="center"/>
                </w:tcPr>
                <w:p>
                  <w:pPr>
                    <w:jc w:val="center"/>
                  </w:pPr>
                  <w:r>
                    <w:t>0.13</w:t>
                  </w:r>
                </w:p>
              </w:tc>
              <w:tc>
                <w:tcPr>
                  <w:tcW w:w="315" w:type="pct"/>
                  <w:tcBorders>
                    <w:top w:val="single" w:color="auto" w:sz="4" w:space="0"/>
                    <w:left w:val="single" w:color="auto" w:sz="4" w:space="0"/>
                    <w:right w:val="single" w:color="auto" w:sz="4" w:space="0"/>
                  </w:tcBorders>
                  <w:vAlign w:val="center"/>
                </w:tcPr>
                <w:p>
                  <w:pPr>
                    <w:jc w:val="center"/>
                  </w:pPr>
                  <w:r>
                    <w:t>7.14</w:t>
                  </w:r>
                </w:p>
              </w:tc>
            </w:tr>
            <w:tr>
              <w:trPr>
                <w:jc w:val="center"/>
              </w:trPr>
              <w:tc>
                <w:tcPr>
                  <w:tcW w:w="391" w:type="pct"/>
                  <w:vMerge w:val="restart"/>
                  <w:tcBorders>
                    <w:top w:val="single" w:color="auto" w:sz="4" w:space="0"/>
                    <w:left w:val="single" w:color="auto" w:sz="4" w:space="0"/>
                    <w:bottom w:val="single" w:color="auto" w:sz="4" w:space="0"/>
                    <w:right w:val="single" w:color="auto" w:sz="4" w:space="0"/>
                  </w:tcBorders>
                  <w:vAlign w:val="center"/>
                </w:tcPr>
                <w:p>
                  <w:pPr>
                    <w:jc w:val="center"/>
                  </w:pPr>
                  <w:r>
                    <w:t>W2</w:t>
                  </w:r>
                </w:p>
              </w:tc>
              <w:tc>
                <w:tcPr>
                  <w:tcW w:w="761" w:type="pct"/>
                  <w:tcBorders>
                    <w:top w:val="single" w:color="auto" w:sz="4" w:space="0"/>
                    <w:left w:val="single" w:color="auto" w:sz="4" w:space="0"/>
                  </w:tcBorders>
                  <w:vAlign w:val="center"/>
                </w:tcPr>
                <w:p>
                  <w:pPr>
                    <w:jc w:val="center"/>
                  </w:pPr>
                  <w:r>
                    <w:t>2020.1.3</w:t>
                  </w:r>
                </w:p>
              </w:tc>
              <w:tc>
                <w:tcPr>
                  <w:tcW w:w="576" w:type="pct"/>
                  <w:tcBorders>
                    <w:top w:val="single" w:color="auto" w:sz="4" w:space="0"/>
                    <w:left w:val="single" w:color="auto" w:sz="4" w:space="0"/>
                  </w:tcBorders>
                  <w:vAlign w:val="center"/>
                </w:tcPr>
                <w:p>
                  <w:pPr>
                    <w:autoSpaceDE w:val="0"/>
                    <w:autoSpaceDN w:val="0"/>
                    <w:spacing w:line="300" w:lineRule="exact"/>
                    <w:jc w:val="center"/>
                  </w:pPr>
                  <w:r>
                    <w:t>18.2</w:t>
                  </w:r>
                </w:p>
              </w:tc>
              <w:tc>
                <w:tcPr>
                  <w:tcW w:w="510" w:type="pct"/>
                  <w:tcBorders>
                    <w:top w:val="single" w:color="auto" w:sz="4" w:space="0"/>
                    <w:left w:val="single" w:color="auto" w:sz="4" w:space="0"/>
                  </w:tcBorders>
                  <w:vAlign w:val="center"/>
                </w:tcPr>
                <w:p>
                  <w:pPr>
                    <w:autoSpaceDE w:val="0"/>
                    <w:autoSpaceDN w:val="0"/>
                    <w:spacing w:line="300" w:lineRule="exact"/>
                    <w:jc w:val="center"/>
                  </w:pPr>
                  <w:r>
                    <w:t>6.84</w:t>
                  </w:r>
                </w:p>
              </w:tc>
              <w:tc>
                <w:tcPr>
                  <w:tcW w:w="472" w:type="pct"/>
                  <w:tcBorders>
                    <w:top w:val="single" w:color="auto" w:sz="4" w:space="0"/>
                    <w:left w:val="single" w:color="auto" w:sz="4" w:space="0"/>
                  </w:tcBorders>
                  <w:vAlign w:val="center"/>
                </w:tcPr>
                <w:p>
                  <w:pPr>
                    <w:autoSpaceDE w:val="0"/>
                    <w:autoSpaceDN w:val="0"/>
                    <w:spacing w:line="300" w:lineRule="exact"/>
                    <w:jc w:val="center"/>
                  </w:pPr>
                  <w:r>
                    <w:t>34</w:t>
                  </w:r>
                </w:p>
              </w:tc>
              <w:tc>
                <w:tcPr>
                  <w:tcW w:w="441" w:type="pct"/>
                  <w:tcBorders>
                    <w:top w:val="single" w:color="auto" w:sz="4" w:space="0"/>
                    <w:left w:val="single" w:color="auto" w:sz="4" w:space="0"/>
                  </w:tcBorders>
                  <w:vAlign w:val="center"/>
                </w:tcPr>
                <w:p>
                  <w:pPr>
                    <w:autoSpaceDE w:val="0"/>
                    <w:autoSpaceDN w:val="0"/>
                    <w:spacing w:line="300" w:lineRule="exact"/>
                    <w:jc w:val="center"/>
                  </w:pPr>
                  <w:r>
                    <w:t>7.2</w:t>
                  </w:r>
                </w:p>
              </w:tc>
              <w:tc>
                <w:tcPr>
                  <w:tcW w:w="387" w:type="pct"/>
                  <w:tcBorders>
                    <w:top w:val="single" w:color="auto" w:sz="4" w:space="0"/>
                    <w:left w:val="single" w:color="auto" w:sz="4" w:space="0"/>
                  </w:tcBorders>
                  <w:vAlign w:val="center"/>
                </w:tcPr>
                <w:p>
                  <w:pPr>
                    <w:jc w:val="center"/>
                  </w:pPr>
                  <w:r>
                    <w:t>2.15</w:t>
                  </w:r>
                </w:p>
              </w:tc>
              <w:tc>
                <w:tcPr>
                  <w:tcW w:w="415" w:type="pct"/>
                  <w:tcBorders>
                    <w:top w:val="single" w:color="auto" w:sz="4" w:space="0"/>
                    <w:left w:val="single" w:color="auto" w:sz="4" w:space="0"/>
                  </w:tcBorders>
                  <w:vAlign w:val="center"/>
                </w:tcPr>
                <w:p>
                  <w:pPr>
                    <w:autoSpaceDE w:val="0"/>
                    <w:autoSpaceDN w:val="0"/>
                    <w:spacing w:line="300" w:lineRule="exact"/>
                    <w:jc w:val="center"/>
                  </w:pPr>
                  <w:r>
                    <w:t>4.2</w:t>
                  </w:r>
                </w:p>
              </w:tc>
              <w:tc>
                <w:tcPr>
                  <w:tcW w:w="417" w:type="pct"/>
                  <w:tcBorders>
                    <w:top w:val="single" w:color="auto" w:sz="4" w:space="0"/>
                    <w:left w:val="single" w:color="auto" w:sz="4" w:space="0"/>
                  </w:tcBorders>
                  <w:vAlign w:val="center"/>
                </w:tcPr>
                <w:p>
                  <w:pPr>
                    <w:autoSpaceDE w:val="0"/>
                    <w:autoSpaceDN w:val="0"/>
                    <w:spacing w:line="300" w:lineRule="exact"/>
                    <w:jc w:val="center"/>
                  </w:pPr>
                  <w:r>
                    <w:t>0.03</w:t>
                  </w:r>
                </w:p>
              </w:tc>
              <w:tc>
                <w:tcPr>
                  <w:tcW w:w="309" w:type="pct"/>
                  <w:tcBorders>
                    <w:top w:val="single" w:color="auto" w:sz="4" w:space="0"/>
                    <w:left w:val="single" w:color="auto" w:sz="4" w:space="0"/>
                    <w:right w:val="single" w:color="auto" w:sz="4" w:space="0"/>
                  </w:tcBorders>
                  <w:vAlign w:val="center"/>
                </w:tcPr>
                <w:p>
                  <w:pPr>
                    <w:jc w:val="center"/>
                  </w:pPr>
                  <w:r>
                    <w:t>0.18</w:t>
                  </w:r>
                </w:p>
              </w:tc>
              <w:tc>
                <w:tcPr>
                  <w:tcW w:w="315" w:type="pct"/>
                  <w:tcBorders>
                    <w:top w:val="single" w:color="auto" w:sz="4" w:space="0"/>
                    <w:left w:val="single" w:color="auto" w:sz="4" w:space="0"/>
                    <w:right w:val="single" w:color="auto" w:sz="4" w:space="0"/>
                  </w:tcBorders>
                  <w:vAlign w:val="center"/>
                </w:tcPr>
                <w:p>
                  <w:pPr>
                    <w:jc w:val="center"/>
                  </w:pPr>
                  <w:r>
                    <w:t>7.21</w:t>
                  </w:r>
                </w:p>
              </w:tc>
            </w:tr>
            <w:tr>
              <w:trPr>
                <w:jc w:val="center"/>
              </w:trPr>
              <w:tc>
                <w:tcPr>
                  <w:tcW w:w="391" w:type="pct"/>
                  <w:vMerge w:val="continue"/>
                  <w:tcBorders>
                    <w:top w:val="single" w:color="auto" w:sz="4" w:space="0"/>
                    <w:left w:val="single" w:color="auto" w:sz="4" w:space="0"/>
                    <w:bottom w:val="single" w:color="auto" w:sz="4" w:space="0"/>
                    <w:right w:val="single" w:color="auto" w:sz="4" w:space="0"/>
                  </w:tcBorders>
                  <w:vAlign w:val="center"/>
                </w:tcPr>
                <w:p>
                  <w:pPr>
                    <w:jc w:val="center"/>
                  </w:pPr>
                </w:p>
              </w:tc>
              <w:tc>
                <w:tcPr>
                  <w:tcW w:w="761" w:type="pct"/>
                  <w:tcBorders>
                    <w:top w:val="single" w:color="auto" w:sz="4" w:space="0"/>
                    <w:left w:val="single" w:color="auto" w:sz="4" w:space="0"/>
                  </w:tcBorders>
                  <w:vAlign w:val="center"/>
                </w:tcPr>
                <w:p>
                  <w:pPr>
                    <w:jc w:val="center"/>
                  </w:pPr>
                  <w:r>
                    <w:t>2020.1.4</w:t>
                  </w:r>
                </w:p>
              </w:tc>
              <w:tc>
                <w:tcPr>
                  <w:tcW w:w="576" w:type="pct"/>
                  <w:tcBorders>
                    <w:top w:val="single" w:color="auto" w:sz="4" w:space="0"/>
                    <w:left w:val="single" w:color="auto" w:sz="4" w:space="0"/>
                  </w:tcBorders>
                  <w:vAlign w:val="center"/>
                </w:tcPr>
                <w:p>
                  <w:pPr>
                    <w:autoSpaceDE w:val="0"/>
                    <w:autoSpaceDN w:val="0"/>
                    <w:spacing w:line="300" w:lineRule="exact"/>
                    <w:jc w:val="center"/>
                  </w:pPr>
                  <w:r>
                    <w:t>18.5</w:t>
                  </w:r>
                </w:p>
              </w:tc>
              <w:tc>
                <w:tcPr>
                  <w:tcW w:w="510" w:type="pct"/>
                  <w:tcBorders>
                    <w:top w:val="single" w:color="auto" w:sz="4" w:space="0"/>
                    <w:left w:val="single" w:color="auto" w:sz="4" w:space="0"/>
                  </w:tcBorders>
                  <w:vAlign w:val="center"/>
                </w:tcPr>
                <w:p>
                  <w:pPr>
                    <w:autoSpaceDE w:val="0"/>
                    <w:autoSpaceDN w:val="0"/>
                    <w:spacing w:line="300" w:lineRule="exact"/>
                    <w:jc w:val="center"/>
                  </w:pPr>
                  <w:r>
                    <w:t>6.75</w:t>
                  </w:r>
                </w:p>
              </w:tc>
              <w:tc>
                <w:tcPr>
                  <w:tcW w:w="472" w:type="pct"/>
                  <w:tcBorders>
                    <w:top w:val="single" w:color="auto" w:sz="4" w:space="0"/>
                    <w:left w:val="single" w:color="auto" w:sz="4" w:space="0"/>
                  </w:tcBorders>
                  <w:vAlign w:val="center"/>
                </w:tcPr>
                <w:p>
                  <w:pPr>
                    <w:autoSpaceDE w:val="0"/>
                    <w:autoSpaceDN w:val="0"/>
                    <w:spacing w:line="300" w:lineRule="exact"/>
                    <w:jc w:val="center"/>
                  </w:pPr>
                  <w:r>
                    <w:t>29</w:t>
                  </w:r>
                </w:p>
              </w:tc>
              <w:tc>
                <w:tcPr>
                  <w:tcW w:w="441" w:type="pct"/>
                  <w:tcBorders>
                    <w:top w:val="single" w:color="auto" w:sz="4" w:space="0"/>
                    <w:left w:val="single" w:color="auto" w:sz="4" w:space="0"/>
                  </w:tcBorders>
                  <w:vAlign w:val="center"/>
                </w:tcPr>
                <w:p>
                  <w:pPr>
                    <w:autoSpaceDE w:val="0"/>
                    <w:autoSpaceDN w:val="0"/>
                    <w:spacing w:line="300" w:lineRule="exact"/>
                    <w:jc w:val="center"/>
                  </w:pPr>
                  <w:r>
                    <w:t>6.8</w:t>
                  </w:r>
                </w:p>
              </w:tc>
              <w:tc>
                <w:tcPr>
                  <w:tcW w:w="387" w:type="pct"/>
                  <w:tcBorders>
                    <w:top w:val="single" w:color="auto" w:sz="4" w:space="0"/>
                    <w:left w:val="single" w:color="auto" w:sz="4" w:space="0"/>
                  </w:tcBorders>
                  <w:vAlign w:val="center"/>
                </w:tcPr>
                <w:p>
                  <w:pPr>
                    <w:jc w:val="center"/>
                  </w:pPr>
                  <w:r>
                    <w:t>2.31</w:t>
                  </w:r>
                </w:p>
              </w:tc>
              <w:tc>
                <w:tcPr>
                  <w:tcW w:w="415" w:type="pct"/>
                  <w:tcBorders>
                    <w:top w:val="single" w:color="auto" w:sz="4" w:space="0"/>
                    <w:left w:val="single" w:color="auto" w:sz="4" w:space="0"/>
                  </w:tcBorders>
                  <w:vAlign w:val="center"/>
                </w:tcPr>
                <w:p>
                  <w:pPr>
                    <w:autoSpaceDE w:val="0"/>
                    <w:autoSpaceDN w:val="0"/>
                    <w:spacing w:line="300" w:lineRule="exact"/>
                    <w:jc w:val="center"/>
                  </w:pPr>
                  <w:r>
                    <w:t>3.9</w:t>
                  </w:r>
                </w:p>
              </w:tc>
              <w:tc>
                <w:tcPr>
                  <w:tcW w:w="417" w:type="pct"/>
                  <w:tcBorders>
                    <w:top w:val="single" w:color="auto" w:sz="4" w:space="0"/>
                    <w:left w:val="single" w:color="auto" w:sz="4" w:space="0"/>
                  </w:tcBorders>
                  <w:vAlign w:val="center"/>
                </w:tcPr>
                <w:p>
                  <w:pPr>
                    <w:autoSpaceDE w:val="0"/>
                    <w:autoSpaceDN w:val="0"/>
                    <w:spacing w:line="300" w:lineRule="exact"/>
                    <w:jc w:val="center"/>
                  </w:pPr>
                  <w:r>
                    <w:t>0.05</w:t>
                  </w:r>
                </w:p>
              </w:tc>
              <w:tc>
                <w:tcPr>
                  <w:tcW w:w="309" w:type="pct"/>
                  <w:tcBorders>
                    <w:top w:val="single" w:color="auto" w:sz="4" w:space="0"/>
                    <w:left w:val="single" w:color="auto" w:sz="4" w:space="0"/>
                    <w:right w:val="single" w:color="auto" w:sz="4" w:space="0"/>
                  </w:tcBorders>
                  <w:vAlign w:val="center"/>
                </w:tcPr>
                <w:p>
                  <w:pPr>
                    <w:jc w:val="center"/>
                  </w:pPr>
                  <w:r>
                    <w:t>0.14</w:t>
                  </w:r>
                </w:p>
              </w:tc>
              <w:tc>
                <w:tcPr>
                  <w:tcW w:w="315" w:type="pct"/>
                  <w:tcBorders>
                    <w:top w:val="single" w:color="auto" w:sz="4" w:space="0"/>
                    <w:left w:val="single" w:color="auto" w:sz="4" w:space="0"/>
                    <w:right w:val="single" w:color="auto" w:sz="4" w:space="0"/>
                  </w:tcBorders>
                  <w:vAlign w:val="center"/>
                </w:tcPr>
                <w:p>
                  <w:pPr>
                    <w:jc w:val="center"/>
                  </w:pPr>
                  <w:r>
                    <w:t>6.95</w:t>
                  </w:r>
                </w:p>
              </w:tc>
            </w:tr>
            <w:tr>
              <w:trPr>
                <w:jc w:val="center"/>
              </w:trPr>
              <w:tc>
                <w:tcPr>
                  <w:tcW w:w="391" w:type="pct"/>
                  <w:vMerge w:val="continue"/>
                  <w:tcBorders>
                    <w:top w:val="single" w:color="auto" w:sz="4" w:space="0"/>
                    <w:left w:val="single" w:color="auto" w:sz="4" w:space="0"/>
                    <w:bottom w:val="single" w:color="auto" w:sz="4" w:space="0"/>
                    <w:right w:val="single" w:color="auto" w:sz="4" w:space="0"/>
                  </w:tcBorders>
                  <w:vAlign w:val="center"/>
                </w:tcPr>
                <w:p>
                  <w:pPr>
                    <w:jc w:val="center"/>
                  </w:pPr>
                </w:p>
              </w:tc>
              <w:tc>
                <w:tcPr>
                  <w:tcW w:w="761" w:type="pct"/>
                  <w:tcBorders>
                    <w:top w:val="single" w:color="auto" w:sz="4" w:space="0"/>
                    <w:left w:val="single" w:color="auto" w:sz="4" w:space="0"/>
                  </w:tcBorders>
                  <w:vAlign w:val="center"/>
                </w:tcPr>
                <w:p>
                  <w:pPr>
                    <w:jc w:val="center"/>
                  </w:pPr>
                  <w:r>
                    <w:t>2020.1.5</w:t>
                  </w:r>
                </w:p>
              </w:tc>
              <w:tc>
                <w:tcPr>
                  <w:tcW w:w="576" w:type="pct"/>
                  <w:tcBorders>
                    <w:top w:val="single" w:color="auto" w:sz="4" w:space="0"/>
                    <w:left w:val="single" w:color="auto" w:sz="4" w:space="0"/>
                  </w:tcBorders>
                  <w:vAlign w:val="center"/>
                </w:tcPr>
                <w:p>
                  <w:pPr>
                    <w:autoSpaceDE w:val="0"/>
                    <w:autoSpaceDN w:val="0"/>
                    <w:spacing w:line="298" w:lineRule="exact"/>
                    <w:jc w:val="center"/>
                  </w:pPr>
                  <w:r>
                    <w:t>18.1</w:t>
                  </w:r>
                </w:p>
              </w:tc>
              <w:tc>
                <w:tcPr>
                  <w:tcW w:w="510" w:type="pct"/>
                  <w:tcBorders>
                    <w:top w:val="single" w:color="auto" w:sz="4" w:space="0"/>
                    <w:left w:val="single" w:color="auto" w:sz="4" w:space="0"/>
                  </w:tcBorders>
                  <w:vAlign w:val="center"/>
                </w:tcPr>
                <w:p>
                  <w:pPr>
                    <w:autoSpaceDE w:val="0"/>
                    <w:autoSpaceDN w:val="0"/>
                    <w:spacing w:line="298" w:lineRule="exact"/>
                    <w:jc w:val="center"/>
                  </w:pPr>
                  <w:r>
                    <w:t>6.81</w:t>
                  </w:r>
                </w:p>
              </w:tc>
              <w:tc>
                <w:tcPr>
                  <w:tcW w:w="472" w:type="pct"/>
                  <w:tcBorders>
                    <w:top w:val="single" w:color="auto" w:sz="4" w:space="0"/>
                    <w:left w:val="single" w:color="auto" w:sz="4" w:space="0"/>
                  </w:tcBorders>
                  <w:vAlign w:val="center"/>
                </w:tcPr>
                <w:p>
                  <w:pPr>
                    <w:autoSpaceDE w:val="0"/>
                    <w:autoSpaceDN w:val="0"/>
                    <w:spacing w:line="298" w:lineRule="exact"/>
                    <w:jc w:val="center"/>
                  </w:pPr>
                  <w:r>
                    <w:t>27</w:t>
                  </w:r>
                </w:p>
              </w:tc>
              <w:tc>
                <w:tcPr>
                  <w:tcW w:w="441" w:type="pct"/>
                  <w:tcBorders>
                    <w:top w:val="single" w:color="auto" w:sz="4" w:space="0"/>
                    <w:left w:val="single" w:color="auto" w:sz="4" w:space="0"/>
                  </w:tcBorders>
                  <w:vAlign w:val="center"/>
                </w:tcPr>
                <w:p>
                  <w:pPr>
                    <w:autoSpaceDE w:val="0"/>
                    <w:autoSpaceDN w:val="0"/>
                    <w:spacing w:line="298" w:lineRule="exact"/>
                    <w:jc w:val="center"/>
                  </w:pPr>
                  <w:r>
                    <w:t>7.0</w:t>
                  </w:r>
                </w:p>
              </w:tc>
              <w:tc>
                <w:tcPr>
                  <w:tcW w:w="387" w:type="pct"/>
                  <w:tcBorders>
                    <w:top w:val="single" w:color="auto" w:sz="4" w:space="0"/>
                    <w:left w:val="single" w:color="auto" w:sz="4" w:space="0"/>
                  </w:tcBorders>
                  <w:vAlign w:val="center"/>
                </w:tcPr>
                <w:p>
                  <w:pPr>
                    <w:jc w:val="center"/>
                  </w:pPr>
                  <w:r>
                    <w:t>1.97</w:t>
                  </w:r>
                </w:p>
              </w:tc>
              <w:tc>
                <w:tcPr>
                  <w:tcW w:w="415" w:type="pct"/>
                  <w:tcBorders>
                    <w:top w:val="single" w:color="auto" w:sz="4" w:space="0"/>
                    <w:left w:val="single" w:color="auto" w:sz="4" w:space="0"/>
                  </w:tcBorders>
                  <w:vAlign w:val="center"/>
                </w:tcPr>
                <w:p>
                  <w:pPr>
                    <w:autoSpaceDE w:val="0"/>
                    <w:autoSpaceDN w:val="0"/>
                    <w:spacing w:line="298" w:lineRule="exact"/>
                    <w:jc w:val="center"/>
                  </w:pPr>
                  <w:r>
                    <w:t>4.1</w:t>
                  </w:r>
                </w:p>
              </w:tc>
              <w:tc>
                <w:tcPr>
                  <w:tcW w:w="417" w:type="pct"/>
                  <w:tcBorders>
                    <w:top w:val="single" w:color="auto" w:sz="4" w:space="0"/>
                    <w:left w:val="single" w:color="auto" w:sz="4" w:space="0"/>
                  </w:tcBorders>
                  <w:vAlign w:val="center"/>
                </w:tcPr>
                <w:p>
                  <w:pPr>
                    <w:autoSpaceDE w:val="0"/>
                    <w:autoSpaceDN w:val="0"/>
                    <w:spacing w:line="298" w:lineRule="exact"/>
                    <w:jc w:val="center"/>
                  </w:pPr>
                  <w:r>
                    <w:t>0.06</w:t>
                  </w:r>
                </w:p>
              </w:tc>
              <w:tc>
                <w:tcPr>
                  <w:tcW w:w="309" w:type="pct"/>
                  <w:tcBorders>
                    <w:top w:val="single" w:color="auto" w:sz="4" w:space="0"/>
                    <w:left w:val="single" w:color="auto" w:sz="4" w:space="0"/>
                    <w:right w:val="single" w:color="auto" w:sz="4" w:space="0"/>
                  </w:tcBorders>
                  <w:vAlign w:val="center"/>
                </w:tcPr>
                <w:p>
                  <w:pPr>
                    <w:jc w:val="center"/>
                  </w:pPr>
                  <w:r>
                    <w:t>0.17</w:t>
                  </w:r>
                </w:p>
              </w:tc>
              <w:tc>
                <w:tcPr>
                  <w:tcW w:w="315" w:type="pct"/>
                  <w:tcBorders>
                    <w:top w:val="single" w:color="auto" w:sz="4" w:space="0"/>
                    <w:left w:val="single" w:color="auto" w:sz="4" w:space="0"/>
                    <w:right w:val="single" w:color="auto" w:sz="4" w:space="0"/>
                  </w:tcBorders>
                  <w:vAlign w:val="center"/>
                </w:tcPr>
                <w:p>
                  <w:pPr>
                    <w:jc w:val="center"/>
                  </w:pPr>
                  <w:r>
                    <w:t>7.02</w:t>
                  </w:r>
                </w:p>
              </w:tc>
            </w:tr>
            <w:tr>
              <w:trPr>
                <w:jc w:val="center"/>
              </w:trPr>
              <w:tc>
                <w:tcPr>
                  <w:tcW w:w="391" w:type="pct"/>
                  <w:vMerge w:val="restart"/>
                  <w:tcBorders>
                    <w:top w:val="single" w:color="auto" w:sz="4" w:space="0"/>
                    <w:left w:val="single" w:color="auto" w:sz="4" w:space="0"/>
                  </w:tcBorders>
                  <w:vAlign w:val="center"/>
                </w:tcPr>
                <w:p>
                  <w:pPr>
                    <w:jc w:val="center"/>
                  </w:pPr>
                  <w:r>
                    <w:t>W5</w:t>
                  </w:r>
                </w:p>
              </w:tc>
              <w:tc>
                <w:tcPr>
                  <w:tcW w:w="761" w:type="pct"/>
                  <w:tcBorders>
                    <w:top w:val="single" w:color="auto" w:sz="4" w:space="0"/>
                    <w:left w:val="single" w:color="auto" w:sz="4" w:space="0"/>
                  </w:tcBorders>
                  <w:vAlign w:val="center"/>
                </w:tcPr>
                <w:p>
                  <w:pPr>
                    <w:jc w:val="center"/>
                  </w:pPr>
                  <w:r>
                    <w:t>2020.1.3</w:t>
                  </w:r>
                </w:p>
              </w:tc>
              <w:tc>
                <w:tcPr>
                  <w:tcW w:w="576" w:type="pct"/>
                  <w:tcBorders>
                    <w:top w:val="single" w:color="auto" w:sz="4" w:space="0"/>
                    <w:left w:val="single" w:color="auto" w:sz="4" w:space="0"/>
                  </w:tcBorders>
                  <w:vAlign w:val="center"/>
                </w:tcPr>
                <w:p>
                  <w:pPr>
                    <w:autoSpaceDE w:val="0"/>
                    <w:autoSpaceDN w:val="0"/>
                    <w:spacing w:line="300" w:lineRule="exact"/>
                    <w:jc w:val="center"/>
                  </w:pPr>
                  <w:r>
                    <w:t>16.5</w:t>
                  </w:r>
                </w:p>
              </w:tc>
              <w:tc>
                <w:tcPr>
                  <w:tcW w:w="510" w:type="pct"/>
                  <w:tcBorders>
                    <w:top w:val="single" w:color="auto" w:sz="4" w:space="0"/>
                    <w:left w:val="single" w:color="auto" w:sz="4" w:space="0"/>
                  </w:tcBorders>
                  <w:vAlign w:val="center"/>
                </w:tcPr>
                <w:p>
                  <w:pPr>
                    <w:autoSpaceDE w:val="0"/>
                    <w:autoSpaceDN w:val="0"/>
                    <w:spacing w:line="300" w:lineRule="exact"/>
                    <w:jc w:val="center"/>
                  </w:pPr>
                  <w:r>
                    <w:t>7.09</w:t>
                  </w:r>
                </w:p>
              </w:tc>
              <w:tc>
                <w:tcPr>
                  <w:tcW w:w="472" w:type="pct"/>
                  <w:tcBorders>
                    <w:top w:val="single" w:color="auto" w:sz="4" w:space="0"/>
                    <w:left w:val="single" w:color="auto" w:sz="4" w:space="0"/>
                  </w:tcBorders>
                  <w:vAlign w:val="center"/>
                </w:tcPr>
                <w:p>
                  <w:pPr>
                    <w:autoSpaceDE w:val="0"/>
                    <w:autoSpaceDN w:val="0"/>
                    <w:spacing w:line="300" w:lineRule="exact"/>
                    <w:jc w:val="center"/>
                  </w:pPr>
                  <w:r>
                    <w:t>14</w:t>
                  </w:r>
                </w:p>
              </w:tc>
              <w:tc>
                <w:tcPr>
                  <w:tcW w:w="441" w:type="pct"/>
                  <w:tcBorders>
                    <w:top w:val="single" w:color="auto" w:sz="4" w:space="0"/>
                    <w:left w:val="single" w:color="auto" w:sz="4" w:space="0"/>
                  </w:tcBorders>
                  <w:vAlign w:val="center"/>
                </w:tcPr>
                <w:p>
                  <w:pPr>
                    <w:autoSpaceDE w:val="0"/>
                    <w:autoSpaceDN w:val="0"/>
                    <w:spacing w:line="300" w:lineRule="exact"/>
                    <w:jc w:val="center"/>
                  </w:pPr>
                  <w:r>
                    <w:t>2.3</w:t>
                  </w:r>
                </w:p>
              </w:tc>
              <w:tc>
                <w:tcPr>
                  <w:tcW w:w="387" w:type="pct"/>
                  <w:tcBorders>
                    <w:top w:val="single" w:color="auto" w:sz="4" w:space="0"/>
                    <w:left w:val="single" w:color="auto" w:sz="4" w:space="0"/>
                  </w:tcBorders>
                  <w:vAlign w:val="center"/>
                </w:tcPr>
                <w:p>
                  <w:pPr>
                    <w:autoSpaceDE w:val="0"/>
                    <w:autoSpaceDN w:val="0"/>
                    <w:spacing w:line="218" w:lineRule="exact"/>
                    <w:jc w:val="center"/>
                  </w:pPr>
                  <w:r>
                    <w:t>0.194</w:t>
                  </w:r>
                </w:p>
              </w:tc>
              <w:tc>
                <w:tcPr>
                  <w:tcW w:w="415" w:type="pct"/>
                  <w:tcBorders>
                    <w:top w:val="single" w:color="auto" w:sz="4" w:space="0"/>
                    <w:left w:val="single" w:color="auto" w:sz="4" w:space="0"/>
                  </w:tcBorders>
                  <w:vAlign w:val="center"/>
                </w:tcPr>
                <w:p>
                  <w:pPr>
                    <w:autoSpaceDE w:val="0"/>
                    <w:autoSpaceDN w:val="0"/>
                    <w:spacing w:line="300" w:lineRule="exact"/>
                    <w:jc w:val="center"/>
                  </w:pPr>
                  <w:r>
                    <w:t>6.1</w:t>
                  </w:r>
                </w:p>
              </w:tc>
              <w:tc>
                <w:tcPr>
                  <w:tcW w:w="417" w:type="pct"/>
                  <w:tcBorders>
                    <w:top w:val="single" w:color="auto" w:sz="4" w:space="0"/>
                    <w:left w:val="single" w:color="auto" w:sz="4" w:space="0"/>
                  </w:tcBorders>
                  <w:vAlign w:val="center"/>
                </w:tcPr>
                <w:p>
                  <w:pPr>
                    <w:autoSpaceDE w:val="0"/>
                    <w:autoSpaceDN w:val="0"/>
                    <w:spacing w:line="300" w:lineRule="exact"/>
                    <w:ind w:left="34"/>
                    <w:jc w:val="center"/>
                  </w:pPr>
                  <w:r>
                    <w:t>ND</w:t>
                  </w:r>
                </w:p>
              </w:tc>
              <w:tc>
                <w:tcPr>
                  <w:tcW w:w="309" w:type="pct"/>
                  <w:tcBorders>
                    <w:top w:val="single" w:color="auto" w:sz="4" w:space="0"/>
                    <w:left w:val="single" w:color="auto" w:sz="4" w:space="0"/>
                    <w:right w:val="single" w:color="auto" w:sz="4" w:space="0"/>
                  </w:tcBorders>
                  <w:vAlign w:val="center"/>
                </w:tcPr>
                <w:p>
                  <w:pPr>
                    <w:jc w:val="center"/>
                  </w:pPr>
                  <w:r>
                    <w:t>0.06</w:t>
                  </w:r>
                </w:p>
              </w:tc>
              <w:tc>
                <w:tcPr>
                  <w:tcW w:w="315" w:type="pct"/>
                  <w:tcBorders>
                    <w:top w:val="single" w:color="auto" w:sz="4" w:space="0"/>
                    <w:left w:val="single" w:color="auto" w:sz="4" w:space="0"/>
                    <w:right w:val="single" w:color="auto" w:sz="4" w:space="0"/>
                  </w:tcBorders>
                  <w:vAlign w:val="center"/>
                </w:tcPr>
                <w:p>
                  <w:pPr>
                    <w:jc w:val="center"/>
                  </w:pPr>
                  <w:r>
                    <w:t>0.76</w:t>
                  </w:r>
                </w:p>
              </w:tc>
            </w:tr>
            <w:tr>
              <w:tblPrEx>
                <w:tblCellMar>
                  <w:top w:w="0" w:type="dxa"/>
                  <w:left w:w="10" w:type="dxa"/>
                  <w:bottom w:w="0" w:type="dxa"/>
                  <w:right w:w="10" w:type="dxa"/>
                </w:tblCellMar>
              </w:tblPrEx>
              <w:trPr>
                <w:trHeight w:val="171" w:hRule="atLeast"/>
                <w:jc w:val="center"/>
              </w:trPr>
              <w:tc>
                <w:tcPr>
                  <w:tcW w:w="391" w:type="pct"/>
                  <w:vMerge w:val="continue"/>
                  <w:tcBorders>
                    <w:left w:val="single" w:color="auto" w:sz="4" w:space="0"/>
                  </w:tcBorders>
                  <w:vAlign w:val="center"/>
                </w:tcPr>
                <w:p>
                  <w:pPr>
                    <w:jc w:val="center"/>
                  </w:pPr>
                </w:p>
              </w:tc>
              <w:tc>
                <w:tcPr>
                  <w:tcW w:w="761" w:type="pct"/>
                  <w:tcBorders>
                    <w:top w:val="single" w:color="auto" w:sz="4" w:space="0"/>
                    <w:left w:val="single" w:color="auto" w:sz="4" w:space="0"/>
                  </w:tcBorders>
                  <w:vAlign w:val="center"/>
                </w:tcPr>
                <w:p>
                  <w:pPr>
                    <w:jc w:val="center"/>
                  </w:pPr>
                  <w:r>
                    <w:t>2020.1.4</w:t>
                  </w:r>
                </w:p>
              </w:tc>
              <w:tc>
                <w:tcPr>
                  <w:tcW w:w="576" w:type="pct"/>
                  <w:tcBorders>
                    <w:top w:val="single" w:color="auto" w:sz="4" w:space="0"/>
                    <w:left w:val="single" w:color="auto" w:sz="4" w:space="0"/>
                  </w:tcBorders>
                  <w:vAlign w:val="center"/>
                </w:tcPr>
                <w:p>
                  <w:pPr>
                    <w:autoSpaceDE w:val="0"/>
                    <w:autoSpaceDN w:val="0"/>
                    <w:spacing w:line="298" w:lineRule="exact"/>
                    <w:jc w:val="center"/>
                  </w:pPr>
                  <w:r>
                    <w:t>17.1</w:t>
                  </w:r>
                </w:p>
              </w:tc>
              <w:tc>
                <w:tcPr>
                  <w:tcW w:w="510" w:type="pct"/>
                  <w:tcBorders>
                    <w:top w:val="single" w:color="auto" w:sz="4" w:space="0"/>
                    <w:left w:val="single" w:color="auto" w:sz="4" w:space="0"/>
                  </w:tcBorders>
                  <w:vAlign w:val="center"/>
                </w:tcPr>
                <w:p>
                  <w:pPr>
                    <w:autoSpaceDE w:val="0"/>
                    <w:autoSpaceDN w:val="0"/>
                    <w:spacing w:line="298" w:lineRule="exact"/>
                    <w:jc w:val="center"/>
                  </w:pPr>
                  <w:r>
                    <w:t>7.12</w:t>
                  </w:r>
                </w:p>
              </w:tc>
              <w:tc>
                <w:tcPr>
                  <w:tcW w:w="472" w:type="pct"/>
                  <w:tcBorders>
                    <w:top w:val="single" w:color="auto" w:sz="4" w:space="0"/>
                    <w:left w:val="single" w:color="auto" w:sz="4" w:space="0"/>
                  </w:tcBorders>
                  <w:vAlign w:val="center"/>
                </w:tcPr>
                <w:p>
                  <w:pPr>
                    <w:autoSpaceDE w:val="0"/>
                    <w:autoSpaceDN w:val="0"/>
                    <w:spacing w:line="298" w:lineRule="exact"/>
                    <w:jc w:val="center"/>
                  </w:pPr>
                  <w:r>
                    <w:t>16</w:t>
                  </w:r>
                </w:p>
              </w:tc>
              <w:tc>
                <w:tcPr>
                  <w:tcW w:w="441" w:type="pct"/>
                  <w:tcBorders>
                    <w:top w:val="single" w:color="auto" w:sz="4" w:space="0"/>
                    <w:left w:val="single" w:color="auto" w:sz="4" w:space="0"/>
                  </w:tcBorders>
                  <w:vAlign w:val="center"/>
                </w:tcPr>
                <w:p>
                  <w:pPr>
                    <w:autoSpaceDE w:val="0"/>
                    <w:autoSpaceDN w:val="0"/>
                    <w:spacing w:line="298" w:lineRule="exact"/>
                    <w:jc w:val="center"/>
                  </w:pPr>
                  <w:r>
                    <w:t>2.6</w:t>
                  </w:r>
                </w:p>
              </w:tc>
              <w:tc>
                <w:tcPr>
                  <w:tcW w:w="387" w:type="pct"/>
                  <w:tcBorders>
                    <w:top w:val="single" w:color="auto" w:sz="4" w:space="0"/>
                    <w:left w:val="single" w:color="auto" w:sz="4" w:space="0"/>
                  </w:tcBorders>
                  <w:vAlign w:val="center"/>
                </w:tcPr>
                <w:p>
                  <w:pPr>
                    <w:autoSpaceDE w:val="0"/>
                    <w:autoSpaceDN w:val="0"/>
                    <w:spacing w:line="298" w:lineRule="exact"/>
                    <w:jc w:val="center"/>
                  </w:pPr>
                  <w:r>
                    <w:t>0.208</w:t>
                  </w:r>
                </w:p>
              </w:tc>
              <w:tc>
                <w:tcPr>
                  <w:tcW w:w="415" w:type="pct"/>
                  <w:tcBorders>
                    <w:top w:val="single" w:color="auto" w:sz="4" w:space="0"/>
                    <w:left w:val="single" w:color="auto" w:sz="4" w:space="0"/>
                  </w:tcBorders>
                  <w:vAlign w:val="center"/>
                </w:tcPr>
                <w:p>
                  <w:pPr>
                    <w:autoSpaceDE w:val="0"/>
                    <w:autoSpaceDN w:val="0"/>
                    <w:spacing w:line="298" w:lineRule="exact"/>
                    <w:jc w:val="center"/>
                  </w:pPr>
                  <w:r>
                    <w:t>5.9</w:t>
                  </w:r>
                </w:p>
              </w:tc>
              <w:tc>
                <w:tcPr>
                  <w:tcW w:w="417" w:type="pct"/>
                  <w:tcBorders>
                    <w:top w:val="single" w:color="auto" w:sz="4" w:space="0"/>
                    <w:left w:val="single" w:color="auto" w:sz="4" w:space="0"/>
                  </w:tcBorders>
                  <w:vAlign w:val="center"/>
                </w:tcPr>
                <w:p>
                  <w:pPr>
                    <w:jc w:val="center"/>
                  </w:pPr>
                  <w:r>
                    <w:t>ND</w:t>
                  </w:r>
                </w:p>
              </w:tc>
              <w:tc>
                <w:tcPr>
                  <w:tcW w:w="309" w:type="pct"/>
                  <w:tcBorders>
                    <w:top w:val="single" w:color="auto" w:sz="4" w:space="0"/>
                    <w:left w:val="single" w:color="auto" w:sz="4" w:space="0"/>
                    <w:right w:val="single" w:color="auto" w:sz="4" w:space="0"/>
                  </w:tcBorders>
                  <w:vAlign w:val="center"/>
                </w:tcPr>
                <w:p>
                  <w:pPr>
                    <w:jc w:val="center"/>
                  </w:pPr>
                  <w:r>
                    <w:t>0.08</w:t>
                  </w:r>
                </w:p>
              </w:tc>
              <w:tc>
                <w:tcPr>
                  <w:tcW w:w="315" w:type="pct"/>
                  <w:tcBorders>
                    <w:top w:val="single" w:color="auto" w:sz="4" w:space="0"/>
                    <w:left w:val="single" w:color="auto" w:sz="4" w:space="0"/>
                    <w:right w:val="single" w:color="auto" w:sz="4" w:space="0"/>
                  </w:tcBorders>
                  <w:vAlign w:val="center"/>
                </w:tcPr>
                <w:p>
                  <w:pPr>
                    <w:jc w:val="center"/>
                  </w:pPr>
                  <w:r>
                    <w:t>0.81</w:t>
                  </w:r>
                </w:p>
              </w:tc>
            </w:tr>
            <w:tr>
              <w:tblPrEx>
                <w:tblCellMar>
                  <w:top w:w="0" w:type="dxa"/>
                  <w:left w:w="10" w:type="dxa"/>
                  <w:bottom w:w="0" w:type="dxa"/>
                  <w:right w:w="10" w:type="dxa"/>
                </w:tblCellMar>
              </w:tblPrEx>
              <w:trPr>
                <w:jc w:val="center"/>
              </w:trPr>
              <w:tc>
                <w:tcPr>
                  <w:tcW w:w="391" w:type="pct"/>
                  <w:vMerge w:val="continue"/>
                  <w:tcBorders>
                    <w:left w:val="single" w:color="auto" w:sz="4" w:space="0"/>
                    <w:bottom w:val="single" w:color="auto" w:sz="4" w:space="0"/>
                  </w:tcBorders>
                  <w:vAlign w:val="center"/>
                </w:tcPr>
                <w:p>
                  <w:pPr>
                    <w:jc w:val="center"/>
                  </w:pPr>
                </w:p>
              </w:tc>
              <w:tc>
                <w:tcPr>
                  <w:tcW w:w="761" w:type="pct"/>
                  <w:tcBorders>
                    <w:top w:val="single" w:color="auto" w:sz="4" w:space="0"/>
                    <w:left w:val="single" w:color="auto" w:sz="4" w:space="0"/>
                  </w:tcBorders>
                  <w:vAlign w:val="center"/>
                </w:tcPr>
                <w:p>
                  <w:pPr>
                    <w:jc w:val="center"/>
                  </w:pPr>
                  <w:r>
                    <w:t>2020.1.5</w:t>
                  </w:r>
                </w:p>
              </w:tc>
              <w:tc>
                <w:tcPr>
                  <w:tcW w:w="576" w:type="pct"/>
                  <w:tcBorders>
                    <w:top w:val="single" w:color="auto" w:sz="4" w:space="0"/>
                    <w:left w:val="single" w:color="auto" w:sz="4" w:space="0"/>
                  </w:tcBorders>
                  <w:vAlign w:val="center"/>
                </w:tcPr>
                <w:p>
                  <w:pPr>
                    <w:autoSpaceDE w:val="0"/>
                    <w:autoSpaceDN w:val="0"/>
                    <w:spacing w:line="300" w:lineRule="exact"/>
                    <w:jc w:val="center"/>
                  </w:pPr>
                  <w:r>
                    <w:t>16.8</w:t>
                  </w:r>
                </w:p>
              </w:tc>
              <w:tc>
                <w:tcPr>
                  <w:tcW w:w="510" w:type="pct"/>
                  <w:tcBorders>
                    <w:top w:val="single" w:color="auto" w:sz="4" w:space="0"/>
                    <w:left w:val="single" w:color="auto" w:sz="4" w:space="0"/>
                  </w:tcBorders>
                  <w:vAlign w:val="center"/>
                </w:tcPr>
                <w:p>
                  <w:pPr>
                    <w:autoSpaceDE w:val="0"/>
                    <w:autoSpaceDN w:val="0"/>
                    <w:spacing w:line="300" w:lineRule="exact"/>
                    <w:jc w:val="center"/>
                  </w:pPr>
                  <w:r>
                    <w:t>7.16</w:t>
                  </w:r>
                </w:p>
              </w:tc>
              <w:tc>
                <w:tcPr>
                  <w:tcW w:w="472" w:type="pct"/>
                  <w:tcBorders>
                    <w:top w:val="single" w:color="auto" w:sz="4" w:space="0"/>
                    <w:left w:val="single" w:color="auto" w:sz="4" w:space="0"/>
                  </w:tcBorders>
                  <w:vAlign w:val="center"/>
                </w:tcPr>
                <w:p>
                  <w:pPr>
                    <w:autoSpaceDE w:val="0"/>
                    <w:autoSpaceDN w:val="0"/>
                    <w:spacing w:line="300" w:lineRule="exact"/>
                    <w:jc w:val="center"/>
                  </w:pPr>
                  <w:r>
                    <w:t>13</w:t>
                  </w:r>
                </w:p>
              </w:tc>
              <w:tc>
                <w:tcPr>
                  <w:tcW w:w="441" w:type="pct"/>
                  <w:tcBorders>
                    <w:top w:val="single" w:color="auto" w:sz="4" w:space="0"/>
                    <w:left w:val="single" w:color="auto" w:sz="4" w:space="0"/>
                  </w:tcBorders>
                  <w:vAlign w:val="center"/>
                </w:tcPr>
                <w:p>
                  <w:pPr>
                    <w:autoSpaceDE w:val="0"/>
                    <w:autoSpaceDN w:val="0"/>
                    <w:spacing w:line="300" w:lineRule="exact"/>
                    <w:jc w:val="center"/>
                  </w:pPr>
                  <w:r>
                    <w:t>2.1</w:t>
                  </w:r>
                </w:p>
              </w:tc>
              <w:tc>
                <w:tcPr>
                  <w:tcW w:w="387" w:type="pct"/>
                  <w:tcBorders>
                    <w:top w:val="single" w:color="auto" w:sz="4" w:space="0"/>
                    <w:left w:val="single" w:color="auto" w:sz="4" w:space="0"/>
                  </w:tcBorders>
                  <w:vAlign w:val="center"/>
                </w:tcPr>
                <w:p>
                  <w:pPr>
                    <w:autoSpaceDE w:val="0"/>
                    <w:autoSpaceDN w:val="0"/>
                    <w:spacing w:line="300" w:lineRule="exact"/>
                    <w:jc w:val="center"/>
                  </w:pPr>
                  <w:r>
                    <w:t>0.212</w:t>
                  </w:r>
                </w:p>
              </w:tc>
              <w:tc>
                <w:tcPr>
                  <w:tcW w:w="415" w:type="pct"/>
                  <w:tcBorders>
                    <w:top w:val="single" w:color="auto" w:sz="4" w:space="0"/>
                    <w:left w:val="single" w:color="auto" w:sz="4" w:space="0"/>
                  </w:tcBorders>
                  <w:vAlign w:val="center"/>
                </w:tcPr>
                <w:p>
                  <w:pPr>
                    <w:autoSpaceDE w:val="0"/>
                    <w:autoSpaceDN w:val="0"/>
                    <w:spacing w:line="300" w:lineRule="exact"/>
                    <w:jc w:val="center"/>
                  </w:pPr>
                  <w:r>
                    <w:t>5.7</w:t>
                  </w:r>
                </w:p>
              </w:tc>
              <w:tc>
                <w:tcPr>
                  <w:tcW w:w="417" w:type="pct"/>
                  <w:tcBorders>
                    <w:top w:val="single" w:color="auto" w:sz="4" w:space="0"/>
                    <w:left w:val="single" w:color="auto" w:sz="4" w:space="0"/>
                  </w:tcBorders>
                  <w:vAlign w:val="center"/>
                </w:tcPr>
                <w:p>
                  <w:pPr>
                    <w:jc w:val="center"/>
                  </w:pPr>
                  <w:r>
                    <w:t>ND</w:t>
                  </w:r>
                </w:p>
              </w:tc>
              <w:tc>
                <w:tcPr>
                  <w:tcW w:w="309" w:type="pct"/>
                  <w:tcBorders>
                    <w:top w:val="single" w:color="auto" w:sz="4" w:space="0"/>
                    <w:left w:val="single" w:color="auto" w:sz="4" w:space="0"/>
                    <w:right w:val="single" w:color="auto" w:sz="4" w:space="0"/>
                  </w:tcBorders>
                  <w:vAlign w:val="center"/>
                </w:tcPr>
                <w:p>
                  <w:pPr>
                    <w:jc w:val="center"/>
                  </w:pPr>
                  <w:r>
                    <w:t>0.07</w:t>
                  </w:r>
                </w:p>
              </w:tc>
              <w:tc>
                <w:tcPr>
                  <w:tcW w:w="315" w:type="pct"/>
                  <w:tcBorders>
                    <w:top w:val="single" w:color="auto" w:sz="4" w:space="0"/>
                    <w:left w:val="single" w:color="auto" w:sz="4" w:space="0"/>
                    <w:right w:val="single" w:color="auto" w:sz="4" w:space="0"/>
                  </w:tcBorders>
                  <w:vAlign w:val="center"/>
                </w:tcPr>
                <w:p>
                  <w:pPr>
                    <w:jc w:val="center"/>
                  </w:pPr>
                  <w:r>
                    <w:t>0.79</w:t>
                  </w:r>
                </w:p>
              </w:tc>
            </w:tr>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tcBorders>
                  <w:vAlign w:val="center"/>
                </w:tcPr>
                <w:p>
                  <w:pPr>
                    <w:jc w:val="center"/>
                  </w:pPr>
                  <w:r>
                    <w:t>W6</w:t>
                  </w:r>
                </w:p>
              </w:tc>
              <w:tc>
                <w:tcPr>
                  <w:tcW w:w="761" w:type="pct"/>
                  <w:tcBorders>
                    <w:top w:val="single" w:color="auto" w:sz="4" w:space="0"/>
                    <w:left w:val="single" w:color="auto" w:sz="4" w:space="0"/>
                  </w:tcBorders>
                  <w:vAlign w:val="center"/>
                </w:tcPr>
                <w:p>
                  <w:pPr>
                    <w:jc w:val="center"/>
                  </w:pPr>
                  <w:r>
                    <w:t>2020.1.3</w:t>
                  </w:r>
                </w:p>
              </w:tc>
              <w:tc>
                <w:tcPr>
                  <w:tcW w:w="576" w:type="pct"/>
                  <w:tcBorders>
                    <w:top w:val="single" w:color="auto" w:sz="4" w:space="0"/>
                    <w:left w:val="single" w:color="auto" w:sz="4" w:space="0"/>
                  </w:tcBorders>
                  <w:vAlign w:val="center"/>
                </w:tcPr>
                <w:p>
                  <w:pPr>
                    <w:autoSpaceDE w:val="0"/>
                    <w:autoSpaceDN w:val="0"/>
                    <w:spacing w:line="300" w:lineRule="exact"/>
                    <w:jc w:val="center"/>
                  </w:pPr>
                  <w:r>
                    <w:t>17.5</w:t>
                  </w:r>
                </w:p>
              </w:tc>
              <w:tc>
                <w:tcPr>
                  <w:tcW w:w="510" w:type="pct"/>
                  <w:tcBorders>
                    <w:top w:val="single" w:color="auto" w:sz="4" w:space="0"/>
                    <w:left w:val="single" w:color="auto" w:sz="4" w:space="0"/>
                  </w:tcBorders>
                  <w:vAlign w:val="center"/>
                </w:tcPr>
                <w:p>
                  <w:pPr>
                    <w:autoSpaceDE w:val="0"/>
                    <w:autoSpaceDN w:val="0"/>
                    <w:spacing w:line="300" w:lineRule="exact"/>
                    <w:jc w:val="center"/>
                  </w:pPr>
                  <w:r>
                    <w:t>7.16</w:t>
                  </w:r>
                </w:p>
              </w:tc>
              <w:tc>
                <w:tcPr>
                  <w:tcW w:w="472" w:type="pct"/>
                  <w:tcBorders>
                    <w:top w:val="single" w:color="auto" w:sz="4" w:space="0"/>
                    <w:left w:val="single" w:color="auto" w:sz="4" w:space="0"/>
                  </w:tcBorders>
                  <w:vAlign w:val="center"/>
                </w:tcPr>
                <w:p>
                  <w:pPr>
                    <w:autoSpaceDE w:val="0"/>
                    <w:autoSpaceDN w:val="0"/>
                    <w:spacing w:line="300" w:lineRule="exact"/>
                    <w:jc w:val="center"/>
                  </w:pPr>
                  <w:r>
                    <w:t>15</w:t>
                  </w:r>
                </w:p>
              </w:tc>
              <w:tc>
                <w:tcPr>
                  <w:tcW w:w="441" w:type="pct"/>
                  <w:tcBorders>
                    <w:top w:val="single" w:color="auto" w:sz="4" w:space="0"/>
                    <w:left w:val="single" w:color="auto" w:sz="4" w:space="0"/>
                  </w:tcBorders>
                  <w:vAlign w:val="center"/>
                </w:tcPr>
                <w:p>
                  <w:pPr>
                    <w:autoSpaceDE w:val="0"/>
                    <w:autoSpaceDN w:val="0"/>
                    <w:spacing w:line="300" w:lineRule="exact"/>
                    <w:jc w:val="center"/>
                  </w:pPr>
                  <w:r>
                    <w:t>2.3</w:t>
                  </w:r>
                </w:p>
              </w:tc>
              <w:tc>
                <w:tcPr>
                  <w:tcW w:w="387" w:type="pct"/>
                  <w:tcBorders>
                    <w:top w:val="single" w:color="auto" w:sz="4" w:space="0"/>
                    <w:left w:val="single" w:color="auto" w:sz="4" w:space="0"/>
                  </w:tcBorders>
                  <w:vAlign w:val="center"/>
                </w:tcPr>
                <w:p>
                  <w:pPr>
                    <w:autoSpaceDE w:val="0"/>
                    <w:autoSpaceDN w:val="0"/>
                    <w:spacing w:line="300" w:lineRule="exact"/>
                    <w:jc w:val="center"/>
                  </w:pPr>
                  <w:r>
                    <w:t>0.247</w:t>
                  </w:r>
                </w:p>
              </w:tc>
              <w:tc>
                <w:tcPr>
                  <w:tcW w:w="415" w:type="pct"/>
                  <w:tcBorders>
                    <w:top w:val="single" w:color="auto" w:sz="4" w:space="0"/>
                    <w:left w:val="single" w:color="auto" w:sz="4" w:space="0"/>
                  </w:tcBorders>
                  <w:vAlign w:val="center"/>
                </w:tcPr>
                <w:p>
                  <w:pPr>
                    <w:autoSpaceDE w:val="0"/>
                    <w:autoSpaceDN w:val="0"/>
                    <w:spacing w:line="300" w:lineRule="exact"/>
                    <w:jc w:val="center"/>
                  </w:pPr>
                  <w:r>
                    <w:t>5.3</w:t>
                  </w:r>
                </w:p>
              </w:tc>
              <w:tc>
                <w:tcPr>
                  <w:tcW w:w="417" w:type="pct"/>
                  <w:tcBorders>
                    <w:top w:val="single" w:color="auto" w:sz="4" w:space="0"/>
                    <w:left w:val="single" w:color="auto" w:sz="4" w:space="0"/>
                  </w:tcBorders>
                  <w:vAlign w:val="center"/>
                </w:tcPr>
                <w:p>
                  <w:pPr>
                    <w:jc w:val="center"/>
                  </w:pPr>
                  <w:r>
                    <w:t>ND</w:t>
                  </w:r>
                </w:p>
              </w:tc>
              <w:tc>
                <w:tcPr>
                  <w:tcW w:w="309" w:type="pct"/>
                  <w:tcBorders>
                    <w:top w:val="single" w:color="auto" w:sz="4" w:space="0"/>
                    <w:left w:val="single" w:color="auto" w:sz="4" w:space="0"/>
                    <w:right w:val="single" w:color="auto" w:sz="4" w:space="0"/>
                  </w:tcBorders>
                  <w:vAlign w:val="center"/>
                </w:tcPr>
                <w:p>
                  <w:pPr>
                    <w:jc w:val="center"/>
                  </w:pPr>
                  <w:r>
                    <w:t>0.08</w:t>
                  </w:r>
                </w:p>
              </w:tc>
              <w:tc>
                <w:tcPr>
                  <w:tcW w:w="315" w:type="pct"/>
                  <w:tcBorders>
                    <w:top w:val="single" w:color="auto" w:sz="4" w:space="0"/>
                    <w:left w:val="single" w:color="auto" w:sz="4" w:space="0"/>
                    <w:right w:val="single" w:color="auto" w:sz="4" w:space="0"/>
                  </w:tcBorders>
                  <w:vAlign w:val="center"/>
                </w:tcPr>
                <w:p>
                  <w:pPr>
                    <w:jc w:val="center"/>
                  </w:pPr>
                  <w:r>
                    <w:t>0.86</w:t>
                  </w:r>
                </w:p>
              </w:tc>
            </w:tr>
            <w:tr>
              <w:trPr>
                <w:jc w:val="center"/>
              </w:trPr>
              <w:tc>
                <w:tcPr>
                  <w:tcW w:w="391" w:type="pct"/>
                  <w:vMerge w:val="continue"/>
                  <w:tcBorders>
                    <w:left w:val="single" w:color="auto" w:sz="4" w:space="0"/>
                  </w:tcBorders>
                  <w:vAlign w:val="center"/>
                </w:tcPr>
                <w:p>
                  <w:pPr>
                    <w:jc w:val="center"/>
                  </w:pPr>
                </w:p>
              </w:tc>
              <w:tc>
                <w:tcPr>
                  <w:tcW w:w="761" w:type="pct"/>
                  <w:tcBorders>
                    <w:top w:val="single" w:color="auto" w:sz="4" w:space="0"/>
                    <w:left w:val="single" w:color="auto" w:sz="4" w:space="0"/>
                    <w:bottom w:val="single" w:color="auto" w:sz="4" w:space="0"/>
                  </w:tcBorders>
                  <w:vAlign w:val="center"/>
                </w:tcPr>
                <w:p>
                  <w:pPr>
                    <w:jc w:val="center"/>
                  </w:pPr>
                  <w:r>
                    <w:t>2020.1.4</w:t>
                  </w:r>
                </w:p>
              </w:tc>
              <w:tc>
                <w:tcPr>
                  <w:tcW w:w="576" w:type="pct"/>
                  <w:tcBorders>
                    <w:top w:val="single" w:color="auto" w:sz="4" w:space="0"/>
                    <w:left w:val="single" w:color="auto" w:sz="4" w:space="0"/>
                    <w:bottom w:val="single" w:color="auto" w:sz="4" w:space="0"/>
                  </w:tcBorders>
                  <w:vAlign w:val="center"/>
                </w:tcPr>
                <w:p>
                  <w:pPr>
                    <w:autoSpaceDE w:val="0"/>
                    <w:autoSpaceDN w:val="0"/>
                    <w:spacing w:line="298" w:lineRule="exact"/>
                    <w:jc w:val="center"/>
                  </w:pPr>
                  <w:r>
                    <w:t>18.1</w:t>
                  </w:r>
                </w:p>
              </w:tc>
              <w:tc>
                <w:tcPr>
                  <w:tcW w:w="510" w:type="pct"/>
                  <w:tcBorders>
                    <w:top w:val="single" w:color="auto" w:sz="4" w:space="0"/>
                    <w:left w:val="single" w:color="auto" w:sz="4" w:space="0"/>
                    <w:bottom w:val="single" w:color="auto" w:sz="4" w:space="0"/>
                  </w:tcBorders>
                  <w:vAlign w:val="center"/>
                </w:tcPr>
                <w:p>
                  <w:pPr>
                    <w:autoSpaceDE w:val="0"/>
                    <w:autoSpaceDN w:val="0"/>
                    <w:spacing w:line="298" w:lineRule="exact"/>
                    <w:jc w:val="center"/>
                  </w:pPr>
                  <w:r>
                    <w:t>7.21</w:t>
                  </w:r>
                </w:p>
              </w:tc>
              <w:tc>
                <w:tcPr>
                  <w:tcW w:w="472" w:type="pct"/>
                  <w:tcBorders>
                    <w:top w:val="single" w:color="auto" w:sz="4" w:space="0"/>
                    <w:left w:val="single" w:color="auto" w:sz="4" w:space="0"/>
                    <w:bottom w:val="single" w:color="auto" w:sz="4" w:space="0"/>
                  </w:tcBorders>
                  <w:vAlign w:val="center"/>
                </w:tcPr>
                <w:p>
                  <w:pPr>
                    <w:autoSpaceDE w:val="0"/>
                    <w:autoSpaceDN w:val="0"/>
                    <w:spacing w:line="298" w:lineRule="exact"/>
                    <w:jc w:val="center"/>
                  </w:pPr>
                  <w:r>
                    <w:t>13</w:t>
                  </w:r>
                </w:p>
              </w:tc>
              <w:tc>
                <w:tcPr>
                  <w:tcW w:w="441" w:type="pct"/>
                  <w:tcBorders>
                    <w:top w:val="single" w:color="auto" w:sz="4" w:space="0"/>
                    <w:left w:val="single" w:color="auto" w:sz="4" w:space="0"/>
                    <w:bottom w:val="single" w:color="auto" w:sz="4" w:space="0"/>
                  </w:tcBorders>
                  <w:vAlign w:val="center"/>
                </w:tcPr>
                <w:p>
                  <w:pPr>
                    <w:autoSpaceDE w:val="0"/>
                    <w:autoSpaceDN w:val="0"/>
                    <w:spacing w:line="298" w:lineRule="exact"/>
                    <w:jc w:val="center"/>
                  </w:pPr>
                  <w:r>
                    <w:t>2.1</w:t>
                  </w:r>
                </w:p>
              </w:tc>
              <w:tc>
                <w:tcPr>
                  <w:tcW w:w="387" w:type="pct"/>
                  <w:tcBorders>
                    <w:top w:val="single" w:color="auto" w:sz="4" w:space="0"/>
                    <w:left w:val="single" w:color="auto" w:sz="4" w:space="0"/>
                    <w:bottom w:val="single" w:color="auto" w:sz="4" w:space="0"/>
                  </w:tcBorders>
                  <w:vAlign w:val="center"/>
                </w:tcPr>
                <w:p>
                  <w:pPr>
                    <w:autoSpaceDE w:val="0"/>
                    <w:autoSpaceDN w:val="0"/>
                    <w:spacing w:line="298" w:lineRule="exact"/>
                    <w:jc w:val="center"/>
                  </w:pPr>
                  <w:r>
                    <w:t>0.261</w:t>
                  </w:r>
                </w:p>
              </w:tc>
              <w:tc>
                <w:tcPr>
                  <w:tcW w:w="415" w:type="pct"/>
                  <w:tcBorders>
                    <w:top w:val="single" w:color="auto" w:sz="4" w:space="0"/>
                    <w:left w:val="single" w:color="auto" w:sz="4" w:space="0"/>
                    <w:bottom w:val="single" w:color="auto" w:sz="4" w:space="0"/>
                  </w:tcBorders>
                  <w:vAlign w:val="center"/>
                </w:tcPr>
                <w:p>
                  <w:pPr>
                    <w:autoSpaceDE w:val="0"/>
                    <w:autoSpaceDN w:val="0"/>
                    <w:spacing w:line="298" w:lineRule="exact"/>
                    <w:jc w:val="center"/>
                  </w:pPr>
                  <w:r>
                    <w:t>5.5</w:t>
                  </w:r>
                </w:p>
              </w:tc>
              <w:tc>
                <w:tcPr>
                  <w:tcW w:w="417" w:type="pct"/>
                  <w:tcBorders>
                    <w:top w:val="single" w:color="auto" w:sz="4" w:space="0"/>
                    <w:left w:val="single" w:color="auto" w:sz="4" w:space="0"/>
                    <w:bottom w:val="single" w:color="auto" w:sz="4" w:space="0"/>
                  </w:tcBorders>
                  <w:vAlign w:val="center"/>
                </w:tcPr>
                <w:p>
                  <w:pPr>
                    <w:jc w:val="center"/>
                  </w:pPr>
                  <w:r>
                    <w:t>ND</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pPr>
                  <w:r>
                    <w:t>0.06</w:t>
                  </w:r>
                </w:p>
              </w:tc>
              <w:tc>
                <w:tcPr>
                  <w:tcW w:w="315" w:type="pct"/>
                  <w:tcBorders>
                    <w:top w:val="single" w:color="auto" w:sz="4" w:space="0"/>
                    <w:left w:val="single" w:color="auto" w:sz="4" w:space="0"/>
                    <w:bottom w:val="single" w:color="auto" w:sz="4" w:space="0"/>
                    <w:right w:val="single" w:color="auto" w:sz="4" w:space="0"/>
                  </w:tcBorders>
                  <w:vAlign w:val="center"/>
                </w:tcPr>
                <w:p>
                  <w:pPr>
                    <w:jc w:val="center"/>
                  </w:pPr>
                  <w:r>
                    <w:t>0.91</w:t>
                  </w:r>
                </w:p>
              </w:tc>
            </w:tr>
            <w:tr>
              <w:trPr>
                <w:jc w:val="center"/>
              </w:trPr>
              <w:tc>
                <w:tcPr>
                  <w:tcW w:w="391" w:type="pct"/>
                  <w:vMerge w:val="continue"/>
                  <w:tcBorders>
                    <w:left w:val="single" w:color="auto" w:sz="4" w:space="0"/>
                    <w:bottom w:val="single" w:color="auto" w:sz="4" w:space="0"/>
                  </w:tcBorders>
                  <w:vAlign w:val="center"/>
                </w:tcPr>
                <w:p>
                  <w:pPr>
                    <w:jc w:val="center"/>
                  </w:pPr>
                </w:p>
              </w:tc>
              <w:tc>
                <w:tcPr>
                  <w:tcW w:w="761" w:type="pct"/>
                  <w:tcBorders>
                    <w:top w:val="single" w:color="auto" w:sz="4" w:space="0"/>
                    <w:left w:val="single" w:color="auto" w:sz="4" w:space="0"/>
                    <w:bottom w:val="single" w:color="auto" w:sz="4" w:space="0"/>
                    <w:right w:val="single" w:color="auto" w:sz="4" w:space="0"/>
                  </w:tcBorders>
                  <w:vAlign w:val="center"/>
                </w:tcPr>
                <w:p>
                  <w:pPr>
                    <w:jc w:val="center"/>
                  </w:pPr>
                  <w:r>
                    <w:t>2020.1.5</w:t>
                  </w:r>
                </w:p>
              </w:tc>
              <w:tc>
                <w:tcPr>
                  <w:tcW w:w="576"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pPr>
                  <w:r>
                    <w:t>16.9</w:t>
                  </w:r>
                </w:p>
              </w:tc>
              <w:tc>
                <w:tcPr>
                  <w:tcW w:w="51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pPr>
                  <w:r>
                    <w:t>7.18</w:t>
                  </w:r>
                </w:p>
              </w:tc>
              <w:tc>
                <w:tcPr>
                  <w:tcW w:w="47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pPr>
                  <w:r>
                    <w:t>16</w:t>
                  </w:r>
                </w:p>
              </w:tc>
              <w:tc>
                <w:tcPr>
                  <w:tcW w:w="441"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pPr>
                  <w:r>
                    <w:t>2.5</w:t>
                  </w:r>
                </w:p>
              </w:tc>
              <w:tc>
                <w:tcPr>
                  <w:tcW w:w="38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pPr>
                  <w:r>
                    <w:t>0.255</w:t>
                  </w:r>
                </w:p>
              </w:tc>
              <w:tc>
                <w:tcPr>
                  <w:tcW w:w="415"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pPr>
                  <w:r>
                    <w:t>5.8</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pPr>
                  <w:r>
                    <w:t>ND</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pPr>
                  <w:r>
                    <w:t>0.09</w:t>
                  </w:r>
                </w:p>
              </w:tc>
              <w:tc>
                <w:tcPr>
                  <w:tcW w:w="315" w:type="pct"/>
                  <w:tcBorders>
                    <w:top w:val="single" w:color="auto" w:sz="4" w:space="0"/>
                    <w:left w:val="single" w:color="auto" w:sz="4" w:space="0"/>
                    <w:bottom w:val="single" w:color="auto" w:sz="4" w:space="0"/>
                    <w:right w:val="single" w:color="auto" w:sz="4" w:space="0"/>
                  </w:tcBorders>
                  <w:vAlign w:val="center"/>
                </w:tcPr>
                <w:p>
                  <w:pPr>
                    <w:jc w:val="center"/>
                  </w:pPr>
                  <w:r>
                    <w:t>0.88</w:t>
                  </w:r>
                </w:p>
              </w:tc>
            </w:tr>
          </w:tbl>
          <w:p>
            <w:pPr>
              <w:numPr>
                <w:ilvl w:val="0"/>
                <w:numId w:val="5"/>
              </w:numPr>
              <w:adjustRightInd w:val="0"/>
              <w:snapToGrid w:val="0"/>
              <w:spacing w:line="360" w:lineRule="auto"/>
              <w:ind w:left="322"/>
              <w:jc w:val="center"/>
              <w:rPr>
                <w:b/>
                <w:bCs/>
              </w:rPr>
            </w:pPr>
            <w:r>
              <w:rPr>
                <w:b/>
                <w:bCs/>
              </w:rPr>
              <w:t>水质监测评价指数</w:t>
            </w:r>
          </w:p>
          <w:tbl>
            <w:tblPr>
              <w:tblStyle w:val="29"/>
              <w:tblW w:w="4999" w:type="pct"/>
              <w:jc w:val="center"/>
              <w:tblLayout w:type="autofit"/>
              <w:tblCellMar>
                <w:top w:w="0" w:type="dxa"/>
                <w:left w:w="10" w:type="dxa"/>
                <w:bottom w:w="0" w:type="dxa"/>
                <w:right w:w="10" w:type="dxa"/>
              </w:tblCellMar>
            </w:tblPr>
            <w:tblGrid>
              <w:gridCol w:w="660"/>
              <w:gridCol w:w="1285"/>
              <w:gridCol w:w="972"/>
              <w:gridCol w:w="861"/>
              <w:gridCol w:w="797"/>
              <w:gridCol w:w="744"/>
              <w:gridCol w:w="653"/>
              <w:gridCol w:w="701"/>
              <w:gridCol w:w="704"/>
              <w:gridCol w:w="522"/>
              <w:gridCol w:w="540"/>
            </w:tblGrid>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tcBorders>
                  <w:vAlign w:val="center"/>
                </w:tcPr>
                <w:p>
                  <w:pPr>
                    <w:jc w:val="center"/>
                    <w:rPr>
                      <w:b/>
                    </w:rPr>
                  </w:pPr>
                  <w:r>
                    <w:rPr>
                      <w:b/>
                    </w:rPr>
                    <w:t>测点编号</w:t>
                  </w:r>
                </w:p>
              </w:tc>
              <w:tc>
                <w:tcPr>
                  <w:tcW w:w="761" w:type="pct"/>
                  <w:vMerge w:val="restart"/>
                  <w:tcBorders>
                    <w:top w:val="single" w:color="auto" w:sz="4" w:space="0"/>
                    <w:left w:val="single" w:color="auto" w:sz="4" w:space="0"/>
                  </w:tcBorders>
                  <w:vAlign w:val="center"/>
                </w:tcPr>
                <w:p>
                  <w:pPr>
                    <w:jc w:val="center"/>
                    <w:rPr>
                      <w:b/>
                    </w:rPr>
                  </w:pPr>
                  <w:r>
                    <w:rPr>
                      <w:b/>
                    </w:rPr>
                    <w:t>指标</w:t>
                  </w:r>
                </w:p>
              </w:tc>
              <w:tc>
                <w:tcPr>
                  <w:tcW w:w="3847" w:type="pct"/>
                  <w:gridSpan w:val="9"/>
                  <w:tcBorders>
                    <w:top w:val="single" w:color="auto" w:sz="4" w:space="0"/>
                    <w:left w:val="single" w:color="auto" w:sz="4" w:space="0"/>
                    <w:right w:val="single" w:color="auto" w:sz="4" w:space="0"/>
                  </w:tcBorders>
                  <w:vAlign w:val="center"/>
                </w:tcPr>
                <w:p>
                  <w:pPr>
                    <w:jc w:val="center"/>
                    <w:rPr>
                      <w:b/>
                    </w:rPr>
                  </w:pPr>
                  <w:r>
                    <w:rPr>
                      <w:b/>
                    </w:rPr>
                    <w:t>检测结果监测项目及监测结果（mg/L，pH 为无量纲、注明除外）</w:t>
                  </w:r>
                </w:p>
              </w:tc>
            </w:tr>
            <w:tr>
              <w:tblPrEx>
                <w:tblCellMar>
                  <w:top w:w="0" w:type="dxa"/>
                  <w:left w:w="10" w:type="dxa"/>
                  <w:bottom w:w="0" w:type="dxa"/>
                  <w:right w:w="10" w:type="dxa"/>
                </w:tblCellMar>
              </w:tblPrEx>
              <w:trPr>
                <w:jc w:val="center"/>
              </w:trPr>
              <w:tc>
                <w:tcPr>
                  <w:tcW w:w="391" w:type="pct"/>
                  <w:vMerge w:val="continue"/>
                  <w:tcBorders>
                    <w:left w:val="single" w:color="auto" w:sz="4" w:space="0"/>
                    <w:bottom w:val="single" w:color="000000" w:sz="4" w:space="0"/>
                  </w:tcBorders>
                  <w:vAlign w:val="center"/>
                </w:tcPr>
                <w:p>
                  <w:pPr>
                    <w:jc w:val="center"/>
                    <w:rPr>
                      <w:b/>
                    </w:rPr>
                  </w:pPr>
                </w:p>
              </w:tc>
              <w:tc>
                <w:tcPr>
                  <w:tcW w:w="761" w:type="pct"/>
                  <w:vMerge w:val="continue"/>
                  <w:tcBorders>
                    <w:left w:val="single" w:color="auto" w:sz="4" w:space="0"/>
                    <w:bottom w:val="single" w:color="000000" w:sz="4" w:space="0"/>
                  </w:tcBorders>
                  <w:vAlign w:val="center"/>
                </w:tcPr>
                <w:p>
                  <w:pPr>
                    <w:jc w:val="center"/>
                    <w:rPr>
                      <w:b/>
                    </w:rPr>
                  </w:pPr>
                </w:p>
              </w:tc>
              <w:tc>
                <w:tcPr>
                  <w:tcW w:w="576" w:type="pct"/>
                  <w:tcBorders>
                    <w:top w:val="single" w:color="auto" w:sz="4" w:space="0"/>
                    <w:left w:val="single" w:color="auto" w:sz="4" w:space="0"/>
                    <w:bottom w:val="single" w:color="000000" w:sz="4" w:space="0"/>
                  </w:tcBorders>
                  <w:vAlign w:val="center"/>
                </w:tcPr>
                <w:p>
                  <w:pPr>
                    <w:jc w:val="center"/>
                    <w:rPr>
                      <w:bCs/>
                    </w:rPr>
                  </w:pPr>
                  <w:r>
                    <w:rPr>
                      <w:bCs/>
                    </w:rPr>
                    <w:t>水温（</w:t>
                  </w:r>
                  <w:r>
                    <w:rPr>
                      <w:rFonts w:hint="eastAsia" w:ascii="宋体" w:hAnsi="宋体" w:cs="宋体"/>
                      <w:bCs/>
                    </w:rPr>
                    <w:t>℃</w:t>
                  </w:r>
                  <w:r>
                    <w:rPr>
                      <w:bCs/>
                    </w:rPr>
                    <w:t>）</w:t>
                  </w:r>
                </w:p>
              </w:tc>
              <w:tc>
                <w:tcPr>
                  <w:tcW w:w="510" w:type="pct"/>
                  <w:tcBorders>
                    <w:top w:val="single" w:color="auto" w:sz="4" w:space="0"/>
                    <w:left w:val="single" w:color="auto" w:sz="4" w:space="0"/>
                    <w:bottom w:val="single" w:color="000000" w:sz="4" w:space="0"/>
                  </w:tcBorders>
                  <w:vAlign w:val="center"/>
                </w:tcPr>
                <w:p>
                  <w:pPr>
                    <w:jc w:val="center"/>
                    <w:rPr>
                      <w:bCs/>
                    </w:rPr>
                  </w:pPr>
                  <w:r>
                    <w:rPr>
                      <w:bCs/>
                    </w:rPr>
                    <w:t>pH值</w:t>
                  </w:r>
                </w:p>
              </w:tc>
              <w:tc>
                <w:tcPr>
                  <w:tcW w:w="472" w:type="pct"/>
                  <w:tcBorders>
                    <w:top w:val="single" w:color="auto" w:sz="4" w:space="0"/>
                    <w:left w:val="single" w:color="auto" w:sz="4" w:space="0"/>
                    <w:bottom w:val="single" w:color="000000" w:sz="4" w:space="0"/>
                  </w:tcBorders>
                  <w:vAlign w:val="center"/>
                </w:tcPr>
                <w:p>
                  <w:pPr>
                    <w:jc w:val="center"/>
                    <w:rPr>
                      <w:bCs/>
                    </w:rPr>
                  </w:pPr>
                  <w:r>
                    <w:rPr>
                      <w:bCs/>
                    </w:rPr>
                    <w:t>COD</w:t>
                  </w:r>
                  <w:r>
                    <w:rPr>
                      <w:bCs/>
                      <w:vertAlign w:val="subscript"/>
                    </w:rPr>
                    <w:t>Cr</w:t>
                  </w:r>
                </w:p>
              </w:tc>
              <w:tc>
                <w:tcPr>
                  <w:tcW w:w="441" w:type="pct"/>
                  <w:tcBorders>
                    <w:top w:val="single" w:color="auto" w:sz="4" w:space="0"/>
                    <w:left w:val="single" w:color="auto" w:sz="4" w:space="0"/>
                    <w:bottom w:val="single" w:color="000000" w:sz="4" w:space="0"/>
                  </w:tcBorders>
                  <w:vAlign w:val="center"/>
                </w:tcPr>
                <w:p>
                  <w:pPr>
                    <w:jc w:val="center"/>
                    <w:rPr>
                      <w:bCs/>
                    </w:rPr>
                  </w:pPr>
                  <w:r>
                    <w:rPr>
                      <w:bCs/>
                    </w:rPr>
                    <w:t>BOD</w:t>
                  </w:r>
                  <w:r>
                    <w:rPr>
                      <w:bCs/>
                      <w:vertAlign w:val="subscript"/>
                    </w:rPr>
                    <w:t>5</w:t>
                  </w:r>
                </w:p>
              </w:tc>
              <w:tc>
                <w:tcPr>
                  <w:tcW w:w="387" w:type="pct"/>
                  <w:tcBorders>
                    <w:top w:val="single" w:color="auto" w:sz="4" w:space="0"/>
                    <w:left w:val="single" w:color="auto" w:sz="4" w:space="0"/>
                    <w:bottom w:val="single" w:color="000000" w:sz="4" w:space="0"/>
                  </w:tcBorders>
                  <w:vAlign w:val="center"/>
                </w:tcPr>
                <w:p>
                  <w:pPr>
                    <w:jc w:val="center"/>
                    <w:rPr>
                      <w:bCs/>
                    </w:rPr>
                  </w:pPr>
                  <w:r>
                    <w:rPr>
                      <w:bCs/>
                    </w:rPr>
                    <w:t>氨氮</w:t>
                  </w:r>
                </w:p>
              </w:tc>
              <w:tc>
                <w:tcPr>
                  <w:tcW w:w="415" w:type="pct"/>
                  <w:tcBorders>
                    <w:top w:val="single" w:color="auto" w:sz="4" w:space="0"/>
                    <w:left w:val="single" w:color="auto" w:sz="4" w:space="0"/>
                    <w:bottom w:val="single" w:color="000000" w:sz="4" w:space="0"/>
                    <w:right w:val="single" w:color="auto" w:sz="4" w:space="0"/>
                  </w:tcBorders>
                  <w:vAlign w:val="center"/>
                </w:tcPr>
                <w:p>
                  <w:pPr>
                    <w:jc w:val="center"/>
                  </w:pPr>
                  <w:r>
                    <w:t>溶解氧</w:t>
                  </w:r>
                </w:p>
              </w:tc>
              <w:tc>
                <w:tcPr>
                  <w:tcW w:w="417" w:type="pct"/>
                  <w:tcBorders>
                    <w:top w:val="single" w:color="auto" w:sz="4" w:space="0"/>
                    <w:left w:val="single" w:color="auto" w:sz="4" w:space="0"/>
                    <w:bottom w:val="single" w:color="000000" w:sz="4" w:space="0"/>
                    <w:right w:val="single" w:color="auto" w:sz="4" w:space="0"/>
                  </w:tcBorders>
                  <w:vAlign w:val="center"/>
                </w:tcPr>
                <w:p>
                  <w:pPr>
                    <w:jc w:val="center"/>
                  </w:pPr>
                  <w:r>
                    <w:t>石油类</w:t>
                  </w:r>
                </w:p>
              </w:tc>
              <w:tc>
                <w:tcPr>
                  <w:tcW w:w="309" w:type="pct"/>
                  <w:tcBorders>
                    <w:top w:val="single" w:color="auto" w:sz="4" w:space="0"/>
                    <w:left w:val="single" w:color="auto" w:sz="4" w:space="0"/>
                    <w:bottom w:val="single" w:color="000000" w:sz="4" w:space="0"/>
                    <w:right w:val="single" w:color="auto" w:sz="4" w:space="0"/>
                  </w:tcBorders>
                  <w:vAlign w:val="center"/>
                </w:tcPr>
                <w:p>
                  <w:pPr>
                    <w:jc w:val="center"/>
                  </w:pPr>
                  <w:r>
                    <w:t>总磷</w:t>
                  </w:r>
                </w:p>
              </w:tc>
              <w:tc>
                <w:tcPr>
                  <w:tcW w:w="320" w:type="pct"/>
                  <w:tcBorders>
                    <w:top w:val="single" w:color="auto" w:sz="4" w:space="0"/>
                    <w:left w:val="single" w:color="auto" w:sz="4" w:space="0"/>
                    <w:bottom w:val="single" w:color="000000" w:sz="4" w:space="0"/>
                    <w:right w:val="single" w:color="auto" w:sz="4" w:space="0"/>
                  </w:tcBorders>
                  <w:vAlign w:val="center"/>
                </w:tcPr>
                <w:p>
                  <w:pPr>
                    <w:jc w:val="center"/>
                  </w:pPr>
                  <w:r>
                    <w:t>总氮</w:t>
                  </w:r>
                </w:p>
              </w:tc>
            </w:tr>
            <w:tr>
              <w:tblPrEx>
                <w:tblCellMar>
                  <w:top w:w="0" w:type="dxa"/>
                  <w:left w:w="10" w:type="dxa"/>
                  <w:bottom w:w="0" w:type="dxa"/>
                  <w:right w:w="10" w:type="dxa"/>
                </w:tblCellMar>
              </w:tblPrEx>
              <w:trPr>
                <w:jc w:val="center"/>
              </w:trPr>
              <w:tc>
                <w:tcPr>
                  <w:tcW w:w="391" w:type="pct"/>
                  <w:vMerge w:val="restart"/>
                  <w:tcBorders>
                    <w:top w:val="single" w:color="000000" w:sz="4" w:space="0"/>
                    <w:left w:val="single" w:color="000000" w:sz="4" w:space="0"/>
                    <w:right w:val="single" w:color="000000" w:sz="4" w:space="0"/>
                  </w:tcBorders>
                  <w:vAlign w:val="center"/>
                </w:tcPr>
                <w:p>
                  <w:pPr>
                    <w:jc w:val="center"/>
                  </w:pPr>
                  <w:r>
                    <w:t>W1</w:t>
                  </w:r>
                </w:p>
              </w:tc>
              <w:tc>
                <w:tcPr>
                  <w:tcW w:w="761" w:type="pct"/>
                  <w:tcBorders>
                    <w:top w:val="single" w:color="000000" w:sz="4" w:space="0"/>
                    <w:left w:val="single" w:color="000000" w:sz="4" w:space="0"/>
                    <w:bottom w:val="single" w:color="000000" w:sz="4" w:space="0"/>
                  </w:tcBorders>
                  <w:vAlign w:val="center"/>
                </w:tcPr>
                <w:p>
                  <w:pPr>
                    <w:jc w:val="center"/>
                  </w:pPr>
                  <w:r>
                    <w:t>平均值</w:t>
                  </w:r>
                </w:p>
              </w:tc>
              <w:tc>
                <w:tcPr>
                  <w:tcW w:w="576" w:type="pct"/>
                  <w:tcBorders>
                    <w:top w:val="single" w:color="000000" w:sz="4" w:space="0"/>
                    <w:left w:val="single" w:color="auto" w:sz="4" w:space="0"/>
                    <w:bottom w:val="single" w:color="000000" w:sz="4" w:space="0"/>
                  </w:tcBorders>
                  <w:vAlign w:val="center"/>
                </w:tcPr>
                <w:p>
                  <w:pPr>
                    <w:jc w:val="center"/>
                  </w:pPr>
                  <w:r>
                    <w:t>17.6</w:t>
                  </w:r>
                </w:p>
              </w:tc>
              <w:tc>
                <w:tcPr>
                  <w:tcW w:w="510" w:type="pct"/>
                  <w:tcBorders>
                    <w:top w:val="single" w:color="000000" w:sz="4" w:space="0"/>
                    <w:left w:val="single" w:color="auto" w:sz="4" w:space="0"/>
                    <w:bottom w:val="single" w:color="000000" w:sz="4" w:space="0"/>
                  </w:tcBorders>
                  <w:vAlign w:val="center"/>
                </w:tcPr>
                <w:p>
                  <w:pPr>
                    <w:jc w:val="center"/>
                  </w:pPr>
                  <w:r>
                    <w:t>6.87</w:t>
                  </w:r>
                </w:p>
              </w:tc>
              <w:tc>
                <w:tcPr>
                  <w:tcW w:w="472" w:type="pct"/>
                  <w:tcBorders>
                    <w:top w:val="single" w:color="000000" w:sz="4" w:space="0"/>
                    <w:left w:val="single" w:color="auto" w:sz="4" w:space="0"/>
                    <w:bottom w:val="single" w:color="000000" w:sz="4" w:space="0"/>
                  </w:tcBorders>
                  <w:vAlign w:val="center"/>
                </w:tcPr>
                <w:p>
                  <w:pPr>
                    <w:autoSpaceDE w:val="0"/>
                    <w:autoSpaceDN w:val="0"/>
                    <w:spacing w:line="218" w:lineRule="exact"/>
                    <w:ind w:left="77"/>
                    <w:jc w:val="center"/>
                  </w:pPr>
                  <w:r>
                    <w:t>27</w:t>
                  </w:r>
                </w:p>
              </w:tc>
              <w:tc>
                <w:tcPr>
                  <w:tcW w:w="441"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pPr>
                  <w:r>
                    <w:t>6.6</w:t>
                  </w:r>
                </w:p>
              </w:tc>
              <w:tc>
                <w:tcPr>
                  <w:tcW w:w="387"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pPr>
                  <w:r>
                    <w:t>2.04</w:t>
                  </w:r>
                </w:p>
              </w:tc>
              <w:tc>
                <w:tcPr>
                  <w:tcW w:w="415"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pPr>
                  <w:r>
                    <w:t>4.5</w:t>
                  </w:r>
                </w:p>
              </w:tc>
              <w:tc>
                <w:tcPr>
                  <w:tcW w:w="417"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pPr>
                  <w:r>
                    <w:t>0.03</w:t>
                  </w:r>
                </w:p>
              </w:tc>
              <w:tc>
                <w:tcPr>
                  <w:tcW w:w="309" w:type="pct"/>
                  <w:tcBorders>
                    <w:top w:val="single" w:color="000000" w:sz="4" w:space="0"/>
                    <w:left w:val="single" w:color="auto" w:sz="4" w:space="0"/>
                    <w:bottom w:val="single" w:color="000000" w:sz="4" w:space="0"/>
                    <w:right w:val="single" w:color="000000" w:sz="4" w:space="0"/>
                  </w:tcBorders>
                  <w:vAlign w:val="center"/>
                </w:tcPr>
                <w:p>
                  <w:pPr>
                    <w:jc w:val="center"/>
                  </w:pPr>
                  <w:r>
                    <w:t>0.13</w:t>
                  </w:r>
                </w:p>
              </w:tc>
              <w:tc>
                <w:tcPr>
                  <w:tcW w:w="320" w:type="pct"/>
                  <w:tcBorders>
                    <w:top w:val="single" w:color="000000" w:sz="4" w:space="0"/>
                    <w:left w:val="single" w:color="auto" w:sz="4" w:space="0"/>
                    <w:bottom w:val="single" w:color="000000" w:sz="4" w:space="0"/>
                    <w:right w:val="single" w:color="000000" w:sz="4" w:space="0"/>
                  </w:tcBorders>
                  <w:vAlign w:val="center"/>
                </w:tcPr>
                <w:p>
                  <w:pPr>
                    <w:jc w:val="center"/>
                  </w:pPr>
                  <w:r>
                    <w:t>7.06</w:t>
                  </w:r>
                </w:p>
              </w:tc>
            </w:tr>
            <w:tr>
              <w:tblPrEx>
                <w:tblCellMar>
                  <w:top w:w="0" w:type="dxa"/>
                  <w:left w:w="10" w:type="dxa"/>
                  <w:bottom w:w="0" w:type="dxa"/>
                  <w:right w:w="10" w:type="dxa"/>
                </w:tblCellMar>
              </w:tblPrEx>
              <w:trPr>
                <w:jc w:val="center"/>
              </w:trPr>
              <w:tc>
                <w:tcPr>
                  <w:tcW w:w="391" w:type="pct"/>
                  <w:vMerge w:val="continue"/>
                  <w:tcBorders>
                    <w:left w:val="single" w:color="000000" w:sz="4" w:space="0"/>
                    <w:right w:val="single" w:color="000000" w:sz="4" w:space="0"/>
                  </w:tcBorders>
                  <w:vAlign w:val="center"/>
                </w:tcPr>
                <w:p>
                  <w:pPr>
                    <w:jc w:val="center"/>
                  </w:pPr>
                </w:p>
              </w:tc>
              <w:tc>
                <w:tcPr>
                  <w:tcW w:w="761" w:type="pct"/>
                  <w:tcBorders>
                    <w:top w:val="single" w:color="000000" w:sz="4" w:space="0"/>
                    <w:left w:val="single" w:color="000000" w:sz="4" w:space="0"/>
                  </w:tcBorders>
                  <w:vAlign w:val="center"/>
                </w:tcPr>
                <w:p>
                  <w:pPr>
                    <w:jc w:val="center"/>
                  </w:pPr>
                  <w:r>
                    <w:t>V类标准值</w:t>
                  </w:r>
                </w:p>
              </w:tc>
              <w:tc>
                <w:tcPr>
                  <w:tcW w:w="576" w:type="pct"/>
                  <w:tcBorders>
                    <w:top w:val="single" w:color="000000" w:sz="4" w:space="0"/>
                    <w:left w:val="single" w:color="auto" w:sz="4" w:space="0"/>
                  </w:tcBorders>
                  <w:vAlign w:val="center"/>
                </w:tcPr>
                <w:p>
                  <w:pPr>
                    <w:jc w:val="center"/>
                  </w:pPr>
                  <w:r>
                    <w:t>/</w:t>
                  </w:r>
                </w:p>
              </w:tc>
              <w:tc>
                <w:tcPr>
                  <w:tcW w:w="510" w:type="pct"/>
                  <w:tcBorders>
                    <w:top w:val="single" w:color="000000" w:sz="4" w:space="0"/>
                    <w:left w:val="single" w:color="auto" w:sz="4" w:space="0"/>
                  </w:tcBorders>
                  <w:vAlign w:val="center"/>
                </w:tcPr>
                <w:p>
                  <w:pPr>
                    <w:jc w:val="center"/>
                  </w:pPr>
                  <w:r>
                    <w:t>6~9</w:t>
                  </w:r>
                </w:p>
              </w:tc>
              <w:tc>
                <w:tcPr>
                  <w:tcW w:w="472" w:type="pct"/>
                  <w:tcBorders>
                    <w:top w:val="single" w:color="000000" w:sz="4" w:space="0"/>
                    <w:left w:val="single" w:color="auto" w:sz="4" w:space="0"/>
                  </w:tcBorders>
                  <w:vAlign w:val="center"/>
                </w:tcPr>
                <w:p>
                  <w:pPr>
                    <w:autoSpaceDE w:val="0"/>
                    <w:autoSpaceDN w:val="0"/>
                    <w:spacing w:line="288" w:lineRule="exact"/>
                    <w:ind w:left="77"/>
                    <w:jc w:val="center"/>
                  </w:pPr>
                  <w:r>
                    <w:t>40</w:t>
                  </w:r>
                </w:p>
              </w:tc>
              <w:tc>
                <w:tcPr>
                  <w:tcW w:w="441" w:type="pct"/>
                  <w:tcBorders>
                    <w:top w:val="single" w:color="000000" w:sz="4" w:space="0"/>
                    <w:left w:val="single" w:color="auto" w:sz="4" w:space="0"/>
                  </w:tcBorders>
                  <w:vAlign w:val="center"/>
                </w:tcPr>
                <w:p>
                  <w:pPr>
                    <w:autoSpaceDE w:val="0"/>
                    <w:autoSpaceDN w:val="0"/>
                    <w:spacing w:line="288" w:lineRule="exact"/>
                    <w:ind w:left="77"/>
                    <w:jc w:val="center"/>
                  </w:pPr>
                  <w:r>
                    <w:t>10</w:t>
                  </w:r>
                </w:p>
              </w:tc>
              <w:tc>
                <w:tcPr>
                  <w:tcW w:w="387" w:type="pct"/>
                  <w:tcBorders>
                    <w:top w:val="single" w:color="000000" w:sz="4" w:space="0"/>
                    <w:left w:val="single" w:color="auto" w:sz="4" w:space="0"/>
                  </w:tcBorders>
                  <w:vAlign w:val="center"/>
                </w:tcPr>
                <w:p>
                  <w:pPr>
                    <w:autoSpaceDE w:val="0"/>
                    <w:autoSpaceDN w:val="0"/>
                    <w:spacing w:line="288" w:lineRule="exact"/>
                    <w:ind w:left="53"/>
                    <w:jc w:val="center"/>
                  </w:pPr>
                  <w:r>
                    <w:t>2.0</w:t>
                  </w:r>
                </w:p>
              </w:tc>
              <w:tc>
                <w:tcPr>
                  <w:tcW w:w="415" w:type="pct"/>
                  <w:tcBorders>
                    <w:top w:val="single" w:color="000000" w:sz="4" w:space="0"/>
                    <w:left w:val="single" w:color="auto" w:sz="4" w:space="0"/>
                  </w:tcBorders>
                  <w:vAlign w:val="center"/>
                </w:tcPr>
                <w:p>
                  <w:pPr>
                    <w:autoSpaceDE w:val="0"/>
                    <w:autoSpaceDN w:val="0"/>
                    <w:spacing w:line="288" w:lineRule="exact"/>
                    <w:ind w:left="79"/>
                    <w:jc w:val="center"/>
                  </w:pPr>
                  <w:r>
                    <w:t>2</w:t>
                  </w:r>
                </w:p>
              </w:tc>
              <w:tc>
                <w:tcPr>
                  <w:tcW w:w="417" w:type="pct"/>
                  <w:tcBorders>
                    <w:top w:val="single" w:color="000000" w:sz="4" w:space="0"/>
                    <w:left w:val="single" w:color="auto" w:sz="4" w:space="0"/>
                  </w:tcBorders>
                  <w:vAlign w:val="center"/>
                </w:tcPr>
                <w:p>
                  <w:pPr>
                    <w:autoSpaceDE w:val="0"/>
                    <w:autoSpaceDN w:val="0"/>
                    <w:spacing w:line="288" w:lineRule="exact"/>
                    <w:ind w:left="50"/>
                    <w:jc w:val="center"/>
                  </w:pPr>
                  <w:r>
                    <w:t>1.0</w:t>
                  </w:r>
                </w:p>
              </w:tc>
              <w:tc>
                <w:tcPr>
                  <w:tcW w:w="309" w:type="pct"/>
                  <w:tcBorders>
                    <w:top w:val="single" w:color="000000" w:sz="4" w:space="0"/>
                    <w:left w:val="single" w:color="auto" w:sz="4" w:space="0"/>
                    <w:right w:val="single" w:color="auto" w:sz="4" w:space="0"/>
                  </w:tcBorders>
                  <w:vAlign w:val="center"/>
                </w:tcPr>
                <w:p>
                  <w:pPr>
                    <w:jc w:val="center"/>
                  </w:pPr>
                  <w:r>
                    <w:t>0.5</w:t>
                  </w:r>
                </w:p>
              </w:tc>
              <w:tc>
                <w:tcPr>
                  <w:tcW w:w="320" w:type="pct"/>
                  <w:tcBorders>
                    <w:top w:val="single" w:color="000000" w:sz="4" w:space="0"/>
                    <w:left w:val="single" w:color="auto" w:sz="4" w:space="0"/>
                    <w:right w:val="single" w:color="auto" w:sz="4" w:space="0"/>
                  </w:tcBorders>
                  <w:vAlign w:val="center"/>
                </w:tcPr>
                <w:p>
                  <w:pPr>
                    <w:jc w:val="center"/>
                  </w:pPr>
                  <w:r>
                    <w:t>2.0</w:t>
                  </w:r>
                </w:p>
              </w:tc>
            </w:tr>
            <w:tr>
              <w:tblPrEx>
                <w:tblCellMar>
                  <w:top w:w="0" w:type="dxa"/>
                  <w:left w:w="10" w:type="dxa"/>
                  <w:bottom w:w="0" w:type="dxa"/>
                  <w:right w:w="10" w:type="dxa"/>
                </w:tblCellMar>
              </w:tblPrEx>
              <w:trPr>
                <w:jc w:val="center"/>
              </w:trPr>
              <w:tc>
                <w:tcPr>
                  <w:tcW w:w="391" w:type="pct"/>
                  <w:vMerge w:val="continue"/>
                  <w:tcBorders>
                    <w:left w:val="single" w:color="000000" w:sz="4" w:space="0"/>
                    <w:right w:val="single" w:color="000000" w:sz="4" w:space="0"/>
                  </w:tcBorders>
                  <w:vAlign w:val="center"/>
                </w:tcPr>
                <w:p>
                  <w:pPr>
                    <w:jc w:val="center"/>
                  </w:pPr>
                </w:p>
              </w:tc>
              <w:tc>
                <w:tcPr>
                  <w:tcW w:w="761" w:type="pct"/>
                  <w:tcBorders>
                    <w:top w:val="single" w:color="auto" w:sz="4" w:space="0"/>
                    <w:left w:val="single" w:color="000000" w:sz="4" w:space="0"/>
                  </w:tcBorders>
                  <w:vAlign w:val="center"/>
                </w:tcPr>
                <w:p>
                  <w:pPr>
                    <w:jc w:val="center"/>
                  </w:pPr>
                  <w:r>
                    <w:t>标准指数</w:t>
                  </w:r>
                </w:p>
              </w:tc>
              <w:tc>
                <w:tcPr>
                  <w:tcW w:w="576" w:type="pct"/>
                  <w:tcBorders>
                    <w:top w:val="single" w:color="auto" w:sz="4" w:space="0"/>
                    <w:left w:val="single" w:color="auto" w:sz="4" w:space="0"/>
                  </w:tcBorders>
                  <w:vAlign w:val="center"/>
                </w:tcPr>
                <w:p>
                  <w:pPr>
                    <w:jc w:val="center"/>
                  </w:pPr>
                  <w:r>
                    <w:t>0</w:t>
                  </w:r>
                </w:p>
              </w:tc>
              <w:tc>
                <w:tcPr>
                  <w:tcW w:w="510" w:type="pct"/>
                  <w:tcBorders>
                    <w:top w:val="single" w:color="auto" w:sz="4" w:space="0"/>
                    <w:left w:val="single" w:color="auto" w:sz="4" w:space="0"/>
                  </w:tcBorders>
                  <w:vAlign w:val="center"/>
                </w:tcPr>
                <w:p>
                  <w:pPr>
                    <w:widowControl/>
                    <w:jc w:val="center"/>
                    <w:rPr>
                      <w:kern w:val="0"/>
                      <w:szCs w:val="21"/>
                    </w:rPr>
                  </w:pPr>
                  <w:r>
                    <w:rPr>
                      <w:szCs w:val="21"/>
                    </w:rPr>
                    <w:t>0.13</w:t>
                  </w:r>
                </w:p>
              </w:tc>
              <w:tc>
                <w:tcPr>
                  <w:tcW w:w="472" w:type="pct"/>
                  <w:tcBorders>
                    <w:top w:val="single" w:color="auto" w:sz="4" w:space="0"/>
                    <w:left w:val="single" w:color="auto" w:sz="4" w:space="0"/>
                  </w:tcBorders>
                  <w:vAlign w:val="center"/>
                </w:tcPr>
                <w:p>
                  <w:pPr>
                    <w:jc w:val="center"/>
                    <w:rPr>
                      <w:szCs w:val="21"/>
                    </w:rPr>
                  </w:pPr>
                  <w:r>
                    <w:rPr>
                      <w:szCs w:val="21"/>
                    </w:rPr>
                    <w:t>0.675</w:t>
                  </w:r>
                </w:p>
              </w:tc>
              <w:tc>
                <w:tcPr>
                  <w:tcW w:w="441" w:type="pct"/>
                  <w:tcBorders>
                    <w:top w:val="single" w:color="auto" w:sz="4" w:space="0"/>
                    <w:left w:val="single" w:color="auto" w:sz="4" w:space="0"/>
                  </w:tcBorders>
                  <w:vAlign w:val="center"/>
                </w:tcPr>
                <w:p>
                  <w:pPr>
                    <w:jc w:val="center"/>
                    <w:rPr>
                      <w:szCs w:val="21"/>
                    </w:rPr>
                  </w:pPr>
                  <w:r>
                    <w:rPr>
                      <w:szCs w:val="21"/>
                    </w:rPr>
                    <w:t>0.66</w:t>
                  </w:r>
                </w:p>
              </w:tc>
              <w:tc>
                <w:tcPr>
                  <w:tcW w:w="387" w:type="pct"/>
                  <w:tcBorders>
                    <w:top w:val="single" w:color="auto" w:sz="4" w:space="0"/>
                    <w:left w:val="single" w:color="auto" w:sz="4" w:space="0"/>
                  </w:tcBorders>
                  <w:vAlign w:val="center"/>
                </w:tcPr>
                <w:p>
                  <w:pPr>
                    <w:jc w:val="center"/>
                    <w:rPr>
                      <w:szCs w:val="21"/>
                    </w:rPr>
                  </w:pPr>
                  <w:r>
                    <w:rPr>
                      <w:szCs w:val="21"/>
                    </w:rPr>
                    <w:t>1.02</w:t>
                  </w:r>
                </w:p>
              </w:tc>
              <w:tc>
                <w:tcPr>
                  <w:tcW w:w="415" w:type="pct"/>
                  <w:tcBorders>
                    <w:top w:val="single" w:color="auto" w:sz="4" w:space="0"/>
                    <w:left w:val="single" w:color="auto" w:sz="4" w:space="0"/>
                  </w:tcBorders>
                  <w:vAlign w:val="center"/>
                </w:tcPr>
                <w:p>
                  <w:pPr>
                    <w:jc w:val="center"/>
                    <w:rPr>
                      <w:szCs w:val="21"/>
                    </w:rPr>
                  </w:pPr>
                  <w:r>
                    <w:rPr>
                      <w:szCs w:val="21"/>
                    </w:rPr>
                    <w:t>0.77</w:t>
                  </w:r>
                </w:p>
              </w:tc>
              <w:tc>
                <w:tcPr>
                  <w:tcW w:w="417" w:type="pct"/>
                  <w:tcBorders>
                    <w:top w:val="single" w:color="auto" w:sz="4" w:space="0"/>
                    <w:left w:val="single" w:color="auto" w:sz="4" w:space="0"/>
                  </w:tcBorders>
                  <w:vAlign w:val="center"/>
                </w:tcPr>
                <w:p>
                  <w:pPr>
                    <w:jc w:val="center"/>
                    <w:rPr>
                      <w:szCs w:val="21"/>
                    </w:rPr>
                  </w:pPr>
                  <w:r>
                    <w:rPr>
                      <w:szCs w:val="21"/>
                    </w:rPr>
                    <w:t>0.03</w:t>
                  </w:r>
                </w:p>
              </w:tc>
              <w:tc>
                <w:tcPr>
                  <w:tcW w:w="309" w:type="pct"/>
                  <w:tcBorders>
                    <w:top w:val="single" w:color="auto" w:sz="4" w:space="0"/>
                    <w:left w:val="single" w:color="auto" w:sz="4" w:space="0"/>
                    <w:right w:val="single" w:color="auto" w:sz="4" w:space="0"/>
                  </w:tcBorders>
                  <w:vAlign w:val="center"/>
                </w:tcPr>
                <w:p>
                  <w:pPr>
                    <w:jc w:val="center"/>
                    <w:rPr>
                      <w:szCs w:val="21"/>
                    </w:rPr>
                  </w:pPr>
                  <w:r>
                    <w:rPr>
                      <w:szCs w:val="21"/>
                    </w:rPr>
                    <w:t>0.26</w:t>
                  </w:r>
                </w:p>
              </w:tc>
              <w:tc>
                <w:tcPr>
                  <w:tcW w:w="320" w:type="pct"/>
                  <w:tcBorders>
                    <w:top w:val="single" w:color="auto" w:sz="4" w:space="0"/>
                    <w:left w:val="single" w:color="auto" w:sz="4" w:space="0"/>
                    <w:right w:val="single" w:color="auto" w:sz="4" w:space="0"/>
                  </w:tcBorders>
                  <w:vAlign w:val="center"/>
                </w:tcPr>
                <w:p>
                  <w:pPr>
                    <w:jc w:val="center"/>
                    <w:rPr>
                      <w:szCs w:val="21"/>
                    </w:rPr>
                  </w:pPr>
                  <w:r>
                    <w:rPr>
                      <w:szCs w:val="21"/>
                    </w:rPr>
                    <w:t>3.53</w:t>
                  </w:r>
                </w:p>
              </w:tc>
            </w:tr>
            <w:tr>
              <w:tblPrEx>
                <w:tblCellMar>
                  <w:top w:w="0" w:type="dxa"/>
                  <w:left w:w="10" w:type="dxa"/>
                  <w:bottom w:w="0" w:type="dxa"/>
                  <w:right w:w="10" w:type="dxa"/>
                </w:tblCellMar>
              </w:tblPrEx>
              <w:trPr>
                <w:jc w:val="center"/>
              </w:trPr>
              <w:tc>
                <w:tcPr>
                  <w:tcW w:w="391" w:type="pct"/>
                  <w:vMerge w:val="continue"/>
                  <w:tcBorders>
                    <w:left w:val="single" w:color="000000" w:sz="4" w:space="0"/>
                    <w:bottom w:val="single" w:color="auto" w:sz="4" w:space="0"/>
                    <w:right w:val="single" w:color="000000" w:sz="4" w:space="0"/>
                  </w:tcBorders>
                  <w:vAlign w:val="center"/>
                </w:tcPr>
                <w:p>
                  <w:pPr>
                    <w:jc w:val="center"/>
                  </w:pPr>
                </w:p>
              </w:tc>
              <w:tc>
                <w:tcPr>
                  <w:tcW w:w="761" w:type="pct"/>
                  <w:tcBorders>
                    <w:top w:val="single" w:color="auto" w:sz="4" w:space="0"/>
                    <w:left w:val="single" w:color="auto" w:sz="4" w:space="0"/>
                  </w:tcBorders>
                  <w:vAlign w:val="center"/>
                </w:tcPr>
                <w:p>
                  <w:pPr>
                    <w:jc w:val="center"/>
                  </w:pPr>
                  <w:r>
                    <w:t>超标倍数</w:t>
                  </w:r>
                </w:p>
              </w:tc>
              <w:tc>
                <w:tcPr>
                  <w:tcW w:w="576" w:type="pct"/>
                  <w:tcBorders>
                    <w:top w:val="single" w:color="auto" w:sz="4" w:space="0"/>
                    <w:left w:val="single" w:color="auto" w:sz="4" w:space="0"/>
                  </w:tcBorders>
                  <w:vAlign w:val="center"/>
                </w:tcPr>
                <w:p>
                  <w:pPr>
                    <w:jc w:val="center"/>
                  </w:pPr>
                  <w:r>
                    <w:t>0</w:t>
                  </w:r>
                </w:p>
              </w:tc>
              <w:tc>
                <w:tcPr>
                  <w:tcW w:w="510" w:type="pct"/>
                  <w:tcBorders>
                    <w:top w:val="single" w:color="auto" w:sz="4" w:space="0"/>
                    <w:left w:val="single" w:color="auto" w:sz="4" w:space="0"/>
                  </w:tcBorders>
                  <w:vAlign w:val="center"/>
                </w:tcPr>
                <w:p>
                  <w:pPr>
                    <w:jc w:val="center"/>
                  </w:pPr>
                  <w:r>
                    <w:t>0</w:t>
                  </w:r>
                </w:p>
              </w:tc>
              <w:tc>
                <w:tcPr>
                  <w:tcW w:w="472" w:type="pct"/>
                  <w:tcBorders>
                    <w:top w:val="single" w:color="auto" w:sz="4" w:space="0"/>
                    <w:left w:val="single" w:color="auto" w:sz="4" w:space="0"/>
                  </w:tcBorders>
                  <w:vAlign w:val="center"/>
                </w:tcPr>
                <w:p>
                  <w:pPr>
                    <w:jc w:val="center"/>
                  </w:pPr>
                  <w:r>
                    <w:t>0</w:t>
                  </w:r>
                </w:p>
              </w:tc>
              <w:tc>
                <w:tcPr>
                  <w:tcW w:w="441" w:type="pct"/>
                  <w:tcBorders>
                    <w:top w:val="single" w:color="auto" w:sz="4" w:space="0"/>
                    <w:left w:val="single" w:color="auto" w:sz="4" w:space="0"/>
                  </w:tcBorders>
                  <w:vAlign w:val="center"/>
                </w:tcPr>
                <w:p>
                  <w:pPr>
                    <w:autoSpaceDE w:val="0"/>
                    <w:autoSpaceDN w:val="0"/>
                    <w:spacing w:line="286" w:lineRule="exact"/>
                    <w:jc w:val="center"/>
                  </w:pPr>
                  <w:r>
                    <w:t>0</w:t>
                  </w:r>
                </w:p>
              </w:tc>
              <w:tc>
                <w:tcPr>
                  <w:tcW w:w="387" w:type="pct"/>
                  <w:tcBorders>
                    <w:top w:val="single" w:color="auto" w:sz="4" w:space="0"/>
                    <w:left w:val="single" w:color="auto" w:sz="4" w:space="0"/>
                  </w:tcBorders>
                  <w:vAlign w:val="center"/>
                </w:tcPr>
                <w:p>
                  <w:pPr>
                    <w:autoSpaceDE w:val="0"/>
                    <w:autoSpaceDN w:val="0"/>
                    <w:spacing w:line="286" w:lineRule="exact"/>
                    <w:jc w:val="center"/>
                  </w:pPr>
                  <w:r>
                    <w:t>0.02</w:t>
                  </w:r>
                </w:p>
              </w:tc>
              <w:tc>
                <w:tcPr>
                  <w:tcW w:w="415" w:type="pct"/>
                  <w:tcBorders>
                    <w:top w:val="single" w:color="auto" w:sz="4" w:space="0"/>
                    <w:left w:val="single" w:color="auto" w:sz="4" w:space="0"/>
                  </w:tcBorders>
                  <w:vAlign w:val="center"/>
                </w:tcPr>
                <w:p>
                  <w:pPr>
                    <w:autoSpaceDE w:val="0"/>
                    <w:autoSpaceDN w:val="0"/>
                    <w:spacing w:line="286" w:lineRule="exact"/>
                    <w:ind w:left="132"/>
                    <w:jc w:val="center"/>
                  </w:pPr>
                  <w:r>
                    <w:t>0</w:t>
                  </w:r>
                </w:p>
              </w:tc>
              <w:tc>
                <w:tcPr>
                  <w:tcW w:w="417" w:type="pct"/>
                  <w:tcBorders>
                    <w:top w:val="single" w:color="auto" w:sz="4" w:space="0"/>
                    <w:left w:val="single" w:color="auto" w:sz="4" w:space="0"/>
                  </w:tcBorders>
                  <w:vAlign w:val="center"/>
                </w:tcPr>
                <w:p>
                  <w:pPr>
                    <w:autoSpaceDE w:val="0"/>
                    <w:autoSpaceDN w:val="0"/>
                    <w:spacing w:line="286" w:lineRule="exact"/>
                    <w:ind w:left="130"/>
                    <w:jc w:val="center"/>
                  </w:pPr>
                  <w:r>
                    <w:t>0</w:t>
                  </w:r>
                </w:p>
              </w:tc>
              <w:tc>
                <w:tcPr>
                  <w:tcW w:w="309" w:type="pct"/>
                  <w:tcBorders>
                    <w:top w:val="single" w:color="auto" w:sz="4" w:space="0"/>
                    <w:left w:val="single" w:color="auto" w:sz="4" w:space="0"/>
                    <w:right w:val="single" w:color="auto" w:sz="4" w:space="0"/>
                  </w:tcBorders>
                  <w:vAlign w:val="center"/>
                </w:tcPr>
                <w:p>
                  <w:pPr>
                    <w:jc w:val="center"/>
                  </w:pPr>
                  <w:r>
                    <w:t>0</w:t>
                  </w:r>
                </w:p>
              </w:tc>
              <w:tc>
                <w:tcPr>
                  <w:tcW w:w="320" w:type="pct"/>
                  <w:tcBorders>
                    <w:top w:val="single" w:color="auto" w:sz="4" w:space="0"/>
                    <w:left w:val="single" w:color="auto" w:sz="4" w:space="0"/>
                    <w:right w:val="single" w:color="auto" w:sz="4" w:space="0"/>
                  </w:tcBorders>
                  <w:vAlign w:val="center"/>
                </w:tcPr>
                <w:p>
                  <w:pPr>
                    <w:jc w:val="center"/>
                  </w:pPr>
                  <w:r>
                    <w:t>2.53</w:t>
                  </w:r>
                </w:p>
              </w:tc>
            </w:tr>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bottom w:val="single" w:color="auto" w:sz="4" w:space="0"/>
                    <w:right w:val="single" w:color="auto" w:sz="4" w:space="0"/>
                  </w:tcBorders>
                  <w:vAlign w:val="center"/>
                </w:tcPr>
                <w:p>
                  <w:pPr>
                    <w:jc w:val="center"/>
                  </w:pPr>
                  <w:r>
                    <w:t>W2</w:t>
                  </w:r>
                </w:p>
              </w:tc>
              <w:tc>
                <w:tcPr>
                  <w:tcW w:w="761" w:type="pct"/>
                  <w:tcBorders>
                    <w:top w:val="single" w:color="auto" w:sz="4" w:space="0"/>
                    <w:left w:val="single" w:color="auto" w:sz="4" w:space="0"/>
                  </w:tcBorders>
                  <w:vAlign w:val="center"/>
                </w:tcPr>
                <w:p>
                  <w:pPr>
                    <w:jc w:val="center"/>
                  </w:pPr>
                  <w:r>
                    <w:t>平均值</w:t>
                  </w:r>
                </w:p>
              </w:tc>
              <w:tc>
                <w:tcPr>
                  <w:tcW w:w="576" w:type="pct"/>
                  <w:tcBorders>
                    <w:top w:val="single" w:color="auto" w:sz="4" w:space="0"/>
                    <w:left w:val="single" w:color="auto" w:sz="4" w:space="0"/>
                  </w:tcBorders>
                  <w:vAlign w:val="center"/>
                </w:tcPr>
                <w:p>
                  <w:pPr>
                    <w:jc w:val="center"/>
                  </w:pPr>
                  <w:r>
                    <w:t>18.3</w:t>
                  </w:r>
                </w:p>
              </w:tc>
              <w:tc>
                <w:tcPr>
                  <w:tcW w:w="510" w:type="pct"/>
                  <w:tcBorders>
                    <w:top w:val="single" w:color="auto" w:sz="4" w:space="0"/>
                    <w:left w:val="single" w:color="auto" w:sz="4" w:space="0"/>
                  </w:tcBorders>
                  <w:vAlign w:val="center"/>
                </w:tcPr>
                <w:p>
                  <w:pPr>
                    <w:jc w:val="center"/>
                  </w:pPr>
                  <w:r>
                    <w:t>6.80</w:t>
                  </w:r>
                </w:p>
              </w:tc>
              <w:tc>
                <w:tcPr>
                  <w:tcW w:w="472" w:type="pct"/>
                  <w:tcBorders>
                    <w:top w:val="single" w:color="auto" w:sz="4" w:space="0"/>
                    <w:left w:val="single" w:color="auto" w:sz="4" w:space="0"/>
                  </w:tcBorders>
                  <w:vAlign w:val="center"/>
                </w:tcPr>
                <w:p>
                  <w:pPr>
                    <w:autoSpaceDE w:val="0"/>
                    <w:autoSpaceDN w:val="0"/>
                    <w:spacing w:line="218" w:lineRule="exact"/>
                    <w:jc w:val="center"/>
                  </w:pPr>
                  <w:r>
                    <w:t>30</w:t>
                  </w:r>
                </w:p>
              </w:tc>
              <w:tc>
                <w:tcPr>
                  <w:tcW w:w="441" w:type="pct"/>
                  <w:tcBorders>
                    <w:top w:val="single" w:color="auto" w:sz="4" w:space="0"/>
                    <w:left w:val="single" w:color="auto" w:sz="4" w:space="0"/>
                  </w:tcBorders>
                  <w:vAlign w:val="center"/>
                </w:tcPr>
                <w:p>
                  <w:pPr>
                    <w:autoSpaceDE w:val="0"/>
                    <w:autoSpaceDN w:val="0"/>
                    <w:spacing w:line="288" w:lineRule="exact"/>
                    <w:ind w:left="53"/>
                    <w:jc w:val="center"/>
                  </w:pPr>
                  <w:r>
                    <w:t>7.0</w:t>
                  </w:r>
                </w:p>
              </w:tc>
              <w:tc>
                <w:tcPr>
                  <w:tcW w:w="387" w:type="pct"/>
                  <w:tcBorders>
                    <w:top w:val="single" w:color="auto" w:sz="4" w:space="0"/>
                    <w:left w:val="single" w:color="auto" w:sz="4" w:space="0"/>
                  </w:tcBorders>
                  <w:vAlign w:val="center"/>
                </w:tcPr>
                <w:p>
                  <w:pPr>
                    <w:autoSpaceDE w:val="0"/>
                    <w:autoSpaceDN w:val="0"/>
                    <w:spacing w:line="288" w:lineRule="exact"/>
                    <w:jc w:val="center"/>
                  </w:pPr>
                  <w:r>
                    <w:t>2.14</w:t>
                  </w:r>
                </w:p>
              </w:tc>
              <w:tc>
                <w:tcPr>
                  <w:tcW w:w="415" w:type="pct"/>
                  <w:tcBorders>
                    <w:top w:val="single" w:color="auto" w:sz="4" w:space="0"/>
                    <w:left w:val="single" w:color="auto" w:sz="4" w:space="0"/>
                  </w:tcBorders>
                  <w:vAlign w:val="center"/>
                </w:tcPr>
                <w:p>
                  <w:pPr>
                    <w:autoSpaceDE w:val="0"/>
                    <w:autoSpaceDN w:val="0"/>
                    <w:spacing w:line="218" w:lineRule="exact"/>
                    <w:jc w:val="center"/>
                  </w:pPr>
                  <w:r>
                    <w:t>4.1</w:t>
                  </w:r>
                </w:p>
              </w:tc>
              <w:tc>
                <w:tcPr>
                  <w:tcW w:w="417" w:type="pct"/>
                  <w:tcBorders>
                    <w:top w:val="single" w:color="auto" w:sz="4" w:space="0"/>
                    <w:left w:val="single" w:color="auto" w:sz="4" w:space="0"/>
                  </w:tcBorders>
                  <w:vAlign w:val="center"/>
                </w:tcPr>
                <w:p>
                  <w:pPr>
                    <w:autoSpaceDE w:val="0"/>
                    <w:autoSpaceDN w:val="0"/>
                    <w:spacing w:line="218" w:lineRule="exact"/>
                    <w:jc w:val="center"/>
                  </w:pPr>
                  <w:r>
                    <w:t>0.05</w:t>
                  </w:r>
                </w:p>
              </w:tc>
              <w:tc>
                <w:tcPr>
                  <w:tcW w:w="309" w:type="pct"/>
                  <w:tcBorders>
                    <w:top w:val="single" w:color="auto" w:sz="4" w:space="0"/>
                    <w:left w:val="single" w:color="auto" w:sz="4" w:space="0"/>
                    <w:right w:val="single" w:color="auto" w:sz="4" w:space="0"/>
                  </w:tcBorders>
                  <w:vAlign w:val="center"/>
                </w:tcPr>
                <w:p>
                  <w:pPr>
                    <w:jc w:val="center"/>
                  </w:pPr>
                  <w:r>
                    <w:t>0.16</w:t>
                  </w:r>
                </w:p>
              </w:tc>
              <w:tc>
                <w:tcPr>
                  <w:tcW w:w="320" w:type="pct"/>
                  <w:tcBorders>
                    <w:top w:val="single" w:color="auto" w:sz="4" w:space="0"/>
                    <w:left w:val="single" w:color="auto" w:sz="4" w:space="0"/>
                    <w:right w:val="single" w:color="auto" w:sz="4" w:space="0"/>
                  </w:tcBorders>
                  <w:vAlign w:val="center"/>
                </w:tcPr>
                <w:p>
                  <w:pPr>
                    <w:jc w:val="center"/>
                  </w:pPr>
                  <w:r>
                    <w:t>7.06</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right w:val="single" w:color="auto" w:sz="4" w:space="0"/>
                  </w:tcBorders>
                  <w:vAlign w:val="center"/>
                </w:tcPr>
                <w:p>
                  <w:pPr>
                    <w:jc w:val="center"/>
                  </w:pPr>
                </w:p>
              </w:tc>
              <w:tc>
                <w:tcPr>
                  <w:tcW w:w="761" w:type="pct"/>
                  <w:tcBorders>
                    <w:top w:val="single" w:color="auto" w:sz="4" w:space="0"/>
                    <w:left w:val="single" w:color="auto" w:sz="4" w:space="0"/>
                  </w:tcBorders>
                  <w:vAlign w:val="center"/>
                </w:tcPr>
                <w:p>
                  <w:pPr>
                    <w:jc w:val="center"/>
                  </w:pPr>
                  <w:r>
                    <w:t>V类标准值</w:t>
                  </w:r>
                </w:p>
              </w:tc>
              <w:tc>
                <w:tcPr>
                  <w:tcW w:w="576" w:type="pct"/>
                  <w:tcBorders>
                    <w:top w:val="single" w:color="auto" w:sz="4" w:space="0"/>
                    <w:left w:val="single" w:color="auto" w:sz="4" w:space="0"/>
                  </w:tcBorders>
                  <w:vAlign w:val="center"/>
                </w:tcPr>
                <w:p>
                  <w:pPr>
                    <w:jc w:val="center"/>
                  </w:pPr>
                  <w:r>
                    <w:t>/</w:t>
                  </w:r>
                </w:p>
              </w:tc>
              <w:tc>
                <w:tcPr>
                  <w:tcW w:w="510" w:type="pct"/>
                  <w:tcBorders>
                    <w:top w:val="single" w:color="auto" w:sz="4" w:space="0"/>
                    <w:left w:val="single" w:color="auto" w:sz="4" w:space="0"/>
                  </w:tcBorders>
                  <w:vAlign w:val="center"/>
                </w:tcPr>
                <w:p>
                  <w:pPr>
                    <w:jc w:val="center"/>
                  </w:pPr>
                  <w:r>
                    <w:t>6~9</w:t>
                  </w:r>
                </w:p>
              </w:tc>
              <w:tc>
                <w:tcPr>
                  <w:tcW w:w="472" w:type="pct"/>
                  <w:tcBorders>
                    <w:top w:val="single" w:color="auto" w:sz="4" w:space="0"/>
                    <w:left w:val="single" w:color="auto" w:sz="4" w:space="0"/>
                  </w:tcBorders>
                  <w:vAlign w:val="center"/>
                </w:tcPr>
                <w:p>
                  <w:pPr>
                    <w:autoSpaceDE w:val="0"/>
                    <w:autoSpaceDN w:val="0"/>
                    <w:spacing w:line="288" w:lineRule="exact"/>
                    <w:ind w:left="77"/>
                    <w:jc w:val="center"/>
                  </w:pPr>
                  <w:r>
                    <w:t>40</w:t>
                  </w:r>
                </w:p>
              </w:tc>
              <w:tc>
                <w:tcPr>
                  <w:tcW w:w="441" w:type="pct"/>
                  <w:tcBorders>
                    <w:top w:val="single" w:color="auto" w:sz="4" w:space="0"/>
                    <w:left w:val="single" w:color="auto" w:sz="4" w:space="0"/>
                  </w:tcBorders>
                  <w:vAlign w:val="center"/>
                </w:tcPr>
                <w:p>
                  <w:pPr>
                    <w:autoSpaceDE w:val="0"/>
                    <w:autoSpaceDN w:val="0"/>
                    <w:spacing w:line="288" w:lineRule="exact"/>
                    <w:ind w:left="77"/>
                    <w:jc w:val="center"/>
                  </w:pPr>
                  <w:r>
                    <w:t>10</w:t>
                  </w:r>
                </w:p>
              </w:tc>
              <w:tc>
                <w:tcPr>
                  <w:tcW w:w="387" w:type="pct"/>
                  <w:tcBorders>
                    <w:top w:val="single" w:color="auto" w:sz="4" w:space="0"/>
                    <w:left w:val="single" w:color="auto" w:sz="4" w:space="0"/>
                  </w:tcBorders>
                  <w:vAlign w:val="center"/>
                </w:tcPr>
                <w:p>
                  <w:pPr>
                    <w:autoSpaceDE w:val="0"/>
                    <w:autoSpaceDN w:val="0"/>
                    <w:spacing w:line="288" w:lineRule="exact"/>
                    <w:ind w:left="53"/>
                    <w:jc w:val="center"/>
                  </w:pPr>
                  <w:r>
                    <w:t>2.0</w:t>
                  </w:r>
                </w:p>
              </w:tc>
              <w:tc>
                <w:tcPr>
                  <w:tcW w:w="415" w:type="pct"/>
                  <w:tcBorders>
                    <w:top w:val="single" w:color="auto" w:sz="4" w:space="0"/>
                    <w:left w:val="single" w:color="auto" w:sz="4" w:space="0"/>
                  </w:tcBorders>
                  <w:vAlign w:val="center"/>
                </w:tcPr>
                <w:p>
                  <w:pPr>
                    <w:autoSpaceDE w:val="0"/>
                    <w:autoSpaceDN w:val="0"/>
                    <w:spacing w:line="288" w:lineRule="exact"/>
                    <w:ind w:left="79"/>
                    <w:jc w:val="center"/>
                  </w:pPr>
                  <w:r>
                    <w:t>2</w:t>
                  </w:r>
                </w:p>
              </w:tc>
              <w:tc>
                <w:tcPr>
                  <w:tcW w:w="417" w:type="pct"/>
                  <w:tcBorders>
                    <w:top w:val="single" w:color="auto" w:sz="4" w:space="0"/>
                    <w:left w:val="single" w:color="auto" w:sz="4" w:space="0"/>
                  </w:tcBorders>
                  <w:vAlign w:val="center"/>
                </w:tcPr>
                <w:p>
                  <w:pPr>
                    <w:autoSpaceDE w:val="0"/>
                    <w:autoSpaceDN w:val="0"/>
                    <w:spacing w:line="288" w:lineRule="exact"/>
                    <w:ind w:left="50"/>
                    <w:jc w:val="center"/>
                  </w:pPr>
                  <w:r>
                    <w:t>1.0</w:t>
                  </w:r>
                </w:p>
              </w:tc>
              <w:tc>
                <w:tcPr>
                  <w:tcW w:w="309" w:type="pct"/>
                  <w:tcBorders>
                    <w:top w:val="single" w:color="auto" w:sz="4" w:space="0"/>
                    <w:left w:val="single" w:color="auto" w:sz="4" w:space="0"/>
                    <w:right w:val="single" w:color="auto" w:sz="4" w:space="0"/>
                  </w:tcBorders>
                  <w:vAlign w:val="center"/>
                </w:tcPr>
                <w:p>
                  <w:pPr>
                    <w:jc w:val="center"/>
                  </w:pPr>
                  <w:r>
                    <w:t>0.5</w:t>
                  </w:r>
                </w:p>
              </w:tc>
              <w:tc>
                <w:tcPr>
                  <w:tcW w:w="320" w:type="pct"/>
                  <w:tcBorders>
                    <w:top w:val="single" w:color="auto" w:sz="4" w:space="0"/>
                    <w:left w:val="single" w:color="auto" w:sz="4" w:space="0"/>
                    <w:right w:val="single" w:color="auto" w:sz="4" w:space="0"/>
                  </w:tcBorders>
                  <w:vAlign w:val="center"/>
                </w:tcPr>
                <w:p>
                  <w:pPr>
                    <w:jc w:val="center"/>
                  </w:pPr>
                  <w:r>
                    <w:t>2.0</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right w:val="single" w:color="auto" w:sz="4" w:space="0"/>
                  </w:tcBorders>
                  <w:vAlign w:val="center"/>
                </w:tcPr>
                <w:p>
                  <w:pPr>
                    <w:jc w:val="center"/>
                  </w:pPr>
                </w:p>
              </w:tc>
              <w:tc>
                <w:tcPr>
                  <w:tcW w:w="761" w:type="pct"/>
                  <w:tcBorders>
                    <w:top w:val="single" w:color="auto" w:sz="4" w:space="0"/>
                    <w:left w:val="single" w:color="auto" w:sz="4" w:space="0"/>
                  </w:tcBorders>
                  <w:vAlign w:val="center"/>
                </w:tcPr>
                <w:p>
                  <w:pPr>
                    <w:jc w:val="center"/>
                  </w:pPr>
                  <w:r>
                    <w:t>标准指数</w:t>
                  </w:r>
                </w:p>
              </w:tc>
              <w:tc>
                <w:tcPr>
                  <w:tcW w:w="576" w:type="pct"/>
                  <w:tcBorders>
                    <w:top w:val="single" w:color="auto" w:sz="4" w:space="0"/>
                    <w:left w:val="single" w:color="auto" w:sz="4" w:space="0"/>
                  </w:tcBorders>
                  <w:vAlign w:val="center"/>
                </w:tcPr>
                <w:p>
                  <w:pPr>
                    <w:jc w:val="center"/>
                  </w:pPr>
                  <w:r>
                    <w:t>0</w:t>
                  </w:r>
                </w:p>
              </w:tc>
              <w:tc>
                <w:tcPr>
                  <w:tcW w:w="510" w:type="pct"/>
                  <w:tcBorders>
                    <w:top w:val="single" w:color="auto" w:sz="4" w:space="0"/>
                    <w:left w:val="single" w:color="auto" w:sz="4" w:space="0"/>
                  </w:tcBorders>
                  <w:vAlign w:val="center"/>
                </w:tcPr>
                <w:p>
                  <w:pPr>
                    <w:widowControl/>
                    <w:jc w:val="center"/>
                    <w:rPr>
                      <w:kern w:val="0"/>
                      <w:szCs w:val="21"/>
                    </w:rPr>
                  </w:pPr>
                  <w:r>
                    <w:rPr>
                      <w:szCs w:val="21"/>
                    </w:rPr>
                    <w:t>0.2</w:t>
                  </w:r>
                </w:p>
              </w:tc>
              <w:tc>
                <w:tcPr>
                  <w:tcW w:w="472" w:type="pct"/>
                  <w:tcBorders>
                    <w:top w:val="single" w:color="auto" w:sz="4" w:space="0"/>
                    <w:left w:val="single" w:color="auto" w:sz="4" w:space="0"/>
                  </w:tcBorders>
                  <w:vAlign w:val="center"/>
                </w:tcPr>
                <w:p>
                  <w:pPr>
                    <w:jc w:val="center"/>
                    <w:rPr>
                      <w:szCs w:val="21"/>
                    </w:rPr>
                  </w:pPr>
                  <w:r>
                    <w:rPr>
                      <w:szCs w:val="21"/>
                    </w:rPr>
                    <w:t>0.75</w:t>
                  </w:r>
                </w:p>
              </w:tc>
              <w:tc>
                <w:tcPr>
                  <w:tcW w:w="441" w:type="pct"/>
                  <w:tcBorders>
                    <w:top w:val="single" w:color="auto" w:sz="4" w:space="0"/>
                    <w:left w:val="single" w:color="auto" w:sz="4" w:space="0"/>
                  </w:tcBorders>
                  <w:vAlign w:val="center"/>
                </w:tcPr>
                <w:p>
                  <w:pPr>
                    <w:jc w:val="center"/>
                    <w:rPr>
                      <w:szCs w:val="21"/>
                    </w:rPr>
                  </w:pPr>
                  <w:r>
                    <w:rPr>
                      <w:szCs w:val="21"/>
                    </w:rPr>
                    <w:t>0.7</w:t>
                  </w:r>
                </w:p>
              </w:tc>
              <w:tc>
                <w:tcPr>
                  <w:tcW w:w="387" w:type="pct"/>
                  <w:tcBorders>
                    <w:top w:val="single" w:color="auto" w:sz="4" w:space="0"/>
                    <w:left w:val="single" w:color="auto" w:sz="4" w:space="0"/>
                  </w:tcBorders>
                  <w:vAlign w:val="center"/>
                </w:tcPr>
                <w:p>
                  <w:pPr>
                    <w:jc w:val="center"/>
                    <w:rPr>
                      <w:szCs w:val="21"/>
                    </w:rPr>
                  </w:pPr>
                  <w:r>
                    <w:rPr>
                      <w:szCs w:val="21"/>
                    </w:rPr>
                    <w:t>1.07</w:t>
                  </w:r>
                </w:p>
              </w:tc>
              <w:tc>
                <w:tcPr>
                  <w:tcW w:w="415" w:type="pct"/>
                  <w:tcBorders>
                    <w:top w:val="single" w:color="auto" w:sz="4" w:space="0"/>
                    <w:left w:val="single" w:color="auto" w:sz="4" w:space="0"/>
                  </w:tcBorders>
                  <w:vAlign w:val="center"/>
                </w:tcPr>
                <w:p>
                  <w:pPr>
                    <w:jc w:val="center"/>
                    <w:rPr>
                      <w:szCs w:val="21"/>
                    </w:rPr>
                  </w:pPr>
                  <w:r>
                    <w:rPr>
                      <w:szCs w:val="21"/>
                    </w:rPr>
                    <w:t>0.83</w:t>
                  </w:r>
                </w:p>
              </w:tc>
              <w:tc>
                <w:tcPr>
                  <w:tcW w:w="417" w:type="pct"/>
                  <w:tcBorders>
                    <w:top w:val="single" w:color="auto" w:sz="4" w:space="0"/>
                    <w:left w:val="single" w:color="auto" w:sz="4" w:space="0"/>
                  </w:tcBorders>
                  <w:vAlign w:val="center"/>
                </w:tcPr>
                <w:p>
                  <w:pPr>
                    <w:jc w:val="center"/>
                    <w:rPr>
                      <w:szCs w:val="21"/>
                    </w:rPr>
                  </w:pPr>
                  <w:r>
                    <w:rPr>
                      <w:szCs w:val="21"/>
                    </w:rPr>
                    <w:t>0.05</w:t>
                  </w:r>
                </w:p>
              </w:tc>
              <w:tc>
                <w:tcPr>
                  <w:tcW w:w="309" w:type="pct"/>
                  <w:tcBorders>
                    <w:top w:val="single" w:color="auto" w:sz="4" w:space="0"/>
                    <w:left w:val="single" w:color="auto" w:sz="4" w:space="0"/>
                    <w:right w:val="single" w:color="auto" w:sz="4" w:space="0"/>
                  </w:tcBorders>
                  <w:vAlign w:val="center"/>
                </w:tcPr>
                <w:p>
                  <w:pPr>
                    <w:jc w:val="center"/>
                    <w:rPr>
                      <w:szCs w:val="21"/>
                    </w:rPr>
                  </w:pPr>
                  <w:r>
                    <w:rPr>
                      <w:szCs w:val="21"/>
                    </w:rPr>
                    <w:t>0.32</w:t>
                  </w:r>
                </w:p>
              </w:tc>
              <w:tc>
                <w:tcPr>
                  <w:tcW w:w="320" w:type="pct"/>
                  <w:tcBorders>
                    <w:top w:val="single" w:color="auto" w:sz="4" w:space="0"/>
                    <w:left w:val="single" w:color="auto" w:sz="4" w:space="0"/>
                    <w:right w:val="single" w:color="auto" w:sz="4" w:space="0"/>
                  </w:tcBorders>
                  <w:vAlign w:val="center"/>
                </w:tcPr>
                <w:p>
                  <w:pPr>
                    <w:jc w:val="center"/>
                    <w:rPr>
                      <w:szCs w:val="21"/>
                    </w:rPr>
                  </w:pPr>
                  <w:r>
                    <w:rPr>
                      <w:szCs w:val="21"/>
                    </w:rPr>
                    <w:t>3.53</w:t>
                  </w:r>
                </w:p>
              </w:tc>
            </w:tr>
            <w:tr>
              <w:tblPrEx>
                <w:tblCellMar>
                  <w:top w:w="0" w:type="dxa"/>
                  <w:left w:w="10" w:type="dxa"/>
                  <w:bottom w:w="0" w:type="dxa"/>
                  <w:right w:w="10" w:type="dxa"/>
                </w:tblCellMar>
              </w:tblPrEx>
              <w:trPr>
                <w:trHeight w:val="171" w:hRule="atLeast"/>
                <w:jc w:val="center"/>
              </w:trPr>
              <w:tc>
                <w:tcPr>
                  <w:tcW w:w="391" w:type="pct"/>
                  <w:vMerge w:val="continue"/>
                  <w:tcBorders>
                    <w:top w:val="single" w:color="auto" w:sz="4" w:space="0"/>
                    <w:left w:val="single" w:color="auto" w:sz="4" w:space="0"/>
                    <w:bottom w:val="single" w:color="auto" w:sz="4" w:space="0"/>
                    <w:right w:val="single" w:color="auto" w:sz="4" w:space="0"/>
                  </w:tcBorders>
                  <w:vAlign w:val="center"/>
                </w:tcPr>
                <w:p>
                  <w:pPr>
                    <w:jc w:val="center"/>
                  </w:pPr>
                </w:p>
              </w:tc>
              <w:tc>
                <w:tcPr>
                  <w:tcW w:w="761" w:type="pct"/>
                  <w:tcBorders>
                    <w:top w:val="single" w:color="auto" w:sz="4" w:space="0"/>
                    <w:left w:val="single" w:color="auto" w:sz="4" w:space="0"/>
                  </w:tcBorders>
                  <w:vAlign w:val="center"/>
                </w:tcPr>
                <w:p>
                  <w:pPr>
                    <w:jc w:val="center"/>
                  </w:pPr>
                  <w:r>
                    <w:t>超标倍数</w:t>
                  </w:r>
                </w:p>
              </w:tc>
              <w:tc>
                <w:tcPr>
                  <w:tcW w:w="576" w:type="pct"/>
                  <w:tcBorders>
                    <w:top w:val="single" w:color="auto" w:sz="4" w:space="0"/>
                    <w:left w:val="single" w:color="auto" w:sz="4" w:space="0"/>
                  </w:tcBorders>
                  <w:vAlign w:val="center"/>
                </w:tcPr>
                <w:p>
                  <w:pPr>
                    <w:jc w:val="center"/>
                  </w:pPr>
                  <w:r>
                    <w:t>0</w:t>
                  </w:r>
                </w:p>
              </w:tc>
              <w:tc>
                <w:tcPr>
                  <w:tcW w:w="510" w:type="pct"/>
                  <w:tcBorders>
                    <w:top w:val="single" w:color="auto" w:sz="4" w:space="0"/>
                    <w:left w:val="single" w:color="auto" w:sz="4" w:space="0"/>
                  </w:tcBorders>
                  <w:vAlign w:val="center"/>
                </w:tcPr>
                <w:p>
                  <w:pPr>
                    <w:jc w:val="center"/>
                  </w:pPr>
                  <w:r>
                    <w:t>0</w:t>
                  </w:r>
                </w:p>
              </w:tc>
              <w:tc>
                <w:tcPr>
                  <w:tcW w:w="472" w:type="pct"/>
                  <w:tcBorders>
                    <w:top w:val="single" w:color="auto" w:sz="4" w:space="0"/>
                    <w:left w:val="single" w:color="auto" w:sz="4" w:space="0"/>
                  </w:tcBorders>
                  <w:vAlign w:val="center"/>
                </w:tcPr>
                <w:p>
                  <w:pPr>
                    <w:autoSpaceDE w:val="0"/>
                    <w:autoSpaceDN w:val="0"/>
                    <w:spacing w:line="218" w:lineRule="exact"/>
                    <w:ind w:left="182"/>
                    <w:jc w:val="center"/>
                  </w:pPr>
                  <w:r>
                    <w:t>0</w:t>
                  </w:r>
                </w:p>
              </w:tc>
              <w:tc>
                <w:tcPr>
                  <w:tcW w:w="441" w:type="pct"/>
                  <w:tcBorders>
                    <w:top w:val="single" w:color="auto" w:sz="4" w:space="0"/>
                    <w:left w:val="single" w:color="auto" w:sz="4" w:space="0"/>
                  </w:tcBorders>
                  <w:vAlign w:val="center"/>
                </w:tcPr>
                <w:p>
                  <w:pPr>
                    <w:autoSpaceDE w:val="0"/>
                    <w:autoSpaceDN w:val="0"/>
                    <w:spacing w:line="218" w:lineRule="exact"/>
                    <w:jc w:val="center"/>
                  </w:pPr>
                  <w:r>
                    <w:t>0</w:t>
                  </w:r>
                </w:p>
              </w:tc>
              <w:tc>
                <w:tcPr>
                  <w:tcW w:w="387" w:type="pct"/>
                  <w:tcBorders>
                    <w:top w:val="single" w:color="auto" w:sz="4" w:space="0"/>
                    <w:left w:val="single" w:color="auto" w:sz="4" w:space="0"/>
                  </w:tcBorders>
                  <w:vAlign w:val="center"/>
                </w:tcPr>
                <w:p>
                  <w:pPr>
                    <w:autoSpaceDE w:val="0"/>
                    <w:autoSpaceDN w:val="0"/>
                    <w:spacing w:line="218" w:lineRule="exact"/>
                    <w:jc w:val="center"/>
                  </w:pPr>
                  <w:r>
                    <w:t>0.07</w:t>
                  </w:r>
                </w:p>
              </w:tc>
              <w:tc>
                <w:tcPr>
                  <w:tcW w:w="415" w:type="pct"/>
                  <w:tcBorders>
                    <w:top w:val="single" w:color="auto" w:sz="4" w:space="0"/>
                    <w:left w:val="single" w:color="auto" w:sz="4" w:space="0"/>
                  </w:tcBorders>
                  <w:vAlign w:val="center"/>
                </w:tcPr>
                <w:p>
                  <w:pPr>
                    <w:autoSpaceDE w:val="0"/>
                    <w:autoSpaceDN w:val="0"/>
                    <w:spacing w:line="218" w:lineRule="exact"/>
                    <w:ind w:left="79"/>
                    <w:jc w:val="center"/>
                  </w:pPr>
                  <w:r>
                    <w:t>0</w:t>
                  </w:r>
                </w:p>
              </w:tc>
              <w:tc>
                <w:tcPr>
                  <w:tcW w:w="417" w:type="pct"/>
                  <w:tcBorders>
                    <w:top w:val="single" w:color="auto" w:sz="4" w:space="0"/>
                    <w:left w:val="single" w:color="auto" w:sz="4" w:space="0"/>
                  </w:tcBorders>
                  <w:vAlign w:val="center"/>
                </w:tcPr>
                <w:p>
                  <w:pPr>
                    <w:autoSpaceDE w:val="0"/>
                    <w:autoSpaceDN w:val="0"/>
                    <w:spacing w:line="218" w:lineRule="exact"/>
                    <w:ind w:left="130"/>
                    <w:jc w:val="center"/>
                  </w:pPr>
                  <w:r>
                    <w:t>0</w:t>
                  </w:r>
                </w:p>
              </w:tc>
              <w:tc>
                <w:tcPr>
                  <w:tcW w:w="309" w:type="pct"/>
                  <w:tcBorders>
                    <w:top w:val="single" w:color="auto" w:sz="4" w:space="0"/>
                    <w:left w:val="single" w:color="auto" w:sz="4" w:space="0"/>
                    <w:right w:val="single" w:color="auto" w:sz="4" w:space="0"/>
                  </w:tcBorders>
                  <w:vAlign w:val="center"/>
                </w:tcPr>
                <w:p>
                  <w:pPr>
                    <w:jc w:val="center"/>
                  </w:pPr>
                  <w:r>
                    <w:t>0</w:t>
                  </w:r>
                </w:p>
              </w:tc>
              <w:tc>
                <w:tcPr>
                  <w:tcW w:w="320" w:type="pct"/>
                  <w:tcBorders>
                    <w:top w:val="single" w:color="auto" w:sz="4" w:space="0"/>
                    <w:left w:val="single" w:color="auto" w:sz="4" w:space="0"/>
                    <w:right w:val="single" w:color="auto" w:sz="4" w:space="0"/>
                  </w:tcBorders>
                  <w:vAlign w:val="center"/>
                </w:tcPr>
                <w:p>
                  <w:pPr>
                    <w:jc w:val="center"/>
                  </w:pPr>
                  <w:r>
                    <w:t>2.53</w:t>
                  </w:r>
                </w:p>
              </w:tc>
            </w:tr>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bottom w:val="single" w:color="auto" w:sz="4" w:space="0"/>
                  </w:tcBorders>
                  <w:vAlign w:val="center"/>
                </w:tcPr>
                <w:p>
                  <w:pPr>
                    <w:jc w:val="center"/>
                  </w:pPr>
                  <w:r>
                    <w:t>W5</w:t>
                  </w:r>
                </w:p>
              </w:tc>
              <w:tc>
                <w:tcPr>
                  <w:tcW w:w="761" w:type="pct"/>
                  <w:tcBorders>
                    <w:top w:val="single" w:color="auto" w:sz="4" w:space="0"/>
                    <w:left w:val="single" w:color="auto" w:sz="4" w:space="0"/>
                  </w:tcBorders>
                  <w:vAlign w:val="center"/>
                </w:tcPr>
                <w:p>
                  <w:pPr>
                    <w:jc w:val="center"/>
                  </w:pPr>
                  <w:r>
                    <w:t>平均值</w:t>
                  </w:r>
                </w:p>
              </w:tc>
              <w:tc>
                <w:tcPr>
                  <w:tcW w:w="576" w:type="pct"/>
                  <w:tcBorders>
                    <w:top w:val="single" w:color="auto" w:sz="4" w:space="0"/>
                    <w:left w:val="single" w:color="auto" w:sz="4" w:space="0"/>
                  </w:tcBorders>
                  <w:vAlign w:val="center"/>
                </w:tcPr>
                <w:p>
                  <w:pPr>
                    <w:jc w:val="center"/>
                  </w:pPr>
                  <w:r>
                    <w:t>16.8</w:t>
                  </w:r>
                </w:p>
              </w:tc>
              <w:tc>
                <w:tcPr>
                  <w:tcW w:w="510" w:type="pct"/>
                  <w:tcBorders>
                    <w:top w:val="single" w:color="auto" w:sz="4" w:space="0"/>
                    <w:left w:val="single" w:color="auto" w:sz="4" w:space="0"/>
                  </w:tcBorders>
                  <w:vAlign w:val="center"/>
                </w:tcPr>
                <w:p>
                  <w:pPr>
                    <w:autoSpaceDE w:val="0"/>
                    <w:autoSpaceDN w:val="0"/>
                    <w:spacing w:line="218" w:lineRule="exact"/>
                    <w:jc w:val="center"/>
                  </w:pPr>
                  <w:r>
                    <w:t>7.12</w:t>
                  </w:r>
                </w:p>
              </w:tc>
              <w:tc>
                <w:tcPr>
                  <w:tcW w:w="472" w:type="pct"/>
                  <w:tcBorders>
                    <w:top w:val="single" w:color="auto" w:sz="4" w:space="0"/>
                    <w:left w:val="single" w:color="auto" w:sz="4" w:space="0"/>
                  </w:tcBorders>
                  <w:vAlign w:val="center"/>
                </w:tcPr>
                <w:p>
                  <w:pPr>
                    <w:autoSpaceDE w:val="0"/>
                    <w:autoSpaceDN w:val="0"/>
                    <w:spacing w:line="286" w:lineRule="exact"/>
                    <w:jc w:val="center"/>
                  </w:pPr>
                  <w:r>
                    <w:t>14.33</w:t>
                  </w:r>
                </w:p>
              </w:tc>
              <w:tc>
                <w:tcPr>
                  <w:tcW w:w="441" w:type="pct"/>
                  <w:tcBorders>
                    <w:top w:val="single" w:color="auto" w:sz="4" w:space="0"/>
                    <w:left w:val="single" w:color="auto" w:sz="4" w:space="0"/>
                  </w:tcBorders>
                  <w:vAlign w:val="center"/>
                </w:tcPr>
                <w:p>
                  <w:pPr>
                    <w:autoSpaceDE w:val="0"/>
                    <w:autoSpaceDN w:val="0"/>
                    <w:spacing w:line="286" w:lineRule="exact"/>
                    <w:ind w:left="53"/>
                    <w:jc w:val="center"/>
                  </w:pPr>
                  <w:r>
                    <w:t>2.3</w:t>
                  </w:r>
                </w:p>
              </w:tc>
              <w:tc>
                <w:tcPr>
                  <w:tcW w:w="387" w:type="pct"/>
                  <w:tcBorders>
                    <w:top w:val="single" w:color="auto" w:sz="4" w:space="0"/>
                    <w:left w:val="single" w:color="auto" w:sz="4" w:space="0"/>
                  </w:tcBorders>
                  <w:vAlign w:val="center"/>
                </w:tcPr>
                <w:p>
                  <w:pPr>
                    <w:autoSpaceDE w:val="0"/>
                    <w:autoSpaceDN w:val="0"/>
                    <w:spacing w:line="286" w:lineRule="exact"/>
                    <w:jc w:val="center"/>
                  </w:pPr>
                  <w:r>
                    <w:t>0.20</w:t>
                  </w:r>
                </w:p>
              </w:tc>
              <w:tc>
                <w:tcPr>
                  <w:tcW w:w="415" w:type="pct"/>
                  <w:tcBorders>
                    <w:top w:val="single" w:color="auto" w:sz="4" w:space="0"/>
                    <w:left w:val="single" w:color="auto" w:sz="4" w:space="0"/>
                  </w:tcBorders>
                  <w:vAlign w:val="center"/>
                </w:tcPr>
                <w:p>
                  <w:pPr>
                    <w:autoSpaceDE w:val="0"/>
                    <w:autoSpaceDN w:val="0"/>
                    <w:spacing w:line="286" w:lineRule="exact"/>
                    <w:jc w:val="center"/>
                  </w:pPr>
                  <w:r>
                    <w:t>5.9</w:t>
                  </w:r>
                </w:p>
              </w:tc>
              <w:tc>
                <w:tcPr>
                  <w:tcW w:w="417" w:type="pct"/>
                  <w:tcBorders>
                    <w:top w:val="single" w:color="auto" w:sz="4" w:space="0"/>
                    <w:left w:val="single" w:color="auto" w:sz="4" w:space="0"/>
                  </w:tcBorders>
                  <w:vAlign w:val="center"/>
                </w:tcPr>
                <w:p>
                  <w:pPr>
                    <w:autoSpaceDE w:val="0"/>
                    <w:autoSpaceDN w:val="0"/>
                    <w:spacing w:line="286" w:lineRule="exact"/>
                    <w:ind w:left="31"/>
                    <w:jc w:val="center"/>
                  </w:pPr>
                  <w:r>
                    <w:t>ND</w:t>
                  </w:r>
                </w:p>
              </w:tc>
              <w:tc>
                <w:tcPr>
                  <w:tcW w:w="309" w:type="pct"/>
                  <w:tcBorders>
                    <w:top w:val="single" w:color="auto" w:sz="4" w:space="0"/>
                    <w:left w:val="single" w:color="auto" w:sz="4" w:space="0"/>
                    <w:right w:val="single" w:color="auto" w:sz="4" w:space="0"/>
                  </w:tcBorders>
                  <w:vAlign w:val="center"/>
                </w:tcPr>
                <w:p>
                  <w:pPr>
                    <w:jc w:val="center"/>
                  </w:pPr>
                  <w:r>
                    <w:t>0.07</w:t>
                  </w:r>
                </w:p>
              </w:tc>
              <w:tc>
                <w:tcPr>
                  <w:tcW w:w="320" w:type="pct"/>
                  <w:tcBorders>
                    <w:top w:val="single" w:color="auto" w:sz="4" w:space="0"/>
                    <w:left w:val="single" w:color="auto" w:sz="4" w:space="0"/>
                    <w:right w:val="single" w:color="auto" w:sz="4" w:space="0"/>
                  </w:tcBorders>
                  <w:vAlign w:val="center"/>
                </w:tcPr>
                <w:p>
                  <w:pPr>
                    <w:jc w:val="center"/>
                  </w:pPr>
                  <w:r>
                    <w:t>0.79</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tcBorders>
                  <w:vAlign w:val="center"/>
                </w:tcPr>
                <w:p>
                  <w:pPr>
                    <w:jc w:val="center"/>
                  </w:pPr>
                </w:p>
              </w:tc>
              <w:tc>
                <w:tcPr>
                  <w:tcW w:w="761" w:type="pct"/>
                  <w:tcBorders>
                    <w:top w:val="single" w:color="auto" w:sz="4" w:space="0"/>
                    <w:left w:val="single" w:color="auto" w:sz="4" w:space="0"/>
                  </w:tcBorders>
                  <w:vAlign w:val="center"/>
                </w:tcPr>
                <w:p>
                  <w:pPr>
                    <w:jc w:val="center"/>
                  </w:pPr>
                  <w:r>
                    <w:rPr>
                      <w:rFonts w:hint="eastAsia" w:ascii="宋体" w:hAnsi="宋体" w:cs="宋体"/>
                      <w:szCs w:val="21"/>
                    </w:rPr>
                    <w:t>Ⅲ</w:t>
                  </w:r>
                  <w:r>
                    <w:rPr>
                      <w:szCs w:val="21"/>
                    </w:rPr>
                    <w:t>类</w:t>
                  </w:r>
                  <w:r>
                    <w:t>标准值</w:t>
                  </w:r>
                </w:p>
              </w:tc>
              <w:tc>
                <w:tcPr>
                  <w:tcW w:w="576" w:type="pct"/>
                  <w:tcBorders>
                    <w:top w:val="single" w:color="auto" w:sz="4" w:space="0"/>
                    <w:left w:val="single" w:color="auto" w:sz="4" w:space="0"/>
                  </w:tcBorders>
                  <w:vAlign w:val="center"/>
                </w:tcPr>
                <w:p>
                  <w:pPr>
                    <w:jc w:val="center"/>
                  </w:pPr>
                  <w:r>
                    <w:t>/</w:t>
                  </w:r>
                </w:p>
              </w:tc>
              <w:tc>
                <w:tcPr>
                  <w:tcW w:w="510" w:type="pct"/>
                  <w:tcBorders>
                    <w:top w:val="single" w:color="auto" w:sz="4" w:space="0"/>
                    <w:left w:val="single" w:color="auto" w:sz="4" w:space="0"/>
                  </w:tcBorders>
                  <w:vAlign w:val="center"/>
                </w:tcPr>
                <w:p>
                  <w:pPr>
                    <w:autoSpaceDE w:val="0"/>
                    <w:autoSpaceDN w:val="0"/>
                    <w:spacing w:line="288" w:lineRule="exact"/>
                    <w:ind w:left="22"/>
                    <w:jc w:val="center"/>
                  </w:pPr>
                  <w:r>
                    <w:t>6~9</w:t>
                  </w:r>
                </w:p>
              </w:tc>
              <w:tc>
                <w:tcPr>
                  <w:tcW w:w="472" w:type="pct"/>
                  <w:tcBorders>
                    <w:top w:val="single" w:color="auto" w:sz="4" w:space="0"/>
                    <w:left w:val="single" w:color="auto" w:sz="4" w:space="0"/>
                  </w:tcBorders>
                  <w:vAlign w:val="center"/>
                </w:tcPr>
                <w:p>
                  <w:pPr>
                    <w:autoSpaceDE w:val="0"/>
                    <w:autoSpaceDN w:val="0"/>
                    <w:spacing w:line="288" w:lineRule="exact"/>
                    <w:ind w:left="130"/>
                    <w:jc w:val="center"/>
                  </w:pPr>
                  <w:r>
                    <w:t>20</w:t>
                  </w:r>
                </w:p>
              </w:tc>
              <w:tc>
                <w:tcPr>
                  <w:tcW w:w="441" w:type="pct"/>
                  <w:tcBorders>
                    <w:top w:val="single" w:color="auto" w:sz="4" w:space="0"/>
                    <w:left w:val="single" w:color="auto" w:sz="4" w:space="0"/>
                  </w:tcBorders>
                  <w:vAlign w:val="center"/>
                </w:tcPr>
                <w:p>
                  <w:pPr>
                    <w:autoSpaceDE w:val="0"/>
                    <w:autoSpaceDN w:val="0"/>
                    <w:spacing w:line="288" w:lineRule="exact"/>
                    <w:ind w:left="130"/>
                    <w:jc w:val="center"/>
                  </w:pPr>
                  <w:r>
                    <w:t>4</w:t>
                  </w:r>
                </w:p>
              </w:tc>
              <w:tc>
                <w:tcPr>
                  <w:tcW w:w="387" w:type="pct"/>
                  <w:tcBorders>
                    <w:top w:val="single" w:color="auto" w:sz="4" w:space="0"/>
                    <w:left w:val="single" w:color="auto" w:sz="4" w:space="0"/>
                  </w:tcBorders>
                  <w:vAlign w:val="center"/>
                </w:tcPr>
                <w:p>
                  <w:pPr>
                    <w:autoSpaceDE w:val="0"/>
                    <w:autoSpaceDN w:val="0"/>
                    <w:spacing w:line="288" w:lineRule="exact"/>
                    <w:ind w:left="130"/>
                    <w:jc w:val="center"/>
                  </w:pPr>
                  <w:r>
                    <w:t>1</w:t>
                  </w:r>
                </w:p>
              </w:tc>
              <w:tc>
                <w:tcPr>
                  <w:tcW w:w="415" w:type="pct"/>
                  <w:tcBorders>
                    <w:top w:val="single" w:color="auto" w:sz="4" w:space="0"/>
                    <w:left w:val="single" w:color="auto" w:sz="4" w:space="0"/>
                  </w:tcBorders>
                  <w:vAlign w:val="center"/>
                </w:tcPr>
                <w:p>
                  <w:pPr>
                    <w:autoSpaceDE w:val="0"/>
                    <w:autoSpaceDN w:val="0"/>
                    <w:spacing w:line="288" w:lineRule="exact"/>
                    <w:ind w:left="79"/>
                    <w:jc w:val="center"/>
                  </w:pPr>
                  <w:r>
                    <w:t>5</w:t>
                  </w:r>
                </w:p>
              </w:tc>
              <w:tc>
                <w:tcPr>
                  <w:tcW w:w="417" w:type="pct"/>
                  <w:tcBorders>
                    <w:top w:val="single" w:color="auto" w:sz="4" w:space="0"/>
                    <w:left w:val="single" w:color="auto" w:sz="4" w:space="0"/>
                  </w:tcBorders>
                  <w:vAlign w:val="center"/>
                </w:tcPr>
                <w:p>
                  <w:pPr>
                    <w:autoSpaceDE w:val="0"/>
                    <w:autoSpaceDN w:val="0"/>
                    <w:spacing w:line="288" w:lineRule="exact"/>
                    <w:jc w:val="center"/>
                  </w:pPr>
                  <w:r>
                    <w:t>0.05</w:t>
                  </w:r>
                </w:p>
              </w:tc>
              <w:tc>
                <w:tcPr>
                  <w:tcW w:w="309" w:type="pct"/>
                  <w:tcBorders>
                    <w:top w:val="single" w:color="auto" w:sz="4" w:space="0"/>
                    <w:left w:val="single" w:color="auto" w:sz="4" w:space="0"/>
                    <w:right w:val="single" w:color="auto" w:sz="4" w:space="0"/>
                  </w:tcBorders>
                  <w:vAlign w:val="center"/>
                </w:tcPr>
                <w:p>
                  <w:pPr>
                    <w:jc w:val="center"/>
                  </w:pPr>
                  <w:r>
                    <w:t>0.2</w:t>
                  </w:r>
                </w:p>
              </w:tc>
              <w:tc>
                <w:tcPr>
                  <w:tcW w:w="320" w:type="pct"/>
                  <w:tcBorders>
                    <w:top w:val="single" w:color="auto" w:sz="4" w:space="0"/>
                    <w:left w:val="single" w:color="auto" w:sz="4" w:space="0"/>
                    <w:right w:val="single" w:color="auto" w:sz="4" w:space="0"/>
                  </w:tcBorders>
                  <w:vAlign w:val="center"/>
                </w:tcPr>
                <w:p>
                  <w:pPr>
                    <w:jc w:val="center"/>
                  </w:pPr>
                  <w:r>
                    <w:t>1</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tcBorders>
                  <w:vAlign w:val="center"/>
                </w:tcPr>
                <w:p>
                  <w:pPr>
                    <w:jc w:val="center"/>
                  </w:pPr>
                </w:p>
              </w:tc>
              <w:tc>
                <w:tcPr>
                  <w:tcW w:w="761" w:type="pct"/>
                  <w:tcBorders>
                    <w:top w:val="single" w:color="auto" w:sz="4" w:space="0"/>
                    <w:left w:val="single" w:color="auto" w:sz="4" w:space="0"/>
                    <w:bottom w:val="single" w:color="auto" w:sz="4" w:space="0"/>
                  </w:tcBorders>
                  <w:vAlign w:val="center"/>
                </w:tcPr>
                <w:p>
                  <w:pPr>
                    <w:jc w:val="center"/>
                  </w:pPr>
                  <w:r>
                    <w:t>标准指数</w:t>
                  </w:r>
                </w:p>
              </w:tc>
              <w:tc>
                <w:tcPr>
                  <w:tcW w:w="576" w:type="pct"/>
                  <w:tcBorders>
                    <w:top w:val="single" w:color="auto" w:sz="4" w:space="0"/>
                    <w:left w:val="single" w:color="auto" w:sz="4" w:space="0"/>
                    <w:bottom w:val="single" w:color="auto" w:sz="4" w:space="0"/>
                  </w:tcBorders>
                  <w:vAlign w:val="center"/>
                </w:tcPr>
                <w:p>
                  <w:pPr>
                    <w:jc w:val="center"/>
                  </w:pPr>
                  <w:r>
                    <w:t>0</w:t>
                  </w:r>
                </w:p>
              </w:tc>
              <w:tc>
                <w:tcPr>
                  <w:tcW w:w="510" w:type="pct"/>
                  <w:tcBorders>
                    <w:top w:val="single" w:color="auto" w:sz="4" w:space="0"/>
                    <w:left w:val="single" w:color="auto" w:sz="4" w:space="0"/>
                    <w:bottom w:val="single" w:color="auto" w:sz="4" w:space="0"/>
                  </w:tcBorders>
                  <w:vAlign w:val="center"/>
                </w:tcPr>
                <w:p>
                  <w:pPr>
                    <w:autoSpaceDE w:val="0"/>
                    <w:autoSpaceDN w:val="0"/>
                    <w:spacing w:line="288" w:lineRule="exact"/>
                    <w:jc w:val="center"/>
                  </w:pPr>
                  <w:r>
                    <w:t>0.06</w:t>
                  </w:r>
                </w:p>
              </w:tc>
              <w:tc>
                <w:tcPr>
                  <w:tcW w:w="472" w:type="pct"/>
                  <w:tcBorders>
                    <w:top w:val="single" w:color="auto" w:sz="4" w:space="0"/>
                    <w:left w:val="single" w:color="auto" w:sz="4" w:space="0"/>
                    <w:bottom w:val="single" w:color="auto" w:sz="4" w:space="0"/>
                  </w:tcBorders>
                  <w:vAlign w:val="center"/>
                </w:tcPr>
                <w:p>
                  <w:pPr>
                    <w:autoSpaceDE w:val="0"/>
                    <w:autoSpaceDN w:val="0"/>
                    <w:spacing w:line="218" w:lineRule="exact"/>
                    <w:jc w:val="center"/>
                  </w:pPr>
                  <w:r>
                    <w:t>0.72</w:t>
                  </w:r>
                </w:p>
              </w:tc>
              <w:tc>
                <w:tcPr>
                  <w:tcW w:w="441" w:type="pct"/>
                  <w:tcBorders>
                    <w:top w:val="single" w:color="auto" w:sz="4" w:space="0"/>
                    <w:left w:val="single" w:color="auto" w:sz="4" w:space="0"/>
                    <w:bottom w:val="single" w:color="auto" w:sz="4" w:space="0"/>
                  </w:tcBorders>
                  <w:vAlign w:val="center"/>
                </w:tcPr>
                <w:p>
                  <w:pPr>
                    <w:autoSpaceDE w:val="0"/>
                    <w:autoSpaceDN w:val="0"/>
                    <w:spacing w:line="218" w:lineRule="exact"/>
                    <w:jc w:val="center"/>
                  </w:pPr>
                  <w:r>
                    <w:t>0.58</w:t>
                  </w:r>
                </w:p>
              </w:tc>
              <w:tc>
                <w:tcPr>
                  <w:tcW w:w="387" w:type="pct"/>
                  <w:tcBorders>
                    <w:top w:val="single" w:color="auto" w:sz="4" w:space="0"/>
                    <w:left w:val="single" w:color="auto" w:sz="4" w:space="0"/>
                    <w:bottom w:val="single" w:color="auto" w:sz="4" w:space="0"/>
                  </w:tcBorders>
                  <w:vAlign w:val="center"/>
                </w:tcPr>
                <w:p>
                  <w:pPr>
                    <w:autoSpaceDE w:val="0"/>
                    <w:autoSpaceDN w:val="0"/>
                    <w:spacing w:line="218" w:lineRule="exact"/>
                    <w:jc w:val="center"/>
                  </w:pPr>
                  <w:r>
                    <w:t>0.20</w:t>
                  </w:r>
                </w:p>
              </w:tc>
              <w:tc>
                <w:tcPr>
                  <w:tcW w:w="415" w:type="pct"/>
                  <w:tcBorders>
                    <w:top w:val="single" w:color="auto" w:sz="4" w:space="0"/>
                    <w:left w:val="single" w:color="auto" w:sz="4" w:space="0"/>
                    <w:bottom w:val="single" w:color="auto" w:sz="4" w:space="0"/>
                  </w:tcBorders>
                  <w:vAlign w:val="center"/>
                </w:tcPr>
                <w:p>
                  <w:pPr>
                    <w:autoSpaceDE w:val="0"/>
                    <w:autoSpaceDN w:val="0"/>
                    <w:spacing w:line="218" w:lineRule="exact"/>
                    <w:jc w:val="center"/>
                  </w:pPr>
                  <w:r>
                    <w:t>0.81</w:t>
                  </w:r>
                </w:p>
              </w:tc>
              <w:tc>
                <w:tcPr>
                  <w:tcW w:w="417" w:type="pct"/>
                  <w:tcBorders>
                    <w:top w:val="single" w:color="auto" w:sz="4" w:space="0"/>
                    <w:left w:val="single" w:color="auto" w:sz="4" w:space="0"/>
                    <w:bottom w:val="single" w:color="auto" w:sz="4" w:space="0"/>
                  </w:tcBorders>
                  <w:vAlign w:val="center"/>
                </w:tcPr>
                <w:p>
                  <w:pPr>
                    <w:autoSpaceDE w:val="0"/>
                    <w:autoSpaceDN w:val="0"/>
                    <w:spacing w:line="288" w:lineRule="exact"/>
                    <w:ind w:left="130"/>
                    <w:jc w:val="center"/>
                  </w:pPr>
                  <w:r>
                    <w:t>0</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pPr>
                  <w:r>
                    <w:t>0.35</w:t>
                  </w:r>
                </w:p>
              </w:tc>
              <w:tc>
                <w:tcPr>
                  <w:tcW w:w="320" w:type="pct"/>
                  <w:tcBorders>
                    <w:top w:val="single" w:color="auto" w:sz="4" w:space="0"/>
                    <w:left w:val="single" w:color="auto" w:sz="4" w:space="0"/>
                    <w:bottom w:val="single" w:color="auto" w:sz="4" w:space="0"/>
                    <w:right w:val="single" w:color="auto" w:sz="4" w:space="0"/>
                  </w:tcBorders>
                  <w:vAlign w:val="center"/>
                </w:tcPr>
                <w:p>
                  <w:pPr>
                    <w:jc w:val="center"/>
                  </w:pPr>
                  <w:r>
                    <w:t>0.79</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tcBorders>
                  <w:vAlign w:val="center"/>
                </w:tcPr>
                <w:p>
                  <w:pPr>
                    <w:jc w:val="center"/>
                  </w:pPr>
                </w:p>
              </w:tc>
              <w:tc>
                <w:tcPr>
                  <w:tcW w:w="761" w:type="pct"/>
                  <w:tcBorders>
                    <w:top w:val="single" w:color="auto" w:sz="4" w:space="0"/>
                    <w:left w:val="single" w:color="auto" w:sz="4" w:space="0"/>
                    <w:bottom w:val="single" w:color="auto" w:sz="4" w:space="0"/>
                    <w:right w:val="single" w:color="auto" w:sz="4" w:space="0"/>
                  </w:tcBorders>
                  <w:vAlign w:val="center"/>
                </w:tcPr>
                <w:p>
                  <w:pPr>
                    <w:jc w:val="center"/>
                  </w:pPr>
                  <w:r>
                    <w:t>超标倍数</w:t>
                  </w:r>
                </w:p>
              </w:tc>
              <w:tc>
                <w:tcPr>
                  <w:tcW w:w="576" w:type="pct"/>
                  <w:tcBorders>
                    <w:top w:val="single" w:color="auto" w:sz="4" w:space="0"/>
                    <w:left w:val="single" w:color="auto" w:sz="4" w:space="0"/>
                    <w:bottom w:val="single" w:color="auto" w:sz="4" w:space="0"/>
                    <w:right w:val="single" w:color="auto" w:sz="4" w:space="0"/>
                  </w:tcBorders>
                  <w:vAlign w:val="center"/>
                </w:tcPr>
                <w:p>
                  <w:pPr>
                    <w:jc w:val="center"/>
                  </w:pPr>
                  <w:r>
                    <w:t>0</w:t>
                  </w:r>
                </w:p>
              </w:tc>
              <w:tc>
                <w:tcPr>
                  <w:tcW w:w="51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pPr>
                  <w:r>
                    <w:t>0</w:t>
                  </w:r>
                </w:p>
              </w:tc>
              <w:tc>
                <w:tcPr>
                  <w:tcW w:w="47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pPr>
                  <w:r>
                    <w:t>0</w:t>
                  </w:r>
                </w:p>
              </w:tc>
              <w:tc>
                <w:tcPr>
                  <w:tcW w:w="441"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pPr>
                  <w:r>
                    <w:t>0</w:t>
                  </w:r>
                </w:p>
              </w:tc>
              <w:tc>
                <w:tcPr>
                  <w:tcW w:w="38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pPr>
                  <w:r>
                    <w:t>0</w:t>
                  </w:r>
                </w:p>
              </w:tc>
              <w:tc>
                <w:tcPr>
                  <w:tcW w:w="415"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2"/>
                    <w:jc w:val="center"/>
                  </w:pPr>
                  <w:r>
                    <w:t>0</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pPr>
                  <w:r>
                    <w:t>0</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pPr>
                  <w:r>
                    <w:t>0</w:t>
                  </w:r>
                </w:p>
              </w:tc>
              <w:tc>
                <w:tcPr>
                  <w:tcW w:w="320" w:type="pct"/>
                  <w:tcBorders>
                    <w:top w:val="single" w:color="auto" w:sz="4" w:space="0"/>
                    <w:left w:val="single" w:color="auto" w:sz="4" w:space="0"/>
                    <w:bottom w:val="single" w:color="auto" w:sz="4" w:space="0"/>
                    <w:right w:val="single" w:color="auto" w:sz="4" w:space="0"/>
                  </w:tcBorders>
                  <w:vAlign w:val="center"/>
                </w:tcPr>
                <w:p>
                  <w:pPr>
                    <w:jc w:val="center"/>
                  </w:pPr>
                  <w:r>
                    <w:t>0</w:t>
                  </w:r>
                </w:p>
              </w:tc>
            </w:tr>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bottom w:val="single" w:color="auto" w:sz="4" w:space="0"/>
                  </w:tcBorders>
                  <w:vAlign w:val="center"/>
                </w:tcPr>
                <w:p>
                  <w:pPr>
                    <w:jc w:val="center"/>
                  </w:pPr>
                  <w:r>
                    <w:t>W6</w:t>
                  </w:r>
                </w:p>
              </w:tc>
              <w:tc>
                <w:tcPr>
                  <w:tcW w:w="761" w:type="pct"/>
                  <w:tcBorders>
                    <w:top w:val="single" w:color="auto" w:sz="4" w:space="0"/>
                    <w:left w:val="single" w:color="auto" w:sz="4" w:space="0"/>
                    <w:bottom w:val="single" w:color="auto" w:sz="4" w:space="0"/>
                    <w:right w:val="single" w:color="auto" w:sz="4" w:space="0"/>
                  </w:tcBorders>
                  <w:vAlign w:val="center"/>
                </w:tcPr>
                <w:p>
                  <w:pPr>
                    <w:jc w:val="center"/>
                  </w:pPr>
                  <w:r>
                    <w:t>平均值</w:t>
                  </w:r>
                </w:p>
              </w:tc>
              <w:tc>
                <w:tcPr>
                  <w:tcW w:w="576" w:type="pct"/>
                  <w:tcBorders>
                    <w:top w:val="single" w:color="auto" w:sz="4" w:space="0"/>
                    <w:left w:val="single" w:color="auto" w:sz="4" w:space="0"/>
                    <w:bottom w:val="single" w:color="auto" w:sz="4" w:space="0"/>
                    <w:right w:val="single" w:color="auto" w:sz="4" w:space="0"/>
                  </w:tcBorders>
                  <w:vAlign w:val="center"/>
                </w:tcPr>
                <w:p>
                  <w:pPr>
                    <w:jc w:val="center"/>
                  </w:pPr>
                  <w:r>
                    <w:t>17.5</w:t>
                  </w:r>
                </w:p>
              </w:tc>
              <w:tc>
                <w:tcPr>
                  <w:tcW w:w="51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pPr>
                  <w:r>
                    <w:t>7.18</w:t>
                  </w:r>
                </w:p>
              </w:tc>
              <w:tc>
                <w:tcPr>
                  <w:tcW w:w="47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pPr>
                  <w:r>
                    <w:t>14.67</w:t>
                  </w:r>
                </w:p>
              </w:tc>
              <w:tc>
                <w:tcPr>
                  <w:tcW w:w="441"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pPr>
                  <w:r>
                    <w:t>2.3</w:t>
                  </w:r>
                </w:p>
              </w:tc>
              <w:tc>
                <w:tcPr>
                  <w:tcW w:w="38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pPr>
                  <w:r>
                    <w:t>0.25</w:t>
                  </w:r>
                </w:p>
              </w:tc>
              <w:tc>
                <w:tcPr>
                  <w:tcW w:w="415"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pPr>
                  <w:r>
                    <w:t>5.5</w:t>
                  </w:r>
                </w:p>
              </w:tc>
              <w:tc>
                <w:tcPr>
                  <w:tcW w:w="41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ind w:left="31"/>
                    <w:jc w:val="center"/>
                  </w:pPr>
                  <w:r>
                    <w:t>ND</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pPr>
                  <w:r>
                    <w:t>0.08</w:t>
                  </w:r>
                </w:p>
              </w:tc>
              <w:tc>
                <w:tcPr>
                  <w:tcW w:w="320" w:type="pct"/>
                  <w:tcBorders>
                    <w:top w:val="single" w:color="auto" w:sz="4" w:space="0"/>
                    <w:left w:val="single" w:color="auto" w:sz="4" w:space="0"/>
                    <w:bottom w:val="single" w:color="auto" w:sz="4" w:space="0"/>
                    <w:right w:val="single" w:color="auto" w:sz="4" w:space="0"/>
                  </w:tcBorders>
                  <w:vAlign w:val="center"/>
                </w:tcPr>
                <w:p>
                  <w:pPr>
                    <w:jc w:val="center"/>
                  </w:pPr>
                  <w:r>
                    <w:t>0.88</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tcBorders>
                  <w:vAlign w:val="center"/>
                </w:tcPr>
                <w:p>
                  <w:pPr>
                    <w:jc w:val="center"/>
                  </w:pPr>
                </w:p>
              </w:tc>
              <w:tc>
                <w:tcPr>
                  <w:tcW w:w="761"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cs="宋体"/>
                      <w:szCs w:val="21"/>
                    </w:rPr>
                    <w:t>Ⅲ</w:t>
                  </w:r>
                  <w:r>
                    <w:rPr>
                      <w:szCs w:val="21"/>
                    </w:rPr>
                    <w:t>类</w:t>
                  </w:r>
                  <w:r>
                    <w:t>标准值</w:t>
                  </w:r>
                </w:p>
              </w:tc>
              <w:tc>
                <w:tcPr>
                  <w:tcW w:w="576" w:type="pct"/>
                  <w:tcBorders>
                    <w:top w:val="single" w:color="auto" w:sz="4" w:space="0"/>
                    <w:left w:val="single" w:color="auto" w:sz="4" w:space="0"/>
                    <w:bottom w:val="single" w:color="auto" w:sz="4" w:space="0"/>
                    <w:right w:val="single" w:color="auto" w:sz="4" w:space="0"/>
                  </w:tcBorders>
                  <w:vAlign w:val="center"/>
                </w:tcPr>
                <w:p>
                  <w:pPr>
                    <w:jc w:val="center"/>
                  </w:pPr>
                  <w:r>
                    <w:t>/</w:t>
                  </w:r>
                </w:p>
              </w:tc>
              <w:tc>
                <w:tcPr>
                  <w:tcW w:w="51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22"/>
                    <w:jc w:val="center"/>
                  </w:pPr>
                  <w:r>
                    <w:t>6~9</w:t>
                  </w:r>
                </w:p>
              </w:tc>
              <w:tc>
                <w:tcPr>
                  <w:tcW w:w="47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pPr>
                  <w:r>
                    <w:t>20</w:t>
                  </w:r>
                </w:p>
              </w:tc>
              <w:tc>
                <w:tcPr>
                  <w:tcW w:w="441"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77"/>
                    <w:jc w:val="center"/>
                  </w:pPr>
                  <w:r>
                    <w:t>4</w:t>
                  </w:r>
                </w:p>
              </w:tc>
              <w:tc>
                <w:tcPr>
                  <w:tcW w:w="38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pPr>
                  <w:r>
                    <w:t>1</w:t>
                  </w:r>
                </w:p>
              </w:tc>
              <w:tc>
                <w:tcPr>
                  <w:tcW w:w="415"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79"/>
                    <w:jc w:val="center"/>
                  </w:pPr>
                  <w:r>
                    <w:t>5</w:t>
                  </w:r>
                </w:p>
              </w:tc>
              <w:tc>
                <w:tcPr>
                  <w:tcW w:w="41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jc w:val="center"/>
                  </w:pPr>
                  <w:r>
                    <w:t>0.05</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pPr>
                  <w:r>
                    <w:t>0.2</w:t>
                  </w:r>
                </w:p>
              </w:tc>
              <w:tc>
                <w:tcPr>
                  <w:tcW w:w="320" w:type="pct"/>
                  <w:tcBorders>
                    <w:top w:val="single" w:color="auto" w:sz="4" w:space="0"/>
                    <w:left w:val="single" w:color="auto" w:sz="4" w:space="0"/>
                    <w:bottom w:val="single" w:color="auto" w:sz="4" w:space="0"/>
                    <w:right w:val="single" w:color="auto" w:sz="4" w:space="0"/>
                  </w:tcBorders>
                  <w:vAlign w:val="center"/>
                </w:tcPr>
                <w:p>
                  <w:pPr>
                    <w:jc w:val="center"/>
                  </w:pPr>
                  <w:r>
                    <w:t>1</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tcBorders>
                  <w:vAlign w:val="center"/>
                </w:tcPr>
                <w:p>
                  <w:pPr>
                    <w:jc w:val="center"/>
                  </w:pPr>
                </w:p>
              </w:tc>
              <w:tc>
                <w:tcPr>
                  <w:tcW w:w="761" w:type="pct"/>
                  <w:tcBorders>
                    <w:top w:val="single" w:color="auto" w:sz="4" w:space="0"/>
                    <w:left w:val="single" w:color="auto" w:sz="4" w:space="0"/>
                    <w:bottom w:val="single" w:color="auto" w:sz="4" w:space="0"/>
                    <w:right w:val="single" w:color="auto" w:sz="4" w:space="0"/>
                  </w:tcBorders>
                  <w:vAlign w:val="center"/>
                </w:tcPr>
                <w:p>
                  <w:pPr>
                    <w:jc w:val="center"/>
                  </w:pPr>
                  <w:r>
                    <w:t>标准指数</w:t>
                  </w:r>
                </w:p>
              </w:tc>
              <w:tc>
                <w:tcPr>
                  <w:tcW w:w="576" w:type="pct"/>
                  <w:tcBorders>
                    <w:top w:val="single" w:color="auto" w:sz="4" w:space="0"/>
                    <w:left w:val="single" w:color="auto" w:sz="4" w:space="0"/>
                    <w:bottom w:val="single" w:color="auto" w:sz="4" w:space="0"/>
                    <w:right w:val="single" w:color="auto" w:sz="4" w:space="0"/>
                  </w:tcBorders>
                  <w:vAlign w:val="center"/>
                </w:tcPr>
                <w:p>
                  <w:pPr>
                    <w:jc w:val="center"/>
                  </w:pPr>
                  <w:r>
                    <w:t>0</w:t>
                  </w:r>
                </w:p>
              </w:tc>
              <w:tc>
                <w:tcPr>
                  <w:tcW w:w="51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jc w:val="center"/>
                  </w:pPr>
                  <w:r>
                    <w:t>0.09</w:t>
                  </w:r>
                </w:p>
              </w:tc>
              <w:tc>
                <w:tcPr>
                  <w:tcW w:w="47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pPr>
                  <w:r>
                    <w:t>0.73</w:t>
                  </w:r>
                </w:p>
              </w:tc>
              <w:tc>
                <w:tcPr>
                  <w:tcW w:w="441"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pPr>
                  <w:r>
                    <w:t>0.58</w:t>
                  </w:r>
                </w:p>
              </w:tc>
              <w:tc>
                <w:tcPr>
                  <w:tcW w:w="38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pPr>
                  <w:r>
                    <w:t>0.25</w:t>
                  </w:r>
                </w:p>
              </w:tc>
              <w:tc>
                <w:tcPr>
                  <w:tcW w:w="415"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pPr>
                  <w:r>
                    <w:t>0.88</w:t>
                  </w:r>
                </w:p>
              </w:tc>
              <w:tc>
                <w:tcPr>
                  <w:tcW w:w="41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pPr>
                  <w:r>
                    <w:t>0</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pPr>
                  <w:r>
                    <w:t>0.38</w:t>
                  </w:r>
                </w:p>
              </w:tc>
              <w:tc>
                <w:tcPr>
                  <w:tcW w:w="320" w:type="pct"/>
                  <w:tcBorders>
                    <w:top w:val="single" w:color="auto" w:sz="4" w:space="0"/>
                    <w:left w:val="single" w:color="auto" w:sz="4" w:space="0"/>
                    <w:bottom w:val="single" w:color="auto" w:sz="4" w:space="0"/>
                    <w:right w:val="single" w:color="auto" w:sz="4" w:space="0"/>
                  </w:tcBorders>
                  <w:vAlign w:val="center"/>
                </w:tcPr>
                <w:p>
                  <w:pPr>
                    <w:jc w:val="center"/>
                  </w:pPr>
                  <w:r>
                    <w:t>0.88</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tcBorders>
                  <w:vAlign w:val="center"/>
                </w:tcPr>
                <w:p>
                  <w:pPr>
                    <w:jc w:val="center"/>
                  </w:pPr>
                </w:p>
              </w:tc>
              <w:tc>
                <w:tcPr>
                  <w:tcW w:w="761" w:type="pct"/>
                  <w:tcBorders>
                    <w:top w:val="single" w:color="auto" w:sz="4" w:space="0"/>
                    <w:left w:val="single" w:color="auto" w:sz="4" w:space="0"/>
                    <w:bottom w:val="single" w:color="auto" w:sz="4" w:space="0"/>
                    <w:right w:val="single" w:color="auto" w:sz="4" w:space="0"/>
                  </w:tcBorders>
                  <w:vAlign w:val="center"/>
                </w:tcPr>
                <w:p>
                  <w:pPr>
                    <w:jc w:val="center"/>
                  </w:pPr>
                  <w:r>
                    <w:t>超标倍数</w:t>
                  </w:r>
                </w:p>
              </w:tc>
              <w:tc>
                <w:tcPr>
                  <w:tcW w:w="576" w:type="pct"/>
                  <w:tcBorders>
                    <w:top w:val="single" w:color="auto" w:sz="4" w:space="0"/>
                    <w:left w:val="single" w:color="auto" w:sz="4" w:space="0"/>
                    <w:bottom w:val="single" w:color="auto" w:sz="4" w:space="0"/>
                    <w:right w:val="single" w:color="auto" w:sz="4" w:space="0"/>
                  </w:tcBorders>
                  <w:vAlign w:val="center"/>
                </w:tcPr>
                <w:p>
                  <w:pPr>
                    <w:jc w:val="center"/>
                  </w:pPr>
                  <w:r>
                    <w:t>0</w:t>
                  </w:r>
                </w:p>
              </w:tc>
              <w:tc>
                <w:tcPr>
                  <w:tcW w:w="51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6" w:lineRule="exact"/>
                    <w:ind w:left="130"/>
                    <w:jc w:val="center"/>
                  </w:pPr>
                  <w:r>
                    <w:t>0</w:t>
                  </w:r>
                </w:p>
              </w:tc>
              <w:tc>
                <w:tcPr>
                  <w:tcW w:w="47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6" w:lineRule="exact"/>
                    <w:ind w:left="130"/>
                    <w:jc w:val="center"/>
                  </w:pPr>
                  <w:r>
                    <w:t>0</w:t>
                  </w:r>
                </w:p>
              </w:tc>
              <w:tc>
                <w:tcPr>
                  <w:tcW w:w="441"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6" w:lineRule="exact"/>
                    <w:ind w:left="130"/>
                    <w:jc w:val="center"/>
                  </w:pPr>
                  <w:r>
                    <w:t>0</w:t>
                  </w:r>
                </w:p>
              </w:tc>
              <w:tc>
                <w:tcPr>
                  <w:tcW w:w="38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6" w:lineRule="exact"/>
                    <w:ind w:left="130"/>
                    <w:jc w:val="center"/>
                  </w:pPr>
                  <w:r>
                    <w:t>0</w:t>
                  </w:r>
                </w:p>
              </w:tc>
              <w:tc>
                <w:tcPr>
                  <w:tcW w:w="415"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6" w:lineRule="exact"/>
                    <w:ind w:left="132"/>
                    <w:jc w:val="center"/>
                  </w:pPr>
                  <w:r>
                    <w:t>0</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pPr>
                  <w:r>
                    <w:t>0</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pPr>
                  <w:r>
                    <w:t>0</w:t>
                  </w:r>
                </w:p>
              </w:tc>
              <w:tc>
                <w:tcPr>
                  <w:tcW w:w="320" w:type="pct"/>
                  <w:tcBorders>
                    <w:top w:val="single" w:color="auto" w:sz="4" w:space="0"/>
                    <w:left w:val="single" w:color="auto" w:sz="4" w:space="0"/>
                    <w:bottom w:val="single" w:color="auto" w:sz="4" w:space="0"/>
                    <w:right w:val="single" w:color="auto" w:sz="4" w:space="0"/>
                  </w:tcBorders>
                  <w:vAlign w:val="center"/>
                </w:tcPr>
                <w:p>
                  <w:pPr>
                    <w:jc w:val="center"/>
                  </w:pPr>
                  <w:r>
                    <w:t>0</w:t>
                  </w:r>
                </w:p>
              </w:tc>
            </w:tr>
          </w:tbl>
          <w:p>
            <w:pPr>
              <w:adjustRightInd w:val="0"/>
              <w:snapToGrid w:val="0"/>
              <w:spacing w:before="120" w:beforeLines="50" w:line="360" w:lineRule="auto"/>
              <w:ind w:firstLine="422" w:firstLineChars="200"/>
              <w:rPr>
                <w:b/>
                <w:bCs/>
              </w:rPr>
            </w:pPr>
            <w:r>
              <w:rPr>
                <w:b/>
                <w:bCs/>
              </w:rPr>
              <w:t>（2）达标性分析</w:t>
            </w:r>
          </w:p>
          <w:p>
            <w:pPr>
              <w:autoSpaceDE w:val="0"/>
              <w:autoSpaceDN w:val="0"/>
              <w:spacing w:line="360" w:lineRule="auto"/>
              <w:ind w:firstLine="420" w:firstLineChars="200"/>
            </w:pPr>
            <w:r>
              <w:t>根据引用监测结果，</w:t>
            </w:r>
            <w:r>
              <w:rPr>
                <w:lang w:bidi="ar"/>
              </w:rPr>
              <w:t>沙河（W5、W6监测断面）所测水质指标均达到《地表水环境质量标准》（GB3838-2002）III类标准。</w:t>
            </w:r>
            <w:r>
              <w:t>新村排渠W1、W2监测断面的监测项目中NH</w:t>
            </w:r>
            <w:r>
              <w:rPr>
                <w:vertAlign w:val="subscript"/>
              </w:rPr>
              <w:t>3</w:t>
            </w:r>
            <w:r>
              <w:t>-N和总氮指标不能满足《地表水环境质量标准》（GB3838-2002）中的V类水质标准。新村排渠水质超标的原因主要是受上游及附近的养殖废水、生活污水等污染所致。根据《园洲镇2019年水污染防治攻坚战工作方案》，博罗县政府已先后对新村排渠、新村排渠和东博排洪渠等排渠实施水环境综合治理工程，包括产业结构调整和水污染控制工程体系建设及减排等措施。部分排污企业偷排、漏排不达标污水以及超水量排放污水是造成新村排渠污染的主要因素之一，因此，环境监察部门应严查严惩偷排漏排企业，使企业做到达标且不超水量排放；另一方面，根据区域减排计划，增加污水净化设施处理能力及配套管网建设，对污水处理厂进行提标升级改造，将能进一步有效处理城市生活污水，从而大量削减水污染物的排放，进而明显地改善纳污水体的水环境质量。此外，全县正严格按照《博罗县沙河水质达标攻坚重点项目倒排工期表》，强力推进13条劣V类排渠综合整治工程、农村污水处理设施及管网建设等重点工程，确保各项重点工程按期完成。随着博罗县水环境问题综合整治工作的推进，新村排渠水环境将逐步改善</w:t>
            </w:r>
            <w:r>
              <w:rPr>
                <w:lang w:bidi="en-US"/>
              </w:rPr>
              <w:t>。</w:t>
            </w:r>
          </w:p>
          <w:p>
            <w:pPr>
              <w:widowControl/>
              <w:adjustRightInd w:val="0"/>
              <w:snapToGrid w:val="0"/>
              <w:spacing w:line="360" w:lineRule="auto"/>
              <w:ind w:firstLine="422" w:firstLineChars="200"/>
              <w:jc w:val="left"/>
              <w:rPr>
                <w:b/>
              </w:rPr>
            </w:pPr>
            <w:r>
              <w:rPr>
                <w:rFonts w:hint="eastAsia"/>
                <w:b/>
              </w:rPr>
              <w:t>3</w:t>
            </w:r>
            <w:r>
              <w:rPr>
                <w:b/>
              </w:rPr>
              <w:t>、声环境</w:t>
            </w:r>
          </w:p>
          <w:p>
            <w:pPr>
              <w:widowControl/>
              <w:adjustRightInd w:val="0"/>
              <w:snapToGrid w:val="0"/>
              <w:spacing w:line="360" w:lineRule="auto"/>
              <w:ind w:firstLine="420" w:firstLineChars="200"/>
            </w:pPr>
            <w:r>
              <w:rPr>
                <w:kern w:val="0"/>
                <w:szCs w:val="21"/>
                <w:lang w:bidi="ar"/>
              </w:rPr>
              <w:t>本项目</w:t>
            </w:r>
            <w:r>
              <w:rPr>
                <w:rFonts w:hint="eastAsia"/>
                <w:kern w:val="0"/>
                <w:szCs w:val="21"/>
                <w:lang w:bidi="ar"/>
              </w:rPr>
              <w:t>厂界外</w:t>
            </w:r>
            <w:r>
              <w:rPr>
                <w:kern w:val="0"/>
                <w:szCs w:val="21"/>
                <w:lang w:bidi="ar"/>
              </w:rPr>
              <w:t>周边</w:t>
            </w:r>
            <w:r>
              <w:t>50m范围内不存在声环境保护目标，</w:t>
            </w:r>
            <w:r>
              <w:rPr>
                <w:rFonts w:hint="eastAsia"/>
              </w:rPr>
              <w:t>因此</w:t>
            </w:r>
            <w:r>
              <w:t>，无需监测声环境质量现状。</w:t>
            </w:r>
          </w:p>
          <w:p>
            <w:pPr>
              <w:widowControl/>
              <w:adjustRightInd w:val="0"/>
              <w:snapToGrid w:val="0"/>
              <w:spacing w:line="360" w:lineRule="auto"/>
              <w:ind w:firstLine="422" w:firstLineChars="200"/>
              <w:rPr>
                <w:b/>
                <w:bCs/>
              </w:rPr>
            </w:pPr>
            <w:r>
              <w:rPr>
                <w:rFonts w:hint="eastAsia"/>
                <w:b/>
                <w:bCs/>
              </w:rPr>
              <w:t>4</w:t>
            </w:r>
            <w:r>
              <w:rPr>
                <w:b/>
                <w:bCs/>
              </w:rPr>
              <w:t>、生态环境</w:t>
            </w:r>
          </w:p>
          <w:p>
            <w:pPr>
              <w:widowControl/>
              <w:adjustRightInd w:val="0"/>
              <w:snapToGrid w:val="0"/>
              <w:spacing w:line="360" w:lineRule="auto"/>
              <w:ind w:firstLine="420" w:firstLineChars="200"/>
            </w:pPr>
            <w:r>
              <w:t>本项目用地范围内不涉及生态环境保护目标，因此无需进行生态现状调查。</w:t>
            </w:r>
          </w:p>
          <w:p>
            <w:pPr>
              <w:widowControl/>
              <w:adjustRightInd w:val="0"/>
              <w:snapToGrid w:val="0"/>
              <w:spacing w:line="360" w:lineRule="auto"/>
              <w:ind w:firstLine="422" w:firstLineChars="200"/>
              <w:rPr>
                <w:b/>
                <w:bCs/>
                <w:kern w:val="0"/>
                <w:szCs w:val="21"/>
              </w:rPr>
            </w:pPr>
            <w:r>
              <w:rPr>
                <w:rFonts w:hint="eastAsia"/>
                <w:b/>
                <w:bCs/>
                <w:kern w:val="0"/>
                <w:szCs w:val="21"/>
              </w:rPr>
              <w:t>5</w:t>
            </w:r>
            <w:r>
              <w:rPr>
                <w:b/>
                <w:bCs/>
                <w:kern w:val="0"/>
                <w:szCs w:val="21"/>
              </w:rPr>
              <w:t>、电磁辐射</w:t>
            </w:r>
          </w:p>
          <w:p>
            <w:pPr>
              <w:widowControl/>
              <w:adjustRightInd w:val="0"/>
              <w:snapToGrid w:val="0"/>
              <w:spacing w:line="360" w:lineRule="auto"/>
              <w:ind w:firstLine="420" w:firstLineChars="200"/>
              <w:rPr>
                <w:kern w:val="0"/>
                <w:szCs w:val="21"/>
              </w:rPr>
            </w:pPr>
            <w:r>
              <w:rPr>
                <w:kern w:val="0"/>
                <w:szCs w:val="21"/>
              </w:rPr>
              <w:t>无。</w:t>
            </w:r>
          </w:p>
          <w:p>
            <w:pPr>
              <w:widowControl/>
              <w:adjustRightInd w:val="0"/>
              <w:snapToGrid w:val="0"/>
              <w:spacing w:line="360" w:lineRule="auto"/>
              <w:ind w:firstLine="422" w:firstLineChars="200"/>
              <w:rPr>
                <w:b/>
                <w:bCs/>
                <w:kern w:val="0"/>
                <w:szCs w:val="21"/>
              </w:rPr>
            </w:pPr>
            <w:r>
              <w:rPr>
                <w:rFonts w:hint="eastAsia"/>
                <w:b/>
                <w:bCs/>
                <w:kern w:val="0"/>
                <w:szCs w:val="21"/>
              </w:rPr>
              <w:t>6</w:t>
            </w:r>
            <w:r>
              <w:rPr>
                <w:b/>
                <w:bCs/>
                <w:kern w:val="0"/>
                <w:szCs w:val="21"/>
              </w:rPr>
              <w:t>、</w:t>
            </w:r>
            <w:r>
              <w:rPr>
                <w:b/>
                <w:bCs/>
                <w:kern w:val="21"/>
                <w:szCs w:val="21"/>
              </w:rPr>
              <w:t>地下水、土壤环境</w:t>
            </w:r>
          </w:p>
          <w:p>
            <w:pPr>
              <w:widowControl/>
              <w:adjustRightInd w:val="0"/>
              <w:snapToGrid w:val="0"/>
              <w:spacing w:line="360" w:lineRule="auto"/>
              <w:ind w:firstLine="420" w:firstLineChars="200"/>
              <w:rPr>
                <w:kern w:val="0"/>
                <w:szCs w:val="21"/>
              </w:rPr>
            </w:pPr>
            <w:r>
              <w:t>项目厂房均已硬底化无污染土壤、地下水环境的途径，故无需进行地下水、土壤环境质量现状调查。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478" w:type="pct"/>
            <w:vAlign w:val="center"/>
          </w:tcPr>
          <w:p>
            <w:pPr>
              <w:adjustRightInd w:val="0"/>
              <w:snapToGrid w:val="0"/>
              <w:jc w:val="center"/>
              <w:rPr>
                <w:kern w:val="0"/>
                <w:szCs w:val="21"/>
              </w:rPr>
            </w:pPr>
            <w:r>
              <w:rPr>
                <w:kern w:val="0"/>
                <w:szCs w:val="21"/>
              </w:rPr>
              <w:t>环境</w:t>
            </w:r>
          </w:p>
          <w:p>
            <w:pPr>
              <w:adjustRightInd w:val="0"/>
              <w:snapToGrid w:val="0"/>
              <w:jc w:val="center"/>
              <w:rPr>
                <w:kern w:val="0"/>
                <w:szCs w:val="21"/>
              </w:rPr>
            </w:pPr>
            <w:r>
              <w:rPr>
                <w:kern w:val="0"/>
                <w:szCs w:val="21"/>
              </w:rPr>
              <w:t>保护</w:t>
            </w:r>
          </w:p>
          <w:p>
            <w:pPr>
              <w:adjustRightInd w:val="0"/>
              <w:snapToGrid w:val="0"/>
              <w:jc w:val="center"/>
              <w:rPr>
                <w:kern w:val="0"/>
                <w:szCs w:val="21"/>
              </w:rPr>
            </w:pPr>
            <w:r>
              <w:rPr>
                <w:kern w:val="0"/>
                <w:szCs w:val="21"/>
              </w:rPr>
              <w:t>目标</w:t>
            </w:r>
          </w:p>
        </w:tc>
        <w:tc>
          <w:tcPr>
            <w:tcW w:w="4522" w:type="pct"/>
            <w:vAlign w:val="center"/>
          </w:tcPr>
          <w:p>
            <w:pPr>
              <w:pStyle w:val="80"/>
              <w:spacing w:line="360" w:lineRule="auto"/>
              <w:ind w:firstLine="422"/>
              <w:rPr>
                <w:b/>
                <w:kern w:val="2"/>
                <w:sz w:val="21"/>
              </w:rPr>
            </w:pPr>
            <w:r>
              <w:rPr>
                <w:rFonts w:hint="eastAsia"/>
                <w:b/>
                <w:kern w:val="2"/>
                <w:sz w:val="21"/>
              </w:rPr>
              <w:t>1</w:t>
            </w:r>
            <w:r>
              <w:rPr>
                <w:b/>
                <w:kern w:val="2"/>
                <w:sz w:val="21"/>
              </w:rPr>
              <w:t>、大气环境</w:t>
            </w:r>
          </w:p>
          <w:p>
            <w:pPr>
              <w:widowControl/>
              <w:adjustRightInd w:val="0"/>
              <w:snapToGrid w:val="0"/>
              <w:spacing w:line="360" w:lineRule="auto"/>
              <w:ind w:firstLine="420" w:firstLineChars="200"/>
            </w:pPr>
            <w:r>
              <w:t>根据《建设项目环境影响报告表编制技术指南（污染影响类）（试行）》（环办环评〔2020〕33号）的要求：大气环境保护目标的范围为厂界外500米，项目周边500米范围内大气环境保护目标如下表所示。</w:t>
            </w:r>
          </w:p>
          <w:p>
            <w:pPr>
              <w:numPr>
                <w:ilvl w:val="0"/>
                <w:numId w:val="5"/>
              </w:numPr>
              <w:adjustRightInd w:val="0"/>
              <w:snapToGrid w:val="0"/>
              <w:spacing w:line="360" w:lineRule="auto"/>
              <w:ind w:left="322"/>
              <w:jc w:val="center"/>
              <w:rPr>
                <w:b/>
                <w:bCs/>
                <w:szCs w:val="21"/>
              </w:rPr>
            </w:pPr>
            <w:r>
              <w:rPr>
                <w:b/>
                <w:bCs/>
                <w:szCs w:val="21"/>
              </w:rPr>
              <w:t>项目环境空气保护目标一览表</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4"/>
              <w:gridCol w:w="1310"/>
              <w:gridCol w:w="1241"/>
              <w:gridCol w:w="730"/>
              <w:gridCol w:w="1005"/>
              <w:gridCol w:w="932"/>
              <w:gridCol w:w="642"/>
              <w:gridCol w:w="808"/>
              <w:gridCol w:w="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restart"/>
                  <w:vAlign w:val="center"/>
                </w:tcPr>
                <w:p>
                  <w:pPr>
                    <w:pStyle w:val="26"/>
                    <w:widowControl w:val="0"/>
                    <w:adjustRightInd w:val="0"/>
                    <w:snapToGrid w:val="0"/>
                    <w:spacing w:before="0" w:beforeAutospacing="0" w:after="0" w:afterAutospacing="0"/>
                    <w:jc w:val="center"/>
                    <w:rPr>
                      <w:rFonts w:ascii="Times New Roman" w:hAnsi="Times New Roman"/>
                      <w:b/>
                      <w:bCs/>
                      <w:sz w:val="18"/>
                      <w:szCs w:val="18"/>
                    </w:rPr>
                  </w:pPr>
                  <w:r>
                    <w:rPr>
                      <w:rFonts w:ascii="Times New Roman" w:hAnsi="Times New Roman"/>
                      <w:b/>
                      <w:bCs/>
                      <w:sz w:val="18"/>
                      <w:szCs w:val="18"/>
                    </w:rPr>
                    <w:t>名称</w:t>
                  </w:r>
                </w:p>
              </w:tc>
              <w:tc>
                <w:tcPr>
                  <w:tcW w:w="1513" w:type="pct"/>
                  <w:gridSpan w:val="2"/>
                  <w:vAlign w:val="center"/>
                </w:tcPr>
                <w:p>
                  <w:pPr>
                    <w:pStyle w:val="26"/>
                    <w:widowControl w:val="0"/>
                    <w:adjustRightInd w:val="0"/>
                    <w:snapToGrid w:val="0"/>
                    <w:spacing w:before="0" w:beforeAutospacing="0" w:after="0" w:afterAutospacing="0"/>
                    <w:jc w:val="center"/>
                    <w:rPr>
                      <w:rFonts w:ascii="Times New Roman" w:hAnsi="Times New Roman"/>
                      <w:b/>
                      <w:bCs/>
                      <w:sz w:val="18"/>
                      <w:szCs w:val="18"/>
                    </w:rPr>
                  </w:pPr>
                  <w:r>
                    <w:rPr>
                      <w:rFonts w:ascii="Times New Roman" w:hAnsi="Times New Roman"/>
                      <w:b/>
                      <w:bCs/>
                      <w:sz w:val="18"/>
                      <w:szCs w:val="18"/>
                    </w:rPr>
                    <w:t>地理坐标</w:t>
                  </w:r>
                </w:p>
              </w:tc>
              <w:tc>
                <w:tcPr>
                  <w:tcW w:w="433" w:type="pct"/>
                  <w:vMerge w:val="restart"/>
                  <w:vAlign w:val="center"/>
                </w:tcPr>
                <w:p>
                  <w:pPr>
                    <w:pStyle w:val="26"/>
                    <w:widowControl w:val="0"/>
                    <w:adjustRightInd w:val="0"/>
                    <w:snapToGrid w:val="0"/>
                    <w:spacing w:before="0" w:beforeAutospacing="0" w:after="0" w:afterAutospacing="0"/>
                    <w:jc w:val="center"/>
                    <w:rPr>
                      <w:rFonts w:ascii="Times New Roman" w:hAnsi="Times New Roman"/>
                      <w:b/>
                      <w:bCs/>
                      <w:sz w:val="18"/>
                      <w:szCs w:val="18"/>
                    </w:rPr>
                  </w:pPr>
                  <w:r>
                    <w:rPr>
                      <w:rFonts w:ascii="Times New Roman" w:hAnsi="Times New Roman"/>
                      <w:b/>
                      <w:bCs/>
                      <w:sz w:val="18"/>
                      <w:szCs w:val="18"/>
                    </w:rPr>
                    <w:t>保护对象</w:t>
                  </w:r>
                </w:p>
              </w:tc>
              <w:tc>
                <w:tcPr>
                  <w:tcW w:w="596" w:type="pct"/>
                  <w:vMerge w:val="restart"/>
                  <w:vAlign w:val="center"/>
                </w:tcPr>
                <w:p>
                  <w:pPr>
                    <w:pStyle w:val="26"/>
                    <w:widowControl w:val="0"/>
                    <w:adjustRightInd w:val="0"/>
                    <w:snapToGrid w:val="0"/>
                    <w:spacing w:before="0" w:beforeAutospacing="0" w:after="0" w:afterAutospacing="0"/>
                    <w:jc w:val="center"/>
                    <w:rPr>
                      <w:rFonts w:ascii="Times New Roman" w:hAnsi="Times New Roman"/>
                      <w:b/>
                      <w:bCs/>
                      <w:sz w:val="18"/>
                      <w:szCs w:val="18"/>
                    </w:rPr>
                  </w:pPr>
                  <w:r>
                    <w:rPr>
                      <w:rFonts w:ascii="Times New Roman" w:hAnsi="Times New Roman"/>
                      <w:b/>
                      <w:bCs/>
                      <w:sz w:val="18"/>
                      <w:szCs w:val="18"/>
                    </w:rPr>
                    <w:t>保护内容</w:t>
                  </w:r>
                </w:p>
              </w:tc>
              <w:tc>
                <w:tcPr>
                  <w:tcW w:w="553" w:type="pct"/>
                  <w:vMerge w:val="restart"/>
                  <w:vAlign w:val="center"/>
                </w:tcPr>
                <w:p>
                  <w:pPr>
                    <w:pStyle w:val="26"/>
                    <w:widowControl w:val="0"/>
                    <w:adjustRightInd w:val="0"/>
                    <w:snapToGrid w:val="0"/>
                    <w:spacing w:before="0" w:beforeAutospacing="0" w:after="0" w:afterAutospacing="0"/>
                    <w:jc w:val="center"/>
                    <w:rPr>
                      <w:rFonts w:ascii="Times New Roman" w:hAnsi="Times New Roman"/>
                      <w:b/>
                      <w:bCs/>
                      <w:sz w:val="18"/>
                      <w:szCs w:val="18"/>
                    </w:rPr>
                  </w:pPr>
                  <w:r>
                    <w:rPr>
                      <w:rFonts w:ascii="Times New Roman" w:hAnsi="Times New Roman"/>
                      <w:b/>
                      <w:bCs/>
                      <w:sz w:val="18"/>
                      <w:szCs w:val="18"/>
                    </w:rPr>
                    <w:t>环境功能区</w:t>
                  </w:r>
                </w:p>
              </w:tc>
              <w:tc>
                <w:tcPr>
                  <w:tcW w:w="381" w:type="pct"/>
                  <w:vMerge w:val="restart"/>
                  <w:vAlign w:val="center"/>
                </w:tcPr>
                <w:p>
                  <w:pPr>
                    <w:pStyle w:val="26"/>
                    <w:widowControl w:val="0"/>
                    <w:adjustRightInd w:val="0"/>
                    <w:snapToGrid w:val="0"/>
                    <w:spacing w:before="0" w:beforeAutospacing="0" w:after="0" w:afterAutospacing="0"/>
                    <w:jc w:val="center"/>
                    <w:rPr>
                      <w:rFonts w:ascii="Times New Roman" w:hAnsi="Times New Roman"/>
                      <w:b/>
                      <w:bCs/>
                      <w:sz w:val="18"/>
                      <w:szCs w:val="18"/>
                    </w:rPr>
                  </w:pPr>
                  <w:r>
                    <w:rPr>
                      <w:rFonts w:ascii="Times New Roman" w:hAnsi="Times New Roman"/>
                      <w:b/>
                      <w:bCs/>
                      <w:sz w:val="18"/>
                      <w:szCs w:val="18"/>
                    </w:rPr>
                    <w:t>相对厂址方位</w:t>
                  </w:r>
                </w:p>
              </w:tc>
              <w:tc>
                <w:tcPr>
                  <w:tcW w:w="479" w:type="pct"/>
                  <w:vMerge w:val="restart"/>
                  <w:vAlign w:val="center"/>
                </w:tcPr>
                <w:p>
                  <w:pPr>
                    <w:pStyle w:val="26"/>
                    <w:widowControl w:val="0"/>
                    <w:adjustRightInd w:val="0"/>
                    <w:snapToGrid w:val="0"/>
                    <w:spacing w:before="0" w:beforeAutospacing="0" w:after="0" w:afterAutospacing="0"/>
                    <w:jc w:val="center"/>
                    <w:rPr>
                      <w:rFonts w:ascii="Times New Roman" w:hAnsi="Times New Roman"/>
                      <w:b/>
                      <w:bCs/>
                      <w:sz w:val="18"/>
                      <w:szCs w:val="18"/>
                    </w:rPr>
                  </w:pPr>
                  <w:r>
                    <w:rPr>
                      <w:rFonts w:ascii="Times New Roman" w:hAnsi="Times New Roman"/>
                      <w:b/>
                      <w:bCs/>
                      <w:sz w:val="18"/>
                      <w:szCs w:val="18"/>
                    </w:rPr>
                    <w:t>相对厂界距离/m</w:t>
                  </w:r>
                </w:p>
              </w:tc>
              <w:tc>
                <w:tcPr>
                  <w:tcW w:w="479" w:type="pct"/>
                  <w:vMerge w:val="restart"/>
                  <w:vAlign w:val="center"/>
                </w:tcPr>
                <w:p>
                  <w:pPr>
                    <w:pStyle w:val="26"/>
                    <w:widowControl w:val="0"/>
                    <w:adjustRightInd w:val="0"/>
                    <w:snapToGrid w:val="0"/>
                    <w:spacing w:before="0" w:beforeAutospacing="0" w:after="0" w:afterAutospacing="0"/>
                    <w:jc w:val="center"/>
                    <w:rPr>
                      <w:rFonts w:ascii="Times New Roman" w:hAnsi="Times New Roman"/>
                      <w:b/>
                      <w:bCs/>
                      <w:sz w:val="18"/>
                      <w:szCs w:val="18"/>
                    </w:rPr>
                  </w:pPr>
                  <w:r>
                    <w:rPr>
                      <w:rFonts w:hint="eastAsia" w:ascii="Times New Roman" w:hAnsi="Times New Roman"/>
                      <w:b/>
                      <w:bCs/>
                      <w:sz w:val="18"/>
                      <w:szCs w:val="18"/>
                    </w:rPr>
                    <w:t>相对</w:t>
                  </w:r>
                  <w:r>
                    <w:rPr>
                      <w:rFonts w:ascii="Times New Roman" w:hAnsi="Times New Roman"/>
                      <w:b/>
                      <w:bCs/>
                      <w:sz w:val="18"/>
                      <w:szCs w:val="18"/>
                    </w:rPr>
                    <w:t>车间距离</w:t>
                  </w:r>
                  <w:r>
                    <w:rPr>
                      <w:rFonts w:hint="eastAsia" w:ascii="Times New Roman" w:hAnsi="Times New Roman"/>
                      <w:b/>
                      <w:bCs/>
                      <w:sz w:val="18"/>
                      <w:szCs w:val="18"/>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Merge w:val="continue"/>
                  <w:vAlign w:val="center"/>
                </w:tcPr>
                <w:p>
                  <w:pPr>
                    <w:widowControl/>
                    <w:jc w:val="left"/>
                    <w:rPr>
                      <w:b/>
                      <w:bCs/>
                      <w:kern w:val="0"/>
                      <w:sz w:val="18"/>
                      <w:szCs w:val="18"/>
                    </w:rPr>
                  </w:pPr>
                </w:p>
              </w:tc>
              <w:tc>
                <w:tcPr>
                  <w:tcW w:w="777" w:type="pct"/>
                  <w:vAlign w:val="center"/>
                </w:tcPr>
                <w:p>
                  <w:pPr>
                    <w:pStyle w:val="26"/>
                    <w:widowControl w:val="0"/>
                    <w:adjustRightInd w:val="0"/>
                    <w:snapToGrid w:val="0"/>
                    <w:spacing w:before="0" w:beforeAutospacing="0" w:after="0" w:afterAutospacing="0"/>
                    <w:jc w:val="center"/>
                    <w:rPr>
                      <w:rFonts w:ascii="Times New Roman" w:hAnsi="Times New Roman"/>
                      <w:b/>
                      <w:bCs/>
                      <w:sz w:val="18"/>
                      <w:szCs w:val="18"/>
                    </w:rPr>
                  </w:pPr>
                  <w:r>
                    <w:rPr>
                      <w:rFonts w:ascii="Times New Roman" w:hAnsi="Times New Roman"/>
                      <w:b/>
                      <w:bCs/>
                      <w:sz w:val="18"/>
                      <w:szCs w:val="18"/>
                    </w:rPr>
                    <w:t>经度</w:t>
                  </w:r>
                  <w:r>
                    <w:rPr>
                      <w:rFonts w:ascii="Times New Roman" w:hAnsi="Times New Roman"/>
                      <w:sz w:val="18"/>
                      <w:szCs w:val="18"/>
                    </w:rPr>
                    <w:t>E</w:t>
                  </w:r>
                </w:p>
              </w:tc>
              <w:tc>
                <w:tcPr>
                  <w:tcW w:w="736" w:type="pct"/>
                  <w:vAlign w:val="center"/>
                </w:tcPr>
                <w:p>
                  <w:pPr>
                    <w:pStyle w:val="26"/>
                    <w:widowControl w:val="0"/>
                    <w:adjustRightInd w:val="0"/>
                    <w:snapToGrid w:val="0"/>
                    <w:spacing w:before="0" w:beforeAutospacing="0" w:after="0" w:afterAutospacing="0"/>
                    <w:jc w:val="center"/>
                    <w:rPr>
                      <w:rFonts w:ascii="Times New Roman" w:hAnsi="Times New Roman"/>
                      <w:b/>
                      <w:bCs/>
                      <w:sz w:val="18"/>
                      <w:szCs w:val="18"/>
                    </w:rPr>
                  </w:pPr>
                  <w:r>
                    <w:rPr>
                      <w:rFonts w:ascii="Times New Roman" w:hAnsi="Times New Roman"/>
                      <w:b/>
                      <w:bCs/>
                      <w:sz w:val="18"/>
                      <w:szCs w:val="18"/>
                    </w:rPr>
                    <w:t>纬度</w:t>
                  </w:r>
                  <w:r>
                    <w:rPr>
                      <w:rFonts w:ascii="Times New Roman" w:hAnsi="Times New Roman"/>
                      <w:sz w:val="18"/>
                      <w:szCs w:val="18"/>
                    </w:rPr>
                    <w:t>N</w:t>
                  </w:r>
                </w:p>
              </w:tc>
              <w:tc>
                <w:tcPr>
                  <w:tcW w:w="433" w:type="pct"/>
                  <w:vMerge w:val="continue"/>
                  <w:vAlign w:val="center"/>
                </w:tcPr>
                <w:p>
                  <w:pPr>
                    <w:widowControl/>
                    <w:jc w:val="left"/>
                    <w:rPr>
                      <w:b/>
                      <w:bCs/>
                      <w:kern w:val="0"/>
                      <w:sz w:val="18"/>
                      <w:szCs w:val="18"/>
                    </w:rPr>
                  </w:pPr>
                </w:p>
              </w:tc>
              <w:tc>
                <w:tcPr>
                  <w:tcW w:w="596" w:type="pct"/>
                  <w:vMerge w:val="continue"/>
                  <w:vAlign w:val="center"/>
                </w:tcPr>
                <w:p>
                  <w:pPr>
                    <w:widowControl/>
                    <w:jc w:val="left"/>
                    <w:rPr>
                      <w:b/>
                      <w:bCs/>
                      <w:kern w:val="0"/>
                      <w:sz w:val="18"/>
                      <w:szCs w:val="18"/>
                    </w:rPr>
                  </w:pPr>
                </w:p>
              </w:tc>
              <w:tc>
                <w:tcPr>
                  <w:tcW w:w="553" w:type="pct"/>
                  <w:vMerge w:val="continue"/>
                  <w:vAlign w:val="center"/>
                </w:tcPr>
                <w:p>
                  <w:pPr>
                    <w:widowControl/>
                    <w:jc w:val="left"/>
                    <w:rPr>
                      <w:b/>
                      <w:bCs/>
                      <w:kern w:val="0"/>
                      <w:sz w:val="18"/>
                      <w:szCs w:val="18"/>
                    </w:rPr>
                  </w:pPr>
                </w:p>
              </w:tc>
              <w:tc>
                <w:tcPr>
                  <w:tcW w:w="381" w:type="pct"/>
                  <w:vMerge w:val="continue"/>
                  <w:vAlign w:val="center"/>
                </w:tcPr>
                <w:p>
                  <w:pPr>
                    <w:widowControl/>
                    <w:jc w:val="left"/>
                    <w:rPr>
                      <w:b/>
                      <w:bCs/>
                      <w:kern w:val="0"/>
                      <w:sz w:val="18"/>
                      <w:szCs w:val="18"/>
                    </w:rPr>
                  </w:pPr>
                </w:p>
              </w:tc>
              <w:tc>
                <w:tcPr>
                  <w:tcW w:w="479" w:type="pct"/>
                  <w:vMerge w:val="continue"/>
                  <w:vAlign w:val="center"/>
                </w:tcPr>
                <w:p>
                  <w:pPr>
                    <w:widowControl/>
                    <w:jc w:val="left"/>
                    <w:rPr>
                      <w:b/>
                      <w:bCs/>
                      <w:kern w:val="0"/>
                      <w:sz w:val="18"/>
                      <w:szCs w:val="18"/>
                    </w:rPr>
                  </w:pPr>
                </w:p>
              </w:tc>
              <w:tc>
                <w:tcPr>
                  <w:tcW w:w="479" w:type="pct"/>
                  <w:vMerge w:val="continue"/>
                  <w:vAlign w:val="center"/>
                </w:tcPr>
                <w:p>
                  <w:pPr>
                    <w:widowControl/>
                    <w:jc w:val="left"/>
                    <w:rPr>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6" w:type="pct"/>
                  <w:vAlign w:val="center"/>
                </w:tcPr>
                <w:p>
                  <w:pPr>
                    <w:autoSpaceDE w:val="0"/>
                    <w:jc w:val="center"/>
                    <w:rPr>
                      <w:sz w:val="18"/>
                      <w:szCs w:val="18"/>
                    </w:rPr>
                  </w:pPr>
                  <w:r>
                    <w:rPr>
                      <w:rFonts w:hint="eastAsia"/>
                      <w:sz w:val="18"/>
                      <w:szCs w:val="18"/>
                    </w:rPr>
                    <w:t>九潭</w:t>
                  </w:r>
                  <w:r>
                    <w:rPr>
                      <w:sz w:val="18"/>
                      <w:szCs w:val="18"/>
                    </w:rPr>
                    <w:t>社区</w:t>
                  </w:r>
                </w:p>
              </w:tc>
              <w:tc>
                <w:tcPr>
                  <w:tcW w:w="777" w:type="pct"/>
                  <w:vAlign w:val="center"/>
                </w:tcPr>
                <w:p>
                  <w:pPr>
                    <w:pStyle w:val="26"/>
                    <w:widowControl w:val="0"/>
                    <w:adjustRightInd w:val="0"/>
                    <w:snapToGrid w:val="0"/>
                    <w:spacing w:before="0" w:beforeAutospacing="0" w:after="0" w:afterAutospacing="0"/>
                    <w:jc w:val="center"/>
                    <w:rPr>
                      <w:rFonts w:ascii="Times New Roman" w:hAnsi="Times New Roman"/>
                      <w:sz w:val="18"/>
                      <w:szCs w:val="18"/>
                    </w:rPr>
                  </w:pPr>
                  <w:r>
                    <w:rPr>
                      <w:rFonts w:ascii="Times New Roman" w:hAnsi="Times New Roman"/>
                      <w:sz w:val="18"/>
                      <w:szCs w:val="18"/>
                    </w:rPr>
                    <w:t>113°58'59.23"</w:t>
                  </w:r>
                </w:p>
              </w:tc>
              <w:tc>
                <w:tcPr>
                  <w:tcW w:w="736" w:type="pct"/>
                  <w:vAlign w:val="center"/>
                </w:tcPr>
                <w:p>
                  <w:pPr>
                    <w:pStyle w:val="26"/>
                    <w:widowControl w:val="0"/>
                    <w:adjustRightInd w:val="0"/>
                    <w:snapToGrid w:val="0"/>
                    <w:spacing w:before="0" w:beforeAutospacing="0" w:after="0" w:afterAutospacing="0"/>
                    <w:jc w:val="center"/>
                    <w:rPr>
                      <w:rFonts w:ascii="Times New Roman" w:hAnsi="Times New Roman"/>
                      <w:sz w:val="18"/>
                      <w:szCs w:val="18"/>
                    </w:rPr>
                  </w:pPr>
                  <w:r>
                    <w:rPr>
                      <w:rFonts w:ascii="Times New Roman" w:hAnsi="Times New Roman"/>
                      <w:sz w:val="18"/>
                      <w:szCs w:val="18"/>
                    </w:rPr>
                    <w:t>23° 9'51.02"</w:t>
                  </w:r>
                </w:p>
              </w:tc>
              <w:tc>
                <w:tcPr>
                  <w:tcW w:w="433" w:type="pct"/>
                  <w:vAlign w:val="center"/>
                </w:tcPr>
                <w:p>
                  <w:pPr>
                    <w:pStyle w:val="26"/>
                    <w:widowControl w:val="0"/>
                    <w:adjustRightInd w:val="0"/>
                    <w:snapToGrid w:val="0"/>
                    <w:spacing w:before="0" w:beforeAutospacing="0" w:after="0" w:afterAutospacing="0"/>
                    <w:jc w:val="center"/>
                    <w:rPr>
                      <w:rFonts w:ascii="Times New Roman" w:hAnsi="Times New Roman"/>
                      <w:sz w:val="18"/>
                      <w:szCs w:val="18"/>
                    </w:rPr>
                  </w:pPr>
                  <w:r>
                    <w:rPr>
                      <w:rFonts w:ascii="Times New Roman" w:hAnsi="Times New Roman"/>
                      <w:sz w:val="18"/>
                      <w:szCs w:val="18"/>
                    </w:rPr>
                    <w:t>居住区</w:t>
                  </w:r>
                </w:p>
              </w:tc>
              <w:tc>
                <w:tcPr>
                  <w:tcW w:w="596" w:type="pct"/>
                  <w:vAlign w:val="center"/>
                </w:tcPr>
                <w:p>
                  <w:pPr>
                    <w:adjustRightInd w:val="0"/>
                    <w:snapToGrid w:val="0"/>
                    <w:jc w:val="center"/>
                    <w:rPr>
                      <w:sz w:val="18"/>
                      <w:szCs w:val="18"/>
                    </w:rPr>
                  </w:pPr>
                  <w:r>
                    <w:rPr>
                      <w:sz w:val="18"/>
                      <w:szCs w:val="18"/>
                    </w:rPr>
                    <w:t>居民，约3000人</w:t>
                  </w:r>
                </w:p>
              </w:tc>
              <w:tc>
                <w:tcPr>
                  <w:tcW w:w="553" w:type="pct"/>
                  <w:vAlign w:val="center"/>
                </w:tcPr>
                <w:p>
                  <w:pPr>
                    <w:pStyle w:val="26"/>
                    <w:widowControl w:val="0"/>
                    <w:adjustRightInd w:val="0"/>
                    <w:snapToGrid w:val="0"/>
                    <w:spacing w:before="0" w:beforeAutospacing="0" w:after="0" w:afterAutospacing="0"/>
                    <w:jc w:val="center"/>
                    <w:rPr>
                      <w:rFonts w:ascii="Times New Roman" w:hAnsi="Times New Roman"/>
                      <w:sz w:val="18"/>
                      <w:szCs w:val="18"/>
                    </w:rPr>
                  </w:pPr>
                  <w:r>
                    <w:rPr>
                      <w:rFonts w:ascii="Times New Roman" w:hAnsi="Times New Roman"/>
                      <w:sz w:val="18"/>
                      <w:szCs w:val="18"/>
                    </w:rPr>
                    <w:t>环境空气功能区二类区</w:t>
                  </w:r>
                </w:p>
              </w:tc>
              <w:tc>
                <w:tcPr>
                  <w:tcW w:w="381" w:type="pct"/>
                  <w:vAlign w:val="center"/>
                </w:tcPr>
                <w:p>
                  <w:pPr>
                    <w:autoSpaceDE w:val="0"/>
                    <w:jc w:val="center"/>
                    <w:rPr>
                      <w:sz w:val="18"/>
                      <w:szCs w:val="18"/>
                    </w:rPr>
                  </w:pPr>
                  <w:r>
                    <w:rPr>
                      <w:rFonts w:hint="eastAsia"/>
                      <w:sz w:val="18"/>
                      <w:szCs w:val="18"/>
                    </w:rPr>
                    <w:t>西南</w:t>
                  </w:r>
                </w:p>
              </w:tc>
              <w:tc>
                <w:tcPr>
                  <w:tcW w:w="479" w:type="pct"/>
                  <w:vAlign w:val="center"/>
                </w:tcPr>
                <w:p>
                  <w:pPr>
                    <w:autoSpaceDE w:val="0"/>
                    <w:jc w:val="center"/>
                    <w:rPr>
                      <w:sz w:val="18"/>
                      <w:szCs w:val="18"/>
                    </w:rPr>
                  </w:pPr>
                  <w:r>
                    <w:rPr>
                      <w:sz w:val="18"/>
                      <w:szCs w:val="18"/>
                    </w:rPr>
                    <w:t>100</w:t>
                  </w:r>
                </w:p>
              </w:tc>
              <w:tc>
                <w:tcPr>
                  <w:tcW w:w="479" w:type="pct"/>
                  <w:vAlign w:val="center"/>
                </w:tcPr>
                <w:p>
                  <w:pPr>
                    <w:autoSpaceDE w:val="0"/>
                    <w:jc w:val="center"/>
                    <w:rPr>
                      <w:sz w:val="18"/>
                      <w:szCs w:val="18"/>
                    </w:rPr>
                  </w:pPr>
                  <w:r>
                    <w:rPr>
                      <w:rFonts w:hint="eastAsia"/>
                      <w:sz w:val="18"/>
                      <w:szCs w:val="18"/>
                    </w:rPr>
                    <w:t>140</w:t>
                  </w:r>
                </w:p>
              </w:tc>
            </w:tr>
          </w:tbl>
          <w:p>
            <w:pPr>
              <w:pStyle w:val="80"/>
              <w:spacing w:line="360" w:lineRule="auto"/>
              <w:ind w:firstLine="409" w:firstLineChars="194"/>
              <w:rPr>
                <w:b/>
                <w:kern w:val="2"/>
                <w:sz w:val="21"/>
              </w:rPr>
            </w:pPr>
            <w:r>
              <w:rPr>
                <w:rFonts w:hint="eastAsia"/>
                <w:b/>
                <w:kern w:val="2"/>
                <w:sz w:val="21"/>
              </w:rPr>
              <w:t>2</w:t>
            </w:r>
            <w:r>
              <w:rPr>
                <w:b/>
                <w:kern w:val="2"/>
                <w:sz w:val="21"/>
              </w:rPr>
              <w:t>、声环境</w:t>
            </w:r>
          </w:p>
          <w:p>
            <w:pPr>
              <w:adjustRightInd w:val="0"/>
              <w:snapToGrid w:val="0"/>
              <w:spacing w:line="360" w:lineRule="auto"/>
              <w:ind w:firstLine="420" w:firstLineChars="200"/>
            </w:pPr>
            <w:r>
              <w:t>本项目厂界外50米范围内无声环境保护目标。</w:t>
            </w:r>
          </w:p>
          <w:p>
            <w:pPr>
              <w:pStyle w:val="80"/>
              <w:spacing w:line="360" w:lineRule="auto"/>
              <w:ind w:firstLine="422"/>
              <w:rPr>
                <w:b/>
                <w:kern w:val="2"/>
                <w:sz w:val="21"/>
              </w:rPr>
            </w:pPr>
            <w:r>
              <w:rPr>
                <w:rFonts w:hint="eastAsia"/>
                <w:b/>
                <w:kern w:val="2"/>
                <w:sz w:val="21"/>
              </w:rPr>
              <w:t>3</w:t>
            </w:r>
            <w:r>
              <w:rPr>
                <w:b/>
                <w:kern w:val="2"/>
                <w:sz w:val="21"/>
              </w:rPr>
              <w:t>、地下水环境</w:t>
            </w:r>
          </w:p>
          <w:p>
            <w:pPr>
              <w:adjustRightInd w:val="0"/>
              <w:snapToGrid w:val="0"/>
              <w:spacing w:line="360" w:lineRule="auto"/>
              <w:ind w:firstLine="420" w:firstLineChars="200"/>
              <w:rPr>
                <w:b/>
                <w:bCs/>
                <w:szCs w:val="21"/>
              </w:rPr>
            </w:pPr>
            <w:r>
              <w:t>本项目厂界外500米范围内无地下水集中式饮用水源和热水、矿泉水、温泉等特殊地下水资源。</w:t>
            </w:r>
          </w:p>
          <w:p>
            <w:pPr>
              <w:adjustRightInd w:val="0"/>
              <w:snapToGrid w:val="0"/>
              <w:spacing w:line="360" w:lineRule="auto"/>
              <w:ind w:firstLine="422" w:firstLineChars="200"/>
              <w:rPr>
                <w:b/>
                <w:bCs/>
              </w:rPr>
            </w:pPr>
            <w:r>
              <w:rPr>
                <w:rFonts w:hint="eastAsia"/>
                <w:b/>
                <w:bCs/>
              </w:rPr>
              <w:t>4</w:t>
            </w:r>
            <w:r>
              <w:rPr>
                <w:b/>
                <w:bCs/>
              </w:rPr>
              <w:t>、生态环境</w:t>
            </w:r>
          </w:p>
          <w:p>
            <w:pPr>
              <w:widowControl/>
              <w:spacing w:line="360" w:lineRule="auto"/>
              <w:ind w:firstLine="420" w:firstLineChars="200"/>
              <w:rPr>
                <w:kern w:val="0"/>
                <w:szCs w:val="21"/>
              </w:rPr>
            </w:pPr>
            <w:r>
              <w:rPr>
                <w:kern w:val="0"/>
                <w:szCs w:val="21"/>
              </w:rPr>
              <w:t>本项目租赁厂房，无新增用地。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5" w:hRule="atLeast"/>
          <w:jc w:val="center"/>
        </w:trPr>
        <w:tc>
          <w:tcPr>
            <w:tcW w:w="478" w:type="pct"/>
            <w:tcMar>
              <w:left w:w="28" w:type="dxa"/>
              <w:right w:w="28" w:type="dxa"/>
            </w:tcMar>
            <w:vAlign w:val="center"/>
          </w:tcPr>
          <w:p>
            <w:pPr>
              <w:adjustRightInd w:val="0"/>
              <w:snapToGrid w:val="0"/>
              <w:jc w:val="center"/>
              <w:rPr>
                <w:kern w:val="0"/>
                <w:szCs w:val="21"/>
              </w:rPr>
            </w:pPr>
            <w:r>
              <w:rPr>
                <w:kern w:val="0"/>
                <w:szCs w:val="21"/>
              </w:rPr>
              <w:t>污染</w:t>
            </w:r>
          </w:p>
          <w:p>
            <w:pPr>
              <w:adjustRightInd w:val="0"/>
              <w:snapToGrid w:val="0"/>
              <w:jc w:val="center"/>
              <w:rPr>
                <w:kern w:val="0"/>
                <w:szCs w:val="21"/>
              </w:rPr>
            </w:pPr>
            <w:r>
              <w:rPr>
                <w:kern w:val="0"/>
                <w:szCs w:val="21"/>
              </w:rPr>
              <w:t>物排</w:t>
            </w:r>
          </w:p>
          <w:p>
            <w:pPr>
              <w:adjustRightInd w:val="0"/>
              <w:snapToGrid w:val="0"/>
              <w:jc w:val="center"/>
              <w:rPr>
                <w:kern w:val="0"/>
                <w:szCs w:val="21"/>
              </w:rPr>
            </w:pPr>
            <w:r>
              <w:rPr>
                <w:kern w:val="0"/>
                <w:szCs w:val="21"/>
              </w:rPr>
              <w:t>放控</w:t>
            </w:r>
          </w:p>
          <w:p>
            <w:pPr>
              <w:adjustRightInd w:val="0"/>
              <w:snapToGrid w:val="0"/>
              <w:jc w:val="center"/>
              <w:rPr>
                <w:kern w:val="0"/>
                <w:szCs w:val="21"/>
              </w:rPr>
            </w:pPr>
            <w:r>
              <w:rPr>
                <w:kern w:val="0"/>
                <w:szCs w:val="21"/>
              </w:rPr>
              <w:t>制标</w:t>
            </w:r>
          </w:p>
          <w:p>
            <w:pPr>
              <w:adjustRightInd w:val="0"/>
              <w:snapToGrid w:val="0"/>
              <w:jc w:val="center"/>
              <w:rPr>
                <w:kern w:val="0"/>
                <w:szCs w:val="21"/>
              </w:rPr>
            </w:pPr>
            <w:r>
              <w:rPr>
                <w:kern w:val="0"/>
                <w:szCs w:val="21"/>
              </w:rPr>
              <w:t>准</w:t>
            </w:r>
          </w:p>
        </w:tc>
        <w:tc>
          <w:tcPr>
            <w:tcW w:w="4522" w:type="pct"/>
            <w:vAlign w:val="center"/>
          </w:tcPr>
          <w:p>
            <w:pPr>
              <w:snapToGrid w:val="0"/>
              <w:spacing w:line="360" w:lineRule="auto"/>
              <w:ind w:firstLine="422" w:firstLineChars="200"/>
              <w:rPr>
                <w:b/>
                <w:szCs w:val="21"/>
              </w:rPr>
            </w:pPr>
            <w:r>
              <w:rPr>
                <w:rFonts w:hint="eastAsia"/>
                <w:b/>
                <w:szCs w:val="21"/>
              </w:rPr>
              <w:t>1</w:t>
            </w:r>
            <w:r>
              <w:rPr>
                <w:b/>
                <w:szCs w:val="21"/>
              </w:rPr>
              <w:t>、大气</w:t>
            </w:r>
          </w:p>
          <w:p>
            <w:pPr>
              <w:adjustRightInd w:val="0"/>
              <w:snapToGrid w:val="0"/>
              <w:spacing w:line="360" w:lineRule="auto"/>
              <w:ind w:firstLine="420" w:firstLineChars="200"/>
              <w:rPr>
                <w:szCs w:val="21"/>
              </w:rPr>
            </w:pPr>
            <w:r>
              <w:rPr>
                <w:rFonts w:hint="eastAsia"/>
                <w:szCs w:val="21"/>
              </w:rPr>
              <w:t>本项目生产过程中产生的 TVOC 执行广东省《固定污染源挥发性有机物综合排放标准》（DB44/2367-2022）表1和</w:t>
            </w:r>
            <w:r>
              <w:rPr>
                <w:szCs w:val="21"/>
              </w:rPr>
              <w:t>表</w:t>
            </w:r>
            <w:r>
              <w:rPr>
                <w:rFonts w:hint="eastAsia"/>
                <w:szCs w:val="21"/>
              </w:rPr>
              <w:t>3标准，由于广东省《固定污染源挥发性有机物综合排放标准》（DB44/2367-2022）无厂界无组织标准，因此厂界V</w:t>
            </w:r>
            <w:r>
              <w:rPr>
                <w:szCs w:val="21"/>
              </w:rPr>
              <w:t>OCs</w:t>
            </w:r>
            <w:r>
              <w:rPr>
                <w:rFonts w:hint="eastAsia"/>
                <w:szCs w:val="21"/>
              </w:rPr>
              <w:t>排放参照执行广东省《家具制造行业挥发性有机化合物排放标准》（DB44/814-2010）无组织排放监控点浓度限值。颗粒物</w:t>
            </w:r>
            <w:r>
              <w:rPr>
                <w:szCs w:val="21"/>
              </w:rPr>
              <w:t>和</w:t>
            </w:r>
            <w:r>
              <w:rPr>
                <w:rFonts w:hint="eastAsia"/>
                <w:szCs w:val="21"/>
              </w:rPr>
              <w:t>锡及其化合物执行广东省《大气污染物排放限值》（DB44/27-2001）第二时段二级标准及无组织排放监控浓度限值。</w:t>
            </w:r>
          </w:p>
          <w:p>
            <w:pPr>
              <w:adjustRightInd w:val="0"/>
              <w:snapToGrid w:val="0"/>
              <w:spacing w:line="360" w:lineRule="auto"/>
              <w:ind w:firstLine="420" w:firstLineChars="200"/>
              <w:rPr>
                <w:iCs/>
              </w:rPr>
            </w:pPr>
            <w:r>
              <w:rPr>
                <w:kern w:val="0"/>
              </w:rPr>
              <w:t>具体排放标准数据见下表</w:t>
            </w:r>
            <w:r>
              <w:rPr>
                <w:iCs/>
              </w:rPr>
              <w:t>。</w:t>
            </w:r>
          </w:p>
          <w:p>
            <w:pPr>
              <w:widowControl/>
              <w:numPr>
                <w:ilvl w:val="0"/>
                <w:numId w:val="5"/>
              </w:numPr>
              <w:spacing w:line="360" w:lineRule="auto"/>
              <w:ind w:left="0"/>
              <w:jc w:val="center"/>
              <w:rPr>
                <w:b/>
                <w:bCs/>
                <w:szCs w:val="21"/>
              </w:rPr>
            </w:pPr>
            <w:r>
              <w:rPr>
                <w:rFonts w:hAnsi="宋体"/>
                <w:b/>
                <w:bCs/>
                <w:szCs w:val="21"/>
              </w:rPr>
              <w:t>项目大气污染物排放限值</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
              <w:gridCol w:w="1300"/>
              <w:gridCol w:w="1069"/>
              <w:gridCol w:w="1131"/>
              <w:gridCol w:w="1050"/>
              <w:gridCol w:w="130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573" w:type="pct"/>
                  <w:vMerge w:val="restart"/>
                  <w:vAlign w:val="center"/>
                </w:tcPr>
                <w:p>
                  <w:pPr>
                    <w:topLinePunct/>
                    <w:jc w:val="center"/>
                    <w:rPr>
                      <w:b/>
                      <w:bCs/>
                      <w:sz w:val="18"/>
                      <w:szCs w:val="18"/>
                    </w:rPr>
                  </w:pPr>
                  <w:r>
                    <w:rPr>
                      <w:b/>
                      <w:bCs/>
                      <w:sz w:val="18"/>
                      <w:szCs w:val="18"/>
                    </w:rPr>
                    <w:t>产生环节</w:t>
                  </w:r>
                </w:p>
              </w:tc>
              <w:tc>
                <w:tcPr>
                  <w:tcW w:w="796" w:type="pct"/>
                  <w:vMerge w:val="restart"/>
                  <w:vAlign w:val="center"/>
                </w:tcPr>
                <w:p>
                  <w:pPr>
                    <w:topLinePunct/>
                    <w:jc w:val="center"/>
                    <w:rPr>
                      <w:b/>
                      <w:bCs/>
                      <w:sz w:val="18"/>
                      <w:szCs w:val="18"/>
                    </w:rPr>
                  </w:pPr>
                  <w:r>
                    <w:rPr>
                      <w:b/>
                      <w:bCs/>
                      <w:sz w:val="18"/>
                      <w:szCs w:val="18"/>
                    </w:rPr>
                    <w:t>污染因子</w:t>
                  </w:r>
                </w:p>
              </w:tc>
              <w:tc>
                <w:tcPr>
                  <w:tcW w:w="2000" w:type="pct"/>
                  <w:gridSpan w:val="3"/>
                  <w:vAlign w:val="center"/>
                </w:tcPr>
                <w:p>
                  <w:pPr>
                    <w:topLinePunct/>
                    <w:jc w:val="center"/>
                    <w:rPr>
                      <w:b/>
                      <w:bCs/>
                      <w:sz w:val="18"/>
                      <w:szCs w:val="18"/>
                    </w:rPr>
                  </w:pPr>
                  <w:r>
                    <w:rPr>
                      <w:b/>
                      <w:bCs/>
                      <w:sz w:val="18"/>
                      <w:szCs w:val="18"/>
                    </w:rPr>
                    <w:t>有组织排放限值</w:t>
                  </w:r>
                </w:p>
              </w:tc>
              <w:tc>
                <w:tcPr>
                  <w:tcW w:w="796" w:type="pct"/>
                  <w:vMerge w:val="restart"/>
                  <w:vAlign w:val="center"/>
                </w:tcPr>
                <w:p>
                  <w:pPr>
                    <w:topLinePunct/>
                    <w:jc w:val="center"/>
                    <w:rPr>
                      <w:b/>
                      <w:bCs/>
                      <w:sz w:val="18"/>
                      <w:szCs w:val="18"/>
                    </w:rPr>
                  </w:pPr>
                  <w:r>
                    <w:rPr>
                      <w:rFonts w:hint="eastAsia"/>
                      <w:b/>
                      <w:bCs/>
                      <w:sz w:val="18"/>
                      <w:szCs w:val="18"/>
                    </w:rPr>
                    <w:t>厂界</w:t>
                  </w:r>
                  <w:r>
                    <w:rPr>
                      <w:b/>
                      <w:bCs/>
                      <w:sz w:val="18"/>
                      <w:szCs w:val="18"/>
                    </w:rPr>
                    <w:t>无组织排放限值（mg/m</w:t>
                  </w:r>
                  <w:r>
                    <w:rPr>
                      <w:b/>
                      <w:bCs/>
                      <w:sz w:val="18"/>
                      <w:szCs w:val="18"/>
                      <w:vertAlign w:val="superscript"/>
                    </w:rPr>
                    <w:t>3</w:t>
                  </w:r>
                  <w:r>
                    <w:rPr>
                      <w:b/>
                      <w:bCs/>
                      <w:sz w:val="18"/>
                      <w:szCs w:val="18"/>
                    </w:rPr>
                    <w:t>）</w:t>
                  </w:r>
                </w:p>
              </w:tc>
              <w:tc>
                <w:tcPr>
                  <w:tcW w:w="835" w:type="pct"/>
                  <w:vMerge w:val="restart"/>
                  <w:vAlign w:val="center"/>
                </w:tcPr>
                <w:p>
                  <w:pPr>
                    <w:topLinePunct/>
                    <w:jc w:val="center"/>
                    <w:rPr>
                      <w:b/>
                      <w:bCs/>
                      <w:sz w:val="18"/>
                      <w:szCs w:val="18"/>
                    </w:rPr>
                  </w:pPr>
                  <w:r>
                    <w:rPr>
                      <w:b/>
                      <w:bCs/>
                      <w:sz w:val="18"/>
                      <w:szCs w:val="18"/>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blHeader/>
                <w:jc w:val="center"/>
              </w:trPr>
              <w:tc>
                <w:tcPr>
                  <w:tcW w:w="573" w:type="pct"/>
                  <w:vMerge w:val="continue"/>
                  <w:vAlign w:val="center"/>
                </w:tcPr>
                <w:p>
                  <w:pPr>
                    <w:topLinePunct/>
                    <w:jc w:val="center"/>
                    <w:rPr>
                      <w:b/>
                      <w:bCs/>
                      <w:sz w:val="18"/>
                      <w:szCs w:val="18"/>
                    </w:rPr>
                  </w:pPr>
                </w:p>
              </w:tc>
              <w:tc>
                <w:tcPr>
                  <w:tcW w:w="796" w:type="pct"/>
                  <w:vMerge w:val="continue"/>
                  <w:vAlign w:val="center"/>
                </w:tcPr>
                <w:p>
                  <w:pPr>
                    <w:topLinePunct/>
                    <w:jc w:val="center"/>
                    <w:rPr>
                      <w:b/>
                      <w:bCs/>
                      <w:sz w:val="18"/>
                      <w:szCs w:val="18"/>
                    </w:rPr>
                  </w:pPr>
                </w:p>
              </w:tc>
              <w:tc>
                <w:tcPr>
                  <w:tcW w:w="658" w:type="pct"/>
                  <w:vMerge w:val="restart"/>
                  <w:vAlign w:val="center"/>
                </w:tcPr>
                <w:p>
                  <w:pPr>
                    <w:topLinePunct/>
                    <w:jc w:val="center"/>
                    <w:rPr>
                      <w:b/>
                      <w:bCs/>
                      <w:sz w:val="18"/>
                      <w:szCs w:val="18"/>
                    </w:rPr>
                  </w:pPr>
                  <w:r>
                    <w:rPr>
                      <w:b/>
                      <w:bCs/>
                      <w:sz w:val="18"/>
                      <w:szCs w:val="18"/>
                    </w:rPr>
                    <w:t>排放浓度</w:t>
                  </w:r>
                </w:p>
                <w:p>
                  <w:pPr>
                    <w:topLinePunct/>
                    <w:jc w:val="center"/>
                    <w:rPr>
                      <w:b/>
                      <w:bCs/>
                      <w:sz w:val="18"/>
                      <w:szCs w:val="18"/>
                    </w:rPr>
                  </w:pPr>
                  <w:r>
                    <w:rPr>
                      <w:b/>
                      <w:bCs/>
                      <w:sz w:val="18"/>
                      <w:szCs w:val="18"/>
                    </w:rPr>
                    <w:t>（mg/m</w:t>
                  </w:r>
                  <w:r>
                    <w:rPr>
                      <w:b/>
                      <w:bCs/>
                      <w:sz w:val="18"/>
                      <w:szCs w:val="18"/>
                      <w:vertAlign w:val="superscript"/>
                    </w:rPr>
                    <w:t>3</w:t>
                  </w:r>
                  <w:r>
                    <w:rPr>
                      <w:b/>
                      <w:bCs/>
                      <w:sz w:val="18"/>
                      <w:szCs w:val="18"/>
                    </w:rPr>
                    <w:t>）</w:t>
                  </w:r>
                </w:p>
              </w:tc>
              <w:tc>
                <w:tcPr>
                  <w:tcW w:w="1342" w:type="pct"/>
                  <w:gridSpan w:val="2"/>
                  <w:vAlign w:val="center"/>
                </w:tcPr>
                <w:p>
                  <w:pPr>
                    <w:topLinePunct/>
                    <w:jc w:val="center"/>
                    <w:rPr>
                      <w:sz w:val="18"/>
                      <w:szCs w:val="18"/>
                    </w:rPr>
                  </w:pPr>
                  <w:r>
                    <w:rPr>
                      <w:b/>
                      <w:bCs/>
                      <w:sz w:val="18"/>
                      <w:szCs w:val="18"/>
                    </w:rPr>
                    <w:t>速率（kg/h）</w:t>
                  </w:r>
                </w:p>
              </w:tc>
              <w:tc>
                <w:tcPr>
                  <w:tcW w:w="796" w:type="pct"/>
                  <w:vMerge w:val="continue"/>
                  <w:vAlign w:val="center"/>
                </w:tcPr>
                <w:p>
                  <w:pPr>
                    <w:topLinePunct/>
                    <w:jc w:val="center"/>
                    <w:rPr>
                      <w:sz w:val="18"/>
                      <w:szCs w:val="18"/>
                    </w:rPr>
                  </w:pPr>
                </w:p>
              </w:tc>
              <w:tc>
                <w:tcPr>
                  <w:tcW w:w="835" w:type="pct"/>
                  <w:vMerge w:val="continue"/>
                  <w:vAlign w:val="center"/>
                </w:tcPr>
                <w:p>
                  <w:pPr>
                    <w:topLinePun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blHeader/>
                <w:jc w:val="center"/>
              </w:trPr>
              <w:tc>
                <w:tcPr>
                  <w:tcW w:w="573" w:type="pct"/>
                  <w:vMerge w:val="continue"/>
                  <w:vAlign w:val="center"/>
                </w:tcPr>
                <w:p>
                  <w:pPr>
                    <w:topLinePunct/>
                    <w:jc w:val="center"/>
                    <w:rPr>
                      <w:b/>
                      <w:bCs/>
                      <w:sz w:val="18"/>
                      <w:szCs w:val="18"/>
                    </w:rPr>
                  </w:pPr>
                </w:p>
              </w:tc>
              <w:tc>
                <w:tcPr>
                  <w:tcW w:w="796" w:type="pct"/>
                  <w:vMerge w:val="continue"/>
                  <w:vAlign w:val="center"/>
                </w:tcPr>
                <w:p>
                  <w:pPr>
                    <w:topLinePunct/>
                    <w:jc w:val="center"/>
                    <w:rPr>
                      <w:b/>
                      <w:bCs/>
                      <w:sz w:val="18"/>
                      <w:szCs w:val="18"/>
                    </w:rPr>
                  </w:pPr>
                </w:p>
              </w:tc>
              <w:tc>
                <w:tcPr>
                  <w:tcW w:w="658" w:type="pct"/>
                  <w:vMerge w:val="continue"/>
                  <w:vAlign w:val="center"/>
                </w:tcPr>
                <w:p>
                  <w:pPr>
                    <w:topLinePunct/>
                    <w:jc w:val="center"/>
                    <w:rPr>
                      <w:b/>
                      <w:bCs/>
                      <w:sz w:val="18"/>
                      <w:szCs w:val="18"/>
                    </w:rPr>
                  </w:pPr>
                </w:p>
              </w:tc>
              <w:tc>
                <w:tcPr>
                  <w:tcW w:w="695" w:type="pct"/>
                  <w:vAlign w:val="center"/>
                </w:tcPr>
                <w:p>
                  <w:pPr>
                    <w:topLinePunct/>
                    <w:jc w:val="center"/>
                    <w:rPr>
                      <w:b/>
                      <w:bCs/>
                      <w:sz w:val="18"/>
                      <w:szCs w:val="18"/>
                    </w:rPr>
                  </w:pPr>
                  <w:r>
                    <w:rPr>
                      <w:rFonts w:hint="eastAsia"/>
                      <w:b/>
                      <w:bCs/>
                      <w:sz w:val="18"/>
                      <w:szCs w:val="18"/>
                    </w:rPr>
                    <w:t>15m</w:t>
                  </w:r>
                </w:p>
              </w:tc>
              <w:tc>
                <w:tcPr>
                  <w:tcW w:w="647" w:type="pct"/>
                  <w:vAlign w:val="center"/>
                </w:tcPr>
                <w:p>
                  <w:pPr>
                    <w:topLinePunct/>
                    <w:jc w:val="center"/>
                    <w:rPr>
                      <w:b/>
                      <w:bCs/>
                      <w:sz w:val="18"/>
                      <w:szCs w:val="18"/>
                    </w:rPr>
                  </w:pPr>
                  <w:r>
                    <w:rPr>
                      <w:rFonts w:hint="eastAsia"/>
                      <w:b/>
                      <w:bCs/>
                      <w:sz w:val="18"/>
                      <w:szCs w:val="18"/>
                    </w:rPr>
                    <w:t>25m</w:t>
                  </w:r>
                </w:p>
              </w:tc>
              <w:tc>
                <w:tcPr>
                  <w:tcW w:w="796" w:type="pct"/>
                  <w:vMerge w:val="continue"/>
                  <w:vAlign w:val="center"/>
                </w:tcPr>
                <w:p>
                  <w:pPr>
                    <w:topLinePunct/>
                    <w:jc w:val="center"/>
                    <w:rPr>
                      <w:sz w:val="18"/>
                      <w:szCs w:val="18"/>
                    </w:rPr>
                  </w:pPr>
                </w:p>
              </w:tc>
              <w:tc>
                <w:tcPr>
                  <w:tcW w:w="835" w:type="pct"/>
                  <w:vMerge w:val="continue"/>
                  <w:vAlign w:val="center"/>
                </w:tcPr>
                <w:p>
                  <w:pPr>
                    <w:topLinePun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3" w:type="pct"/>
                  <w:vMerge w:val="restart"/>
                  <w:vAlign w:val="center"/>
                </w:tcPr>
                <w:p>
                  <w:pPr>
                    <w:topLinePunct/>
                    <w:jc w:val="center"/>
                    <w:rPr>
                      <w:sz w:val="18"/>
                      <w:szCs w:val="18"/>
                    </w:rPr>
                  </w:pPr>
                  <w:r>
                    <w:rPr>
                      <w:rFonts w:hint="eastAsia"/>
                      <w:sz w:val="18"/>
                      <w:szCs w:val="18"/>
                    </w:rPr>
                    <w:t>粘片、</w:t>
                  </w:r>
                  <w:r>
                    <w:rPr>
                      <w:sz w:val="18"/>
                      <w:szCs w:val="18"/>
                    </w:rPr>
                    <w:t>点胶、固化</w:t>
                  </w:r>
                </w:p>
              </w:tc>
              <w:tc>
                <w:tcPr>
                  <w:tcW w:w="796" w:type="pct"/>
                  <w:vAlign w:val="center"/>
                </w:tcPr>
                <w:p>
                  <w:pPr>
                    <w:pStyle w:val="26"/>
                    <w:keepNext/>
                    <w:widowControl w:val="0"/>
                    <w:adjustRightInd w:val="0"/>
                    <w:snapToGrid w:val="0"/>
                    <w:spacing w:before="0" w:after="0" w:line="264" w:lineRule="auto"/>
                    <w:jc w:val="center"/>
                    <w:rPr>
                      <w:rFonts w:ascii="Times New Roman" w:hAnsi="Times New Roman"/>
                      <w:sz w:val="18"/>
                      <w:szCs w:val="18"/>
                    </w:rPr>
                  </w:pPr>
                  <w:r>
                    <w:rPr>
                      <w:rFonts w:ascii="Times New Roman" w:hAnsi="Times New Roman"/>
                      <w:sz w:val="18"/>
                      <w:szCs w:val="18"/>
                    </w:rPr>
                    <w:t>TVOC</w:t>
                  </w:r>
                  <w:r>
                    <w:rPr>
                      <w:rFonts w:hint="eastAsia" w:ascii="Times New Roman" w:hAnsi="Times New Roman"/>
                      <w:sz w:val="18"/>
                      <w:szCs w:val="18"/>
                    </w:rPr>
                    <w:t>（VOCs）</w:t>
                  </w:r>
                </w:p>
              </w:tc>
              <w:tc>
                <w:tcPr>
                  <w:tcW w:w="658" w:type="pct"/>
                  <w:vAlign w:val="center"/>
                </w:tcPr>
                <w:p>
                  <w:pPr>
                    <w:autoSpaceDE w:val="0"/>
                    <w:jc w:val="center"/>
                    <w:rPr>
                      <w:sz w:val="18"/>
                      <w:szCs w:val="18"/>
                    </w:rPr>
                  </w:pPr>
                  <w:r>
                    <w:rPr>
                      <w:kern w:val="11"/>
                      <w:sz w:val="18"/>
                      <w:szCs w:val="18"/>
                    </w:rPr>
                    <w:t>10</w:t>
                  </w:r>
                  <w:r>
                    <w:rPr>
                      <w:rFonts w:hint="eastAsia"/>
                      <w:kern w:val="11"/>
                      <w:sz w:val="18"/>
                      <w:szCs w:val="18"/>
                    </w:rPr>
                    <w:t>0</w:t>
                  </w:r>
                </w:p>
              </w:tc>
              <w:tc>
                <w:tcPr>
                  <w:tcW w:w="695" w:type="pct"/>
                  <w:vAlign w:val="center"/>
                </w:tcPr>
                <w:p>
                  <w:pPr>
                    <w:autoSpaceDE w:val="0"/>
                    <w:jc w:val="center"/>
                    <w:rPr>
                      <w:sz w:val="18"/>
                      <w:szCs w:val="18"/>
                    </w:rPr>
                  </w:pPr>
                  <w:r>
                    <w:rPr>
                      <w:sz w:val="18"/>
                      <w:szCs w:val="18"/>
                    </w:rPr>
                    <w:t>/</w:t>
                  </w:r>
                </w:p>
              </w:tc>
              <w:tc>
                <w:tcPr>
                  <w:tcW w:w="647" w:type="pct"/>
                  <w:vAlign w:val="center"/>
                </w:tcPr>
                <w:p>
                  <w:pPr>
                    <w:topLinePunct/>
                    <w:jc w:val="center"/>
                    <w:rPr>
                      <w:sz w:val="18"/>
                      <w:szCs w:val="18"/>
                    </w:rPr>
                  </w:pPr>
                  <w:r>
                    <w:rPr>
                      <w:sz w:val="18"/>
                      <w:szCs w:val="18"/>
                    </w:rPr>
                    <w:t>/</w:t>
                  </w:r>
                </w:p>
              </w:tc>
              <w:tc>
                <w:tcPr>
                  <w:tcW w:w="796" w:type="pct"/>
                  <w:vAlign w:val="center"/>
                </w:tcPr>
                <w:p>
                  <w:pPr>
                    <w:topLinePunct/>
                    <w:jc w:val="center"/>
                    <w:rPr>
                      <w:sz w:val="18"/>
                      <w:szCs w:val="18"/>
                    </w:rPr>
                  </w:pPr>
                  <w:r>
                    <w:rPr>
                      <w:sz w:val="18"/>
                      <w:szCs w:val="18"/>
                    </w:rPr>
                    <w:t>2.0</w:t>
                  </w:r>
                </w:p>
              </w:tc>
              <w:tc>
                <w:tcPr>
                  <w:tcW w:w="835" w:type="pct"/>
                  <w:vAlign w:val="center"/>
                </w:tcPr>
                <w:p>
                  <w:pPr>
                    <w:topLinePunct/>
                    <w:jc w:val="center"/>
                    <w:rPr>
                      <w:sz w:val="18"/>
                      <w:szCs w:val="18"/>
                    </w:rPr>
                  </w:pPr>
                  <w:r>
                    <w:rPr>
                      <w:rFonts w:hint="eastAsia"/>
                      <w:sz w:val="18"/>
                      <w:szCs w:val="18"/>
                    </w:rPr>
                    <w:t>DB44/2367-2022、DB44/814-2010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3" w:type="pct"/>
                  <w:vMerge w:val="continue"/>
                  <w:vAlign w:val="center"/>
                </w:tcPr>
                <w:p>
                  <w:pPr>
                    <w:topLinePunct/>
                    <w:jc w:val="center"/>
                    <w:rPr>
                      <w:sz w:val="18"/>
                      <w:szCs w:val="18"/>
                    </w:rPr>
                  </w:pPr>
                </w:p>
              </w:tc>
              <w:tc>
                <w:tcPr>
                  <w:tcW w:w="796" w:type="pct"/>
                  <w:vAlign w:val="center"/>
                </w:tcPr>
                <w:p>
                  <w:pPr>
                    <w:adjustRightInd w:val="0"/>
                    <w:snapToGrid w:val="0"/>
                    <w:jc w:val="center"/>
                    <w:textAlignment w:val="baseline"/>
                    <w:rPr>
                      <w:kern w:val="0"/>
                      <w:sz w:val="18"/>
                      <w:szCs w:val="18"/>
                    </w:rPr>
                  </w:pPr>
                  <w:r>
                    <w:rPr>
                      <w:rFonts w:hint="eastAsia"/>
                      <w:kern w:val="0"/>
                      <w:sz w:val="18"/>
                      <w:szCs w:val="18"/>
                    </w:rPr>
                    <w:t>N</w:t>
                  </w:r>
                  <w:r>
                    <w:rPr>
                      <w:kern w:val="0"/>
                      <w:sz w:val="18"/>
                      <w:szCs w:val="18"/>
                    </w:rPr>
                    <w:t>MHC</w:t>
                  </w:r>
                </w:p>
              </w:tc>
              <w:tc>
                <w:tcPr>
                  <w:tcW w:w="658" w:type="pct"/>
                  <w:vAlign w:val="center"/>
                </w:tcPr>
                <w:p>
                  <w:pPr>
                    <w:autoSpaceDE w:val="0"/>
                    <w:jc w:val="center"/>
                    <w:rPr>
                      <w:sz w:val="18"/>
                      <w:szCs w:val="18"/>
                    </w:rPr>
                  </w:pPr>
                  <w:r>
                    <w:rPr>
                      <w:sz w:val="18"/>
                      <w:szCs w:val="18"/>
                    </w:rPr>
                    <w:t>8</w:t>
                  </w:r>
                  <w:r>
                    <w:rPr>
                      <w:rFonts w:hint="eastAsia"/>
                      <w:sz w:val="18"/>
                      <w:szCs w:val="18"/>
                    </w:rPr>
                    <w:t>0</w:t>
                  </w:r>
                </w:p>
              </w:tc>
              <w:tc>
                <w:tcPr>
                  <w:tcW w:w="695" w:type="pct"/>
                  <w:vAlign w:val="center"/>
                </w:tcPr>
                <w:p>
                  <w:pPr>
                    <w:autoSpaceDE w:val="0"/>
                    <w:jc w:val="center"/>
                    <w:rPr>
                      <w:sz w:val="18"/>
                      <w:szCs w:val="18"/>
                    </w:rPr>
                  </w:pPr>
                  <w:r>
                    <w:rPr>
                      <w:sz w:val="18"/>
                      <w:szCs w:val="18"/>
                    </w:rPr>
                    <w:t>/</w:t>
                  </w:r>
                </w:p>
              </w:tc>
              <w:tc>
                <w:tcPr>
                  <w:tcW w:w="647" w:type="pct"/>
                  <w:vAlign w:val="center"/>
                </w:tcPr>
                <w:p>
                  <w:pPr>
                    <w:autoSpaceDE w:val="0"/>
                    <w:jc w:val="center"/>
                    <w:rPr>
                      <w:sz w:val="18"/>
                      <w:szCs w:val="18"/>
                    </w:rPr>
                  </w:pPr>
                  <w:r>
                    <w:rPr>
                      <w:sz w:val="18"/>
                      <w:szCs w:val="18"/>
                    </w:rPr>
                    <w:t>/</w:t>
                  </w:r>
                </w:p>
              </w:tc>
              <w:tc>
                <w:tcPr>
                  <w:tcW w:w="796" w:type="pct"/>
                  <w:vAlign w:val="center"/>
                </w:tcPr>
                <w:p>
                  <w:pPr>
                    <w:autoSpaceDE w:val="0"/>
                    <w:jc w:val="center"/>
                    <w:rPr>
                      <w:sz w:val="18"/>
                      <w:szCs w:val="18"/>
                    </w:rPr>
                  </w:pPr>
                  <w:r>
                    <w:rPr>
                      <w:sz w:val="18"/>
                      <w:szCs w:val="18"/>
                    </w:rPr>
                    <w:t>/</w:t>
                  </w:r>
                </w:p>
              </w:tc>
              <w:tc>
                <w:tcPr>
                  <w:tcW w:w="835" w:type="pct"/>
                  <w:vAlign w:val="center"/>
                </w:tcPr>
                <w:p>
                  <w:pPr>
                    <w:topLinePunct/>
                    <w:jc w:val="center"/>
                    <w:rPr>
                      <w:sz w:val="18"/>
                      <w:szCs w:val="18"/>
                    </w:rPr>
                  </w:pPr>
                  <w:r>
                    <w:rPr>
                      <w:rFonts w:hint="eastAsia"/>
                      <w:sz w:val="18"/>
                      <w:szCs w:val="18"/>
                    </w:rPr>
                    <w:t>DB44/2367-2022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3" w:type="pct"/>
                  <w:vMerge w:val="restart"/>
                  <w:vAlign w:val="center"/>
                </w:tcPr>
                <w:p>
                  <w:pPr>
                    <w:topLinePunct/>
                    <w:jc w:val="center"/>
                    <w:rPr>
                      <w:sz w:val="18"/>
                      <w:szCs w:val="18"/>
                    </w:rPr>
                  </w:pPr>
                  <w:r>
                    <w:rPr>
                      <w:rFonts w:hint="eastAsia"/>
                      <w:sz w:val="18"/>
                      <w:szCs w:val="18"/>
                    </w:rPr>
                    <w:t>粘片</w:t>
                  </w:r>
                </w:p>
              </w:tc>
              <w:tc>
                <w:tcPr>
                  <w:tcW w:w="796" w:type="pct"/>
                  <w:vAlign w:val="center"/>
                </w:tcPr>
                <w:p>
                  <w:pPr>
                    <w:pStyle w:val="26"/>
                    <w:keepNext/>
                    <w:widowControl w:val="0"/>
                    <w:adjustRightInd w:val="0"/>
                    <w:snapToGrid w:val="0"/>
                    <w:spacing w:before="0" w:after="0" w:line="264" w:lineRule="auto"/>
                    <w:jc w:val="center"/>
                    <w:rPr>
                      <w:rFonts w:ascii="Times New Roman" w:hAnsi="Times New Roman"/>
                      <w:sz w:val="18"/>
                      <w:szCs w:val="18"/>
                    </w:rPr>
                  </w:pPr>
                  <w:r>
                    <w:rPr>
                      <w:rFonts w:hint="eastAsia" w:ascii="Times New Roman" w:hAnsi="Times New Roman"/>
                      <w:sz w:val="18"/>
                      <w:szCs w:val="18"/>
                    </w:rPr>
                    <w:t>锡及其化合物</w:t>
                  </w:r>
                </w:p>
              </w:tc>
              <w:tc>
                <w:tcPr>
                  <w:tcW w:w="658" w:type="pct"/>
                  <w:vAlign w:val="center"/>
                </w:tcPr>
                <w:p>
                  <w:pPr>
                    <w:autoSpaceDE w:val="0"/>
                    <w:jc w:val="center"/>
                    <w:rPr>
                      <w:kern w:val="11"/>
                      <w:sz w:val="18"/>
                      <w:szCs w:val="18"/>
                    </w:rPr>
                  </w:pPr>
                  <w:r>
                    <w:rPr>
                      <w:kern w:val="11"/>
                      <w:sz w:val="18"/>
                      <w:szCs w:val="18"/>
                    </w:rPr>
                    <w:t>8.5</w:t>
                  </w:r>
                </w:p>
              </w:tc>
              <w:tc>
                <w:tcPr>
                  <w:tcW w:w="695" w:type="pct"/>
                  <w:vAlign w:val="center"/>
                </w:tcPr>
                <w:p>
                  <w:pPr>
                    <w:autoSpaceDE w:val="0"/>
                    <w:jc w:val="center"/>
                    <w:rPr>
                      <w:sz w:val="18"/>
                      <w:szCs w:val="18"/>
                    </w:rPr>
                  </w:pPr>
                  <w:r>
                    <w:rPr>
                      <w:sz w:val="18"/>
                      <w:szCs w:val="18"/>
                    </w:rPr>
                    <w:t>0.125*</w:t>
                  </w:r>
                </w:p>
              </w:tc>
              <w:tc>
                <w:tcPr>
                  <w:tcW w:w="647" w:type="pct"/>
                  <w:vAlign w:val="center"/>
                </w:tcPr>
                <w:p>
                  <w:pPr>
                    <w:topLinePunct/>
                    <w:jc w:val="center"/>
                    <w:rPr>
                      <w:sz w:val="18"/>
                      <w:szCs w:val="18"/>
                    </w:rPr>
                  </w:pPr>
                  <w:r>
                    <w:rPr>
                      <w:rFonts w:hint="eastAsia"/>
                      <w:sz w:val="18"/>
                      <w:szCs w:val="18"/>
                    </w:rPr>
                    <w:t>0.4775</w:t>
                  </w:r>
                  <w:r>
                    <w:rPr>
                      <w:sz w:val="18"/>
                      <w:szCs w:val="18"/>
                    </w:rPr>
                    <w:t>*</w:t>
                  </w:r>
                </w:p>
              </w:tc>
              <w:tc>
                <w:tcPr>
                  <w:tcW w:w="796" w:type="pct"/>
                  <w:vAlign w:val="center"/>
                </w:tcPr>
                <w:p>
                  <w:pPr>
                    <w:topLinePunct/>
                    <w:jc w:val="center"/>
                    <w:rPr>
                      <w:sz w:val="18"/>
                      <w:szCs w:val="18"/>
                    </w:rPr>
                  </w:pPr>
                  <w:r>
                    <w:rPr>
                      <w:sz w:val="18"/>
                      <w:szCs w:val="18"/>
                    </w:rPr>
                    <w:t>0.24</w:t>
                  </w:r>
                </w:p>
              </w:tc>
              <w:tc>
                <w:tcPr>
                  <w:tcW w:w="835" w:type="pct"/>
                  <w:vMerge w:val="restart"/>
                  <w:vAlign w:val="center"/>
                </w:tcPr>
                <w:p>
                  <w:pPr>
                    <w:topLinePunct/>
                    <w:jc w:val="center"/>
                    <w:rPr>
                      <w:sz w:val="18"/>
                      <w:szCs w:val="18"/>
                    </w:rPr>
                  </w:pPr>
                  <w:r>
                    <w:rPr>
                      <w:rFonts w:hint="eastAsia"/>
                      <w:sz w:val="18"/>
                      <w:szCs w:val="18"/>
                    </w:rPr>
                    <w:t xml:space="preserve"> DB44/27-2001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3" w:type="pct"/>
                  <w:vMerge w:val="continue"/>
                  <w:vAlign w:val="center"/>
                </w:tcPr>
                <w:p>
                  <w:pPr>
                    <w:topLinePunct/>
                    <w:jc w:val="center"/>
                    <w:rPr>
                      <w:sz w:val="18"/>
                      <w:szCs w:val="18"/>
                    </w:rPr>
                  </w:pPr>
                </w:p>
              </w:tc>
              <w:tc>
                <w:tcPr>
                  <w:tcW w:w="796" w:type="pct"/>
                  <w:vAlign w:val="center"/>
                </w:tcPr>
                <w:p>
                  <w:pPr>
                    <w:adjustRightInd w:val="0"/>
                    <w:snapToGrid w:val="0"/>
                    <w:jc w:val="center"/>
                    <w:textAlignment w:val="baseline"/>
                    <w:rPr>
                      <w:kern w:val="0"/>
                      <w:sz w:val="18"/>
                      <w:szCs w:val="18"/>
                    </w:rPr>
                  </w:pPr>
                  <w:r>
                    <w:rPr>
                      <w:kern w:val="0"/>
                      <w:sz w:val="18"/>
                      <w:szCs w:val="18"/>
                    </w:rPr>
                    <w:t>颗粒物</w:t>
                  </w:r>
                </w:p>
              </w:tc>
              <w:tc>
                <w:tcPr>
                  <w:tcW w:w="658" w:type="pct"/>
                  <w:vAlign w:val="center"/>
                </w:tcPr>
                <w:p>
                  <w:pPr>
                    <w:topLinePunct/>
                    <w:jc w:val="center"/>
                    <w:rPr>
                      <w:sz w:val="18"/>
                      <w:szCs w:val="18"/>
                    </w:rPr>
                  </w:pPr>
                  <w:r>
                    <w:rPr>
                      <w:sz w:val="18"/>
                      <w:szCs w:val="18"/>
                    </w:rPr>
                    <w:t>120</w:t>
                  </w:r>
                </w:p>
              </w:tc>
              <w:tc>
                <w:tcPr>
                  <w:tcW w:w="695" w:type="pct"/>
                  <w:vAlign w:val="center"/>
                </w:tcPr>
                <w:p>
                  <w:pPr>
                    <w:topLinePunct/>
                    <w:jc w:val="center"/>
                    <w:rPr>
                      <w:sz w:val="18"/>
                      <w:szCs w:val="18"/>
                    </w:rPr>
                  </w:pPr>
                  <w:r>
                    <w:rPr>
                      <w:sz w:val="18"/>
                      <w:szCs w:val="18"/>
                    </w:rPr>
                    <w:t>1.45*</w:t>
                  </w:r>
                </w:p>
              </w:tc>
              <w:tc>
                <w:tcPr>
                  <w:tcW w:w="647" w:type="pct"/>
                  <w:vAlign w:val="center"/>
                </w:tcPr>
                <w:p>
                  <w:pPr>
                    <w:autoSpaceDE w:val="0"/>
                    <w:jc w:val="center"/>
                    <w:rPr>
                      <w:sz w:val="18"/>
                      <w:szCs w:val="18"/>
                    </w:rPr>
                  </w:pPr>
                  <w:r>
                    <w:rPr>
                      <w:rFonts w:hint="eastAsia"/>
                      <w:sz w:val="18"/>
                      <w:szCs w:val="18"/>
                    </w:rPr>
                    <w:t>5.95</w:t>
                  </w:r>
                  <w:r>
                    <w:rPr>
                      <w:sz w:val="18"/>
                      <w:szCs w:val="18"/>
                    </w:rPr>
                    <w:t>*</w:t>
                  </w:r>
                </w:p>
              </w:tc>
              <w:tc>
                <w:tcPr>
                  <w:tcW w:w="796" w:type="pct"/>
                  <w:vAlign w:val="center"/>
                </w:tcPr>
                <w:p>
                  <w:pPr>
                    <w:autoSpaceDE w:val="0"/>
                    <w:jc w:val="center"/>
                    <w:rPr>
                      <w:sz w:val="18"/>
                      <w:szCs w:val="18"/>
                    </w:rPr>
                  </w:pPr>
                  <w:r>
                    <w:rPr>
                      <w:sz w:val="18"/>
                      <w:szCs w:val="18"/>
                    </w:rPr>
                    <w:t>1.0</w:t>
                  </w:r>
                </w:p>
              </w:tc>
              <w:tc>
                <w:tcPr>
                  <w:tcW w:w="835" w:type="pct"/>
                  <w:vMerge w:val="continue"/>
                  <w:vAlign w:val="center"/>
                </w:tcPr>
                <w:p>
                  <w:pPr>
                    <w:topLinePunct/>
                    <w:jc w:val="center"/>
                    <w:rPr>
                      <w:sz w:val="18"/>
                      <w:szCs w:val="18"/>
                    </w:rPr>
                  </w:pPr>
                </w:p>
              </w:tc>
            </w:tr>
          </w:tbl>
          <w:p>
            <w:pPr>
              <w:adjustRightInd w:val="0"/>
              <w:snapToGrid w:val="0"/>
              <w:spacing w:line="360" w:lineRule="auto"/>
              <w:rPr>
                <w:b/>
                <w:bCs/>
                <w:szCs w:val="21"/>
              </w:rPr>
            </w:pPr>
            <w:r>
              <w:rPr>
                <w:rFonts w:hint="eastAsia"/>
                <w:sz w:val="18"/>
                <w:szCs w:val="18"/>
              </w:rPr>
              <w:t>注：项目废气排气筒高度不能满足《大气污染物排放限值》(DB44/27-2001)</w:t>
            </w:r>
            <w:r>
              <w:rPr>
                <w:rStyle w:val="40"/>
                <w:sz w:val="18"/>
                <w:szCs w:val="18"/>
              </w:rPr>
              <w:t>标准</w:t>
            </w:r>
            <w:r>
              <w:rPr>
                <w:rStyle w:val="40"/>
                <w:rFonts w:hint="eastAsia"/>
                <w:sz w:val="18"/>
                <w:szCs w:val="18"/>
              </w:rPr>
              <w:t>中“</w:t>
            </w:r>
            <w:r>
              <w:rPr>
                <w:rFonts w:hint="eastAsia"/>
                <w:sz w:val="18"/>
                <w:szCs w:val="18"/>
              </w:rPr>
              <w:t>排气筒高度应高出周围的200m半径范围的建筑5m以上”的规定，应按其高度对应的排放速率限值的50%执行。</w:t>
            </w:r>
          </w:p>
          <w:p>
            <w:pPr>
              <w:numPr>
                <w:ilvl w:val="0"/>
                <w:numId w:val="5"/>
              </w:numPr>
              <w:adjustRightInd w:val="0"/>
              <w:snapToGrid w:val="0"/>
              <w:spacing w:line="360" w:lineRule="auto"/>
              <w:ind w:left="-2" w:leftChars="-1" w:firstLine="2"/>
              <w:jc w:val="center"/>
              <w:rPr>
                <w:b/>
                <w:bCs/>
                <w:szCs w:val="21"/>
              </w:rPr>
            </w:pPr>
            <w:r>
              <w:rPr>
                <w:rFonts w:hint="eastAsia"/>
                <w:b/>
                <w:bCs/>
                <w:szCs w:val="21"/>
              </w:rPr>
              <w:t>厂区</w:t>
            </w:r>
            <w:r>
              <w:rPr>
                <w:b/>
                <w:bCs/>
                <w:szCs w:val="21"/>
              </w:rPr>
              <w:t>内</w:t>
            </w:r>
            <w:r>
              <w:rPr>
                <w:rFonts w:hint="eastAsia"/>
                <w:b/>
                <w:bCs/>
                <w:szCs w:val="21"/>
              </w:rPr>
              <w:t>VOC</w:t>
            </w:r>
            <w:r>
              <w:rPr>
                <w:b/>
                <w:bCs/>
                <w:szCs w:val="21"/>
              </w:rPr>
              <w:t>s</w:t>
            </w:r>
            <w:r>
              <w:rPr>
                <w:rFonts w:hint="eastAsia"/>
                <w:b/>
                <w:bCs/>
                <w:szCs w:val="21"/>
              </w:rPr>
              <w:t>无组</w:t>
            </w:r>
            <w:r>
              <w:rPr>
                <w:b/>
                <w:bCs/>
                <w:szCs w:val="21"/>
              </w:rPr>
              <w:t>织排放限值</w:t>
            </w:r>
            <w:r>
              <w:rPr>
                <w:rFonts w:hint="eastAsia"/>
                <w:b/>
                <w:bCs/>
                <w:szCs w:val="21"/>
              </w:rPr>
              <w:t>（单位：mg/m</w:t>
            </w:r>
            <w:r>
              <w:rPr>
                <w:rFonts w:hint="eastAsia"/>
                <w:b/>
                <w:bCs/>
                <w:szCs w:val="21"/>
                <w:vertAlign w:val="superscript"/>
              </w:rPr>
              <w:t>3</w:t>
            </w:r>
            <w:r>
              <w:rPr>
                <w:rFonts w:hint="eastAsia"/>
                <w:b/>
                <w:bCs/>
                <w:szCs w:val="21"/>
              </w:rPr>
              <w:t>）</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9"/>
              <w:gridCol w:w="1725"/>
              <w:gridCol w:w="2695"/>
              <w:gridCol w:w="2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 w:type="pct"/>
                  <w:vAlign w:val="center"/>
                </w:tcPr>
                <w:p>
                  <w:pPr>
                    <w:pStyle w:val="44"/>
                    <w:rPr>
                      <w:rFonts w:ascii="Times New Roman" w:hAnsi="Times New Roman"/>
                      <w:b/>
                      <w:bCs/>
                      <w:color w:val="auto"/>
                      <w:sz w:val="21"/>
                      <w:szCs w:val="21"/>
                    </w:rPr>
                  </w:pPr>
                  <w:r>
                    <w:rPr>
                      <w:rFonts w:ascii="Times New Roman" w:hAnsi="Times New Roman"/>
                      <w:b/>
                      <w:bCs/>
                      <w:color w:val="auto"/>
                      <w:sz w:val="21"/>
                      <w:szCs w:val="21"/>
                    </w:rPr>
                    <w:t>污染物项目</w:t>
                  </w:r>
                </w:p>
              </w:tc>
              <w:tc>
                <w:tcPr>
                  <w:tcW w:w="1023" w:type="pct"/>
                  <w:vAlign w:val="center"/>
                </w:tcPr>
                <w:p>
                  <w:pPr>
                    <w:pStyle w:val="44"/>
                    <w:rPr>
                      <w:rFonts w:ascii="Times New Roman" w:hAnsi="Times New Roman"/>
                      <w:b/>
                      <w:bCs/>
                      <w:color w:val="auto"/>
                      <w:sz w:val="21"/>
                      <w:szCs w:val="21"/>
                    </w:rPr>
                  </w:pPr>
                  <w:r>
                    <w:rPr>
                      <w:rFonts w:hint="eastAsia" w:ascii="Times New Roman" w:hAnsi="Times New Roman"/>
                      <w:b/>
                      <w:bCs/>
                      <w:color w:val="auto"/>
                      <w:sz w:val="21"/>
                      <w:szCs w:val="21"/>
                    </w:rPr>
                    <w:t>特别</w:t>
                  </w:r>
                  <w:r>
                    <w:rPr>
                      <w:rFonts w:ascii="Times New Roman" w:hAnsi="Times New Roman"/>
                      <w:b/>
                      <w:bCs/>
                      <w:color w:val="auto"/>
                      <w:sz w:val="21"/>
                      <w:szCs w:val="21"/>
                    </w:rPr>
                    <w:t>排放限值</w:t>
                  </w:r>
                </w:p>
              </w:tc>
              <w:tc>
                <w:tcPr>
                  <w:tcW w:w="1598" w:type="pct"/>
                  <w:vAlign w:val="center"/>
                </w:tcPr>
                <w:p>
                  <w:pPr>
                    <w:pStyle w:val="44"/>
                    <w:rPr>
                      <w:rFonts w:ascii="Times New Roman" w:hAnsi="Times New Roman"/>
                      <w:b/>
                      <w:bCs/>
                      <w:color w:val="auto"/>
                      <w:sz w:val="21"/>
                      <w:szCs w:val="21"/>
                    </w:rPr>
                  </w:pPr>
                  <w:r>
                    <w:rPr>
                      <w:rFonts w:ascii="Times New Roman" w:hAnsi="Times New Roman"/>
                      <w:b/>
                      <w:bCs/>
                      <w:color w:val="auto"/>
                      <w:sz w:val="21"/>
                      <w:szCs w:val="21"/>
                    </w:rPr>
                    <w:t>限值含义</w:t>
                  </w:r>
                </w:p>
              </w:tc>
              <w:tc>
                <w:tcPr>
                  <w:tcW w:w="1466" w:type="pct"/>
                  <w:vAlign w:val="center"/>
                </w:tcPr>
                <w:p>
                  <w:pPr>
                    <w:pStyle w:val="44"/>
                    <w:rPr>
                      <w:rFonts w:ascii="Times New Roman" w:hAnsi="Times New Roman"/>
                      <w:b/>
                      <w:bCs/>
                      <w:color w:val="auto"/>
                      <w:sz w:val="21"/>
                      <w:szCs w:val="21"/>
                    </w:rPr>
                  </w:pPr>
                  <w:r>
                    <w:rPr>
                      <w:rFonts w:hint="eastAsia" w:ascii="Times New Roman" w:hAnsi="Times New Roman"/>
                      <w:b/>
                      <w:bCs/>
                      <w:color w:val="auto"/>
                      <w:sz w:val="21"/>
                      <w:szCs w:val="21"/>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913" w:type="pct"/>
                  <w:vMerge w:val="restart"/>
                  <w:vAlign w:val="center"/>
                </w:tcPr>
                <w:p>
                  <w:pPr>
                    <w:pStyle w:val="44"/>
                    <w:rPr>
                      <w:rFonts w:ascii="Times New Roman" w:hAnsi="Times New Roman"/>
                      <w:color w:val="auto"/>
                      <w:sz w:val="21"/>
                      <w:szCs w:val="21"/>
                    </w:rPr>
                  </w:pPr>
                  <w:r>
                    <w:rPr>
                      <w:rFonts w:ascii="Times New Roman" w:hAnsi="Times New Roman"/>
                      <w:color w:val="auto"/>
                      <w:sz w:val="21"/>
                      <w:szCs w:val="21"/>
                    </w:rPr>
                    <w:t>NMHC</w:t>
                  </w:r>
                </w:p>
              </w:tc>
              <w:tc>
                <w:tcPr>
                  <w:tcW w:w="1023" w:type="pct"/>
                  <w:vAlign w:val="center"/>
                </w:tcPr>
                <w:p>
                  <w:pPr>
                    <w:pStyle w:val="44"/>
                    <w:rPr>
                      <w:rFonts w:ascii="Times New Roman" w:hAnsi="Times New Roman"/>
                      <w:color w:val="auto"/>
                      <w:sz w:val="21"/>
                      <w:szCs w:val="21"/>
                    </w:rPr>
                  </w:pPr>
                  <w:r>
                    <w:rPr>
                      <w:rFonts w:ascii="Times New Roman" w:hAnsi="Times New Roman"/>
                      <w:color w:val="auto"/>
                      <w:sz w:val="21"/>
                      <w:szCs w:val="21"/>
                    </w:rPr>
                    <w:t>6</w:t>
                  </w:r>
                </w:p>
              </w:tc>
              <w:tc>
                <w:tcPr>
                  <w:tcW w:w="1598" w:type="pct"/>
                  <w:vAlign w:val="center"/>
                </w:tcPr>
                <w:p>
                  <w:pPr>
                    <w:pStyle w:val="44"/>
                    <w:rPr>
                      <w:rFonts w:ascii="Times New Roman" w:hAnsi="Times New Roman"/>
                      <w:color w:val="auto"/>
                      <w:sz w:val="21"/>
                      <w:szCs w:val="21"/>
                    </w:rPr>
                  </w:pPr>
                  <w:r>
                    <w:rPr>
                      <w:rFonts w:ascii="Times New Roman" w:hAnsi="Times New Roman"/>
                      <w:color w:val="auto"/>
                      <w:sz w:val="21"/>
                      <w:szCs w:val="21"/>
                    </w:rPr>
                    <w:t>监控点处1h平均浓度值</w:t>
                  </w:r>
                </w:p>
              </w:tc>
              <w:tc>
                <w:tcPr>
                  <w:tcW w:w="1466" w:type="pct"/>
                  <w:vMerge w:val="restart"/>
                  <w:vAlign w:val="center"/>
                </w:tcPr>
                <w:p>
                  <w:pPr>
                    <w:pStyle w:val="44"/>
                    <w:rPr>
                      <w:rFonts w:ascii="Times New Roman" w:hAnsi="Times New Roman"/>
                      <w:color w:val="auto"/>
                      <w:sz w:val="21"/>
                      <w:szCs w:val="21"/>
                    </w:rPr>
                  </w:pPr>
                  <w:r>
                    <w:rPr>
                      <w:rFonts w:hint="eastAsia" w:ascii="Times New Roman" w:hAnsi="Times New Roman"/>
                      <w:color w:val="auto"/>
                      <w:sz w:val="21"/>
                      <w:szCs w:val="21"/>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3" w:type="pct"/>
                  <w:vMerge w:val="continue"/>
                  <w:vAlign w:val="center"/>
                </w:tcPr>
                <w:p>
                  <w:pPr>
                    <w:pStyle w:val="44"/>
                    <w:rPr>
                      <w:rFonts w:ascii="Times New Roman" w:hAnsi="Times New Roman"/>
                      <w:color w:val="auto"/>
                      <w:sz w:val="21"/>
                      <w:szCs w:val="21"/>
                    </w:rPr>
                  </w:pPr>
                </w:p>
              </w:tc>
              <w:tc>
                <w:tcPr>
                  <w:tcW w:w="1023" w:type="pct"/>
                  <w:vAlign w:val="center"/>
                </w:tcPr>
                <w:p>
                  <w:pPr>
                    <w:pStyle w:val="44"/>
                    <w:rPr>
                      <w:rFonts w:ascii="Times New Roman" w:hAnsi="Times New Roman"/>
                      <w:color w:val="auto"/>
                      <w:sz w:val="21"/>
                      <w:szCs w:val="21"/>
                    </w:rPr>
                  </w:pPr>
                  <w:r>
                    <w:rPr>
                      <w:rFonts w:ascii="Times New Roman" w:hAnsi="Times New Roman"/>
                      <w:color w:val="auto"/>
                      <w:sz w:val="21"/>
                      <w:szCs w:val="21"/>
                    </w:rPr>
                    <w:t>20</w:t>
                  </w:r>
                </w:p>
              </w:tc>
              <w:tc>
                <w:tcPr>
                  <w:tcW w:w="1598" w:type="pct"/>
                  <w:vAlign w:val="center"/>
                </w:tcPr>
                <w:p>
                  <w:pPr>
                    <w:pStyle w:val="44"/>
                    <w:rPr>
                      <w:rFonts w:ascii="Times New Roman" w:hAnsi="Times New Roman"/>
                      <w:color w:val="auto"/>
                      <w:sz w:val="21"/>
                      <w:szCs w:val="21"/>
                    </w:rPr>
                  </w:pPr>
                  <w:r>
                    <w:rPr>
                      <w:rFonts w:ascii="Times New Roman" w:hAnsi="Times New Roman"/>
                      <w:color w:val="auto"/>
                      <w:sz w:val="21"/>
                      <w:szCs w:val="21"/>
                    </w:rPr>
                    <w:t>监控点处任意一次浓度值</w:t>
                  </w:r>
                </w:p>
              </w:tc>
              <w:tc>
                <w:tcPr>
                  <w:tcW w:w="1466" w:type="pct"/>
                  <w:vMerge w:val="continue"/>
                  <w:vAlign w:val="center"/>
                </w:tcPr>
                <w:p>
                  <w:pPr>
                    <w:pStyle w:val="44"/>
                    <w:rPr>
                      <w:rFonts w:ascii="Times New Roman" w:hAnsi="Times New Roman"/>
                      <w:color w:val="auto"/>
                      <w:sz w:val="21"/>
                      <w:szCs w:val="21"/>
                    </w:rPr>
                  </w:pPr>
                </w:p>
              </w:tc>
            </w:tr>
          </w:tbl>
          <w:p>
            <w:pPr>
              <w:snapToGrid w:val="0"/>
              <w:spacing w:line="360" w:lineRule="auto"/>
              <w:ind w:firstLine="422" w:firstLineChars="200"/>
              <w:rPr>
                <w:b/>
                <w:szCs w:val="21"/>
              </w:rPr>
            </w:pPr>
            <w:r>
              <w:rPr>
                <w:rFonts w:hint="eastAsia"/>
                <w:b/>
                <w:szCs w:val="21"/>
              </w:rPr>
              <w:t>2</w:t>
            </w:r>
            <w:r>
              <w:rPr>
                <w:b/>
                <w:szCs w:val="21"/>
              </w:rPr>
              <w:t>、废水</w:t>
            </w:r>
          </w:p>
          <w:p>
            <w:pPr>
              <w:spacing w:line="360" w:lineRule="auto"/>
              <w:ind w:firstLine="420" w:firstLineChars="200"/>
              <w:rPr>
                <w:bCs/>
                <w:szCs w:val="21"/>
              </w:rPr>
            </w:pPr>
            <w:r>
              <w:rPr>
                <w:szCs w:val="21"/>
              </w:rPr>
              <w:t>本项目</w:t>
            </w:r>
            <w:r>
              <w:rPr>
                <w:rFonts w:hint="eastAsia"/>
                <w:szCs w:val="21"/>
              </w:rPr>
              <w:t>主要外排</w:t>
            </w:r>
            <w:r>
              <w:rPr>
                <w:szCs w:val="21"/>
              </w:rPr>
              <w:t>污水为生活污水，</w:t>
            </w:r>
            <w:r>
              <w:rPr>
                <w:bCs/>
                <w:szCs w:val="21"/>
              </w:rPr>
              <w:t>本项目属于</w:t>
            </w:r>
            <w:r>
              <w:rPr>
                <w:kern w:val="0"/>
                <w:szCs w:val="21"/>
              </w:rPr>
              <w:t>园洲镇第四污水处理厂纳污范围，</w:t>
            </w:r>
            <w:r>
              <w:rPr>
                <w:bCs/>
                <w:szCs w:val="21"/>
              </w:rPr>
              <w:t>生活污水经三级化粪池</w:t>
            </w:r>
            <w:r>
              <w:rPr>
                <w:rFonts w:hint="eastAsia"/>
                <w:bCs/>
                <w:szCs w:val="21"/>
              </w:rPr>
              <w:t>、</w:t>
            </w:r>
            <w:r>
              <w:rPr>
                <w:bCs/>
                <w:szCs w:val="21"/>
              </w:rPr>
              <w:t>隔油隔渣池预处理达到</w:t>
            </w:r>
            <w:r>
              <w:t>广东省《水污染物排放限值》(DB44/26-2001)第二时段三级标准</w:t>
            </w:r>
            <w:r>
              <w:rPr>
                <w:bCs/>
                <w:szCs w:val="21"/>
              </w:rPr>
              <w:t>后，通过市政污水管网进入</w:t>
            </w:r>
            <w:r>
              <w:rPr>
                <w:kern w:val="0"/>
                <w:szCs w:val="21"/>
              </w:rPr>
              <w:t>园洲镇第四污水处理厂</w:t>
            </w:r>
            <w:r>
              <w:rPr>
                <w:bCs/>
                <w:szCs w:val="21"/>
              </w:rPr>
              <w:t>处理，</w:t>
            </w:r>
            <w:r>
              <w:rPr>
                <w:szCs w:val="21"/>
              </w:rPr>
              <w:t>处理达标后</w:t>
            </w:r>
            <w:r>
              <w:rPr>
                <w:rFonts w:hint="eastAsia"/>
                <w:szCs w:val="21"/>
              </w:rPr>
              <w:t>排入新村</w:t>
            </w:r>
            <w:r>
              <w:rPr>
                <w:szCs w:val="21"/>
              </w:rPr>
              <w:t>排渠</w:t>
            </w:r>
            <w:r>
              <w:rPr>
                <w:rFonts w:hint="eastAsia"/>
                <w:szCs w:val="21"/>
              </w:rPr>
              <w:t>，然</w:t>
            </w:r>
            <w:r>
              <w:rPr>
                <w:szCs w:val="21"/>
              </w:rPr>
              <w:t>后</w:t>
            </w:r>
            <w:r>
              <w:rPr>
                <w:rFonts w:hint="eastAsia"/>
                <w:szCs w:val="21"/>
              </w:rPr>
              <w:t>汇入沙河</w:t>
            </w:r>
            <w:r>
              <w:rPr>
                <w:bCs/>
                <w:szCs w:val="21"/>
              </w:rPr>
              <w:t>，</w:t>
            </w:r>
            <w:r>
              <w:rPr>
                <w:kern w:val="0"/>
                <w:szCs w:val="21"/>
              </w:rPr>
              <w:t>园洲镇第四污水处理厂</w:t>
            </w:r>
            <w:r>
              <w:rPr>
                <w:bCs/>
                <w:szCs w:val="21"/>
              </w:rPr>
              <w:t>尾水</w:t>
            </w:r>
            <w:r>
              <w:rPr>
                <w:rFonts w:hint="eastAsia"/>
                <w:bCs/>
                <w:szCs w:val="21"/>
              </w:rPr>
              <w:t>中</w:t>
            </w:r>
            <w:r>
              <w:rPr>
                <w:rFonts w:hint="eastAsia"/>
                <w:szCs w:val="21"/>
              </w:rPr>
              <w:t>氨氮、总磷排放执行国家《地表水环境质量》（GB3838-2002）Ⅴ类标准，其余指标执行国家《城镇污水处理厂污染物排放标》（GB18918-2002）一级 A 标准与广东省《水污染物排放限值》较严值的标准</w:t>
            </w:r>
            <w:r>
              <w:rPr>
                <w:bCs/>
                <w:szCs w:val="21"/>
              </w:rPr>
              <w:t>，具体排放限值详见下表。</w:t>
            </w:r>
          </w:p>
          <w:p>
            <w:pPr>
              <w:numPr>
                <w:ilvl w:val="0"/>
                <w:numId w:val="5"/>
              </w:numPr>
              <w:adjustRightInd w:val="0"/>
              <w:snapToGrid w:val="0"/>
              <w:spacing w:line="360" w:lineRule="auto"/>
              <w:ind w:left="0"/>
              <w:jc w:val="center"/>
              <w:rPr>
                <w:b/>
                <w:szCs w:val="21"/>
              </w:rPr>
            </w:pPr>
            <w:r>
              <w:rPr>
                <w:b/>
                <w:szCs w:val="21"/>
              </w:rPr>
              <w:t>园洲镇第四污水处理厂接管标准和尾水出水指标 单位：mg/L</w:t>
            </w:r>
          </w:p>
          <w:tbl>
            <w:tblPr>
              <w:tblStyle w:val="29"/>
              <w:tblW w:w="49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5"/>
              <w:gridCol w:w="1070"/>
              <w:gridCol w:w="974"/>
              <w:gridCol w:w="716"/>
              <w:gridCol w:w="1182"/>
              <w:gridCol w:w="768"/>
              <w:gridCol w:w="1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94" w:type="pct"/>
                  <w:vAlign w:val="center"/>
                </w:tcPr>
                <w:p>
                  <w:pPr>
                    <w:adjustRightInd w:val="0"/>
                    <w:snapToGrid w:val="0"/>
                    <w:jc w:val="center"/>
                    <w:rPr>
                      <w:b/>
                    </w:rPr>
                  </w:pPr>
                  <w:r>
                    <w:rPr>
                      <w:b/>
                    </w:rPr>
                    <w:t>污染物</w:t>
                  </w:r>
                </w:p>
              </w:tc>
              <w:tc>
                <w:tcPr>
                  <w:tcW w:w="638" w:type="pct"/>
                  <w:vAlign w:val="center"/>
                </w:tcPr>
                <w:p>
                  <w:pPr>
                    <w:adjustRightInd w:val="0"/>
                    <w:snapToGrid w:val="0"/>
                    <w:jc w:val="center"/>
                    <w:rPr>
                      <w:b/>
                    </w:rPr>
                  </w:pPr>
                  <w:r>
                    <w:rPr>
                      <w:b/>
                    </w:rPr>
                    <w:t>COD</w:t>
                  </w:r>
                  <w:r>
                    <w:rPr>
                      <w:b/>
                      <w:vertAlign w:val="subscript"/>
                    </w:rPr>
                    <w:t>Cr</w:t>
                  </w:r>
                </w:p>
              </w:tc>
              <w:tc>
                <w:tcPr>
                  <w:tcW w:w="581" w:type="pct"/>
                  <w:vAlign w:val="center"/>
                </w:tcPr>
                <w:p>
                  <w:pPr>
                    <w:adjustRightInd w:val="0"/>
                    <w:snapToGrid w:val="0"/>
                    <w:jc w:val="center"/>
                    <w:rPr>
                      <w:b/>
                    </w:rPr>
                  </w:pPr>
                  <w:r>
                    <w:rPr>
                      <w:b/>
                    </w:rPr>
                    <w:t>BOD</w:t>
                  </w:r>
                  <w:r>
                    <w:rPr>
                      <w:b/>
                      <w:vertAlign w:val="subscript"/>
                    </w:rPr>
                    <w:t>5</w:t>
                  </w:r>
                </w:p>
              </w:tc>
              <w:tc>
                <w:tcPr>
                  <w:tcW w:w="427" w:type="pct"/>
                  <w:vAlign w:val="center"/>
                </w:tcPr>
                <w:p>
                  <w:pPr>
                    <w:adjustRightInd w:val="0"/>
                    <w:snapToGrid w:val="0"/>
                    <w:jc w:val="center"/>
                    <w:rPr>
                      <w:b/>
                    </w:rPr>
                  </w:pPr>
                  <w:r>
                    <w:rPr>
                      <w:b/>
                    </w:rPr>
                    <w:t>SS</w:t>
                  </w:r>
                </w:p>
              </w:tc>
              <w:tc>
                <w:tcPr>
                  <w:tcW w:w="705" w:type="pct"/>
                  <w:vAlign w:val="center"/>
                </w:tcPr>
                <w:p>
                  <w:pPr>
                    <w:adjustRightInd w:val="0"/>
                    <w:snapToGrid w:val="0"/>
                    <w:jc w:val="center"/>
                    <w:rPr>
                      <w:b/>
                    </w:rPr>
                  </w:pPr>
                  <w:r>
                    <w:rPr>
                      <w:b/>
                    </w:rPr>
                    <w:t>NH</w:t>
                  </w:r>
                  <w:r>
                    <w:rPr>
                      <w:b/>
                      <w:vertAlign w:val="subscript"/>
                    </w:rPr>
                    <w:t>3</w:t>
                  </w:r>
                  <w:r>
                    <w:rPr>
                      <w:b/>
                    </w:rPr>
                    <w:t>-N</w:t>
                  </w:r>
                </w:p>
              </w:tc>
              <w:tc>
                <w:tcPr>
                  <w:tcW w:w="458" w:type="pct"/>
                  <w:vAlign w:val="center"/>
                </w:tcPr>
                <w:p>
                  <w:pPr>
                    <w:adjustRightInd w:val="0"/>
                    <w:snapToGrid w:val="0"/>
                    <w:jc w:val="center"/>
                    <w:rPr>
                      <w:b/>
                    </w:rPr>
                  </w:pPr>
                  <w:r>
                    <w:rPr>
                      <w:b/>
                    </w:rPr>
                    <w:t>TP</w:t>
                  </w:r>
                </w:p>
              </w:tc>
              <w:tc>
                <w:tcPr>
                  <w:tcW w:w="695" w:type="pct"/>
                  <w:vAlign w:val="center"/>
                </w:tcPr>
                <w:p>
                  <w:pPr>
                    <w:adjustRightInd w:val="0"/>
                    <w:snapToGrid w:val="0"/>
                    <w:jc w:val="center"/>
                    <w:rPr>
                      <w:b/>
                    </w:rPr>
                  </w:pPr>
                  <w:r>
                    <w:rPr>
                      <w:rFonts w:hint="eastAsia"/>
                      <w:b/>
                    </w:rPr>
                    <w:t>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1494" w:type="pct"/>
                  <w:vAlign w:val="center"/>
                </w:tcPr>
                <w:p>
                  <w:pPr>
                    <w:adjustRightInd w:val="0"/>
                    <w:snapToGrid w:val="0"/>
                    <w:jc w:val="center"/>
                  </w:pPr>
                  <w:r>
                    <w:t>(DB44/26-2001)第二时段三级标准</w:t>
                  </w:r>
                </w:p>
              </w:tc>
              <w:tc>
                <w:tcPr>
                  <w:tcW w:w="638" w:type="pct"/>
                  <w:vAlign w:val="center"/>
                </w:tcPr>
                <w:p>
                  <w:pPr>
                    <w:adjustRightInd w:val="0"/>
                    <w:snapToGrid w:val="0"/>
                    <w:jc w:val="center"/>
                  </w:pPr>
                  <w:r>
                    <w:t>≤500</w:t>
                  </w:r>
                </w:p>
              </w:tc>
              <w:tc>
                <w:tcPr>
                  <w:tcW w:w="581" w:type="pct"/>
                  <w:vAlign w:val="center"/>
                </w:tcPr>
                <w:p>
                  <w:pPr>
                    <w:adjustRightInd w:val="0"/>
                    <w:snapToGrid w:val="0"/>
                    <w:jc w:val="center"/>
                  </w:pPr>
                  <w:r>
                    <w:t>≤300</w:t>
                  </w:r>
                </w:p>
              </w:tc>
              <w:tc>
                <w:tcPr>
                  <w:tcW w:w="427" w:type="pct"/>
                  <w:vAlign w:val="center"/>
                </w:tcPr>
                <w:p>
                  <w:pPr>
                    <w:adjustRightInd w:val="0"/>
                    <w:snapToGrid w:val="0"/>
                    <w:jc w:val="center"/>
                  </w:pPr>
                  <w:r>
                    <w:t>≤400</w:t>
                  </w:r>
                </w:p>
              </w:tc>
              <w:tc>
                <w:tcPr>
                  <w:tcW w:w="705" w:type="pct"/>
                  <w:vAlign w:val="center"/>
                </w:tcPr>
                <w:p>
                  <w:pPr>
                    <w:adjustRightInd w:val="0"/>
                    <w:snapToGrid w:val="0"/>
                    <w:jc w:val="center"/>
                  </w:pPr>
                  <w:r>
                    <w:t>--</w:t>
                  </w:r>
                </w:p>
              </w:tc>
              <w:tc>
                <w:tcPr>
                  <w:tcW w:w="458" w:type="pct"/>
                  <w:vAlign w:val="center"/>
                </w:tcPr>
                <w:p>
                  <w:pPr>
                    <w:adjustRightInd w:val="0"/>
                    <w:snapToGrid w:val="0"/>
                    <w:jc w:val="center"/>
                  </w:pPr>
                  <w:r>
                    <w:t>--</w:t>
                  </w:r>
                </w:p>
              </w:tc>
              <w:tc>
                <w:tcPr>
                  <w:tcW w:w="1123" w:type="dxa"/>
                  <w:vAlign w:val="center"/>
                </w:tcPr>
                <w:p>
                  <w:pPr>
                    <w:jc w:val="center"/>
                  </w:pPr>
                  <w:r>
                    <w:t>≤1</w:t>
                  </w:r>
                  <w:r>
                    <w:rPr>
                      <w:rFonts w:hint="eastAsia"/>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1494" w:type="pct"/>
                  <w:vAlign w:val="center"/>
                </w:tcPr>
                <w:p>
                  <w:pPr>
                    <w:adjustRightInd w:val="0"/>
                    <w:snapToGrid w:val="0"/>
                    <w:jc w:val="center"/>
                  </w:pPr>
                  <w:r>
                    <w:t>（GB18918-2002）一级A标准</w:t>
                  </w:r>
                </w:p>
              </w:tc>
              <w:tc>
                <w:tcPr>
                  <w:tcW w:w="638" w:type="pct"/>
                  <w:vAlign w:val="center"/>
                </w:tcPr>
                <w:p>
                  <w:pPr>
                    <w:snapToGrid w:val="0"/>
                    <w:jc w:val="center"/>
                  </w:pPr>
                  <w:r>
                    <w:t>≤50</w:t>
                  </w:r>
                </w:p>
              </w:tc>
              <w:tc>
                <w:tcPr>
                  <w:tcW w:w="581" w:type="pct"/>
                  <w:vAlign w:val="center"/>
                </w:tcPr>
                <w:p>
                  <w:pPr>
                    <w:snapToGrid w:val="0"/>
                    <w:jc w:val="center"/>
                  </w:pPr>
                  <w:r>
                    <w:t>≤10</w:t>
                  </w:r>
                </w:p>
              </w:tc>
              <w:tc>
                <w:tcPr>
                  <w:tcW w:w="427" w:type="pct"/>
                  <w:vAlign w:val="center"/>
                </w:tcPr>
                <w:p>
                  <w:pPr>
                    <w:snapToGrid w:val="0"/>
                    <w:jc w:val="center"/>
                  </w:pPr>
                  <w:r>
                    <w:t>≤10</w:t>
                  </w:r>
                </w:p>
              </w:tc>
              <w:tc>
                <w:tcPr>
                  <w:tcW w:w="705" w:type="pct"/>
                  <w:vAlign w:val="center"/>
                </w:tcPr>
                <w:p>
                  <w:pPr>
                    <w:snapToGrid w:val="0"/>
                    <w:jc w:val="center"/>
                  </w:pPr>
                  <w:r>
                    <w:t>≤5</w:t>
                  </w:r>
                </w:p>
              </w:tc>
              <w:tc>
                <w:tcPr>
                  <w:tcW w:w="458" w:type="pct"/>
                  <w:vAlign w:val="center"/>
                </w:tcPr>
                <w:p>
                  <w:pPr>
                    <w:adjustRightInd w:val="0"/>
                    <w:snapToGrid w:val="0"/>
                    <w:jc w:val="center"/>
                  </w:pPr>
                  <w:r>
                    <w:t>≤0.5</w:t>
                  </w:r>
                </w:p>
              </w:tc>
              <w:tc>
                <w:tcPr>
                  <w:tcW w:w="1123" w:type="dxa"/>
                  <w:vAlign w:val="center"/>
                </w:tcPr>
                <w:p>
                  <w:pPr>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atLeast"/>
                <w:jc w:val="center"/>
              </w:trPr>
              <w:tc>
                <w:tcPr>
                  <w:tcW w:w="1494" w:type="pct"/>
                  <w:vAlign w:val="center"/>
                </w:tcPr>
                <w:p>
                  <w:pPr>
                    <w:adjustRightInd w:val="0"/>
                    <w:snapToGrid w:val="0"/>
                    <w:jc w:val="center"/>
                  </w:pPr>
                  <w:r>
                    <w:t>（DB44/26-2001）中城镇二级污水处理厂第二时段一级标准</w:t>
                  </w:r>
                </w:p>
              </w:tc>
              <w:tc>
                <w:tcPr>
                  <w:tcW w:w="638" w:type="pct"/>
                  <w:vAlign w:val="center"/>
                </w:tcPr>
                <w:p>
                  <w:pPr>
                    <w:snapToGrid w:val="0"/>
                    <w:jc w:val="center"/>
                  </w:pPr>
                  <w:r>
                    <w:t>≤40</w:t>
                  </w:r>
                </w:p>
              </w:tc>
              <w:tc>
                <w:tcPr>
                  <w:tcW w:w="581" w:type="pct"/>
                  <w:vAlign w:val="center"/>
                </w:tcPr>
                <w:p>
                  <w:pPr>
                    <w:snapToGrid w:val="0"/>
                    <w:jc w:val="center"/>
                  </w:pPr>
                  <w:r>
                    <w:t>≤20</w:t>
                  </w:r>
                </w:p>
              </w:tc>
              <w:tc>
                <w:tcPr>
                  <w:tcW w:w="427" w:type="pct"/>
                  <w:vAlign w:val="center"/>
                </w:tcPr>
                <w:p>
                  <w:pPr>
                    <w:snapToGrid w:val="0"/>
                    <w:jc w:val="center"/>
                  </w:pPr>
                  <w:r>
                    <w:t>≤20</w:t>
                  </w:r>
                </w:p>
              </w:tc>
              <w:tc>
                <w:tcPr>
                  <w:tcW w:w="705" w:type="pct"/>
                  <w:vAlign w:val="center"/>
                </w:tcPr>
                <w:p>
                  <w:pPr>
                    <w:snapToGrid w:val="0"/>
                    <w:jc w:val="center"/>
                  </w:pPr>
                  <w:r>
                    <w:t>≤10</w:t>
                  </w:r>
                </w:p>
              </w:tc>
              <w:tc>
                <w:tcPr>
                  <w:tcW w:w="458" w:type="pct"/>
                  <w:vAlign w:val="center"/>
                </w:tcPr>
                <w:p>
                  <w:pPr>
                    <w:adjustRightInd w:val="0"/>
                    <w:snapToGrid w:val="0"/>
                    <w:jc w:val="center"/>
                  </w:pPr>
                  <w:r>
                    <w:t>≤0.5</w:t>
                  </w:r>
                </w:p>
              </w:tc>
              <w:tc>
                <w:tcPr>
                  <w:tcW w:w="1123" w:type="dxa"/>
                  <w:vAlign w:val="center"/>
                </w:tcPr>
                <w:p>
                  <w:pPr>
                    <w:jc w:val="center"/>
                  </w:pPr>
                  <w:r>
                    <w:t>≤1</w:t>
                  </w: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1494" w:type="pct"/>
                  <w:vAlign w:val="center"/>
                </w:tcPr>
                <w:p>
                  <w:pPr>
                    <w:adjustRightInd w:val="0"/>
                    <w:snapToGrid w:val="0"/>
                    <w:jc w:val="center"/>
                  </w:pPr>
                  <w:r>
                    <w:t>（GB3838-2002）</w:t>
                  </w:r>
                  <w:r>
                    <w:rPr>
                      <w:rFonts w:ascii="宋体" w:hAnsi="宋体"/>
                    </w:rPr>
                    <w:t>Ⅴ</w:t>
                  </w:r>
                  <w:r>
                    <w:t>类标准</w:t>
                  </w:r>
                </w:p>
              </w:tc>
              <w:tc>
                <w:tcPr>
                  <w:tcW w:w="638" w:type="pct"/>
                  <w:vAlign w:val="center"/>
                </w:tcPr>
                <w:p>
                  <w:pPr>
                    <w:snapToGrid w:val="0"/>
                    <w:jc w:val="center"/>
                  </w:pPr>
                  <w:r>
                    <w:t>—</w:t>
                  </w:r>
                </w:p>
              </w:tc>
              <w:tc>
                <w:tcPr>
                  <w:tcW w:w="581" w:type="pct"/>
                  <w:vAlign w:val="center"/>
                </w:tcPr>
                <w:p>
                  <w:pPr>
                    <w:snapToGrid w:val="0"/>
                    <w:jc w:val="center"/>
                  </w:pPr>
                  <w:r>
                    <w:t>—</w:t>
                  </w:r>
                </w:p>
              </w:tc>
              <w:tc>
                <w:tcPr>
                  <w:tcW w:w="427" w:type="pct"/>
                  <w:vAlign w:val="center"/>
                </w:tcPr>
                <w:p>
                  <w:pPr>
                    <w:snapToGrid w:val="0"/>
                    <w:jc w:val="center"/>
                  </w:pPr>
                  <w:r>
                    <w:t>—</w:t>
                  </w:r>
                </w:p>
              </w:tc>
              <w:tc>
                <w:tcPr>
                  <w:tcW w:w="705" w:type="pct"/>
                  <w:vAlign w:val="center"/>
                </w:tcPr>
                <w:p>
                  <w:pPr>
                    <w:snapToGrid w:val="0"/>
                    <w:jc w:val="center"/>
                  </w:pPr>
                  <w:r>
                    <w:t>≤2</w:t>
                  </w:r>
                </w:p>
              </w:tc>
              <w:tc>
                <w:tcPr>
                  <w:tcW w:w="458" w:type="pct"/>
                  <w:vAlign w:val="center"/>
                </w:tcPr>
                <w:p>
                  <w:pPr>
                    <w:adjustRightInd w:val="0"/>
                    <w:snapToGrid w:val="0"/>
                    <w:jc w:val="center"/>
                  </w:pPr>
                  <w:r>
                    <w:t>≤0.4</w:t>
                  </w:r>
                </w:p>
              </w:tc>
              <w:tc>
                <w:tcPr>
                  <w:tcW w:w="1123" w:type="dxa"/>
                  <w:vAlign w:val="center"/>
                </w:tcPr>
                <w:p>
                  <w:pPr>
                    <w:jc w:val="cente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94" w:type="pct"/>
                  <w:vAlign w:val="center"/>
                </w:tcPr>
                <w:p>
                  <w:pPr>
                    <w:adjustRightInd w:val="0"/>
                    <w:snapToGrid w:val="0"/>
                    <w:jc w:val="center"/>
                  </w:pPr>
                  <w:r>
                    <w:rPr>
                      <w:bCs/>
                    </w:rPr>
                    <w:t>园洲镇</w:t>
                  </w:r>
                  <w:r>
                    <w:rPr>
                      <w:rFonts w:hint="eastAsia"/>
                      <w:bCs/>
                    </w:rPr>
                    <w:t>第四污水处理厂</w:t>
                  </w:r>
                  <w:r>
                    <w:rPr>
                      <w:rFonts w:hint="eastAsia"/>
                    </w:rPr>
                    <w:t>出水标准</w:t>
                  </w:r>
                </w:p>
              </w:tc>
              <w:tc>
                <w:tcPr>
                  <w:tcW w:w="638" w:type="pct"/>
                  <w:vAlign w:val="center"/>
                </w:tcPr>
                <w:p>
                  <w:pPr>
                    <w:adjustRightInd w:val="0"/>
                    <w:snapToGrid w:val="0"/>
                    <w:jc w:val="center"/>
                  </w:pPr>
                  <w:r>
                    <w:t>≤40</w:t>
                  </w:r>
                </w:p>
              </w:tc>
              <w:tc>
                <w:tcPr>
                  <w:tcW w:w="581" w:type="pct"/>
                  <w:vAlign w:val="center"/>
                </w:tcPr>
                <w:p>
                  <w:pPr>
                    <w:adjustRightInd w:val="0"/>
                    <w:snapToGrid w:val="0"/>
                    <w:jc w:val="center"/>
                  </w:pPr>
                  <w:r>
                    <w:t>≤10</w:t>
                  </w:r>
                </w:p>
              </w:tc>
              <w:tc>
                <w:tcPr>
                  <w:tcW w:w="427" w:type="pct"/>
                  <w:vAlign w:val="center"/>
                </w:tcPr>
                <w:p>
                  <w:pPr>
                    <w:adjustRightInd w:val="0"/>
                    <w:snapToGrid w:val="0"/>
                    <w:jc w:val="center"/>
                  </w:pPr>
                  <w:r>
                    <w:t>≤10</w:t>
                  </w:r>
                </w:p>
              </w:tc>
              <w:tc>
                <w:tcPr>
                  <w:tcW w:w="705" w:type="pct"/>
                  <w:vAlign w:val="center"/>
                </w:tcPr>
                <w:p>
                  <w:pPr>
                    <w:adjustRightInd w:val="0"/>
                    <w:snapToGrid w:val="0"/>
                    <w:jc w:val="center"/>
                  </w:pPr>
                  <w:r>
                    <w:t>≤2</w:t>
                  </w:r>
                </w:p>
              </w:tc>
              <w:tc>
                <w:tcPr>
                  <w:tcW w:w="458" w:type="pct"/>
                  <w:vAlign w:val="center"/>
                </w:tcPr>
                <w:p>
                  <w:pPr>
                    <w:adjustRightInd w:val="0"/>
                    <w:snapToGrid w:val="0"/>
                    <w:jc w:val="center"/>
                  </w:pPr>
                  <w:r>
                    <w:t>0.4</w:t>
                  </w:r>
                </w:p>
              </w:tc>
              <w:tc>
                <w:tcPr>
                  <w:tcW w:w="1123" w:type="dxa"/>
                  <w:vAlign w:val="center"/>
                </w:tcPr>
                <w:p>
                  <w:pPr>
                    <w:jc w:val="center"/>
                  </w:pPr>
                  <w:r>
                    <w:t>≤1</w:t>
                  </w:r>
                </w:p>
              </w:tc>
            </w:tr>
          </w:tbl>
          <w:p>
            <w:pPr>
              <w:snapToGrid w:val="0"/>
              <w:spacing w:line="360" w:lineRule="auto"/>
              <w:ind w:firstLine="422" w:firstLineChars="200"/>
              <w:rPr>
                <w:b/>
                <w:szCs w:val="21"/>
              </w:rPr>
            </w:pPr>
            <w:r>
              <w:rPr>
                <w:rFonts w:hint="eastAsia"/>
                <w:b/>
                <w:szCs w:val="21"/>
              </w:rPr>
              <w:t>3</w:t>
            </w:r>
            <w:r>
              <w:rPr>
                <w:b/>
                <w:szCs w:val="21"/>
              </w:rPr>
              <w:t>、噪声</w:t>
            </w:r>
          </w:p>
          <w:p>
            <w:pPr>
              <w:spacing w:line="360" w:lineRule="auto"/>
              <w:ind w:firstLine="420" w:firstLineChars="200"/>
              <w:rPr>
                <w:szCs w:val="21"/>
              </w:rPr>
            </w:pPr>
            <w:r>
              <w:rPr>
                <w:szCs w:val="21"/>
              </w:rPr>
              <w:t>本项目所在区域执行《工业企业厂界环境噪声排放标准》（GB12348-2008）中2类标准（昼间≤60dB（A）、夜间≤50dB（A））。</w:t>
            </w:r>
          </w:p>
          <w:p>
            <w:pPr>
              <w:snapToGrid w:val="0"/>
              <w:spacing w:line="360" w:lineRule="auto"/>
              <w:ind w:firstLine="422" w:firstLineChars="200"/>
              <w:rPr>
                <w:bCs/>
                <w:szCs w:val="21"/>
              </w:rPr>
            </w:pPr>
            <w:r>
              <w:rPr>
                <w:rFonts w:hint="eastAsia"/>
                <w:b/>
                <w:szCs w:val="21"/>
              </w:rPr>
              <w:t>4</w:t>
            </w:r>
            <w:r>
              <w:rPr>
                <w:b/>
                <w:szCs w:val="21"/>
              </w:rPr>
              <w:t>、固废</w:t>
            </w:r>
          </w:p>
          <w:p>
            <w:pPr>
              <w:spacing w:line="360" w:lineRule="auto"/>
              <w:ind w:firstLine="420" w:firstLineChars="200"/>
              <w:rPr>
                <w:kern w:val="0"/>
                <w:szCs w:val="21"/>
              </w:rPr>
            </w:pPr>
            <w:r>
              <w:rPr>
                <w:szCs w:val="21"/>
              </w:rPr>
              <w:t>一般工业固体废物的临时贮存和管理执行《一般工业固体废物贮存和填埋污染控制标准》(GB 18599-2020)中的相关规定。危险废物执行《危险废物贮存污染控制标准》（GB18597-2001）及修改单中的有关标准。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74" w:hRule="atLeast"/>
          <w:jc w:val="center"/>
        </w:trPr>
        <w:tc>
          <w:tcPr>
            <w:tcW w:w="478" w:type="pct"/>
            <w:vAlign w:val="center"/>
          </w:tcPr>
          <w:p>
            <w:pPr>
              <w:adjustRightInd w:val="0"/>
              <w:snapToGrid w:val="0"/>
              <w:jc w:val="center"/>
              <w:rPr>
                <w:kern w:val="0"/>
                <w:szCs w:val="21"/>
              </w:rPr>
            </w:pPr>
            <w:r>
              <w:rPr>
                <w:kern w:val="0"/>
                <w:szCs w:val="21"/>
              </w:rPr>
              <w:t>总量</w:t>
            </w:r>
          </w:p>
          <w:p>
            <w:pPr>
              <w:adjustRightInd w:val="0"/>
              <w:snapToGrid w:val="0"/>
              <w:jc w:val="center"/>
              <w:rPr>
                <w:kern w:val="0"/>
                <w:szCs w:val="21"/>
              </w:rPr>
            </w:pPr>
            <w:r>
              <w:rPr>
                <w:kern w:val="0"/>
                <w:szCs w:val="21"/>
              </w:rPr>
              <w:t>控制</w:t>
            </w:r>
          </w:p>
          <w:p>
            <w:pPr>
              <w:adjustRightInd w:val="0"/>
              <w:snapToGrid w:val="0"/>
              <w:jc w:val="center"/>
              <w:rPr>
                <w:kern w:val="0"/>
                <w:szCs w:val="21"/>
              </w:rPr>
            </w:pPr>
            <w:r>
              <w:rPr>
                <w:kern w:val="0"/>
                <w:szCs w:val="21"/>
              </w:rPr>
              <w:t>指标</w:t>
            </w:r>
          </w:p>
        </w:tc>
        <w:tc>
          <w:tcPr>
            <w:tcW w:w="4522" w:type="pct"/>
            <w:vAlign w:val="center"/>
          </w:tcPr>
          <w:p>
            <w:pPr>
              <w:adjustRightInd w:val="0"/>
              <w:snapToGrid w:val="0"/>
              <w:spacing w:line="360" w:lineRule="auto"/>
              <w:ind w:firstLine="420" w:firstLineChars="200"/>
              <w:rPr>
                <w:szCs w:val="21"/>
              </w:rPr>
            </w:pPr>
            <w:r>
              <w:rPr>
                <w:szCs w:val="21"/>
              </w:rPr>
              <w:t>按达标排放的原则，提出本项目污染物排放总量控制指标建议如下表：</w:t>
            </w:r>
          </w:p>
          <w:p>
            <w:pPr>
              <w:numPr>
                <w:ilvl w:val="0"/>
                <w:numId w:val="5"/>
              </w:numPr>
              <w:adjustRightInd w:val="0"/>
              <w:snapToGrid w:val="0"/>
              <w:spacing w:line="360" w:lineRule="auto"/>
              <w:ind w:left="0"/>
              <w:jc w:val="center"/>
              <w:rPr>
                <w:b/>
                <w:kern w:val="0"/>
                <w:szCs w:val="21"/>
              </w:rPr>
            </w:pPr>
            <w:r>
              <w:rPr>
                <w:b/>
                <w:kern w:val="0"/>
                <w:szCs w:val="21"/>
              </w:rPr>
              <w:t>项目污染物总量控制指标</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1"/>
              <w:gridCol w:w="1609"/>
              <w:gridCol w:w="923"/>
              <w:gridCol w:w="1024"/>
              <w:gridCol w:w="1391"/>
              <w:gridCol w:w="2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416" w:type="pct"/>
                  <w:vMerge w:val="restart"/>
                  <w:vAlign w:val="center"/>
                </w:tcPr>
                <w:p>
                  <w:pPr>
                    <w:snapToGrid w:val="0"/>
                    <w:jc w:val="center"/>
                    <w:outlineLvl w:val="1"/>
                    <w:rPr>
                      <w:b/>
                      <w:szCs w:val="21"/>
                    </w:rPr>
                  </w:pPr>
                  <w:r>
                    <w:rPr>
                      <w:b/>
                      <w:szCs w:val="21"/>
                    </w:rPr>
                    <w:t>污染物</w:t>
                  </w:r>
                </w:p>
              </w:tc>
              <w:tc>
                <w:tcPr>
                  <w:tcW w:w="954" w:type="pct"/>
                  <w:vMerge w:val="restart"/>
                  <w:vAlign w:val="center"/>
                </w:tcPr>
                <w:p>
                  <w:pPr>
                    <w:snapToGrid w:val="0"/>
                    <w:jc w:val="center"/>
                    <w:outlineLvl w:val="1"/>
                    <w:rPr>
                      <w:b/>
                      <w:szCs w:val="21"/>
                    </w:rPr>
                  </w:pPr>
                  <w:r>
                    <w:rPr>
                      <w:b/>
                      <w:szCs w:val="21"/>
                    </w:rPr>
                    <w:t>要素</w:t>
                  </w:r>
                </w:p>
              </w:tc>
              <w:tc>
                <w:tcPr>
                  <w:tcW w:w="1154" w:type="pct"/>
                  <w:gridSpan w:val="2"/>
                  <w:vAlign w:val="center"/>
                </w:tcPr>
                <w:p>
                  <w:pPr>
                    <w:snapToGrid w:val="0"/>
                    <w:jc w:val="center"/>
                    <w:outlineLvl w:val="1"/>
                    <w:rPr>
                      <w:b/>
                      <w:szCs w:val="21"/>
                    </w:rPr>
                  </w:pPr>
                  <w:r>
                    <w:rPr>
                      <w:b/>
                      <w:szCs w:val="21"/>
                    </w:rPr>
                    <w:t>排放量</w:t>
                  </w:r>
                </w:p>
              </w:tc>
              <w:tc>
                <w:tcPr>
                  <w:tcW w:w="825" w:type="pct"/>
                  <w:vMerge w:val="restart"/>
                  <w:vAlign w:val="center"/>
                </w:tcPr>
                <w:p>
                  <w:pPr>
                    <w:snapToGrid w:val="0"/>
                    <w:jc w:val="center"/>
                    <w:outlineLvl w:val="1"/>
                    <w:rPr>
                      <w:b/>
                      <w:szCs w:val="21"/>
                    </w:rPr>
                  </w:pPr>
                  <w:r>
                    <w:rPr>
                      <w:b/>
                      <w:szCs w:val="21"/>
                    </w:rPr>
                    <w:t>总量控制量</w:t>
                  </w:r>
                </w:p>
              </w:tc>
              <w:tc>
                <w:tcPr>
                  <w:tcW w:w="1650" w:type="pct"/>
                  <w:vMerge w:val="restart"/>
                  <w:vAlign w:val="center"/>
                </w:tcPr>
                <w:p>
                  <w:pPr>
                    <w:snapToGrid w:val="0"/>
                    <w:jc w:val="center"/>
                    <w:outlineLvl w:val="1"/>
                    <w:rPr>
                      <w:b/>
                      <w:szCs w:val="21"/>
                    </w:rPr>
                  </w:pPr>
                  <w:r>
                    <w:rPr>
                      <w:rFonts w:hint="eastAsia"/>
                      <w:b/>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416" w:type="pct"/>
                  <w:vMerge w:val="continue"/>
                  <w:vAlign w:val="center"/>
                </w:tcPr>
                <w:p>
                  <w:pPr>
                    <w:snapToGrid w:val="0"/>
                    <w:jc w:val="center"/>
                    <w:outlineLvl w:val="1"/>
                    <w:rPr>
                      <w:b/>
                      <w:szCs w:val="21"/>
                    </w:rPr>
                  </w:pPr>
                </w:p>
              </w:tc>
              <w:tc>
                <w:tcPr>
                  <w:tcW w:w="954" w:type="pct"/>
                  <w:vMerge w:val="continue"/>
                  <w:vAlign w:val="center"/>
                </w:tcPr>
                <w:p>
                  <w:pPr>
                    <w:snapToGrid w:val="0"/>
                    <w:jc w:val="center"/>
                    <w:outlineLvl w:val="1"/>
                    <w:rPr>
                      <w:b/>
                      <w:szCs w:val="21"/>
                    </w:rPr>
                  </w:pPr>
                </w:p>
              </w:tc>
              <w:tc>
                <w:tcPr>
                  <w:tcW w:w="547" w:type="pct"/>
                  <w:vAlign w:val="center"/>
                </w:tcPr>
                <w:p>
                  <w:pPr>
                    <w:snapToGrid w:val="0"/>
                    <w:jc w:val="center"/>
                    <w:outlineLvl w:val="1"/>
                    <w:rPr>
                      <w:b/>
                      <w:szCs w:val="21"/>
                    </w:rPr>
                  </w:pPr>
                  <w:r>
                    <w:rPr>
                      <w:b/>
                      <w:szCs w:val="21"/>
                    </w:rPr>
                    <w:t>有组织</w:t>
                  </w:r>
                </w:p>
              </w:tc>
              <w:tc>
                <w:tcPr>
                  <w:tcW w:w="607" w:type="pct"/>
                  <w:vAlign w:val="center"/>
                </w:tcPr>
                <w:p>
                  <w:pPr>
                    <w:snapToGrid w:val="0"/>
                    <w:jc w:val="center"/>
                    <w:outlineLvl w:val="1"/>
                    <w:rPr>
                      <w:b/>
                      <w:szCs w:val="21"/>
                    </w:rPr>
                  </w:pPr>
                  <w:r>
                    <w:rPr>
                      <w:b/>
                      <w:szCs w:val="21"/>
                    </w:rPr>
                    <w:t>无组织</w:t>
                  </w:r>
                </w:p>
              </w:tc>
              <w:tc>
                <w:tcPr>
                  <w:tcW w:w="825" w:type="pct"/>
                  <w:vMerge w:val="continue"/>
                  <w:vAlign w:val="center"/>
                </w:tcPr>
                <w:p>
                  <w:pPr>
                    <w:snapToGrid w:val="0"/>
                    <w:jc w:val="center"/>
                    <w:outlineLvl w:val="1"/>
                    <w:rPr>
                      <w:b/>
                      <w:szCs w:val="21"/>
                    </w:rPr>
                  </w:pPr>
                </w:p>
              </w:tc>
              <w:tc>
                <w:tcPr>
                  <w:tcW w:w="1650" w:type="pct"/>
                  <w:vMerge w:val="continue"/>
                  <w:vAlign w:val="center"/>
                </w:tcPr>
                <w:p>
                  <w:pPr>
                    <w:snapToGrid w:val="0"/>
                    <w:jc w:val="center"/>
                    <w:outlineLvl w:val="1"/>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Merge w:val="restart"/>
                  <w:vAlign w:val="center"/>
                </w:tcPr>
                <w:p>
                  <w:pPr>
                    <w:snapToGrid w:val="0"/>
                    <w:jc w:val="center"/>
                    <w:outlineLvl w:val="1"/>
                    <w:rPr>
                      <w:bCs/>
                      <w:szCs w:val="21"/>
                    </w:rPr>
                  </w:pPr>
                  <w:r>
                    <w:rPr>
                      <w:bCs/>
                      <w:szCs w:val="21"/>
                    </w:rPr>
                    <w:t>生活污水</w:t>
                  </w:r>
                </w:p>
              </w:tc>
              <w:tc>
                <w:tcPr>
                  <w:tcW w:w="954" w:type="pct"/>
                  <w:vAlign w:val="center"/>
                </w:tcPr>
                <w:p>
                  <w:pPr>
                    <w:snapToGrid w:val="0"/>
                    <w:jc w:val="center"/>
                    <w:outlineLvl w:val="1"/>
                    <w:rPr>
                      <w:bCs/>
                      <w:szCs w:val="21"/>
                    </w:rPr>
                  </w:pPr>
                  <w:r>
                    <w:rPr>
                      <w:bCs/>
                      <w:szCs w:val="21"/>
                    </w:rPr>
                    <w:t>废水量</w:t>
                  </w:r>
                </w:p>
              </w:tc>
              <w:tc>
                <w:tcPr>
                  <w:tcW w:w="1154" w:type="pct"/>
                  <w:gridSpan w:val="2"/>
                  <w:vAlign w:val="center"/>
                </w:tcPr>
                <w:p>
                  <w:pPr>
                    <w:snapToGrid w:val="0"/>
                    <w:jc w:val="center"/>
                    <w:outlineLvl w:val="1"/>
                    <w:rPr>
                      <w:bCs/>
                      <w:szCs w:val="21"/>
                    </w:rPr>
                  </w:pPr>
                  <w:r>
                    <w:rPr>
                      <w:bCs/>
                      <w:szCs w:val="21"/>
                    </w:rPr>
                    <w:t>7812t/a</w:t>
                  </w:r>
                </w:p>
              </w:tc>
              <w:tc>
                <w:tcPr>
                  <w:tcW w:w="825" w:type="pct"/>
                  <w:vAlign w:val="center"/>
                </w:tcPr>
                <w:p>
                  <w:pPr>
                    <w:snapToGrid w:val="0"/>
                    <w:jc w:val="center"/>
                    <w:outlineLvl w:val="1"/>
                    <w:rPr>
                      <w:bCs/>
                      <w:szCs w:val="21"/>
                    </w:rPr>
                  </w:pPr>
                  <w:r>
                    <w:rPr>
                      <w:bCs/>
                      <w:szCs w:val="21"/>
                    </w:rPr>
                    <w:t>7812t/a</w:t>
                  </w:r>
                </w:p>
              </w:tc>
              <w:tc>
                <w:tcPr>
                  <w:tcW w:w="1650" w:type="pct"/>
                  <w:vMerge w:val="restart"/>
                  <w:vAlign w:val="center"/>
                </w:tcPr>
                <w:p>
                  <w:pPr>
                    <w:snapToGrid w:val="0"/>
                    <w:jc w:val="center"/>
                    <w:outlineLvl w:val="1"/>
                    <w:rPr>
                      <w:bCs/>
                      <w:szCs w:val="21"/>
                    </w:rPr>
                  </w:pPr>
                  <w:r>
                    <w:rPr>
                      <w:bCs/>
                      <w:szCs w:val="21"/>
                    </w:rPr>
                    <w:t>纳入</w:t>
                  </w:r>
                  <w:r>
                    <w:rPr>
                      <w:rFonts w:hint="eastAsia"/>
                      <w:bCs/>
                      <w:szCs w:val="21"/>
                    </w:rPr>
                    <w:t>园洲镇第四污水处理厂</w:t>
                  </w:r>
                  <w:r>
                    <w:rPr>
                      <w:bCs/>
                      <w:szCs w:val="21"/>
                    </w:rPr>
                    <w:t>的总量中进行控制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Merge w:val="continue"/>
                  <w:vAlign w:val="center"/>
                </w:tcPr>
                <w:p>
                  <w:pPr>
                    <w:snapToGrid w:val="0"/>
                    <w:jc w:val="center"/>
                    <w:outlineLvl w:val="1"/>
                    <w:rPr>
                      <w:bCs/>
                      <w:szCs w:val="21"/>
                    </w:rPr>
                  </w:pPr>
                </w:p>
              </w:tc>
              <w:tc>
                <w:tcPr>
                  <w:tcW w:w="954" w:type="pct"/>
                  <w:vAlign w:val="center"/>
                </w:tcPr>
                <w:p>
                  <w:pPr>
                    <w:snapToGrid w:val="0"/>
                    <w:jc w:val="center"/>
                    <w:outlineLvl w:val="1"/>
                    <w:rPr>
                      <w:bCs/>
                      <w:szCs w:val="21"/>
                    </w:rPr>
                  </w:pPr>
                  <w:r>
                    <w:rPr>
                      <w:bCs/>
                      <w:szCs w:val="21"/>
                    </w:rPr>
                    <w:t>COD</w:t>
                  </w:r>
                  <w:r>
                    <w:rPr>
                      <w:bCs/>
                      <w:szCs w:val="21"/>
                      <w:vertAlign w:val="subscript"/>
                    </w:rPr>
                    <w:t>Cr</w:t>
                  </w:r>
                </w:p>
              </w:tc>
              <w:tc>
                <w:tcPr>
                  <w:tcW w:w="1154" w:type="pct"/>
                  <w:gridSpan w:val="2"/>
                  <w:vAlign w:val="center"/>
                </w:tcPr>
                <w:p>
                  <w:pPr>
                    <w:snapToGrid w:val="0"/>
                    <w:jc w:val="center"/>
                    <w:outlineLvl w:val="1"/>
                    <w:rPr>
                      <w:bCs/>
                      <w:szCs w:val="21"/>
                    </w:rPr>
                  </w:pPr>
                  <w:r>
                    <w:rPr>
                      <w:bCs/>
                      <w:szCs w:val="21"/>
                    </w:rPr>
                    <w:t>0.312t/a</w:t>
                  </w:r>
                </w:p>
              </w:tc>
              <w:tc>
                <w:tcPr>
                  <w:tcW w:w="825" w:type="pct"/>
                  <w:vAlign w:val="center"/>
                </w:tcPr>
                <w:p>
                  <w:pPr>
                    <w:snapToGrid w:val="0"/>
                    <w:jc w:val="center"/>
                    <w:outlineLvl w:val="1"/>
                    <w:rPr>
                      <w:bCs/>
                      <w:szCs w:val="21"/>
                    </w:rPr>
                  </w:pPr>
                  <w:r>
                    <w:rPr>
                      <w:bCs/>
                      <w:szCs w:val="21"/>
                    </w:rPr>
                    <w:t>0.312t/a</w:t>
                  </w:r>
                </w:p>
              </w:tc>
              <w:tc>
                <w:tcPr>
                  <w:tcW w:w="1650" w:type="pct"/>
                  <w:vMerge w:val="continue"/>
                  <w:vAlign w:val="center"/>
                </w:tcPr>
                <w:p>
                  <w:pPr>
                    <w:snapToGrid w:val="0"/>
                    <w:jc w:val="center"/>
                    <w:outlineLvl w:val="1"/>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Merge w:val="continue"/>
                  <w:vAlign w:val="center"/>
                </w:tcPr>
                <w:p>
                  <w:pPr>
                    <w:snapToGrid w:val="0"/>
                    <w:jc w:val="center"/>
                    <w:outlineLvl w:val="1"/>
                    <w:rPr>
                      <w:bCs/>
                      <w:szCs w:val="21"/>
                    </w:rPr>
                  </w:pPr>
                </w:p>
              </w:tc>
              <w:tc>
                <w:tcPr>
                  <w:tcW w:w="954" w:type="pct"/>
                  <w:vAlign w:val="center"/>
                </w:tcPr>
                <w:p>
                  <w:pPr>
                    <w:snapToGrid w:val="0"/>
                    <w:jc w:val="center"/>
                    <w:outlineLvl w:val="1"/>
                    <w:rPr>
                      <w:bCs/>
                      <w:szCs w:val="21"/>
                    </w:rPr>
                  </w:pPr>
                  <w:r>
                    <w:rPr>
                      <w:bCs/>
                      <w:szCs w:val="21"/>
                    </w:rPr>
                    <w:t>NH</w:t>
                  </w:r>
                  <w:r>
                    <w:rPr>
                      <w:bCs/>
                      <w:szCs w:val="21"/>
                      <w:vertAlign w:val="subscript"/>
                    </w:rPr>
                    <w:t>3</w:t>
                  </w:r>
                  <w:r>
                    <w:rPr>
                      <w:bCs/>
                      <w:szCs w:val="21"/>
                    </w:rPr>
                    <w:t>-N</w:t>
                  </w:r>
                </w:p>
              </w:tc>
              <w:tc>
                <w:tcPr>
                  <w:tcW w:w="1154" w:type="pct"/>
                  <w:gridSpan w:val="2"/>
                  <w:vAlign w:val="center"/>
                </w:tcPr>
                <w:p>
                  <w:pPr>
                    <w:snapToGrid w:val="0"/>
                    <w:jc w:val="center"/>
                    <w:outlineLvl w:val="1"/>
                    <w:rPr>
                      <w:bCs/>
                      <w:szCs w:val="21"/>
                    </w:rPr>
                  </w:pPr>
                  <w:r>
                    <w:rPr>
                      <w:bCs/>
                      <w:szCs w:val="21"/>
                    </w:rPr>
                    <w:t>0.016t/a</w:t>
                  </w:r>
                </w:p>
              </w:tc>
              <w:tc>
                <w:tcPr>
                  <w:tcW w:w="825" w:type="pct"/>
                  <w:vAlign w:val="center"/>
                </w:tcPr>
                <w:p>
                  <w:pPr>
                    <w:snapToGrid w:val="0"/>
                    <w:jc w:val="center"/>
                    <w:outlineLvl w:val="1"/>
                    <w:rPr>
                      <w:bCs/>
                      <w:szCs w:val="21"/>
                    </w:rPr>
                  </w:pPr>
                  <w:r>
                    <w:rPr>
                      <w:bCs/>
                      <w:szCs w:val="21"/>
                    </w:rPr>
                    <w:t>0.016t/a</w:t>
                  </w:r>
                </w:p>
              </w:tc>
              <w:tc>
                <w:tcPr>
                  <w:tcW w:w="1650" w:type="pct"/>
                  <w:vMerge w:val="continue"/>
                  <w:vAlign w:val="center"/>
                </w:tcPr>
                <w:p>
                  <w:pPr>
                    <w:snapToGrid w:val="0"/>
                    <w:jc w:val="center"/>
                    <w:outlineLvl w:val="1"/>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416" w:type="pct"/>
                  <w:vAlign w:val="center"/>
                </w:tcPr>
                <w:p>
                  <w:pPr>
                    <w:snapToGrid w:val="0"/>
                    <w:jc w:val="center"/>
                    <w:outlineLvl w:val="1"/>
                    <w:rPr>
                      <w:bCs/>
                      <w:szCs w:val="21"/>
                    </w:rPr>
                  </w:pPr>
                  <w:r>
                    <w:rPr>
                      <w:bCs/>
                      <w:szCs w:val="21"/>
                    </w:rPr>
                    <w:t>废气</w:t>
                  </w:r>
                </w:p>
              </w:tc>
              <w:tc>
                <w:tcPr>
                  <w:tcW w:w="954" w:type="pct"/>
                  <w:vAlign w:val="center"/>
                </w:tcPr>
                <w:p>
                  <w:pPr>
                    <w:snapToGrid w:val="0"/>
                    <w:jc w:val="center"/>
                    <w:outlineLvl w:val="1"/>
                    <w:rPr>
                      <w:bCs/>
                      <w:szCs w:val="21"/>
                    </w:rPr>
                  </w:pPr>
                  <w:r>
                    <w:rPr>
                      <w:bCs/>
                      <w:szCs w:val="21"/>
                    </w:rPr>
                    <w:t>挥发性有机物</w:t>
                  </w:r>
                </w:p>
              </w:tc>
              <w:tc>
                <w:tcPr>
                  <w:tcW w:w="547" w:type="pct"/>
                  <w:vAlign w:val="center"/>
                </w:tcPr>
                <w:p>
                  <w:pPr>
                    <w:snapToGrid w:val="0"/>
                    <w:jc w:val="center"/>
                    <w:outlineLvl w:val="1"/>
                    <w:rPr>
                      <w:bCs/>
                      <w:szCs w:val="21"/>
                    </w:rPr>
                  </w:pPr>
                  <w:r>
                    <w:rPr>
                      <w:bCs/>
                      <w:szCs w:val="21"/>
                    </w:rPr>
                    <w:t>0.421t/a</w:t>
                  </w:r>
                </w:p>
              </w:tc>
              <w:tc>
                <w:tcPr>
                  <w:tcW w:w="607" w:type="pct"/>
                  <w:vAlign w:val="center"/>
                </w:tcPr>
                <w:p>
                  <w:pPr>
                    <w:snapToGrid w:val="0"/>
                    <w:jc w:val="center"/>
                    <w:outlineLvl w:val="1"/>
                    <w:rPr>
                      <w:bCs/>
                      <w:szCs w:val="21"/>
                    </w:rPr>
                  </w:pPr>
                  <w:r>
                    <w:rPr>
                      <w:bCs/>
                      <w:szCs w:val="21"/>
                    </w:rPr>
                    <w:t>0.176t/a</w:t>
                  </w:r>
                </w:p>
              </w:tc>
              <w:tc>
                <w:tcPr>
                  <w:tcW w:w="825" w:type="pct"/>
                  <w:vAlign w:val="center"/>
                </w:tcPr>
                <w:p>
                  <w:pPr>
                    <w:snapToGrid w:val="0"/>
                    <w:jc w:val="center"/>
                    <w:outlineLvl w:val="1"/>
                    <w:rPr>
                      <w:bCs/>
                      <w:szCs w:val="21"/>
                    </w:rPr>
                  </w:pPr>
                  <w:r>
                    <w:rPr>
                      <w:bCs/>
                      <w:szCs w:val="21"/>
                    </w:rPr>
                    <w:t>0.597t/a</w:t>
                  </w:r>
                </w:p>
              </w:tc>
              <w:tc>
                <w:tcPr>
                  <w:tcW w:w="1650" w:type="pct"/>
                  <w:vAlign w:val="center"/>
                </w:tcPr>
                <w:p>
                  <w:pPr>
                    <w:snapToGrid w:val="0"/>
                    <w:jc w:val="center"/>
                    <w:outlineLvl w:val="1"/>
                    <w:rPr>
                      <w:bCs/>
                      <w:szCs w:val="21"/>
                    </w:rPr>
                  </w:pPr>
                  <w:r>
                    <w:rPr>
                      <w:bCs/>
                      <w:szCs w:val="21"/>
                    </w:rPr>
                    <w:t>/</w:t>
                  </w:r>
                </w:p>
              </w:tc>
            </w:tr>
          </w:tbl>
          <w:p>
            <w:pPr>
              <w:keepLines/>
              <w:widowControl/>
              <w:autoSpaceDE w:val="0"/>
              <w:adjustRightInd w:val="0"/>
              <w:textAlignment w:val="baseline"/>
              <w:outlineLvl w:val="2"/>
              <w:rPr>
                <w:kern w:val="0"/>
                <w:szCs w:val="21"/>
              </w:rPr>
            </w:pPr>
          </w:p>
        </w:tc>
      </w:tr>
    </w:tbl>
    <w:p>
      <w:pPr>
        <w:pStyle w:val="26"/>
        <w:jc w:val="center"/>
        <w:outlineLvl w:val="0"/>
        <w:rPr>
          <w:rFonts w:ascii="Times New Roman" w:hAnsi="Times New Roman" w:eastAsia="黑体"/>
          <w:snapToGrid w:val="0"/>
          <w:sz w:val="36"/>
          <w:szCs w:val="36"/>
        </w:rPr>
        <w:sectPr>
          <w:pgSz w:w="11907" w:h="16840"/>
          <w:pgMar w:top="720" w:right="1275" w:bottom="720" w:left="1276" w:header="851" w:footer="851" w:gutter="0"/>
          <w:cols w:space="720" w:num="1"/>
          <w:docGrid w:linePitch="312" w:charSpace="0"/>
        </w:sectPr>
      </w:pPr>
    </w:p>
    <w:p>
      <w:pPr>
        <w:pStyle w:val="26"/>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四、主要环境影响和保护措施</w:t>
      </w:r>
    </w:p>
    <w:tbl>
      <w:tblPr>
        <w:tblStyle w:val="29"/>
        <w:tblW w:w="500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1484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231" w:hRule="atLeast"/>
          <w:jc w:val="center"/>
        </w:trPr>
        <w:tc>
          <w:tcPr>
            <w:tcW w:w="227" w:type="pct"/>
            <w:tcMar>
              <w:left w:w="28" w:type="dxa"/>
              <w:right w:w="28" w:type="dxa"/>
            </w:tcMar>
            <w:vAlign w:val="center"/>
          </w:tcPr>
          <w:p>
            <w:pPr>
              <w:pStyle w:val="26"/>
              <w:adjustRightInd w:val="0"/>
              <w:snapToGrid w:val="0"/>
              <w:spacing w:before="0" w:beforeAutospacing="0" w:after="0" w:afterAutospacing="0"/>
              <w:jc w:val="center"/>
              <w:rPr>
                <w:rFonts w:ascii="Times New Roman" w:hAnsi="Times New Roman"/>
                <w:kern w:val="2"/>
                <w:sz w:val="21"/>
                <w:szCs w:val="21"/>
              </w:rPr>
            </w:pPr>
            <w:r>
              <w:rPr>
                <w:rFonts w:ascii="Times New Roman" w:hAnsi="Times New Roman"/>
                <w:kern w:val="2"/>
                <w:sz w:val="21"/>
                <w:szCs w:val="21"/>
              </w:rPr>
              <w:t>施工期环境保护措施</w:t>
            </w:r>
          </w:p>
        </w:tc>
        <w:tc>
          <w:tcPr>
            <w:tcW w:w="4773" w:type="pct"/>
            <w:tcBorders>
              <w:bottom w:val="single" w:color="auto" w:sz="4" w:space="0"/>
            </w:tcBorders>
            <w:vAlign w:val="center"/>
          </w:tcPr>
          <w:p>
            <w:pPr>
              <w:spacing w:line="360" w:lineRule="auto"/>
              <w:ind w:firstLine="482"/>
              <w:rPr>
                <w:bCs/>
                <w:spacing w:val="-10"/>
                <w:szCs w:val="21"/>
              </w:rPr>
            </w:pPr>
            <w:r>
              <w:rPr>
                <w:szCs w:val="21"/>
              </w:rPr>
              <w:t>根据现场勘踏，项目厂房已建成，其他附属设施已经建成，施工期仅需进行设备安装及调试，施工期环境影响不明显。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883" w:hRule="atLeast"/>
          <w:jc w:val="center"/>
        </w:trPr>
        <w:tc>
          <w:tcPr>
            <w:tcW w:w="227" w:type="pct"/>
            <w:tcMar>
              <w:left w:w="28" w:type="dxa"/>
              <w:right w:w="28" w:type="dxa"/>
            </w:tcMar>
            <w:vAlign w:val="center"/>
          </w:tcPr>
          <w:p>
            <w:pPr>
              <w:adjustRightInd w:val="0"/>
              <w:snapToGrid w:val="0"/>
              <w:jc w:val="center"/>
              <w:rPr>
                <w:bCs/>
                <w:szCs w:val="21"/>
              </w:rPr>
            </w:pPr>
            <w:r>
              <w:rPr>
                <w:bCs/>
                <w:szCs w:val="21"/>
              </w:rPr>
              <w:t>运营期环境影响和保护措施</w:t>
            </w:r>
          </w:p>
        </w:tc>
        <w:tc>
          <w:tcPr>
            <w:tcW w:w="4773" w:type="pct"/>
            <w:tcBorders>
              <w:top w:val="single" w:color="auto" w:sz="4" w:space="0"/>
              <w:bottom w:val="single" w:color="auto" w:sz="4" w:space="0"/>
              <w:right w:val="single" w:color="auto" w:sz="4" w:space="0"/>
            </w:tcBorders>
            <w:vAlign w:val="center"/>
          </w:tcPr>
          <w:p>
            <w:pPr>
              <w:snapToGrid w:val="0"/>
              <w:spacing w:line="360" w:lineRule="auto"/>
              <w:ind w:firstLine="422" w:firstLineChars="200"/>
              <w:rPr>
                <w:b/>
                <w:szCs w:val="21"/>
              </w:rPr>
            </w:pPr>
            <w:r>
              <w:rPr>
                <w:rFonts w:hint="eastAsia"/>
                <w:b/>
                <w:szCs w:val="21"/>
              </w:rPr>
              <w:t>1</w:t>
            </w:r>
            <w:r>
              <w:rPr>
                <w:b/>
                <w:szCs w:val="21"/>
              </w:rPr>
              <w:t>、废气</w:t>
            </w:r>
          </w:p>
          <w:p>
            <w:pPr>
              <w:snapToGrid w:val="0"/>
              <w:spacing w:line="360" w:lineRule="auto"/>
              <w:ind w:firstLine="422" w:firstLineChars="200"/>
              <w:rPr>
                <w:b/>
                <w:szCs w:val="21"/>
              </w:rPr>
            </w:pPr>
            <w:r>
              <w:rPr>
                <w:rFonts w:hint="eastAsia"/>
                <w:b/>
                <w:szCs w:val="21"/>
              </w:rPr>
              <w:t>（1）废气源强</w:t>
            </w:r>
          </w:p>
          <w:p>
            <w:pPr>
              <w:spacing w:line="360" w:lineRule="auto"/>
              <w:ind w:firstLine="420" w:firstLineChars="200"/>
              <w:rPr>
                <w:szCs w:val="21"/>
              </w:rPr>
            </w:pPr>
            <w:r>
              <w:rPr>
                <w:szCs w:val="21"/>
              </w:rPr>
              <w:t>本项目的废气污染物主要是</w:t>
            </w:r>
            <w:r>
              <w:rPr>
                <w:rFonts w:hint="eastAsia"/>
                <w:szCs w:val="21"/>
              </w:rPr>
              <w:t>粘片工序</w:t>
            </w:r>
            <w:r>
              <w:rPr>
                <w:szCs w:val="21"/>
              </w:rPr>
              <w:t>产生的有机废气、颗粒物（</w:t>
            </w:r>
            <w:r>
              <w:rPr>
                <w:rFonts w:hint="eastAsia"/>
                <w:szCs w:val="21"/>
              </w:rPr>
              <w:t>锡及其</w:t>
            </w:r>
            <w:r>
              <w:rPr>
                <w:szCs w:val="21"/>
              </w:rPr>
              <w:t>化合物）</w:t>
            </w:r>
            <w:r>
              <w:rPr>
                <w:rFonts w:hint="eastAsia"/>
                <w:szCs w:val="21"/>
              </w:rPr>
              <w:t>，固化、</w:t>
            </w:r>
            <w:r>
              <w:rPr>
                <w:szCs w:val="21"/>
              </w:rPr>
              <w:t>点胶</w:t>
            </w:r>
            <w:r>
              <w:rPr>
                <w:rFonts w:hint="eastAsia"/>
                <w:szCs w:val="21"/>
              </w:rPr>
              <w:t>工序产生的</w:t>
            </w:r>
            <w:r>
              <w:rPr>
                <w:szCs w:val="21"/>
              </w:rPr>
              <w:t>有机废气。</w:t>
            </w:r>
          </w:p>
          <w:p>
            <w:pPr>
              <w:numPr>
                <w:ilvl w:val="0"/>
                <w:numId w:val="5"/>
              </w:numPr>
              <w:adjustRightInd w:val="0"/>
              <w:snapToGrid w:val="0"/>
              <w:spacing w:line="360" w:lineRule="auto"/>
              <w:ind w:left="0"/>
              <w:jc w:val="center"/>
              <w:rPr>
                <w:b/>
                <w:bCs/>
                <w:szCs w:val="21"/>
              </w:rPr>
            </w:pPr>
            <w:r>
              <w:rPr>
                <w:b/>
                <w:bCs/>
                <w:szCs w:val="21"/>
              </w:rPr>
              <w:t>废气污染物源强核算结果一览表</w:t>
            </w:r>
          </w:p>
          <w:p>
            <w:pPr>
              <w:pStyle w:val="44"/>
              <w:rPr>
                <w:rFonts w:ascii="Times New Roman"/>
                <w:b/>
                <w:color w:val="auto"/>
                <w:sz w:val="21"/>
                <w:szCs w:val="21"/>
              </w:rPr>
            </w:pPr>
            <w:r>
              <w:rPr>
                <w:rFonts w:ascii="Times New Roman"/>
                <w:b/>
                <w:color w:val="auto"/>
                <w:sz w:val="21"/>
                <w:szCs w:val="21"/>
              </w:rPr>
              <w:t>（单位:废气量：m</w:t>
            </w:r>
            <w:r>
              <w:rPr>
                <w:rFonts w:ascii="Times New Roman"/>
                <w:b/>
                <w:color w:val="auto"/>
                <w:sz w:val="21"/>
                <w:szCs w:val="21"/>
                <w:vertAlign w:val="superscript"/>
              </w:rPr>
              <w:t>3</w:t>
            </w:r>
            <w:r>
              <w:rPr>
                <w:rFonts w:ascii="Times New Roman"/>
                <w:b/>
                <w:color w:val="auto"/>
                <w:sz w:val="21"/>
                <w:szCs w:val="21"/>
              </w:rPr>
              <w:t>/h；浓度：mg/m</w:t>
            </w:r>
            <w:r>
              <w:rPr>
                <w:rFonts w:ascii="Times New Roman"/>
                <w:b/>
                <w:color w:val="auto"/>
                <w:sz w:val="21"/>
                <w:szCs w:val="21"/>
                <w:vertAlign w:val="superscript"/>
              </w:rPr>
              <w:t>3</w:t>
            </w:r>
            <w:r>
              <w:rPr>
                <w:rFonts w:ascii="Times New Roman"/>
                <w:b/>
                <w:color w:val="auto"/>
                <w:sz w:val="21"/>
                <w:szCs w:val="21"/>
              </w:rPr>
              <w:t>；收集量、排放量：t/a；速率：kg/h）</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9"/>
              <w:gridCol w:w="945"/>
              <w:gridCol w:w="961"/>
              <w:gridCol w:w="1004"/>
              <w:gridCol w:w="1144"/>
              <w:gridCol w:w="908"/>
              <w:gridCol w:w="814"/>
              <w:gridCol w:w="828"/>
              <w:gridCol w:w="1151"/>
              <w:gridCol w:w="850"/>
              <w:gridCol w:w="716"/>
              <w:gridCol w:w="1109"/>
              <w:gridCol w:w="1004"/>
              <w:gridCol w:w="992"/>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restart"/>
                  <w:vAlign w:val="center"/>
                </w:tcPr>
                <w:p>
                  <w:pPr>
                    <w:jc w:val="center"/>
                    <w:rPr>
                      <w:b/>
                      <w:szCs w:val="21"/>
                    </w:rPr>
                  </w:pPr>
                  <w:r>
                    <w:rPr>
                      <w:rFonts w:hint="eastAsia"/>
                      <w:b/>
                      <w:szCs w:val="21"/>
                    </w:rPr>
                    <w:t>产</w:t>
                  </w:r>
                  <w:r>
                    <w:rPr>
                      <w:b/>
                      <w:szCs w:val="21"/>
                    </w:rPr>
                    <w:t>排污环节</w:t>
                  </w:r>
                </w:p>
              </w:tc>
              <w:tc>
                <w:tcPr>
                  <w:tcW w:w="0" w:type="auto"/>
                  <w:vMerge w:val="restart"/>
                  <w:vAlign w:val="center"/>
                </w:tcPr>
                <w:p>
                  <w:pPr>
                    <w:jc w:val="center"/>
                    <w:rPr>
                      <w:b/>
                      <w:szCs w:val="21"/>
                    </w:rPr>
                  </w:pPr>
                  <w:r>
                    <w:rPr>
                      <w:rFonts w:hint="eastAsia"/>
                      <w:b/>
                      <w:szCs w:val="21"/>
                    </w:rPr>
                    <w:t>污染</w:t>
                  </w:r>
                  <w:r>
                    <w:rPr>
                      <w:b/>
                      <w:szCs w:val="21"/>
                    </w:rPr>
                    <w:t>物种类</w:t>
                  </w:r>
                </w:p>
              </w:tc>
              <w:tc>
                <w:tcPr>
                  <w:tcW w:w="961" w:type="dxa"/>
                  <w:vMerge w:val="restart"/>
                  <w:vAlign w:val="center"/>
                </w:tcPr>
                <w:p>
                  <w:pPr>
                    <w:jc w:val="center"/>
                    <w:rPr>
                      <w:b/>
                      <w:szCs w:val="21"/>
                    </w:rPr>
                  </w:pPr>
                  <w:r>
                    <w:rPr>
                      <w:rFonts w:hint="eastAsia"/>
                      <w:b/>
                      <w:bCs/>
                      <w:szCs w:val="21"/>
                    </w:rPr>
                    <w:t>排</w:t>
                  </w:r>
                  <w:r>
                    <w:rPr>
                      <w:b/>
                      <w:bCs/>
                      <w:szCs w:val="21"/>
                    </w:rPr>
                    <w:t>放形式</w:t>
                  </w:r>
                </w:p>
              </w:tc>
              <w:tc>
                <w:tcPr>
                  <w:tcW w:w="3056" w:type="dxa"/>
                  <w:gridSpan w:val="3"/>
                  <w:vAlign w:val="center"/>
                </w:tcPr>
                <w:p>
                  <w:pPr>
                    <w:jc w:val="center"/>
                    <w:rPr>
                      <w:b/>
                      <w:bCs/>
                      <w:szCs w:val="21"/>
                    </w:rPr>
                  </w:pPr>
                  <w:r>
                    <w:rPr>
                      <w:rFonts w:hint="eastAsia"/>
                      <w:b/>
                      <w:szCs w:val="21"/>
                    </w:rPr>
                    <w:t>污染</w:t>
                  </w:r>
                  <w:r>
                    <w:rPr>
                      <w:b/>
                      <w:szCs w:val="21"/>
                    </w:rPr>
                    <w:t>物产生</w:t>
                  </w:r>
                  <w:r>
                    <w:rPr>
                      <w:rFonts w:hint="eastAsia"/>
                      <w:b/>
                      <w:szCs w:val="21"/>
                    </w:rPr>
                    <w:t>情况</w:t>
                  </w:r>
                </w:p>
              </w:tc>
              <w:tc>
                <w:tcPr>
                  <w:tcW w:w="0" w:type="auto"/>
                  <w:gridSpan w:val="5"/>
                  <w:vAlign w:val="center"/>
                </w:tcPr>
                <w:p>
                  <w:pPr>
                    <w:jc w:val="center"/>
                    <w:rPr>
                      <w:b/>
                      <w:bCs/>
                      <w:szCs w:val="21"/>
                    </w:rPr>
                  </w:pPr>
                  <w:r>
                    <w:rPr>
                      <w:rFonts w:hint="eastAsia"/>
                      <w:b/>
                      <w:bCs/>
                      <w:szCs w:val="21"/>
                    </w:rPr>
                    <w:t>治</w:t>
                  </w:r>
                  <w:r>
                    <w:rPr>
                      <w:b/>
                      <w:bCs/>
                      <w:szCs w:val="21"/>
                    </w:rPr>
                    <w:t>理设施</w:t>
                  </w:r>
                </w:p>
              </w:tc>
              <w:tc>
                <w:tcPr>
                  <w:tcW w:w="3105" w:type="dxa"/>
                  <w:gridSpan w:val="3"/>
                  <w:vAlign w:val="center"/>
                </w:tcPr>
                <w:p>
                  <w:pPr>
                    <w:jc w:val="center"/>
                    <w:rPr>
                      <w:b/>
                      <w:bCs/>
                      <w:szCs w:val="21"/>
                    </w:rPr>
                  </w:pPr>
                  <w:r>
                    <w:rPr>
                      <w:rFonts w:hint="eastAsia"/>
                      <w:b/>
                      <w:bCs/>
                      <w:szCs w:val="21"/>
                    </w:rPr>
                    <w:t>污染物排放情况</w:t>
                  </w:r>
                </w:p>
              </w:tc>
              <w:tc>
                <w:tcPr>
                  <w:tcW w:w="1168" w:type="dxa"/>
                  <w:vMerge w:val="restart"/>
                  <w:vAlign w:val="center"/>
                </w:tcPr>
                <w:p>
                  <w:pPr>
                    <w:jc w:val="center"/>
                    <w:rPr>
                      <w:b/>
                      <w:bCs/>
                      <w:szCs w:val="21"/>
                    </w:rPr>
                  </w:pPr>
                  <w:r>
                    <w:rPr>
                      <w:rFonts w:hint="eastAsia"/>
                      <w:b/>
                      <w:bCs/>
                      <w:szCs w:val="21"/>
                    </w:rPr>
                    <w:t>排放口编号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continue"/>
                  <w:vAlign w:val="center"/>
                </w:tcPr>
                <w:p>
                  <w:pPr>
                    <w:jc w:val="center"/>
                    <w:rPr>
                      <w:b/>
                      <w:szCs w:val="21"/>
                    </w:rPr>
                  </w:pPr>
                </w:p>
              </w:tc>
              <w:tc>
                <w:tcPr>
                  <w:tcW w:w="0" w:type="auto"/>
                  <w:vMerge w:val="continue"/>
                  <w:vAlign w:val="center"/>
                </w:tcPr>
                <w:p>
                  <w:pPr>
                    <w:jc w:val="center"/>
                    <w:rPr>
                      <w:b/>
                      <w:szCs w:val="21"/>
                    </w:rPr>
                  </w:pPr>
                </w:p>
              </w:tc>
              <w:tc>
                <w:tcPr>
                  <w:tcW w:w="961" w:type="dxa"/>
                  <w:vMerge w:val="continue"/>
                  <w:vAlign w:val="center"/>
                </w:tcPr>
                <w:p>
                  <w:pPr>
                    <w:jc w:val="center"/>
                    <w:rPr>
                      <w:b/>
                      <w:szCs w:val="21"/>
                    </w:rPr>
                  </w:pPr>
                </w:p>
              </w:tc>
              <w:tc>
                <w:tcPr>
                  <w:tcW w:w="1004" w:type="dxa"/>
                  <w:vAlign w:val="center"/>
                </w:tcPr>
                <w:p>
                  <w:pPr>
                    <w:jc w:val="center"/>
                    <w:rPr>
                      <w:b/>
                      <w:bCs/>
                      <w:szCs w:val="21"/>
                    </w:rPr>
                  </w:pPr>
                  <w:r>
                    <w:rPr>
                      <w:rFonts w:hint="eastAsia"/>
                      <w:b/>
                      <w:bCs/>
                      <w:szCs w:val="21"/>
                    </w:rPr>
                    <w:t>产生量</w:t>
                  </w:r>
                </w:p>
              </w:tc>
              <w:tc>
                <w:tcPr>
                  <w:tcW w:w="1144" w:type="dxa"/>
                  <w:vAlign w:val="center"/>
                </w:tcPr>
                <w:p>
                  <w:pPr>
                    <w:jc w:val="center"/>
                    <w:rPr>
                      <w:b/>
                      <w:bCs/>
                      <w:szCs w:val="21"/>
                    </w:rPr>
                  </w:pPr>
                  <w:r>
                    <w:rPr>
                      <w:rFonts w:hint="eastAsia"/>
                      <w:b/>
                      <w:bCs/>
                      <w:szCs w:val="21"/>
                    </w:rPr>
                    <w:t>产生</w:t>
                  </w:r>
                </w:p>
                <w:p>
                  <w:pPr>
                    <w:jc w:val="center"/>
                    <w:rPr>
                      <w:b/>
                      <w:bCs/>
                      <w:szCs w:val="21"/>
                    </w:rPr>
                  </w:pPr>
                  <w:r>
                    <w:rPr>
                      <w:rFonts w:hint="eastAsia"/>
                      <w:b/>
                      <w:bCs/>
                      <w:szCs w:val="21"/>
                    </w:rPr>
                    <w:t>速率</w:t>
                  </w:r>
                </w:p>
              </w:tc>
              <w:tc>
                <w:tcPr>
                  <w:tcW w:w="908" w:type="dxa"/>
                  <w:vAlign w:val="center"/>
                </w:tcPr>
                <w:p>
                  <w:pPr>
                    <w:jc w:val="center"/>
                    <w:rPr>
                      <w:b/>
                      <w:bCs/>
                      <w:szCs w:val="21"/>
                    </w:rPr>
                  </w:pPr>
                  <w:r>
                    <w:rPr>
                      <w:rFonts w:hint="eastAsia"/>
                      <w:b/>
                      <w:bCs/>
                      <w:szCs w:val="21"/>
                    </w:rPr>
                    <w:t>产生浓度</w:t>
                  </w:r>
                </w:p>
              </w:tc>
              <w:tc>
                <w:tcPr>
                  <w:tcW w:w="0" w:type="auto"/>
                  <w:vAlign w:val="center"/>
                </w:tcPr>
                <w:p>
                  <w:pPr>
                    <w:jc w:val="center"/>
                    <w:rPr>
                      <w:b/>
                      <w:bCs/>
                      <w:szCs w:val="21"/>
                    </w:rPr>
                  </w:pPr>
                  <w:r>
                    <w:rPr>
                      <w:rFonts w:hint="eastAsia"/>
                      <w:b/>
                      <w:bCs/>
                      <w:szCs w:val="21"/>
                    </w:rPr>
                    <w:t>处</w:t>
                  </w:r>
                  <w:r>
                    <w:rPr>
                      <w:b/>
                      <w:bCs/>
                      <w:szCs w:val="21"/>
                    </w:rPr>
                    <w:t>理能力</w:t>
                  </w:r>
                </w:p>
              </w:tc>
              <w:tc>
                <w:tcPr>
                  <w:tcW w:w="0" w:type="auto"/>
                  <w:vAlign w:val="center"/>
                </w:tcPr>
                <w:p>
                  <w:pPr>
                    <w:jc w:val="center"/>
                    <w:rPr>
                      <w:b/>
                      <w:bCs/>
                      <w:szCs w:val="21"/>
                    </w:rPr>
                  </w:pPr>
                  <w:r>
                    <w:rPr>
                      <w:rFonts w:hint="eastAsia"/>
                      <w:b/>
                      <w:bCs/>
                      <w:szCs w:val="21"/>
                    </w:rPr>
                    <w:t>收</w:t>
                  </w:r>
                  <w:r>
                    <w:rPr>
                      <w:b/>
                      <w:bCs/>
                      <w:szCs w:val="21"/>
                    </w:rPr>
                    <w:t>集效率</w:t>
                  </w:r>
                </w:p>
              </w:tc>
              <w:tc>
                <w:tcPr>
                  <w:tcW w:w="0" w:type="auto"/>
                  <w:vAlign w:val="center"/>
                </w:tcPr>
                <w:p>
                  <w:pPr>
                    <w:jc w:val="center"/>
                    <w:rPr>
                      <w:b/>
                      <w:bCs/>
                      <w:szCs w:val="21"/>
                    </w:rPr>
                  </w:pPr>
                  <w:r>
                    <w:rPr>
                      <w:rFonts w:hint="eastAsia"/>
                      <w:b/>
                      <w:bCs/>
                      <w:szCs w:val="21"/>
                    </w:rPr>
                    <w:t>治理工艺</w:t>
                  </w:r>
                </w:p>
              </w:tc>
              <w:tc>
                <w:tcPr>
                  <w:tcW w:w="0" w:type="auto"/>
                  <w:vAlign w:val="center"/>
                </w:tcPr>
                <w:p>
                  <w:pPr>
                    <w:jc w:val="center"/>
                    <w:rPr>
                      <w:b/>
                      <w:bCs/>
                      <w:szCs w:val="21"/>
                    </w:rPr>
                  </w:pPr>
                  <w:r>
                    <w:rPr>
                      <w:rFonts w:hint="eastAsia"/>
                      <w:b/>
                      <w:bCs/>
                      <w:szCs w:val="21"/>
                    </w:rPr>
                    <w:t>治</w:t>
                  </w:r>
                  <w:r>
                    <w:rPr>
                      <w:b/>
                      <w:bCs/>
                      <w:szCs w:val="21"/>
                    </w:rPr>
                    <w:t>理工艺去除率</w:t>
                  </w:r>
                </w:p>
              </w:tc>
              <w:tc>
                <w:tcPr>
                  <w:tcW w:w="0" w:type="auto"/>
                  <w:vAlign w:val="center"/>
                </w:tcPr>
                <w:p>
                  <w:pPr>
                    <w:jc w:val="center"/>
                    <w:rPr>
                      <w:b/>
                      <w:bCs/>
                      <w:szCs w:val="21"/>
                    </w:rPr>
                  </w:pPr>
                  <w:r>
                    <w:rPr>
                      <w:rFonts w:hint="eastAsia"/>
                      <w:b/>
                      <w:bCs/>
                      <w:szCs w:val="21"/>
                    </w:rPr>
                    <w:t>是</w:t>
                  </w:r>
                  <w:r>
                    <w:rPr>
                      <w:b/>
                      <w:bCs/>
                      <w:szCs w:val="21"/>
                    </w:rPr>
                    <w:t>否为可行</w:t>
                  </w:r>
                  <w:r>
                    <w:rPr>
                      <w:rFonts w:hint="eastAsia"/>
                      <w:b/>
                      <w:bCs/>
                      <w:szCs w:val="21"/>
                    </w:rPr>
                    <w:t>技术</w:t>
                  </w:r>
                </w:p>
              </w:tc>
              <w:tc>
                <w:tcPr>
                  <w:tcW w:w="1109" w:type="dxa"/>
                  <w:vAlign w:val="center"/>
                </w:tcPr>
                <w:p>
                  <w:pPr>
                    <w:jc w:val="center"/>
                    <w:rPr>
                      <w:b/>
                      <w:bCs/>
                      <w:szCs w:val="21"/>
                    </w:rPr>
                  </w:pPr>
                  <w:r>
                    <w:rPr>
                      <w:rFonts w:hint="eastAsia"/>
                      <w:b/>
                      <w:bCs/>
                      <w:szCs w:val="21"/>
                    </w:rPr>
                    <w:t>排放量</w:t>
                  </w:r>
                </w:p>
              </w:tc>
              <w:tc>
                <w:tcPr>
                  <w:tcW w:w="1004" w:type="dxa"/>
                  <w:vAlign w:val="center"/>
                </w:tcPr>
                <w:p>
                  <w:pPr>
                    <w:jc w:val="center"/>
                    <w:rPr>
                      <w:b/>
                      <w:bCs/>
                      <w:szCs w:val="21"/>
                    </w:rPr>
                  </w:pPr>
                  <w:r>
                    <w:rPr>
                      <w:rFonts w:hint="eastAsia"/>
                      <w:b/>
                      <w:bCs/>
                      <w:szCs w:val="21"/>
                    </w:rPr>
                    <w:t>排放速率</w:t>
                  </w:r>
                </w:p>
              </w:tc>
              <w:tc>
                <w:tcPr>
                  <w:tcW w:w="992" w:type="dxa"/>
                  <w:vAlign w:val="center"/>
                </w:tcPr>
                <w:p>
                  <w:pPr>
                    <w:jc w:val="center"/>
                    <w:rPr>
                      <w:b/>
                      <w:bCs/>
                      <w:szCs w:val="21"/>
                    </w:rPr>
                  </w:pPr>
                  <w:r>
                    <w:rPr>
                      <w:rFonts w:hint="eastAsia"/>
                      <w:b/>
                      <w:bCs/>
                      <w:szCs w:val="21"/>
                    </w:rPr>
                    <w:t>排放浓度</w:t>
                  </w:r>
                </w:p>
              </w:tc>
              <w:tc>
                <w:tcPr>
                  <w:tcW w:w="1168" w:type="dxa"/>
                  <w:vMerge w:val="continue"/>
                  <w:vAlign w:val="center"/>
                </w:tcPr>
                <w:p>
                  <w:pPr>
                    <w:jc w:val="center"/>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restart"/>
                  <w:vAlign w:val="center"/>
                </w:tcPr>
                <w:p>
                  <w:pPr>
                    <w:jc w:val="center"/>
                    <w:rPr>
                      <w:szCs w:val="21"/>
                    </w:rPr>
                  </w:pPr>
                  <w:r>
                    <w:rPr>
                      <w:rFonts w:hint="eastAsia" w:hAnsi="Calibri"/>
                      <w:bCs/>
                      <w:szCs w:val="21"/>
                    </w:rPr>
                    <w:t>厂房A粘片</w:t>
                  </w:r>
                </w:p>
              </w:tc>
              <w:tc>
                <w:tcPr>
                  <w:tcW w:w="0" w:type="auto"/>
                  <w:vMerge w:val="restart"/>
                  <w:vAlign w:val="center"/>
                </w:tcPr>
                <w:p>
                  <w:pPr>
                    <w:widowControl/>
                    <w:jc w:val="center"/>
                    <w:textAlignment w:val="center"/>
                    <w:rPr>
                      <w:szCs w:val="21"/>
                    </w:rPr>
                  </w:pPr>
                  <w:r>
                    <w:rPr>
                      <w:rFonts w:hint="eastAsia" w:hAnsi="Calibri"/>
                      <w:bCs/>
                      <w:szCs w:val="21"/>
                    </w:rPr>
                    <w:t>颗粒物</w:t>
                  </w:r>
                </w:p>
              </w:tc>
              <w:tc>
                <w:tcPr>
                  <w:tcW w:w="961" w:type="dxa"/>
                  <w:vAlign w:val="center"/>
                </w:tcPr>
                <w:p>
                  <w:pPr>
                    <w:jc w:val="center"/>
                    <w:rPr>
                      <w:szCs w:val="21"/>
                    </w:rPr>
                  </w:pPr>
                  <w:r>
                    <w:rPr>
                      <w:rFonts w:hint="eastAsia"/>
                      <w:szCs w:val="21"/>
                    </w:rPr>
                    <w:t>有组织</w:t>
                  </w:r>
                </w:p>
              </w:tc>
              <w:tc>
                <w:tcPr>
                  <w:tcW w:w="1004" w:type="dxa"/>
                  <w:vAlign w:val="center"/>
                </w:tcPr>
                <w:p>
                  <w:pPr>
                    <w:adjustRightInd w:val="0"/>
                    <w:snapToGrid w:val="0"/>
                    <w:jc w:val="center"/>
                    <w:rPr>
                      <w:szCs w:val="21"/>
                    </w:rPr>
                  </w:pPr>
                  <w:r>
                    <w:rPr>
                      <w:szCs w:val="21"/>
                    </w:rPr>
                    <w:t>0.00036</w:t>
                  </w:r>
                </w:p>
              </w:tc>
              <w:tc>
                <w:tcPr>
                  <w:tcW w:w="1144" w:type="dxa"/>
                  <w:vAlign w:val="center"/>
                </w:tcPr>
                <w:p>
                  <w:pPr>
                    <w:widowControl/>
                    <w:jc w:val="center"/>
                    <w:textAlignment w:val="center"/>
                    <w:rPr>
                      <w:szCs w:val="21"/>
                    </w:rPr>
                  </w:pPr>
                  <w:r>
                    <w:rPr>
                      <w:szCs w:val="21"/>
                    </w:rPr>
                    <w:t>0.00015</w:t>
                  </w:r>
                </w:p>
              </w:tc>
              <w:tc>
                <w:tcPr>
                  <w:tcW w:w="908" w:type="dxa"/>
                  <w:vAlign w:val="center"/>
                </w:tcPr>
                <w:p>
                  <w:pPr>
                    <w:adjustRightInd w:val="0"/>
                    <w:snapToGrid w:val="0"/>
                    <w:jc w:val="center"/>
                    <w:rPr>
                      <w:szCs w:val="21"/>
                    </w:rPr>
                  </w:pPr>
                  <w:r>
                    <w:rPr>
                      <w:szCs w:val="21"/>
                    </w:rPr>
                    <w:t>0.005</w:t>
                  </w:r>
                </w:p>
              </w:tc>
              <w:tc>
                <w:tcPr>
                  <w:tcW w:w="0" w:type="auto"/>
                  <w:vMerge w:val="restart"/>
                  <w:vAlign w:val="center"/>
                </w:tcPr>
                <w:p>
                  <w:pPr>
                    <w:jc w:val="center"/>
                    <w:rPr>
                      <w:szCs w:val="21"/>
                    </w:rPr>
                  </w:pPr>
                  <w:r>
                    <w:rPr>
                      <w:szCs w:val="21"/>
                    </w:rPr>
                    <w:t>30000</w:t>
                  </w:r>
                </w:p>
              </w:tc>
              <w:tc>
                <w:tcPr>
                  <w:tcW w:w="0" w:type="auto"/>
                  <w:vMerge w:val="restart"/>
                  <w:vAlign w:val="center"/>
                </w:tcPr>
                <w:p>
                  <w:pPr>
                    <w:jc w:val="center"/>
                    <w:rPr>
                      <w:szCs w:val="21"/>
                    </w:rPr>
                  </w:pPr>
                  <w:r>
                    <w:rPr>
                      <w:szCs w:val="21"/>
                    </w:rPr>
                    <w:t>60</w:t>
                  </w:r>
                  <w:r>
                    <w:rPr>
                      <w:rFonts w:hint="eastAsia"/>
                      <w:szCs w:val="21"/>
                    </w:rPr>
                    <w:t>%</w:t>
                  </w:r>
                </w:p>
              </w:tc>
              <w:tc>
                <w:tcPr>
                  <w:tcW w:w="0" w:type="auto"/>
                  <w:vMerge w:val="restart"/>
                  <w:vAlign w:val="center"/>
                </w:tcPr>
                <w:p>
                  <w:pPr>
                    <w:jc w:val="center"/>
                    <w:textAlignment w:val="center"/>
                    <w:rPr>
                      <w:szCs w:val="21"/>
                    </w:rPr>
                  </w:pPr>
                  <w:r>
                    <w:rPr>
                      <w:rFonts w:hint="eastAsia" w:hAnsi="宋体"/>
                      <w:szCs w:val="21"/>
                    </w:rPr>
                    <w:t>喷淋塔+干式</w:t>
                  </w:r>
                  <w:r>
                    <w:rPr>
                      <w:rFonts w:hAnsi="宋体"/>
                      <w:szCs w:val="21"/>
                    </w:rPr>
                    <w:t>除雾器</w:t>
                  </w:r>
                  <w:r>
                    <w:rPr>
                      <w:rFonts w:hint="eastAsia" w:hAnsi="宋体"/>
                      <w:szCs w:val="21"/>
                    </w:rPr>
                    <w:t>+两级活性炭</w:t>
                  </w:r>
                  <w:r>
                    <w:rPr>
                      <w:rFonts w:hAnsi="宋体"/>
                      <w:szCs w:val="21"/>
                    </w:rPr>
                    <w:t>吸附</w:t>
                  </w:r>
                </w:p>
              </w:tc>
              <w:tc>
                <w:tcPr>
                  <w:tcW w:w="0" w:type="auto"/>
                  <w:vMerge w:val="restart"/>
                  <w:vAlign w:val="center"/>
                </w:tcPr>
                <w:p>
                  <w:pPr>
                    <w:widowControl/>
                    <w:jc w:val="center"/>
                    <w:textAlignment w:val="center"/>
                    <w:rPr>
                      <w:szCs w:val="21"/>
                    </w:rPr>
                  </w:pPr>
                  <w:r>
                    <w:rPr>
                      <w:szCs w:val="21"/>
                    </w:rPr>
                    <w:t>40</w:t>
                  </w:r>
                  <w:r>
                    <w:rPr>
                      <w:rFonts w:hint="eastAsia"/>
                      <w:szCs w:val="21"/>
                    </w:rPr>
                    <w:t>%</w:t>
                  </w:r>
                </w:p>
              </w:tc>
              <w:tc>
                <w:tcPr>
                  <w:tcW w:w="0" w:type="auto"/>
                  <w:vMerge w:val="restart"/>
                  <w:vAlign w:val="center"/>
                </w:tcPr>
                <w:p>
                  <w:pPr>
                    <w:jc w:val="center"/>
                    <w:rPr>
                      <w:szCs w:val="21"/>
                    </w:rPr>
                  </w:pPr>
                  <w:r>
                    <w:rPr>
                      <w:szCs w:val="21"/>
                    </w:rPr>
                    <w:t>是</w:t>
                  </w:r>
                </w:p>
              </w:tc>
              <w:tc>
                <w:tcPr>
                  <w:tcW w:w="1109" w:type="dxa"/>
                  <w:vAlign w:val="center"/>
                </w:tcPr>
                <w:p>
                  <w:pPr>
                    <w:widowControl/>
                    <w:jc w:val="center"/>
                    <w:rPr>
                      <w:kern w:val="0"/>
                      <w:szCs w:val="21"/>
                    </w:rPr>
                  </w:pPr>
                  <w:r>
                    <w:rPr>
                      <w:szCs w:val="21"/>
                    </w:rPr>
                    <w:t>0.000216</w:t>
                  </w:r>
                </w:p>
              </w:tc>
              <w:tc>
                <w:tcPr>
                  <w:tcW w:w="1004" w:type="dxa"/>
                  <w:vAlign w:val="center"/>
                </w:tcPr>
                <w:p>
                  <w:pPr>
                    <w:jc w:val="center"/>
                    <w:rPr>
                      <w:szCs w:val="21"/>
                    </w:rPr>
                  </w:pPr>
                  <w:r>
                    <w:rPr>
                      <w:szCs w:val="21"/>
                    </w:rPr>
                    <w:t>0.00009</w:t>
                  </w:r>
                </w:p>
              </w:tc>
              <w:tc>
                <w:tcPr>
                  <w:tcW w:w="992" w:type="dxa"/>
                  <w:vAlign w:val="center"/>
                </w:tcPr>
                <w:p>
                  <w:pPr>
                    <w:jc w:val="center"/>
                    <w:rPr>
                      <w:szCs w:val="21"/>
                    </w:rPr>
                  </w:pPr>
                  <w:r>
                    <w:rPr>
                      <w:szCs w:val="21"/>
                    </w:rPr>
                    <w:t>0.003</w:t>
                  </w:r>
                </w:p>
              </w:tc>
              <w:tc>
                <w:tcPr>
                  <w:tcW w:w="1168" w:type="dxa"/>
                  <w:vAlign w:val="center"/>
                </w:tcPr>
                <w:p>
                  <w:pPr>
                    <w:jc w:val="center"/>
                    <w:rPr>
                      <w:szCs w:val="21"/>
                    </w:rPr>
                  </w:pPr>
                  <w:r>
                    <w:rPr>
                      <w:rFonts w:hint="eastAsia"/>
                      <w:szCs w:val="21"/>
                    </w:rPr>
                    <w:t>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continue"/>
                  <w:vAlign w:val="center"/>
                </w:tcPr>
                <w:p>
                  <w:pPr>
                    <w:jc w:val="center"/>
                    <w:rPr>
                      <w:rFonts w:hAnsi="Calibri"/>
                      <w:bCs/>
                      <w:szCs w:val="21"/>
                    </w:rPr>
                  </w:pPr>
                </w:p>
              </w:tc>
              <w:tc>
                <w:tcPr>
                  <w:tcW w:w="0" w:type="auto"/>
                  <w:vMerge w:val="continue"/>
                  <w:vAlign w:val="center"/>
                </w:tcPr>
                <w:p>
                  <w:pPr>
                    <w:widowControl/>
                    <w:jc w:val="center"/>
                    <w:textAlignment w:val="center"/>
                    <w:rPr>
                      <w:rFonts w:hAnsi="Calibri"/>
                      <w:bCs/>
                      <w:szCs w:val="21"/>
                    </w:rPr>
                  </w:pPr>
                </w:p>
              </w:tc>
              <w:tc>
                <w:tcPr>
                  <w:tcW w:w="961" w:type="dxa"/>
                  <w:vAlign w:val="center"/>
                </w:tcPr>
                <w:p>
                  <w:pPr>
                    <w:jc w:val="center"/>
                    <w:rPr>
                      <w:rFonts w:hAnsi="Calibri"/>
                      <w:bCs/>
                      <w:szCs w:val="21"/>
                    </w:rPr>
                  </w:pPr>
                  <w:r>
                    <w:rPr>
                      <w:rFonts w:hint="eastAsia" w:hAnsi="Calibri"/>
                      <w:bCs/>
                      <w:szCs w:val="21"/>
                    </w:rPr>
                    <w:t>无组织</w:t>
                  </w:r>
                </w:p>
              </w:tc>
              <w:tc>
                <w:tcPr>
                  <w:tcW w:w="1004" w:type="dxa"/>
                  <w:vAlign w:val="center"/>
                </w:tcPr>
                <w:p>
                  <w:pPr>
                    <w:widowControl/>
                    <w:jc w:val="center"/>
                    <w:rPr>
                      <w:kern w:val="0"/>
                      <w:szCs w:val="21"/>
                    </w:rPr>
                  </w:pPr>
                  <w:r>
                    <w:rPr>
                      <w:szCs w:val="21"/>
                    </w:rPr>
                    <w:t>0.00024</w:t>
                  </w:r>
                </w:p>
              </w:tc>
              <w:tc>
                <w:tcPr>
                  <w:tcW w:w="1144" w:type="dxa"/>
                  <w:vAlign w:val="center"/>
                </w:tcPr>
                <w:p>
                  <w:pPr>
                    <w:widowControl/>
                    <w:jc w:val="center"/>
                    <w:rPr>
                      <w:kern w:val="0"/>
                      <w:szCs w:val="21"/>
                    </w:rPr>
                  </w:pPr>
                  <w:r>
                    <w:rPr>
                      <w:szCs w:val="21"/>
                    </w:rPr>
                    <w:t>0.0001</w:t>
                  </w:r>
                </w:p>
              </w:tc>
              <w:tc>
                <w:tcPr>
                  <w:tcW w:w="908" w:type="dxa"/>
                  <w:vAlign w:val="center"/>
                </w:tcPr>
                <w:p>
                  <w:pPr>
                    <w:jc w:val="center"/>
                    <w:rPr>
                      <w:szCs w:val="21"/>
                    </w:rPr>
                  </w:pPr>
                  <w:r>
                    <w:rPr>
                      <w:rFonts w:hint="eastAsia"/>
                      <w:szCs w:val="21"/>
                    </w:rPr>
                    <w:t>/</w:t>
                  </w:r>
                </w:p>
              </w:tc>
              <w:tc>
                <w:tcPr>
                  <w:tcW w:w="0" w:type="auto"/>
                  <w:vMerge w:val="continue"/>
                  <w:vAlign w:val="center"/>
                </w:tcPr>
                <w:p>
                  <w:pPr>
                    <w:jc w:val="center"/>
                    <w:rPr>
                      <w:szCs w:val="21"/>
                    </w:rPr>
                  </w:pPr>
                </w:p>
              </w:tc>
              <w:tc>
                <w:tcPr>
                  <w:tcW w:w="0" w:type="auto"/>
                  <w:vMerge w:val="continue"/>
                  <w:vAlign w:val="center"/>
                </w:tcPr>
                <w:p>
                  <w:pPr>
                    <w:jc w:val="center"/>
                    <w:rPr>
                      <w:szCs w:val="21"/>
                    </w:rPr>
                  </w:pPr>
                </w:p>
              </w:tc>
              <w:tc>
                <w:tcPr>
                  <w:tcW w:w="0" w:type="auto"/>
                  <w:vMerge w:val="continue"/>
                  <w:vAlign w:val="center"/>
                </w:tcPr>
                <w:p>
                  <w:pPr>
                    <w:widowControl/>
                    <w:jc w:val="center"/>
                    <w:textAlignment w:val="center"/>
                    <w:rPr>
                      <w:szCs w:val="21"/>
                    </w:rPr>
                  </w:pPr>
                </w:p>
              </w:tc>
              <w:tc>
                <w:tcPr>
                  <w:tcW w:w="0" w:type="auto"/>
                  <w:vMerge w:val="continue"/>
                  <w:vAlign w:val="center"/>
                </w:tcPr>
                <w:p>
                  <w:pPr>
                    <w:widowControl/>
                    <w:jc w:val="center"/>
                    <w:textAlignment w:val="center"/>
                    <w:rPr>
                      <w:szCs w:val="21"/>
                    </w:rPr>
                  </w:pPr>
                </w:p>
              </w:tc>
              <w:tc>
                <w:tcPr>
                  <w:tcW w:w="0" w:type="auto"/>
                  <w:vMerge w:val="continue"/>
                  <w:vAlign w:val="center"/>
                </w:tcPr>
                <w:p>
                  <w:pPr>
                    <w:jc w:val="center"/>
                    <w:rPr>
                      <w:szCs w:val="21"/>
                    </w:rPr>
                  </w:pPr>
                </w:p>
              </w:tc>
              <w:tc>
                <w:tcPr>
                  <w:tcW w:w="1109" w:type="dxa"/>
                  <w:vAlign w:val="center"/>
                </w:tcPr>
                <w:p>
                  <w:pPr>
                    <w:widowControl/>
                    <w:jc w:val="center"/>
                    <w:rPr>
                      <w:kern w:val="0"/>
                      <w:szCs w:val="21"/>
                    </w:rPr>
                  </w:pPr>
                  <w:r>
                    <w:rPr>
                      <w:szCs w:val="21"/>
                    </w:rPr>
                    <w:t>0.00024</w:t>
                  </w:r>
                </w:p>
              </w:tc>
              <w:tc>
                <w:tcPr>
                  <w:tcW w:w="1004" w:type="dxa"/>
                  <w:vAlign w:val="center"/>
                </w:tcPr>
                <w:p>
                  <w:pPr>
                    <w:widowControl/>
                    <w:jc w:val="center"/>
                    <w:rPr>
                      <w:kern w:val="0"/>
                      <w:szCs w:val="21"/>
                    </w:rPr>
                  </w:pPr>
                  <w:r>
                    <w:rPr>
                      <w:szCs w:val="21"/>
                    </w:rPr>
                    <w:t>0.0001</w:t>
                  </w:r>
                </w:p>
              </w:tc>
              <w:tc>
                <w:tcPr>
                  <w:tcW w:w="992" w:type="dxa"/>
                  <w:vAlign w:val="center"/>
                </w:tcPr>
                <w:p>
                  <w:pPr>
                    <w:jc w:val="center"/>
                    <w:rPr>
                      <w:szCs w:val="21"/>
                    </w:rPr>
                  </w:pPr>
                  <w:r>
                    <w:rPr>
                      <w:rFonts w:hint="eastAsia"/>
                      <w:szCs w:val="21"/>
                    </w:rPr>
                    <w:t>/</w:t>
                  </w:r>
                </w:p>
              </w:tc>
              <w:tc>
                <w:tcPr>
                  <w:tcW w:w="1168" w:type="dxa"/>
                  <w:vAlign w:val="center"/>
                </w:tcPr>
                <w:p>
                  <w:pPr>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continue"/>
                  <w:vAlign w:val="center"/>
                </w:tcPr>
                <w:p>
                  <w:pPr>
                    <w:jc w:val="center"/>
                    <w:rPr>
                      <w:rFonts w:hAnsi="Calibri"/>
                      <w:bCs/>
                      <w:szCs w:val="21"/>
                    </w:rPr>
                  </w:pPr>
                </w:p>
              </w:tc>
              <w:tc>
                <w:tcPr>
                  <w:tcW w:w="0" w:type="auto"/>
                  <w:vMerge w:val="restart"/>
                  <w:vAlign w:val="center"/>
                </w:tcPr>
                <w:p>
                  <w:pPr>
                    <w:widowControl/>
                    <w:jc w:val="center"/>
                    <w:textAlignment w:val="center"/>
                    <w:rPr>
                      <w:rFonts w:hAnsi="Calibri"/>
                      <w:bCs/>
                      <w:szCs w:val="21"/>
                    </w:rPr>
                  </w:pPr>
                  <w:r>
                    <w:rPr>
                      <w:rFonts w:hint="eastAsia" w:hAnsi="Calibri"/>
                      <w:bCs/>
                      <w:szCs w:val="21"/>
                    </w:rPr>
                    <w:t>锡及其化合物</w:t>
                  </w:r>
                </w:p>
              </w:tc>
              <w:tc>
                <w:tcPr>
                  <w:tcW w:w="961" w:type="dxa"/>
                  <w:vAlign w:val="center"/>
                </w:tcPr>
                <w:p>
                  <w:pPr>
                    <w:jc w:val="center"/>
                    <w:rPr>
                      <w:szCs w:val="21"/>
                    </w:rPr>
                  </w:pPr>
                  <w:r>
                    <w:rPr>
                      <w:rFonts w:hint="eastAsia"/>
                      <w:szCs w:val="21"/>
                    </w:rPr>
                    <w:t>有组织</w:t>
                  </w:r>
                </w:p>
              </w:tc>
              <w:tc>
                <w:tcPr>
                  <w:tcW w:w="1004" w:type="dxa"/>
                  <w:vAlign w:val="center"/>
                </w:tcPr>
                <w:p>
                  <w:pPr>
                    <w:adjustRightInd w:val="0"/>
                    <w:snapToGrid w:val="0"/>
                    <w:jc w:val="center"/>
                    <w:rPr>
                      <w:szCs w:val="21"/>
                    </w:rPr>
                  </w:pPr>
                  <w:r>
                    <w:rPr>
                      <w:szCs w:val="21"/>
                    </w:rPr>
                    <w:t>0.00033</w:t>
                  </w:r>
                </w:p>
              </w:tc>
              <w:tc>
                <w:tcPr>
                  <w:tcW w:w="1144" w:type="dxa"/>
                  <w:vAlign w:val="center"/>
                </w:tcPr>
                <w:p>
                  <w:pPr>
                    <w:widowControl/>
                    <w:jc w:val="center"/>
                    <w:textAlignment w:val="center"/>
                    <w:rPr>
                      <w:szCs w:val="21"/>
                    </w:rPr>
                  </w:pPr>
                  <w:r>
                    <w:rPr>
                      <w:szCs w:val="21"/>
                    </w:rPr>
                    <w:t>0.00014</w:t>
                  </w:r>
                </w:p>
              </w:tc>
              <w:tc>
                <w:tcPr>
                  <w:tcW w:w="908" w:type="dxa"/>
                  <w:vAlign w:val="center"/>
                </w:tcPr>
                <w:p>
                  <w:pPr>
                    <w:adjustRightInd w:val="0"/>
                    <w:snapToGrid w:val="0"/>
                    <w:jc w:val="center"/>
                    <w:rPr>
                      <w:szCs w:val="21"/>
                    </w:rPr>
                  </w:pPr>
                  <w:r>
                    <w:rPr>
                      <w:szCs w:val="21"/>
                    </w:rPr>
                    <w:t>0.0047</w:t>
                  </w:r>
                </w:p>
              </w:tc>
              <w:tc>
                <w:tcPr>
                  <w:tcW w:w="0" w:type="auto"/>
                  <w:vMerge w:val="continue"/>
                  <w:vAlign w:val="center"/>
                </w:tcPr>
                <w:p>
                  <w:pPr>
                    <w:jc w:val="center"/>
                    <w:rPr>
                      <w:szCs w:val="21"/>
                    </w:rPr>
                  </w:pPr>
                </w:p>
              </w:tc>
              <w:tc>
                <w:tcPr>
                  <w:tcW w:w="0" w:type="auto"/>
                  <w:vMerge w:val="restart"/>
                  <w:vAlign w:val="center"/>
                </w:tcPr>
                <w:p>
                  <w:pPr>
                    <w:jc w:val="center"/>
                    <w:rPr>
                      <w:szCs w:val="21"/>
                    </w:rPr>
                  </w:pPr>
                  <w:r>
                    <w:rPr>
                      <w:szCs w:val="21"/>
                    </w:rPr>
                    <w:t>60</w:t>
                  </w:r>
                  <w:r>
                    <w:rPr>
                      <w:rFonts w:hint="eastAsia"/>
                      <w:szCs w:val="21"/>
                    </w:rPr>
                    <w:t>%</w:t>
                  </w:r>
                </w:p>
              </w:tc>
              <w:tc>
                <w:tcPr>
                  <w:tcW w:w="0" w:type="auto"/>
                  <w:vMerge w:val="continue"/>
                  <w:vAlign w:val="center"/>
                </w:tcPr>
                <w:p>
                  <w:pPr>
                    <w:widowControl/>
                    <w:jc w:val="center"/>
                    <w:textAlignment w:val="center"/>
                    <w:rPr>
                      <w:szCs w:val="21"/>
                    </w:rPr>
                  </w:pPr>
                </w:p>
              </w:tc>
              <w:tc>
                <w:tcPr>
                  <w:tcW w:w="0" w:type="auto"/>
                  <w:vMerge w:val="restart"/>
                  <w:vAlign w:val="center"/>
                </w:tcPr>
                <w:p>
                  <w:pPr>
                    <w:widowControl/>
                    <w:jc w:val="center"/>
                    <w:textAlignment w:val="center"/>
                    <w:rPr>
                      <w:szCs w:val="21"/>
                    </w:rPr>
                  </w:pPr>
                  <w:r>
                    <w:rPr>
                      <w:szCs w:val="21"/>
                    </w:rPr>
                    <w:t>40</w:t>
                  </w:r>
                  <w:r>
                    <w:rPr>
                      <w:rFonts w:hint="eastAsia"/>
                      <w:szCs w:val="21"/>
                    </w:rPr>
                    <w:t>%</w:t>
                  </w:r>
                </w:p>
              </w:tc>
              <w:tc>
                <w:tcPr>
                  <w:tcW w:w="0" w:type="auto"/>
                  <w:vMerge w:val="restart"/>
                  <w:vAlign w:val="center"/>
                </w:tcPr>
                <w:p>
                  <w:pPr>
                    <w:jc w:val="center"/>
                    <w:rPr>
                      <w:szCs w:val="21"/>
                    </w:rPr>
                  </w:pPr>
                  <w:r>
                    <w:rPr>
                      <w:szCs w:val="21"/>
                    </w:rPr>
                    <w:t>是</w:t>
                  </w:r>
                </w:p>
              </w:tc>
              <w:tc>
                <w:tcPr>
                  <w:tcW w:w="1109" w:type="dxa"/>
                  <w:vAlign w:val="center"/>
                </w:tcPr>
                <w:p>
                  <w:pPr>
                    <w:jc w:val="center"/>
                    <w:rPr>
                      <w:szCs w:val="21"/>
                    </w:rPr>
                  </w:pPr>
                  <w:r>
                    <w:rPr>
                      <w:szCs w:val="21"/>
                    </w:rPr>
                    <w:t>0.000198</w:t>
                  </w:r>
                </w:p>
              </w:tc>
              <w:tc>
                <w:tcPr>
                  <w:tcW w:w="1004" w:type="dxa"/>
                  <w:vAlign w:val="center"/>
                </w:tcPr>
                <w:p>
                  <w:pPr>
                    <w:jc w:val="center"/>
                    <w:rPr>
                      <w:szCs w:val="21"/>
                    </w:rPr>
                  </w:pPr>
                  <w:r>
                    <w:rPr>
                      <w:szCs w:val="21"/>
                    </w:rPr>
                    <w:t>0.000084</w:t>
                  </w:r>
                </w:p>
              </w:tc>
              <w:tc>
                <w:tcPr>
                  <w:tcW w:w="992" w:type="dxa"/>
                  <w:vAlign w:val="center"/>
                </w:tcPr>
                <w:p>
                  <w:pPr>
                    <w:jc w:val="center"/>
                    <w:rPr>
                      <w:szCs w:val="21"/>
                    </w:rPr>
                  </w:pPr>
                  <w:r>
                    <w:rPr>
                      <w:szCs w:val="21"/>
                    </w:rPr>
                    <w:t>0.00282</w:t>
                  </w:r>
                </w:p>
              </w:tc>
              <w:tc>
                <w:tcPr>
                  <w:tcW w:w="1168" w:type="dxa"/>
                  <w:vAlign w:val="center"/>
                </w:tcPr>
                <w:p>
                  <w:pPr>
                    <w:jc w:val="center"/>
                    <w:rPr>
                      <w:szCs w:val="21"/>
                    </w:rPr>
                  </w:pPr>
                  <w:r>
                    <w:rPr>
                      <w:rFonts w:hint="eastAsia"/>
                      <w:szCs w:val="21"/>
                    </w:rPr>
                    <w:t>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continue"/>
                  <w:vAlign w:val="center"/>
                </w:tcPr>
                <w:p>
                  <w:pPr>
                    <w:jc w:val="center"/>
                    <w:rPr>
                      <w:rFonts w:hAnsi="Calibri"/>
                      <w:bCs/>
                      <w:szCs w:val="21"/>
                    </w:rPr>
                  </w:pPr>
                </w:p>
              </w:tc>
              <w:tc>
                <w:tcPr>
                  <w:tcW w:w="0" w:type="auto"/>
                  <w:vMerge w:val="continue"/>
                  <w:vAlign w:val="center"/>
                </w:tcPr>
                <w:p>
                  <w:pPr>
                    <w:widowControl/>
                    <w:jc w:val="center"/>
                    <w:textAlignment w:val="center"/>
                    <w:rPr>
                      <w:rFonts w:hAnsi="Calibri"/>
                      <w:bCs/>
                      <w:szCs w:val="21"/>
                    </w:rPr>
                  </w:pPr>
                </w:p>
              </w:tc>
              <w:tc>
                <w:tcPr>
                  <w:tcW w:w="961" w:type="dxa"/>
                  <w:vAlign w:val="center"/>
                </w:tcPr>
                <w:p>
                  <w:pPr>
                    <w:jc w:val="center"/>
                    <w:rPr>
                      <w:rFonts w:hAnsi="Calibri"/>
                      <w:bCs/>
                      <w:szCs w:val="21"/>
                    </w:rPr>
                  </w:pPr>
                  <w:r>
                    <w:rPr>
                      <w:rFonts w:hint="eastAsia" w:hAnsi="Calibri"/>
                      <w:bCs/>
                      <w:szCs w:val="21"/>
                    </w:rPr>
                    <w:t>无组织</w:t>
                  </w:r>
                </w:p>
              </w:tc>
              <w:tc>
                <w:tcPr>
                  <w:tcW w:w="1004" w:type="dxa"/>
                  <w:vAlign w:val="center"/>
                </w:tcPr>
                <w:p>
                  <w:pPr>
                    <w:jc w:val="center"/>
                    <w:rPr>
                      <w:szCs w:val="21"/>
                    </w:rPr>
                  </w:pPr>
                  <w:r>
                    <w:rPr>
                      <w:szCs w:val="21"/>
                    </w:rPr>
                    <w:t>0.00022</w:t>
                  </w:r>
                </w:p>
              </w:tc>
              <w:tc>
                <w:tcPr>
                  <w:tcW w:w="1144" w:type="dxa"/>
                  <w:vAlign w:val="center"/>
                </w:tcPr>
                <w:p>
                  <w:pPr>
                    <w:jc w:val="center"/>
                    <w:rPr>
                      <w:szCs w:val="21"/>
                    </w:rPr>
                  </w:pPr>
                  <w:r>
                    <w:rPr>
                      <w:szCs w:val="21"/>
                    </w:rPr>
                    <w:t>0.00009</w:t>
                  </w:r>
                </w:p>
              </w:tc>
              <w:tc>
                <w:tcPr>
                  <w:tcW w:w="908" w:type="dxa"/>
                  <w:vAlign w:val="center"/>
                </w:tcPr>
                <w:p>
                  <w:pPr>
                    <w:jc w:val="center"/>
                    <w:rPr>
                      <w:szCs w:val="21"/>
                    </w:rPr>
                  </w:pPr>
                  <w:r>
                    <w:rPr>
                      <w:rFonts w:hint="eastAsia"/>
                      <w:szCs w:val="21"/>
                    </w:rPr>
                    <w:t>/</w:t>
                  </w:r>
                </w:p>
              </w:tc>
              <w:tc>
                <w:tcPr>
                  <w:tcW w:w="0" w:type="auto"/>
                  <w:vMerge w:val="continue"/>
                  <w:vAlign w:val="center"/>
                </w:tcPr>
                <w:p>
                  <w:pPr>
                    <w:jc w:val="center"/>
                    <w:rPr>
                      <w:szCs w:val="21"/>
                    </w:rPr>
                  </w:pPr>
                </w:p>
              </w:tc>
              <w:tc>
                <w:tcPr>
                  <w:tcW w:w="0" w:type="auto"/>
                  <w:vMerge w:val="continue"/>
                  <w:vAlign w:val="center"/>
                </w:tcPr>
                <w:p>
                  <w:pPr>
                    <w:jc w:val="center"/>
                    <w:rPr>
                      <w:szCs w:val="21"/>
                    </w:rPr>
                  </w:pPr>
                </w:p>
              </w:tc>
              <w:tc>
                <w:tcPr>
                  <w:tcW w:w="0" w:type="auto"/>
                  <w:vMerge w:val="continue"/>
                  <w:vAlign w:val="center"/>
                </w:tcPr>
                <w:p>
                  <w:pPr>
                    <w:widowControl/>
                    <w:jc w:val="center"/>
                    <w:textAlignment w:val="center"/>
                    <w:rPr>
                      <w:szCs w:val="21"/>
                    </w:rPr>
                  </w:pPr>
                </w:p>
              </w:tc>
              <w:tc>
                <w:tcPr>
                  <w:tcW w:w="0" w:type="auto"/>
                  <w:vMerge w:val="continue"/>
                  <w:vAlign w:val="center"/>
                </w:tcPr>
                <w:p>
                  <w:pPr>
                    <w:widowControl/>
                    <w:jc w:val="center"/>
                    <w:textAlignment w:val="center"/>
                    <w:rPr>
                      <w:szCs w:val="21"/>
                    </w:rPr>
                  </w:pPr>
                </w:p>
              </w:tc>
              <w:tc>
                <w:tcPr>
                  <w:tcW w:w="0" w:type="auto"/>
                  <w:vMerge w:val="continue"/>
                  <w:vAlign w:val="center"/>
                </w:tcPr>
                <w:p>
                  <w:pPr>
                    <w:jc w:val="center"/>
                    <w:rPr>
                      <w:szCs w:val="21"/>
                    </w:rPr>
                  </w:pPr>
                </w:p>
              </w:tc>
              <w:tc>
                <w:tcPr>
                  <w:tcW w:w="1109" w:type="dxa"/>
                  <w:vAlign w:val="center"/>
                </w:tcPr>
                <w:p>
                  <w:pPr>
                    <w:jc w:val="center"/>
                    <w:rPr>
                      <w:szCs w:val="21"/>
                    </w:rPr>
                  </w:pPr>
                  <w:r>
                    <w:rPr>
                      <w:szCs w:val="21"/>
                    </w:rPr>
                    <w:t>0.00022</w:t>
                  </w:r>
                </w:p>
              </w:tc>
              <w:tc>
                <w:tcPr>
                  <w:tcW w:w="1004" w:type="dxa"/>
                  <w:vAlign w:val="center"/>
                </w:tcPr>
                <w:p>
                  <w:pPr>
                    <w:jc w:val="center"/>
                    <w:rPr>
                      <w:szCs w:val="21"/>
                    </w:rPr>
                  </w:pPr>
                  <w:r>
                    <w:rPr>
                      <w:szCs w:val="21"/>
                    </w:rPr>
                    <w:t>0.00009</w:t>
                  </w:r>
                </w:p>
              </w:tc>
              <w:tc>
                <w:tcPr>
                  <w:tcW w:w="992" w:type="dxa"/>
                  <w:vAlign w:val="center"/>
                </w:tcPr>
                <w:p>
                  <w:pPr>
                    <w:jc w:val="center"/>
                    <w:rPr>
                      <w:szCs w:val="21"/>
                    </w:rPr>
                  </w:pPr>
                  <w:r>
                    <w:rPr>
                      <w:rFonts w:hint="eastAsia"/>
                      <w:szCs w:val="21"/>
                    </w:rPr>
                    <w:t>/</w:t>
                  </w:r>
                </w:p>
              </w:tc>
              <w:tc>
                <w:tcPr>
                  <w:tcW w:w="1168" w:type="dxa"/>
                  <w:vAlign w:val="center"/>
                </w:tcPr>
                <w:p>
                  <w:pPr>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restart"/>
                  <w:vAlign w:val="center"/>
                </w:tcPr>
                <w:p>
                  <w:pPr>
                    <w:jc w:val="center"/>
                    <w:rPr>
                      <w:rFonts w:hAnsi="Calibri"/>
                      <w:bCs/>
                      <w:szCs w:val="21"/>
                    </w:rPr>
                  </w:pPr>
                  <w:r>
                    <w:rPr>
                      <w:rFonts w:hint="eastAsia" w:hAnsi="Calibri"/>
                      <w:bCs/>
                      <w:szCs w:val="21"/>
                    </w:rPr>
                    <w:t>厂房A塑封</w:t>
                  </w:r>
                  <w:r>
                    <w:rPr>
                      <w:rFonts w:hAnsi="Calibri"/>
                      <w:bCs/>
                      <w:szCs w:val="21"/>
                    </w:rPr>
                    <w:t>固化</w:t>
                  </w:r>
                  <w:r>
                    <w:rPr>
                      <w:rFonts w:hint="eastAsia" w:hAnsi="Calibri"/>
                      <w:bCs/>
                      <w:szCs w:val="21"/>
                    </w:rPr>
                    <w:t>、</w:t>
                  </w:r>
                  <w:r>
                    <w:rPr>
                      <w:rFonts w:hAnsi="Calibri"/>
                      <w:bCs/>
                      <w:szCs w:val="21"/>
                    </w:rPr>
                    <w:t>点胶</w:t>
                  </w:r>
                </w:p>
              </w:tc>
              <w:tc>
                <w:tcPr>
                  <w:tcW w:w="0" w:type="auto"/>
                  <w:vMerge w:val="restart"/>
                  <w:vAlign w:val="center"/>
                </w:tcPr>
                <w:p>
                  <w:pPr>
                    <w:widowControl/>
                    <w:jc w:val="center"/>
                    <w:textAlignment w:val="center"/>
                    <w:rPr>
                      <w:rFonts w:hAnsi="Calibri"/>
                      <w:bCs/>
                      <w:szCs w:val="21"/>
                    </w:rPr>
                  </w:pPr>
                  <w:r>
                    <w:rPr>
                      <w:rFonts w:hint="eastAsia" w:hAnsi="Calibri"/>
                      <w:bCs/>
                      <w:szCs w:val="21"/>
                    </w:rPr>
                    <w:t>TVOC</w:t>
                  </w:r>
                </w:p>
              </w:tc>
              <w:tc>
                <w:tcPr>
                  <w:tcW w:w="961" w:type="dxa"/>
                  <w:vAlign w:val="center"/>
                </w:tcPr>
                <w:p>
                  <w:pPr>
                    <w:jc w:val="center"/>
                    <w:rPr>
                      <w:szCs w:val="21"/>
                    </w:rPr>
                  </w:pPr>
                  <w:r>
                    <w:rPr>
                      <w:rFonts w:hint="eastAsia"/>
                      <w:szCs w:val="21"/>
                    </w:rPr>
                    <w:t>有组织</w:t>
                  </w:r>
                </w:p>
              </w:tc>
              <w:tc>
                <w:tcPr>
                  <w:tcW w:w="1004" w:type="dxa"/>
                  <w:vAlign w:val="center"/>
                </w:tcPr>
                <w:p>
                  <w:pPr>
                    <w:adjustRightInd w:val="0"/>
                    <w:snapToGrid w:val="0"/>
                    <w:jc w:val="center"/>
                    <w:rPr>
                      <w:szCs w:val="21"/>
                    </w:rPr>
                  </w:pPr>
                  <w:r>
                    <w:rPr>
                      <w:rFonts w:hint="eastAsia"/>
                      <w:szCs w:val="21"/>
                    </w:rPr>
                    <w:t>0.702036</w:t>
                  </w:r>
                </w:p>
              </w:tc>
              <w:tc>
                <w:tcPr>
                  <w:tcW w:w="1144" w:type="dxa"/>
                  <w:vAlign w:val="center"/>
                </w:tcPr>
                <w:p>
                  <w:pPr>
                    <w:widowControl/>
                    <w:jc w:val="center"/>
                    <w:textAlignment w:val="center"/>
                    <w:rPr>
                      <w:szCs w:val="21"/>
                    </w:rPr>
                  </w:pPr>
                  <w:r>
                    <w:rPr>
                      <w:rFonts w:hint="eastAsia"/>
                      <w:szCs w:val="21"/>
                    </w:rPr>
                    <w:t>0.29</w:t>
                  </w:r>
                  <w:r>
                    <w:rPr>
                      <w:szCs w:val="21"/>
                    </w:rPr>
                    <w:t>256</w:t>
                  </w:r>
                </w:p>
              </w:tc>
              <w:tc>
                <w:tcPr>
                  <w:tcW w:w="908" w:type="dxa"/>
                  <w:vAlign w:val="center"/>
                </w:tcPr>
                <w:p>
                  <w:pPr>
                    <w:adjustRightInd w:val="0"/>
                    <w:snapToGrid w:val="0"/>
                    <w:jc w:val="center"/>
                    <w:rPr>
                      <w:szCs w:val="21"/>
                    </w:rPr>
                  </w:pPr>
                  <w:r>
                    <w:rPr>
                      <w:rFonts w:hint="eastAsia"/>
                      <w:szCs w:val="21"/>
                    </w:rPr>
                    <w:t>9.752</w:t>
                  </w:r>
                </w:p>
              </w:tc>
              <w:tc>
                <w:tcPr>
                  <w:tcW w:w="0" w:type="auto"/>
                  <w:vMerge w:val="continue"/>
                  <w:vAlign w:val="center"/>
                </w:tcPr>
                <w:p>
                  <w:pPr>
                    <w:jc w:val="center"/>
                    <w:rPr>
                      <w:szCs w:val="21"/>
                    </w:rPr>
                  </w:pPr>
                </w:p>
              </w:tc>
              <w:tc>
                <w:tcPr>
                  <w:tcW w:w="0" w:type="auto"/>
                  <w:vMerge w:val="restart"/>
                  <w:vAlign w:val="center"/>
                </w:tcPr>
                <w:p>
                  <w:pPr>
                    <w:jc w:val="center"/>
                    <w:rPr>
                      <w:szCs w:val="21"/>
                    </w:rPr>
                  </w:pPr>
                  <w:r>
                    <w:rPr>
                      <w:rFonts w:hint="eastAsia"/>
                      <w:szCs w:val="21"/>
                    </w:rPr>
                    <w:t>8</w:t>
                  </w:r>
                  <w:r>
                    <w:rPr>
                      <w:szCs w:val="21"/>
                    </w:rPr>
                    <w:t>8.9%</w:t>
                  </w:r>
                </w:p>
              </w:tc>
              <w:tc>
                <w:tcPr>
                  <w:tcW w:w="0" w:type="auto"/>
                  <w:vMerge w:val="continue"/>
                  <w:vAlign w:val="center"/>
                </w:tcPr>
                <w:p>
                  <w:pPr>
                    <w:widowControl/>
                    <w:jc w:val="center"/>
                    <w:textAlignment w:val="center"/>
                    <w:rPr>
                      <w:szCs w:val="21"/>
                    </w:rPr>
                  </w:pPr>
                </w:p>
              </w:tc>
              <w:tc>
                <w:tcPr>
                  <w:tcW w:w="0" w:type="auto"/>
                  <w:vMerge w:val="restart"/>
                  <w:vAlign w:val="center"/>
                </w:tcPr>
                <w:p>
                  <w:pPr>
                    <w:widowControl/>
                    <w:jc w:val="center"/>
                    <w:textAlignment w:val="center"/>
                    <w:rPr>
                      <w:szCs w:val="21"/>
                    </w:rPr>
                  </w:pPr>
                  <w:r>
                    <w:rPr>
                      <w:rFonts w:hint="eastAsia"/>
                      <w:szCs w:val="21"/>
                    </w:rPr>
                    <w:t>70%</w:t>
                  </w:r>
                </w:p>
              </w:tc>
              <w:tc>
                <w:tcPr>
                  <w:tcW w:w="0" w:type="auto"/>
                  <w:vMerge w:val="restart"/>
                  <w:vAlign w:val="center"/>
                </w:tcPr>
                <w:p>
                  <w:pPr>
                    <w:jc w:val="center"/>
                    <w:rPr>
                      <w:szCs w:val="21"/>
                    </w:rPr>
                  </w:pPr>
                  <w:r>
                    <w:rPr>
                      <w:szCs w:val="21"/>
                    </w:rPr>
                    <w:t>是</w:t>
                  </w:r>
                </w:p>
              </w:tc>
              <w:tc>
                <w:tcPr>
                  <w:tcW w:w="1109" w:type="dxa"/>
                  <w:vAlign w:val="center"/>
                </w:tcPr>
                <w:p>
                  <w:pPr>
                    <w:jc w:val="center"/>
                    <w:rPr>
                      <w:szCs w:val="21"/>
                    </w:rPr>
                  </w:pPr>
                  <w:r>
                    <w:rPr>
                      <w:szCs w:val="21"/>
                    </w:rPr>
                    <w:t>0.210611</w:t>
                  </w:r>
                </w:p>
              </w:tc>
              <w:tc>
                <w:tcPr>
                  <w:tcW w:w="1004" w:type="dxa"/>
                  <w:vAlign w:val="center"/>
                </w:tcPr>
                <w:p>
                  <w:pPr>
                    <w:jc w:val="center"/>
                    <w:rPr>
                      <w:szCs w:val="21"/>
                    </w:rPr>
                  </w:pPr>
                  <w:r>
                    <w:rPr>
                      <w:szCs w:val="21"/>
                    </w:rPr>
                    <w:t>0.08777</w:t>
                  </w:r>
                </w:p>
              </w:tc>
              <w:tc>
                <w:tcPr>
                  <w:tcW w:w="992" w:type="dxa"/>
                  <w:vAlign w:val="center"/>
                </w:tcPr>
                <w:p>
                  <w:pPr>
                    <w:jc w:val="center"/>
                    <w:rPr>
                      <w:szCs w:val="21"/>
                    </w:rPr>
                  </w:pPr>
                  <w:r>
                    <w:rPr>
                      <w:szCs w:val="21"/>
                    </w:rPr>
                    <w:t>2.9256</w:t>
                  </w:r>
                </w:p>
              </w:tc>
              <w:tc>
                <w:tcPr>
                  <w:tcW w:w="1168" w:type="dxa"/>
                  <w:vAlign w:val="center"/>
                </w:tcPr>
                <w:p>
                  <w:pPr>
                    <w:jc w:val="center"/>
                    <w:rPr>
                      <w:szCs w:val="21"/>
                    </w:rPr>
                  </w:pPr>
                  <w:r>
                    <w:rPr>
                      <w:rFonts w:hint="eastAsia"/>
                      <w:szCs w:val="21"/>
                    </w:rPr>
                    <w:t>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continue"/>
                  <w:vAlign w:val="center"/>
                </w:tcPr>
                <w:p>
                  <w:pPr>
                    <w:jc w:val="center"/>
                    <w:rPr>
                      <w:rFonts w:hAnsi="Calibri"/>
                      <w:bCs/>
                      <w:szCs w:val="21"/>
                    </w:rPr>
                  </w:pPr>
                </w:p>
              </w:tc>
              <w:tc>
                <w:tcPr>
                  <w:tcW w:w="0" w:type="auto"/>
                  <w:vMerge w:val="continue"/>
                  <w:vAlign w:val="center"/>
                </w:tcPr>
                <w:p>
                  <w:pPr>
                    <w:widowControl/>
                    <w:jc w:val="center"/>
                    <w:textAlignment w:val="center"/>
                    <w:rPr>
                      <w:rFonts w:hAnsi="Calibri"/>
                      <w:bCs/>
                      <w:szCs w:val="21"/>
                    </w:rPr>
                  </w:pPr>
                </w:p>
              </w:tc>
              <w:tc>
                <w:tcPr>
                  <w:tcW w:w="961" w:type="dxa"/>
                  <w:vAlign w:val="center"/>
                </w:tcPr>
                <w:p>
                  <w:pPr>
                    <w:jc w:val="center"/>
                    <w:rPr>
                      <w:rFonts w:hAnsi="Calibri"/>
                      <w:bCs/>
                      <w:szCs w:val="21"/>
                    </w:rPr>
                  </w:pPr>
                  <w:r>
                    <w:rPr>
                      <w:rFonts w:hint="eastAsia" w:hAnsi="Calibri"/>
                      <w:bCs/>
                      <w:szCs w:val="21"/>
                    </w:rPr>
                    <w:t>无组织</w:t>
                  </w:r>
                </w:p>
              </w:tc>
              <w:tc>
                <w:tcPr>
                  <w:tcW w:w="1004" w:type="dxa"/>
                  <w:vAlign w:val="center"/>
                </w:tcPr>
                <w:p>
                  <w:pPr>
                    <w:jc w:val="center"/>
                    <w:rPr>
                      <w:szCs w:val="21"/>
                    </w:rPr>
                  </w:pPr>
                  <w:r>
                    <w:rPr>
                      <w:szCs w:val="21"/>
                    </w:rPr>
                    <w:t>0.088024</w:t>
                  </w:r>
                </w:p>
              </w:tc>
              <w:tc>
                <w:tcPr>
                  <w:tcW w:w="1144" w:type="dxa"/>
                  <w:vAlign w:val="center"/>
                </w:tcPr>
                <w:p>
                  <w:pPr>
                    <w:jc w:val="center"/>
                    <w:rPr>
                      <w:szCs w:val="21"/>
                    </w:rPr>
                  </w:pPr>
                  <w:r>
                    <w:rPr>
                      <w:szCs w:val="21"/>
                    </w:rPr>
                    <w:t>0.036707</w:t>
                  </w:r>
                </w:p>
              </w:tc>
              <w:tc>
                <w:tcPr>
                  <w:tcW w:w="908" w:type="dxa"/>
                  <w:vAlign w:val="center"/>
                </w:tcPr>
                <w:p>
                  <w:pPr>
                    <w:jc w:val="center"/>
                    <w:rPr>
                      <w:szCs w:val="21"/>
                    </w:rPr>
                  </w:pPr>
                  <w:r>
                    <w:rPr>
                      <w:rFonts w:hint="eastAsia"/>
                      <w:szCs w:val="21"/>
                    </w:rPr>
                    <w:t>/</w:t>
                  </w:r>
                </w:p>
              </w:tc>
              <w:tc>
                <w:tcPr>
                  <w:tcW w:w="0" w:type="auto"/>
                  <w:vMerge w:val="continue"/>
                  <w:vAlign w:val="center"/>
                </w:tcPr>
                <w:p>
                  <w:pPr>
                    <w:jc w:val="center"/>
                    <w:rPr>
                      <w:szCs w:val="21"/>
                    </w:rPr>
                  </w:pPr>
                </w:p>
              </w:tc>
              <w:tc>
                <w:tcPr>
                  <w:tcW w:w="0" w:type="auto"/>
                  <w:vMerge w:val="continue"/>
                  <w:vAlign w:val="center"/>
                </w:tcPr>
                <w:p>
                  <w:pPr>
                    <w:jc w:val="center"/>
                    <w:rPr>
                      <w:szCs w:val="21"/>
                    </w:rPr>
                  </w:pPr>
                </w:p>
              </w:tc>
              <w:tc>
                <w:tcPr>
                  <w:tcW w:w="0" w:type="auto"/>
                  <w:vMerge w:val="continue"/>
                  <w:vAlign w:val="center"/>
                </w:tcPr>
                <w:p>
                  <w:pPr>
                    <w:widowControl/>
                    <w:jc w:val="center"/>
                    <w:textAlignment w:val="center"/>
                    <w:rPr>
                      <w:szCs w:val="21"/>
                    </w:rPr>
                  </w:pPr>
                </w:p>
              </w:tc>
              <w:tc>
                <w:tcPr>
                  <w:tcW w:w="0" w:type="auto"/>
                  <w:vMerge w:val="continue"/>
                  <w:vAlign w:val="center"/>
                </w:tcPr>
                <w:p>
                  <w:pPr>
                    <w:widowControl/>
                    <w:jc w:val="center"/>
                    <w:textAlignment w:val="center"/>
                    <w:rPr>
                      <w:szCs w:val="21"/>
                    </w:rPr>
                  </w:pPr>
                </w:p>
              </w:tc>
              <w:tc>
                <w:tcPr>
                  <w:tcW w:w="0" w:type="auto"/>
                  <w:vMerge w:val="continue"/>
                  <w:vAlign w:val="center"/>
                </w:tcPr>
                <w:p>
                  <w:pPr>
                    <w:jc w:val="center"/>
                    <w:rPr>
                      <w:szCs w:val="21"/>
                    </w:rPr>
                  </w:pPr>
                </w:p>
              </w:tc>
              <w:tc>
                <w:tcPr>
                  <w:tcW w:w="1109" w:type="dxa"/>
                  <w:vAlign w:val="center"/>
                </w:tcPr>
                <w:p>
                  <w:pPr>
                    <w:jc w:val="center"/>
                    <w:rPr>
                      <w:szCs w:val="21"/>
                    </w:rPr>
                  </w:pPr>
                  <w:r>
                    <w:rPr>
                      <w:szCs w:val="21"/>
                    </w:rPr>
                    <w:t>0.088024</w:t>
                  </w:r>
                </w:p>
              </w:tc>
              <w:tc>
                <w:tcPr>
                  <w:tcW w:w="1004" w:type="dxa"/>
                  <w:vAlign w:val="center"/>
                </w:tcPr>
                <w:p>
                  <w:pPr>
                    <w:jc w:val="center"/>
                    <w:rPr>
                      <w:szCs w:val="21"/>
                    </w:rPr>
                  </w:pPr>
                  <w:r>
                    <w:rPr>
                      <w:szCs w:val="21"/>
                    </w:rPr>
                    <w:t>0.036707</w:t>
                  </w:r>
                </w:p>
              </w:tc>
              <w:tc>
                <w:tcPr>
                  <w:tcW w:w="992" w:type="dxa"/>
                  <w:vAlign w:val="center"/>
                </w:tcPr>
                <w:p>
                  <w:pPr>
                    <w:jc w:val="center"/>
                    <w:rPr>
                      <w:szCs w:val="21"/>
                    </w:rPr>
                  </w:pPr>
                  <w:r>
                    <w:rPr>
                      <w:rFonts w:hint="eastAsia"/>
                      <w:szCs w:val="21"/>
                    </w:rPr>
                    <w:t>/</w:t>
                  </w:r>
                </w:p>
              </w:tc>
              <w:tc>
                <w:tcPr>
                  <w:tcW w:w="1168" w:type="dxa"/>
                  <w:vAlign w:val="center"/>
                </w:tcPr>
                <w:p>
                  <w:pPr>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restart"/>
                  <w:vAlign w:val="center"/>
                </w:tcPr>
                <w:p>
                  <w:pPr>
                    <w:jc w:val="center"/>
                    <w:rPr>
                      <w:rFonts w:hAnsi="Calibri"/>
                      <w:bCs/>
                      <w:szCs w:val="21"/>
                    </w:rPr>
                  </w:pPr>
                  <w:r>
                    <w:rPr>
                      <w:rFonts w:hint="eastAsia" w:hAnsi="Calibri"/>
                      <w:bCs/>
                      <w:szCs w:val="21"/>
                    </w:rPr>
                    <w:t>厂房</w:t>
                  </w:r>
                  <w:r>
                    <w:rPr>
                      <w:rFonts w:hAnsi="Calibri"/>
                      <w:bCs/>
                      <w:szCs w:val="21"/>
                    </w:rPr>
                    <w:t>B</w:t>
                  </w:r>
                  <w:r>
                    <w:rPr>
                      <w:rFonts w:hint="eastAsia" w:hAnsi="Calibri"/>
                      <w:bCs/>
                      <w:szCs w:val="21"/>
                    </w:rPr>
                    <w:t>粘片</w:t>
                  </w:r>
                </w:p>
              </w:tc>
              <w:tc>
                <w:tcPr>
                  <w:tcW w:w="0" w:type="auto"/>
                  <w:vMerge w:val="restart"/>
                  <w:vAlign w:val="center"/>
                </w:tcPr>
                <w:p>
                  <w:pPr>
                    <w:widowControl/>
                    <w:jc w:val="center"/>
                    <w:textAlignment w:val="center"/>
                    <w:rPr>
                      <w:rFonts w:hAnsi="Calibri"/>
                      <w:bCs/>
                      <w:szCs w:val="21"/>
                    </w:rPr>
                  </w:pPr>
                  <w:r>
                    <w:rPr>
                      <w:rFonts w:hint="eastAsia" w:hAnsi="Calibri"/>
                      <w:bCs/>
                      <w:szCs w:val="21"/>
                    </w:rPr>
                    <w:t>颗粒物</w:t>
                  </w:r>
                </w:p>
              </w:tc>
              <w:tc>
                <w:tcPr>
                  <w:tcW w:w="961" w:type="dxa"/>
                  <w:vAlign w:val="center"/>
                </w:tcPr>
                <w:p>
                  <w:pPr>
                    <w:jc w:val="center"/>
                    <w:rPr>
                      <w:szCs w:val="21"/>
                    </w:rPr>
                  </w:pPr>
                  <w:r>
                    <w:rPr>
                      <w:rFonts w:hint="eastAsia"/>
                      <w:szCs w:val="21"/>
                    </w:rPr>
                    <w:t>有组织</w:t>
                  </w:r>
                </w:p>
              </w:tc>
              <w:tc>
                <w:tcPr>
                  <w:tcW w:w="1004" w:type="dxa"/>
                  <w:vAlign w:val="center"/>
                </w:tcPr>
                <w:p>
                  <w:pPr>
                    <w:adjustRightInd w:val="0"/>
                    <w:snapToGrid w:val="0"/>
                    <w:jc w:val="center"/>
                    <w:rPr>
                      <w:szCs w:val="21"/>
                    </w:rPr>
                  </w:pPr>
                  <w:r>
                    <w:rPr>
                      <w:rFonts w:hint="eastAsia"/>
                      <w:szCs w:val="21"/>
                    </w:rPr>
                    <w:t>0.</w:t>
                  </w:r>
                  <w:r>
                    <w:rPr>
                      <w:szCs w:val="21"/>
                    </w:rPr>
                    <w:t>00036</w:t>
                  </w:r>
                </w:p>
              </w:tc>
              <w:tc>
                <w:tcPr>
                  <w:tcW w:w="1144" w:type="dxa"/>
                  <w:vAlign w:val="center"/>
                </w:tcPr>
                <w:p>
                  <w:pPr>
                    <w:widowControl/>
                    <w:jc w:val="center"/>
                    <w:textAlignment w:val="center"/>
                    <w:rPr>
                      <w:szCs w:val="21"/>
                    </w:rPr>
                  </w:pPr>
                  <w:r>
                    <w:rPr>
                      <w:szCs w:val="21"/>
                    </w:rPr>
                    <w:t>0.00015</w:t>
                  </w:r>
                </w:p>
              </w:tc>
              <w:tc>
                <w:tcPr>
                  <w:tcW w:w="908" w:type="dxa"/>
                  <w:vAlign w:val="center"/>
                </w:tcPr>
                <w:p>
                  <w:pPr>
                    <w:adjustRightInd w:val="0"/>
                    <w:snapToGrid w:val="0"/>
                    <w:jc w:val="center"/>
                    <w:rPr>
                      <w:szCs w:val="21"/>
                    </w:rPr>
                  </w:pPr>
                  <w:r>
                    <w:rPr>
                      <w:szCs w:val="21"/>
                    </w:rPr>
                    <w:t>0.005</w:t>
                  </w:r>
                </w:p>
              </w:tc>
              <w:tc>
                <w:tcPr>
                  <w:tcW w:w="0" w:type="auto"/>
                  <w:vMerge w:val="restart"/>
                  <w:vAlign w:val="center"/>
                </w:tcPr>
                <w:p>
                  <w:pPr>
                    <w:jc w:val="center"/>
                    <w:rPr>
                      <w:szCs w:val="21"/>
                    </w:rPr>
                  </w:pPr>
                  <w:r>
                    <w:rPr>
                      <w:szCs w:val="21"/>
                    </w:rPr>
                    <w:t>30</w:t>
                  </w:r>
                  <w:r>
                    <w:rPr>
                      <w:rFonts w:hint="eastAsia"/>
                      <w:szCs w:val="21"/>
                    </w:rPr>
                    <w:t>000</w:t>
                  </w:r>
                </w:p>
              </w:tc>
              <w:tc>
                <w:tcPr>
                  <w:tcW w:w="0" w:type="auto"/>
                  <w:vMerge w:val="restart"/>
                  <w:vAlign w:val="center"/>
                </w:tcPr>
                <w:p>
                  <w:pPr>
                    <w:jc w:val="center"/>
                    <w:rPr>
                      <w:szCs w:val="21"/>
                    </w:rPr>
                  </w:pPr>
                  <w:r>
                    <w:rPr>
                      <w:szCs w:val="21"/>
                    </w:rPr>
                    <w:t>60</w:t>
                  </w:r>
                  <w:r>
                    <w:rPr>
                      <w:rFonts w:hint="eastAsia"/>
                      <w:szCs w:val="21"/>
                    </w:rPr>
                    <w:t>%</w:t>
                  </w:r>
                </w:p>
              </w:tc>
              <w:tc>
                <w:tcPr>
                  <w:tcW w:w="0" w:type="auto"/>
                  <w:vMerge w:val="restart"/>
                  <w:vAlign w:val="center"/>
                </w:tcPr>
                <w:p>
                  <w:pPr>
                    <w:jc w:val="center"/>
                    <w:rPr>
                      <w:szCs w:val="21"/>
                    </w:rPr>
                  </w:pPr>
                  <w:r>
                    <w:rPr>
                      <w:rFonts w:hint="eastAsia"/>
                      <w:szCs w:val="21"/>
                    </w:rPr>
                    <w:t>喷淋塔+干式</w:t>
                  </w:r>
                  <w:r>
                    <w:rPr>
                      <w:szCs w:val="21"/>
                    </w:rPr>
                    <w:t>除雾器</w:t>
                  </w:r>
                  <w:r>
                    <w:rPr>
                      <w:rFonts w:hint="eastAsia"/>
                      <w:szCs w:val="21"/>
                    </w:rPr>
                    <w:t>+两级活性炭</w:t>
                  </w:r>
                  <w:r>
                    <w:rPr>
                      <w:szCs w:val="21"/>
                    </w:rPr>
                    <w:t>吸附</w:t>
                  </w:r>
                </w:p>
              </w:tc>
              <w:tc>
                <w:tcPr>
                  <w:tcW w:w="0" w:type="auto"/>
                  <w:vMerge w:val="restart"/>
                  <w:vAlign w:val="center"/>
                </w:tcPr>
                <w:p>
                  <w:pPr>
                    <w:widowControl/>
                    <w:jc w:val="center"/>
                    <w:textAlignment w:val="center"/>
                    <w:rPr>
                      <w:szCs w:val="21"/>
                    </w:rPr>
                  </w:pPr>
                  <w:r>
                    <w:rPr>
                      <w:szCs w:val="21"/>
                    </w:rPr>
                    <w:t>40</w:t>
                  </w:r>
                  <w:r>
                    <w:rPr>
                      <w:rFonts w:hint="eastAsia"/>
                      <w:szCs w:val="21"/>
                    </w:rPr>
                    <w:t>%</w:t>
                  </w:r>
                </w:p>
              </w:tc>
              <w:tc>
                <w:tcPr>
                  <w:tcW w:w="0" w:type="auto"/>
                  <w:vMerge w:val="restart"/>
                  <w:vAlign w:val="center"/>
                </w:tcPr>
                <w:p>
                  <w:pPr>
                    <w:jc w:val="center"/>
                    <w:rPr>
                      <w:szCs w:val="21"/>
                    </w:rPr>
                  </w:pPr>
                  <w:r>
                    <w:rPr>
                      <w:szCs w:val="21"/>
                    </w:rPr>
                    <w:t>是</w:t>
                  </w:r>
                </w:p>
              </w:tc>
              <w:tc>
                <w:tcPr>
                  <w:tcW w:w="1109" w:type="dxa"/>
                  <w:vAlign w:val="center"/>
                </w:tcPr>
                <w:p>
                  <w:pPr>
                    <w:jc w:val="center"/>
                    <w:rPr>
                      <w:szCs w:val="21"/>
                    </w:rPr>
                  </w:pPr>
                  <w:r>
                    <w:rPr>
                      <w:szCs w:val="21"/>
                    </w:rPr>
                    <w:t>0.000216</w:t>
                  </w:r>
                </w:p>
              </w:tc>
              <w:tc>
                <w:tcPr>
                  <w:tcW w:w="1004" w:type="dxa"/>
                  <w:vAlign w:val="center"/>
                </w:tcPr>
                <w:p>
                  <w:pPr>
                    <w:jc w:val="center"/>
                    <w:rPr>
                      <w:szCs w:val="21"/>
                    </w:rPr>
                  </w:pPr>
                  <w:r>
                    <w:rPr>
                      <w:szCs w:val="21"/>
                    </w:rPr>
                    <w:t>0.00009</w:t>
                  </w:r>
                </w:p>
              </w:tc>
              <w:tc>
                <w:tcPr>
                  <w:tcW w:w="992" w:type="dxa"/>
                  <w:vAlign w:val="center"/>
                </w:tcPr>
                <w:p>
                  <w:pPr>
                    <w:jc w:val="center"/>
                    <w:rPr>
                      <w:szCs w:val="21"/>
                    </w:rPr>
                  </w:pPr>
                  <w:r>
                    <w:rPr>
                      <w:szCs w:val="21"/>
                    </w:rPr>
                    <w:t>0.003</w:t>
                  </w:r>
                </w:p>
              </w:tc>
              <w:tc>
                <w:tcPr>
                  <w:tcW w:w="1168" w:type="dxa"/>
                  <w:vAlign w:val="center"/>
                </w:tcPr>
                <w:p>
                  <w:pPr>
                    <w:jc w:val="center"/>
                    <w:rPr>
                      <w:szCs w:val="21"/>
                    </w:rPr>
                  </w:pPr>
                  <w:r>
                    <w:rPr>
                      <w:rFonts w:hint="eastAsia"/>
                      <w:szCs w:val="21"/>
                    </w:rPr>
                    <w:t>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continue"/>
                  <w:vAlign w:val="center"/>
                </w:tcPr>
                <w:p>
                  <w:pPr>
                    <w:jc w:val="center"/>
                    <w:rPr>
                      <w:rFonts w:hAnsi="Calibri"/>
                      <w:bCs/>
                      <w:szCs w:val="21"/>
                    </w:rPr>
                  </w:pPr>
                </w:p>
              </w:tc>
              <w:tc>
                <w:tcPr>
                  <w:tcW w:w="0" w:type="auto"/>
                  <w:vMerge w:val="continue"/>
                  <w:vAlign w:val="center"/>
                </w:tcPr>
                <w:p>
                  <w:pPr>
                    <w:widowControl/>
                    <w:jc w:val="center"/>
                    <w:textAlignment w:val="center"/>
                    <w:rPr>
                      <w:rFonts w:hAnsi="Calibri"/>
                      <w:bCs/>
                      <w:szCs w:val="21"/>
                    </w:rPr>
                  </w:pPr>
                </w:p>
              </w:tc>
              <w:tc>
                <w:tcPr>
                  <w:tcW w:w="961" w:type="dxa"/>
                  <w:vAlign w:val="center"/>
                </w:tcPr>
                <w:p>
                  <w:pPr>
                    <w:jc w:val="center"/>
                    <w:rPr>
                      <w:rFonts w:hAnsi="Calibri"/>
                      <w:bCs/>
                      <w:szCs w:val="21"/>
                    </w:rPr>
                  </w:pPr>
                  <w:r>
                    <w:rPr>
                      <w:rFonts w:hint="eastAsia" w:hAnsi="Calibri"/>
                      <w:bCs/>
                      <w:szCs w:val="21"/>
                    </w:rPr>
                    <w:t>无组织</w:t>
                  </w:r>
                </w:p>
              </w:tc>
              <w:tc>
                <w:tcPr>
                  <w:tcW w:w="1004" w:type="dxa"/>
                  <w:vAlign w:val="center"/>
                </w:tcPr>
                <w:p>
                  <w:pPr>
                    <w:jc w:val="center"/>
                    <w:rPr>
                      <w:szCs w:val="21"/>
                    </w:rPr>
                  </w:pPr>
                  <w:r>
                    <w:rPr>
                      <w:szCs w:val="21"/>
                    </w:rPr>
                    <w:t>0.00024</w:t>
                  </w:r>
                </w:p>
              </w:tc>
              <w:tc>
                <w:tcPr>
                  <w:tcW w:w="1144" w:type="dxa"/>
                  <w:vAlign w:val="center"/>
                </w:tcPr>
                <w:p>
                  <w:pPr>
                    <w:jc w:val="center"/>
                    <w:rPr>
                      <w:szCs w:val="21"/>
                    </w:rPr>
                  </w:pPr>
                  <w:r>
                    <w:rPr>
                      <w:szCs w:val="21"/>
                    </w:rPr>
                    <w:t>0.0001</w:t>
                  </w:r>
                </w:p>
              </w:tc>
              <w:tc>
                <w:tcPr>
                  <w:tcW w:w="908" w:type="dxa"/>
                  <w:vAlign w:val="center"/>
                </w:tcPr>
                <w:p>
                  <w:pPr>
                    <w:jc w:val="center"/>
                    <w:rPr>
                      <w:szCs w:val="21"/>
                    </w:rPr>
                  </w:pPr>
                  <w:r>
                    <w:rPr>
                      <w:rFonts w:hint="eastAsia"/>
                      <w:szCs w:val="21"/>
                    </w:rPr>
                    <w:t>/</w:t>
                  </w:r>
                </w:p>
              </w:tc>
              <w:tc>
                <w:tcPr>
                  <w:tcW w:w="0" w:type="auto"/>
                  <w:vMerge w:val="continue"/>
                  <w:vAlign w:val="center"/>
                </w:tcPr>
                <w:p>
                  <w:pPr>
                    <w:jc w:val="center"/>
                    <w:rPr>
                      <w:szCs w:val="21"/>
                    </w:rPr>
                  </w:pPr>
                </w:p>
              </w:tc>
              <w:tc>
                <w:tcPr>
                  <w:tcW w:w="0" w:type="auto"/>
                  <w:vMerge w:val="continue"/>
                  <w:vAlign w:val="center"/>
                </w:tcPr>
                <w:p>
                  <w:pPr>
                    <w:jc w:val="center"/>
                    <w:rPr>
                      <w:szCs w:val="21"/>
                    </w:rPr>
                  </w:pPr>
                </w:p>
              </w:tc>
              <w:tc>
                <w:tcPr>
                  <w:tcW w:w="0" w:type="auto"/>
                  <w:vMerge w:val="continue"/>
                  <w:vAlign w:val="center"/>
                </w:tcPr>
                <w:p>
                  <w:pPr>
                    <w:jc w:val="center"/>
                    <w:rPr>
                      <w:szCs w:val="21"/>
                    </w:rPr>
                  </w:pPr>
                </w:p>
              </w:tc>
              <w:tc>
                <w:tcPr>
                  <w:tcW w:w="0" w:type="auto"/>
                  <w:vMerge w:val="continue"/>
                  <w:vAlign w:val="center"/>
                </w:tcPr>
                <w:p>
                  <w:pPr>
                    <w:widowControl/>
                    <w:jc w:val="center"/>
                    <w:textAlignment w:val="center"/>
                    <w:rPr>
                      <w:szCs w:val="21"/>
                    </w:rPr>
                  </w:pPr>
                </w:p>
              </w:tc>
              <w:tc>
                <w:tcPr>
                  <w:tcW w:w="0" w:type="auto"/>
                  <w:vMerge w:val="continue"/>
                  <w:vAlign w:val="center"/>
                </w:tcPr>
                <w:p>
                  <w:pPr>
                    <w:jc w:val="center"/>
                    <w:rPr>
                      <w:szCs w:val="21"/>
                    </w:rPr>
                  </w:pPr>
                </w:p>
              </w:tc>
              <w:tc>
                <w:tcPr>
                  <w:tcW w:w="1109" w:type="dxa"/>
                  <w:vAlign w:val="center"/>
                </w:tcPr>
                <w:p>
                  <w:pPr>
                    <w:jc w:val="center"/>
                    <w:rPr>
                      <w:szCs w:val="21"/>
                    </w:rPr>
                  </w:pPr>
                  <w:r>
                    <w:rPr>
                      <w:szCs w:val="21"/>
                    </w:rPr>
                    <w:t>0.00024</w:t>
                  </w:r>
                </w:p>
              </w:tc>
              <w:tc>
                <w:tcPr>
                  <w:tcW w:w="1004" w:type="dxa"/>
                  <w:vAlign w:val="center"/>
                </w:tcPr>
                <w:p>
                  <w:pPr>
                    <w:jc w:val="center"/>
                    <w:rPr>
                      <w:szCs w:val="21"/>
                    </w:rPr>
                  </w:pPr>
                  <w:r>
                    <w:rPr>
                      <w:szCs w:val="21"/>
                    </w:rPr>
                    <w:t>0.0001</w:t>
                  </w:r>
                </w:p>
              </w:tc>
              <w:tc>
                <w:tcPr>
                  <w:tcW w:w="992" w:type="dxa"/>
                  <w:vAlign w:val="center"/>
                </w:tcPr>
                <w:p>
                  <w:pPr>
                    <w:jc w:val="center"/>
                    <w:rPr>
                      <w:szCs w:val="21"/>
                    </w:rPr>
                  </w:pPr>
                  <w:r>
                    <w:rPr>
                      <w:rFonts w:hint="eastAsia"/>
                      <w:szCs w:val="21"/>
                    </w:rPr>
                    <w:t>/</w:t>
                  </w:r>
                </w:p>
              </w:tc>
              <w:tc>
                <w:tcPr>
                  <w:tcW w:w="1168" w:type="dxa"/>
                  <w:vAlign w:val="center"/>
                </w:tcPr>
                <w:p>
                  <w:pPr>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continue"/>
                  <w:vAlign w:val="center"/>
                </w:tcPr>
                <w:p>
                  <w:pPr>
                    <w:jc w:val="center"/>
                    <w:rPr>
                      <w:rFonts w:hAnsi="Calibri"/>
                      <w:bCs/>
                      <w:szCs w:val="21"/>
                    </w:rPr>
                  </w:pPr>
                </w:p>
              </w:tc>
              <w:tc>
                <w:tcPr>
                  <w:tcW w:w="0" w:type="auto"/>
                  <w:vMerge w:val="restart"/>
                  <w:vAlign w:val="center"/>
                </w:tcPr>
                <w:p>
                  <w:pPr>
                    <w:widowControl/>
                    <w:jc w:val="center"/>
                    <w:textAlignment w:val="center"/>
                    <w:rPr>
                      <w:rFonts w:hAnsi="Calibri"/>
                      <w:bCs/>
                      <w:szCs w:val="21"/>
                    </w:rPr>
                  </w:pPr>
                  <w:r>
                    <w:rPr>
                      <w:rFonts w:hint="eastAsia" w:hAnsi="Calibri"/>
                      <w:bCs/>
                      <w:szCs w:val="21"/>
                    </w:rPr>
                    <w:t>锡及其</w:t>
                  </w:r>
                  <w:r>
                    <w:rPr>
                      <w:rFonts w:hAnsi="Calibri"/>
                      <w:bCs/>
                      <w:szCs w:val="21"/>
                    </w:rPr>
                    <w:t>化合物</w:t>
                  </w:r>
                </w:p>
              </w:tc>
              <w:tc>
                <w:tcPr>
                  <w:tcW w:w="961" w:type="dxa"/>
                  <w:vAlign w:val="center"/>
                </w:tcPr>
                <w:p>
                  <w:pPr>
                    <w:jc w:val="center"/>
                    <w:rPr>
                      <w:szCs w:val="21"/>
                    </w:rPr>
                  </w:pPr>
                  <w:r>
                    <w:rPr>
                      <w:rFonts w:hint="eastAsia"/>
                      <w:szCs w:val="21"/>
                    </w:rPr>
                    <w:t>有组织</w:t>
                  </w:r>
                </w:p>
              </w:tc>
              <w:tc>
                <w:tcPr>
                  <w:tcW w:w="1004" w:type="dxa"/>
                  <w:vAlign w:val="center"/>
                </w:tcPr>
                <w:p>
                  <w:pPr>
                    <w:adjustRightInd w:val="0"/>
                    <w:snapToGrid w:val="0"/>
                    <w:jc w:val="center"/>
                    <w:rPr>
                      <w:szCs w:val="21"/>
                    </w:rPr>
                  </w:pPr>
                  <w:r>
                    <w:rPr>
                      <w:rFonts w:hint="eastAsia"/>
                      <w:szCs w:val="21"/>
                    </w:rPr>
                    <w:t>0.00033</w:t>
                  </w:r>
                </w:p>
              </w:tc>
              <w:tc>
                <w:tcPr>
                  <w:tcW w:w="1144" w:type="dxa"/>
                  <w:vAlign w:val="center"/>
                </w:tcPr>
                <w:p>
                  <w:pPr>
                    <w:widowControl/>
                    <w:jc w:val="center"/>
                    <w:textAlignment w:val="center"/>
                    <w:rPr>
                      <w:szCs w:val="21"/>
                    </w:rPr>
                  </w:pPr>
                  <w:r>
                    <w:rPr>
                      <w:szCs w:val="21"/>
                    </w:rPr>
                    <w:t>0.00014</w:t>
                  </w:r>
                </w:p>
              </w:tc>
              <w:tc>
                <w:tcPr>
                  <w:tcW w:w="908" w:type="dxa"/>
                  <w:vAlign w:val="center"/>
                </w:tcPr>
                <w:p>
                  <w:pPr>
                    <w:adjustRightInd w:val="0"/>
                    <w:snapToGrid w:val="0"/>
                    <w:jc w:val="center"/>
                    <w:rPr>
                      <w:szCs w:val="21"/>
                    </w:rPr>
                  </w:pPr>
                  <w:r>
                    <w:rPr>
                      <w:szCs w:val="21"/>
                    </w:rPr>
                    <w:t>0.0047</w:t>
                  </w:r>
                </w:p>
              </w:tc>
              <w:tc>
                <w:tcPr>
                  <w:tcW w:w="0" w:type="auto"/>
                  <w:vMerge w:val="continue"/>
                  <w:vAlign w:val="center"/>
                </w:tcPr>
                <w:p>
                  <w:pPr>
                    <w:jc w:val="center"/>
                    <w:rPr>
                      <w:szCs w:val="21"/>
                    </w:rPr>
                  </w:pPr>
                </w:p>
              </w:tc>
              <w:tc>
                <w:tcPr>
                  <w:tcW w:w="0" w:type="auto"/>
                  <w:vMerge w:val="restart"/>
                  <w:vAlign w:val="center"/>
                </w:tcPr>
                <w:p>
                  <w:pPr>
                    <w:jc w:val="center"/>
                    <w:rPr>
                      <w:szCs w:val="21"/>
                    </w:rPr>
                  </w:pPr>
                  <w:r>
                    <w:rPr>
                      <w:szCs w:val="21"/>
                    </w:rPr>
                    <w:t>60</w:t>
                  </w:r>
                  <w:r>
                    <w:rPr>
                      <w:rFonts w:hint="eastAsia"/>
                      <w:szCs w:val="21"/>
                    </w:rPr>
                    <w:t>%</w:t>
                  </w:r>
                </w:p>
              </w:tc>
              <w:tc>
                <w:tcPr>
                  <w:tcW w:w="0" w:type="auto"/>
                  <w:vMerge w:val="continue"/>
                  <w:vAlign w:val="center"/>
                </w:tcPr>
                <w:p>
                  <w:pPr>
                    <w:jc w:val="center"/>
                    <w:rPr>
                      <w:szCs w:val="21"/>
                    </w:rPr>
                  </w:pPr>
                </w:p>
              </w:tc>
              <w:tc>
                <w:tcPr>
                  <w:tcW w:w="0" w:type="auto"/>
                  <w:vMerge w:val="restart"/>
                  <w:vAlign w:val="center"/>
                </w:tcPr>
                <w:p>
                  <w:pPr>
                    <w:widowControl/>
                    <w:jc w:val="center"/>
                    <w:textAlignment w:val="center"/>
                    <w:rPr>
                      <w:szCs w:val="21"/>
                    </w:rPr>
                  </w:pPr>
                  <w:r>
                    <w:rPr>
                      <w:szCs w:val="21"/>
                    </w:rPr>
                    <w:t>40</w:t>
                  </w:r>
                  <w:r>
                    <w:rPr>
                      <w:rFonts w:hint="eastAsia"/>
                      <w:szCs w:val="21"/>
                    </w:rPr>
                    <w:t>%</w:t>
                  </w:r>
                </w:p>
              </w:tc>
              <w:tc>
                <w:tcPr>
                  <w:tcW w:w="0" w:type="auto"/>
                  <w:vMerge w:val="restart"/>
                  <w:vAlign w:val="center"/>
                </w:tcPr>
                <w:p>
                  <w:pPr>
                    <w:jc w:val="center"/>
                    <w:rPr>
                      <w:szCs w:val="21"/>
                    </w:rPr>
                  </w:pPr>
                  <w:r>
                    <w:rPr>
                      <w:szCs w:val="21"/>
                    </w:rPr>
                    <w:t>是</w:t>
                  </w:r>
                </w:p>
              </w:tc>
              <w:tc>
                <w:tcPr>
                  <w:tcW w:w="1109" w:type="dxa"/>
                  <w:vAlign w:val="center"/>
                </w:tcPr>
                <w:p>
                  <w:pPr>
                    <w:jc w:val="center"/>
                    <w:rPr>
                      <w:szCs w:val="21"/>
                    </w:rPr>
                  </w:pPr>
                  <w:r>
                    <w:rPr>
                      <w:szCs w:val="21"/>
                    </w:rPr>
                    <w:t>0.000198</w:t>
                  </w:r>
                </w:p>
              </w:tc>
              <w:tc>
                <w:tcPr>
                  <w:tcW w:w="1004" w:type="dxa"/>
                  <w:vAlign w:val="center"/>
                </w:tcPr>
                <w:p>
                  <w:pPr>
                    <w:jc w:val="center"/>
                    <w:rPr>
                      <w:szCs w:val="21"/>
                    </w:rPr>
                  </w:pPr>
                  <w:r>
                    <w:rPr>
                      <w:szCs w:val="21"/>
                    </w:rPr>
                    <w:t>0.000084</w:t>
                  </w:r>
                </w:p>
              </w:tc>
              <w:tc>
                <w:tcPr>
                  <w:tcW w:w="992" w:type="dxa"/>
                  <w:vAlign w:val="center"/>
                </w:tcPr>
                <w:p>
                  <w:pPr>
                    <w:jc w:val="center"/>
                    <w:rPr>
                      <w:szCs w:val="21"/>
                    </w:rPr>
                  </w:pPr>
                  <w:r>
                    <w:rPr>
                      <w:szCs w:val="21"/>
                    </w:rPr>
                    <w:t>0.00282</w:t>
                  </w:r>
                </w:p>
              </w:tc>
              <w:tc>
                <w:tcPr>
                  <w:tcW w:w="1168" w:type="dxa"/>
                  <w:vAlign w:val="center"/>
                </w:tcPr>
                <w:p>
                  <w:pPr>
                    <w:jc w:val="center"/>
                    <w:rPr>
                      <w:szCs w:val="21"/>
                    </w:rPr>
                  </w:pPr>
                  <w:r>
                    <w:rPr>
                      <w:rFonts w:hint="eastAsia"/>
                      <w:szCs w:val="21"/>
                    </w:rPr>
                    <w:t>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continue"/>
                  <w:vAlign w:val="center"/>
                </w:tcPr>
                <w:p>
                  <w:pPr>
                    <w:jc w:val="center"/>
                    <w:rPr>
                      <w:rFonts w:hAnsi="Calibri"/>
                      <w:bCs/>
                      <w:szCs w:val="21"/>
                    </w:rPr>
                  </w:pPr>
                </w:p>
              </w:tc>
              <w:tc>
                <w:tcPr>
                  <w:tcW w:w="0" w:type="auto"/>
                  <w:vMerge w:val="continue"/>
                  <w:vAlign w:val="center"/>
                </w:tcPr>
                <w:p>
                  <w:pPr>
                    <w:widowControl/>
                    <w:jc w:val="center"/>
                    <w:textAlignment w:val="center"/>
                    <w:rPr>
                      <w:rFonts w:hAnsi="Calibri"/>
                      <w:bCs/>
                      <w:szCs w:val="21"/>
                    </w:rPr>
                  </w:pPr>
                </w:p>
              </w:tc>
              <w:tc>
                <w:tcPr>
                  <w:tcW w:w="961" w:type="dxa"/>
                  <w:vAlign w:val="center"/>
                </w:tcPr>
                <w:p>
                  <w:pPr>
                    <w:jc w:val="center"/>
                    <w:rPr>
                      <w:rFonts w:hAnsi="Calibri"/>
                      <w:bCs/>
                      <w:szCs w:val="21"/>
                    </w:rPr>
                  </w:pPr>
                  <w:r>
                    <w:rPr>
                      <w:rFonts w:hint="eastAsia" w:hAnsi="Calibri"/>
                      <w:bCs/>
                      <w:szCs w:val="21"/>
                    </w:rPr>
                    <w:t>无组织</w:t>
                  </w:r>
                </w:p>
              </w:tc>
              <w:tc>
                <w:tcPr>
                  <w:tcW w:w="1004" w:type="dxa"/>
                  <w:vAlign w:val="center"/>
                </w:tcPr>
                <w:p>
                  <w:pPr>
                    <w:jc w:val="center"/>
                    <w:rPr>
                      <w:szCs w:val="21"/>
                    </w:rPr>
                  </w:pPr>
                  <w:r>
                    <w:rPr>
                      <w:szCs w:val="21"/>
                    </w:rPr>
                    <w:t>0.00022</w:t>
                  </w:r>
                </w:p>
              </w:tc>
              <w:tc>
                <w:tcPr>
                  <w:tcW w:w="1144" w:type="dxa"/>
                  <w:vAlign w:val="center"/>
                </w:tcPr>
                <w:p>
                  <w:pPr>
                    <w:jc w:val="center"/>
                    <w:rPr>
                      <w:szCs w:val="21"/>
                    </w:rPr>
                  </w:pPr>
                  <w:r>
                    <w:rPr>
                      <w:szCs w:val="21"/>
                    </w:rPr>
                    <w:t>0.0009</w:t>
                  </w:r>
                </w:p>
              </w:tc>
              <w:tc>
                <w:tcPr>
                  <w:tcW w:w="908" w:type="dxa"/>
                  <w:vAlign w:val="center"/>
                </w:tcPr>
                <w:p>
                  <w:pPr>
                    <w:jc w:val="center"/>
                    <w:rPr>
                      <w:szCs w:val="21"/>
                    </w:rPr>
                  </w:pPr>
                  <w:r>
                    <w:rPr>
                      <w:rFonts w:hint="eastAsia"/>
                      <w:szCs w:val="21"/>
                    </w:rPr>
                    <w:t>/</w:t>
                  </w:r>
                </w:p>
              </w:tc>
              <w:tc>
                <w:tcPr>
                  <w:tcW w:w="0" w:type="auto"/>
                  <w:vMerge w:val="continue"/>
                  <w:vAlign w:val="center"/>
                </w:tcPr>
                <w:p>
                  <w:pPr>
                    <w:jc w:val="center"/>
                    <w:rPr>
                      <w:szCs w:val="21"/>
                    </w:rPr>
                  </w:pPr>
                </w:p>
              </w:tc>
              <w:tc>
                <w:tcPr>
                  <w:tcW w:w="0" w:type="auto"/>
                  <w:vMerge w:val="continue"/>
                  <w:vAlign w:val="center"/>
                </w:tcPr>
                <w:p>
                  <w:pPr>
                    <w:jc w:val="center"/>
                    <w:rPr>
                      <w:szCs w:val="21"/>
                    </w:rPr>
                  </w:pPr>
                </w:p>
              </w:tc>
              <w:tc>
                <w:tcPr>
                  <w:tcW w:w="0" w:type="auto"/>
                  <w:vMerge w:val="continue"/>
                  <w:vAlign w:val="center"/>
                </w:tcPr>
                <w:p>
                  <w:pPr>
                    <w:jc w:val="center"/>
                    <w:rPr>
                      <w:szCs w:val="21"/>
                    </w:rPr>
                  </w:pPr>
                </w:p>
              </w:tc>
              <w:tc>
                <w:tcPr>
                  <w:tcW w:w="0" w:type="auto"/>
                  <w:vMerge w:val="continue"/>
                  <w:vAlign w:val="center"/>
                </w:tcPr>
                <w:p>
                  <w:pPr>
                    <w:widowControl/>
                    <w:jc w:val="center"/>
                    <w:textAlignment w:val="center"/>
                    <w:rPr>
                      <w:szCs w:val="21"/>
                    </w:rPr>
                  </w:pPr>
                </w:p>
              </w:tc>
              <w:tc>
                <w:tcPr>
                  <w:tcW w:w="0" w:type="auto"/>
                  <w:vMerge w:val="continue"/>
                  <w:vAlign w:val="center"/>
                </w:tcPr>
                <w:p>
                  <w:pPr>
                    <w:jc w:val="center"/>
                    <w:rPr>
                      <w:szCs w:val="21"/>
                    </w:rPr>
                  </w:pPr>
                </w:p>
              </w:tc>
              <w:tc>
                <w:tcPr>
                  <w:tcW w:w="1109" w:type="dxa"/>
                  <w:vAlign w:val="center"/>
                </w:tcPr>
                <w:p>
                  <w:pPr>
                    <w:jc w:val="center"/>
                    <w:rPr>
                      <w:szCs w:val="21"/>
                    </w:rPr>
                  </w:pPr>
                  <w:r>
                    <w:rPr>
                      <w:szCs w:val="21"/>
                    </w:rPr>
                    <w:t>0.00022</w:t>
                  </w:r>
                </w:p>
              </w:tc>
              <w:tc>
                <w:tcPr>
                  <w:tcW w:w="1004" w:type="dxa"/>
                  <w:vAlign w:val="center"/>
                </w:tcPr>
                <w:p>
                  <w:pPr>
                    <w:jc w:val="center"/>
                    <w:rPr>
                      <w:szCs w:val="21"/>
                    </w:rPr>
                  </w:pPr>
                  <w:r>
                    <w:rPr>
                      <w:szCs w:val="21"/>
                    </w:rPr>
                    <w:t>0.0009</w:t>
                  </w:r>
                </w:p>
              </w:tc>
              <w:tc>
                <w:tcPr>
                  <w:tcW w:w="992" w:type="dxa"/>
                  <w:vAlign w:val="center"/>
                </w:tcPr>
                <w:p>
                  <w:pPr>
                    <w:jc w:val="center"/>
                    <w:rPr>
                      <w:szCs w:val="21"/>
                    </w:rPr>
                  </w:pPr>
                  <w:r>
                    <w:rPr>
                      <w:rFonts w:hint="eastAsia"/>
                      <w:szCs w:val="21"/>
                    </w:rPr>
                    <w:t>/</w:t>
                  </w:r>
                </w:p>
              </w:tc>
              <w:tc>
                <w:tcPr>
                  <w:tcW w:w="1168" w:type="dxa"/>
                  <w:vAlign w:val="center"/>
                </w:tcPr>
                <w:p>
                  <w:pPr>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restart"/>
                  <w:vAlign w:val="center"/>
                </w:tcPr>
                <w:p>
                  <w:pPr>
                    <w:jc w:val="center"/>
                    <w:rPr>
                      <w:szCs w:val="21"/>
                    </w:rPr>
                  </w:pPr>
                  <w:r>
                    <w:rPr>
                      <w:rFonts w:hint="eastAsia"/>
                      <w:szCs w:val="21"/>
                    </w:rPr>
                    <w:t>厂房B塑封</w:t>
                  </w:r>
                  <w:r>
                    <w:rPr>
                      <w:szCs w:val="21"/>
                    </w:rPr>
                    <w:t>固化</w:t>
                  </w:r>
                </w:p>
              </w:tc>
              <w:tc>
                <w:tcPr>
                  <w:tcW w:w="0" w:type="auto"/>
                  <w:vMerge w:val="restart"/>
                  <w:vAlign w:val="center"/>
                </w:tcPr>
                <w:p>
                  <w:pPr>
                    <w:widowControl/>
                    <w:jc w:val="center"/>
                    <w:textAlignment w:val="center"/>
                    <w:rPr>
                      <w:szCs w:val="21"/>
                    </w:rPr>
                  </w:pPr>
                  <w:r>
                    <w:rPr>
                      <w:rFonts w:hint="eastAsia"/>
                      <w:bCs/>
                      <w:szCs w:val="21"/>
                    </w:rPr>
                    <w:t>T</w:t>
                  </w:r>
                  <w:r>
                    <w:rPr>
                      <w:bCs/>
                      <w:szCs w:val="21"/>
                    </w:rPr>
                    <w:t>VOC</w:t>
                  </w:r>
                </w:p>
              </w:tc>
              <w:tc>
                <w:tcPr>
                  <w:tcW w:w="961" w:type="dxa"/>
                  <w:vAlign w:val="center"/>
                </w:tcPr>
                <w:p>
                  <w:pPr>
                    <w:jc w:val="center"/>
                    <w:rPr>
                      <w:szCs w:val="21"/>
                    </w:rPr>
                  </w:pPr>
                  <w:r>
                    <w:rPr>
                      <w:rFonts w:hint="eastAsia"/>
                      <w:szCs w:val="21"/>
                    </w:rPr>
                    <w:t>有组织</w:t>
                  </w:r>
                </w:p>
              </w:tc>
              <w:tc>
                <w:tcPr>
                  <w:tcW w:w="1004" w:type="dxa"/>
                  <w:vAlign w:val="center"/>
                </w:tcPr>
                <w:p>
                  <w:pPr>
                    <w:adjustRightInd w:val="0"/>
                    <w:snapToGrid w:val="0"/>
                    <w:jc w:val="center"/>
                    <w:rPr>
                      <w:szCs w:val="21"/>
                    </w:rPr>
                  </w:pPr>
                  <w:r>
                    <w:rPr>
                      <w:rFonts w:hint="eastAsia"/>
                      <w:szCs w:val="21"/>
                    </w:rPr>
                    <w:t>0.702</w:t>
                  </w:r>
                </w:p>
              </w:tc>
              <w:tc>
                <w:tcPr>
                  <w:tcW w:w="1144" w:type="dxa"/>
                  <w:vAlign w:val="center"/>
                </w:tcPr>
                <w:p>
                  <w:pPr>
                    <w:widowControl/>
                    <w:jc w:val="center"/>
                    <w:textAlignment w:val="center"/>
                    <w:rPr>
                      <w:szCs w:val="21"/>
                    </w:rPr>
                  </w:pPr>
                  <w:r>
                    <w:rPr>
                      <w:rFonts w:hint="eastAsia"/>
                      <w:szCs w:val="21"/>
                    </w:rPr>
                    <w:t>0.2925</w:t>
                  </w:r>
                </w:p>
              </w:tc>
              <w:tc>
                <w:tcPr>
                  <w:tcW w:w="908" w:type="dxa"/>
                  <w:vAlign w:val="center"/>
                </w:tcPr>
                <w:p>
                  <w:pPr>
                    <w:adjustRightInd w:val="0"/>
                    <w:snapToGrid w:val="0"/>
                    <w:jc w:val="center"/>
                    <w:rPr>
                      <w:szCs w:val="21"/>
                    </w:rPr>
                  </w:pPr>
                  <w:r>
                    <w:rPr>
                      <w:rFonts w:hint="eastAsia"/>
                      <w:szCs w:val="21"/>
                    </w:rPr>
                    <w:t>9.75</w:t>
                  </w:r>
                </w:p>
              </w:tc>
              <w:tc>
                <w:tcPr>
                  <w:tcW w:w="0" w:type="auto"/>
                  <w:vMerge w:val="continue"/>
                  <w:vAlign w:val="center"/>
                </w:tcPr>
                <w:p>
                  <w:pPr>
                    <w:jc w:val="center"/>
                    <w:rPr>
                      <w:szCs w:val="21"/>
                    </w:rPr>
                  </w:pPr>
                </w:p>
              </w:tc>
              <w:tc>
                <w:tcPr>
                  <w:tcW w:w="0" w:type="auto"/>
                  <w:vMerge w:val="restart"/>
                  <w:vAlign w:val="center"/>
                </w:tcPr>
                <w:p>
                  <w:pPr>
                    <w:jc w:val="center"/>
                    <w:rPr>
                      <w:szCs w:val="21"/>
                    </w:rPr>
                  </w:pPr>
                  <w:r>
                    <w:rPr>
                      <w:rFonts w:hint="eastAsia"/>
                      <w:szCs w:val="21"/>
                    </w:rPr>
                    <w:t>8</w:t>
                  </w:r>
                  <w:r>
                    <w:rPr>
                      <w:szCs w:val="21"/>
                    </w:rPr>
                    <w:t>8.9%</w:t>
                  </w:r>
                </w:p>
              </w:tc>
              <w:tc>
                <w:tcPr>
                  <w:tcW w:w="0" w:type="auto"/>
                  <w:vMerge w:val="continue"/>
                  <w:vAlign w:val="center"/>
                </w:tcPr>
                <w:p>
                  <w:pPr>
                    <w:jc w:val="center"/>
                    <w:rPr>
                      <w:szCs w:val="21"/>
                    </w:rPr>
                  </w:pPr>
                </w:p>
              </w:tc>
              <w:tc>
                <w:tcPr>
                  <w:tcW w:w="0" w:type="auto"/>
                  <w:vMerge w:val="restart"/>
                  <w:vAlign w:val="center"/>
                </w:tcPr>
                <w:p>
                  <w:pPr>
                    <w:widowControl/>
                    <w:jc w:val="center"/>
                    <w:textAlignment w:val="center"/>
                    <w:rPr>
                      <w:szCs w:val="21"/>
                    </w:rPr>
                  </w:pPr>
                  <w:r>
                    <w:rPr>
                      <w:rFonts w:hint="eastAsia"/>
                      <w:szCs w:val="21"/>
                    </w:rPr>
                    <w:t>70%</w:t>
                  </w:r>
                </w:p>
              </w:tc>
              <w:tc>
                <w:tcPr>
                  <w:tcW w:w="0" w:type="auto"/>
                  <w:vMerge w:val="restart"/>
                  <w:vAlign w:val="center"/>
                </w:tcPr>
                <w:p>
                  <w:pPr>
                    <w:jc w:val="center"/>
                    <w:rPr>
                      <w:szCs w:val="21"/>
                    </w:rPr>
                  </w:pPr>
                  <w:r>
                    <w:rPr>
                      <w:szCs w:val="21"/>
                    </w:rPr>
                    <w:t>是</w:t>
                  </w:r>
                </w:p>
              </w:tc>
              <w:tc>
                <w:tcPr>
                  <w:tcW w:w="1109" w:type="dxa"/>
                  <w:vAlign w:val="center"/>
                </w:tcPr>
                <w:p>
                  <w:pPr>
                    <w:jc w:val="center"/>
                    <w:rPr>
                      <w:szCs w:val="21"/>
                    </w:rPr>
                  </w:pPr>
                  <w:r>
                    <w:rPr>
                      <w:szCs w:val="21"/>
                    </w:rPr>
                    <w:t>0.2106</w:t>
                  </w:r>
                </w:p>
              </w:tc>
              <w:tc>
                <w:tcPr>
                  <w:tcW w:w="1004" w:type="dxa"/>
                  <w:vAlign w:val="center"/>
                </w:tcPr>
                <w:p>
                  <w:pPr>
                    <w:jc w:val="center"/>
                    <w:rPr>
                      <w:szCs w:val="21"/>
                    </w:rPr>
                  </w:pPr>
                  <w:r>
                    <w:rPr>
                      <w:szCs w:val="21"/>
                    </w:rPr>
                    <w:t>0.08775</w:t>
                  </w:r>
                </w:p>
              </w:tc>
              <w:tc>
                <w:tcPr>
                  <w:tcW w:w="992" w:type="dxa"/>
                  <w:vAlign w:val="center"/>
                </w:tcPr>
                <w:p>
                  <w:pPr>
                    <w:jc w:val="center"/>
                    <w:rPr>
                      <w:szCs w:val="21"/>
                    </w:rPr>
                  </w:pPr>
                  <w:r>
                    <w:rPr>
                      <w:szCs w:val="21"/>
                    </w:rPr>
                    <w:t>2.925</w:t>
                  </w:r>
                </w:p>
              </w:tc>
              <w:tc>
                <w:tcPr>
                  <w:tcW w:w="1168" w:type="dxa"/>
                  <w:vAlign w:val="center"/>
                </w:tcPr>
                <w:p>
                  <w:pPr>
                    <w:jc w:val="center"/>
                    <w:rPr>
                      <w:szCs w:val="21"/>
                    </w:rPr>
                  </w:pPr>
                  <w:r>
                    <w:rPr>
                      <w:rFonts w:hint="eastAsia"/>
                      <w:szCs w:val="21"/>
                    </w:rPr>
                    <w:t>DA00</w:t>
                  </w:r>
                  <w:r>
                    <w:rPr>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continue"/>
                  <w:vAlign w:val="center"/>
                </w:tcPr>
                <w:p>
                  <w:pPr>
                    <w:jc w:val="center"/>
                    <w:rPr>
                      <w:szCs w:val="21"/>
                    </w:rPr>
                  </w:pPr>
                </w:p>
              </w:tc>
              <w:tc>
                <w:tcPr>
                  <w:tcW w:w="0" w:type="auto"/>
                  <w:vMerge w:val="continue"/>
                  <w:vAlign w:val="center"/>
                </w:tcPr>
                <w:p>
                  <w:pPr>
                    <w:widowControl/>
                    <w:jc w:val="center"/>
                    <w:textAlignment w:val="center"/>
                    <w:rPr>
                      <w:bCs/>
                      <w:szCs w:val="21"/>
                    </w:rPr>
                  </w:pPr>
                </w:p>
              </w:tc>
              <w:tc>
                <w:tcPr>
                  <w:tcW w:w="961" w:type="dxa"/>
                  <w:vAlign w:val="center"/>
                </w:tcPr>
                <w:p>
                  <w:pPr>
                    <w:jc w:val="center"/>
                    <w:rPr>
                      <w:rFonts w:hAnsi="Calibri"/>
                      <w:bCs/>
                      <w:szCs w:val="21"/>
                    </w:rPr>
                  </w:pPr>
                  <w:r>
                    <w:rPr>
                      <w:rFonts w:hint="eastAsia" w:hAnsi="Calibri"/>
                      <w:bCs/>
                      <w:szCs w:val="21"/>
                    </w:rPr>
                    <w:t>无组织</w:t>
                  </w:r>
                </w:p>
              </w:tc>
              <w:tc>
                <w:tcPr>
                  <w:tcW w:w="1004" w:type="dxa"/>
                  <w:vAlign w:val="center"/>
                </w:tcPr>
                <w:p>
                  <w:pPr>
                    <w:jc w:val="center"/>
                    <w:rPr>
                      <w:szCs w:val="21"/>
                    </w:rPr>
                  </w:pPr>
                  <w:r>
                    <w:rPr>
                      <w:szCs w:val="21"/>
                    </w:rPr>
                    <w:t>0.088</w:t>
                  </w:r>
                </w:p>
              </w:tc>
              <w:tc>
                <w:tcPr>
                  <w:tcW w:w="1144" w:type="dxa"/>
                  <w:vAlign w:val="center"/>
                </w:tcPr>
                <w:p>
                  <w:pPr>
                    <w:jc w:val="center"/>
                    <w:rPr>
                      <w:szCs w:val="21"/>
                    </w:rPr>
                  </w:pPr>
                  <w:r>
                    <w:rPr>
                      <w:szCs w:val="21"/>
                    </w:rPr>
                    <w:t>0.0367</w:t>
                  </w:r>
                </w:p>
              </w:tc>
              <w:tc>
                <w:tcPr>
                  <w:tcW w:w="908" w:type="dxa"/>
                  <w:vAlign w:val="center"/>
                </w:tcPr>
                <w:p>
                  <w:pPr>
                    <w:jc w:val="center"/>
                    <w:rPr>
                      <w:szCs w:val="21"/>
                    </w:rPr>
                  </w:pPr>
                  <w:r>
                    <w:rPr>
                      <w:rFonts w:hint="eastAsia"/>
                      <w:szCs w:val="21"/>
                    </w:rPr>
                    <w:t>/</w:t>
                  </w:r>
                </w:p>
              </w:tc>
              <w:tc>
                <w:tcPr>
                  <w:tcW w:w="0" w:type="auto"/>
                  <w:vMerge w:val="continue"/>
                  <w:vAlign w:val="center"/>
                </w:tcPr>
                <w:p>
                  <w:pPr>
                    <w:jc w:val="center"/>
                    <w:rPr>
                      <w:szCs w:val="21"/>
                    </w:rPr>
                  </w:pPr>
                </w:p>
              </w:tc>
              <w:tc>
                <w:tcPr>
                  <w:tcW w:w="0" w:type="auto"/>
                  <w:vMerge w:val="continue"/>
                  <w:vAlign w:val="center"/>
                </w:tcPr>
                <w:p>
                  <w:pPr>
                    <w:jc w:val="center"/>
                    <w:rPr>
                      <w:szCs w:val="21"/>
                    </w:rPr>
                  </w:pPr>
                </w:p>
              </w:tc>
              <w:tc>
                <w:tcPr>
                  <w:tcW w:w="0" w:type="auto"/>
                  <w:vMerge w:val="continue"/>
                  <w:vAlign w:val="center"/>
                </w:tcPr>
                <w:p>
                  <w:pPr>
                    <w:jc w:val="center"/>
                    <w:rPr>
                      <w:szCs w:val="21"/>
                    </w:rPr>
                  </w:pPr>
                </w:p>
              </w:tc>
              <w:tc>
                <w:tcPr>
                  <w:tcW w:w="0" w:type="auto"/>
                  <w:vMerge w:val="continue"/>
                  <w:vAlign w:val="center"/>
                </w:tcPr>
                <w:p>
                  <w:pPr>
                    <w:jc w:val="center"/>
                    <w:rPr>
                      <w:szCs w:val="21"/>
                    </w:rPr>
                  </w:pPr>
                </w:p>
              </w:tc>
              <w:tc>
                <w:tcPr>
                  <w:tcW w:w="0" w:type="auto"/>
                  <w:vMerge w:val="continue"/>
                  <w:vAlign w:val="center"/>
                </w:tcPr>
                <w:p>
                  <w:pPr>
                    <w:jc w:val="center"/>
                    <w:rPr>
                      <w:szCs w:val="21"/>
                    </w:rPr>
                  </w:pPr>
                </w:p>
              </w:tc>
              <w:tc>
                <w:tcPr>
                  <w:tcW w:w="1109" w:type="dxa"/>
                  <w:vAlign w:val="center"/>
                </w:tcPr>
                <w:p>
                  <w:pPr>
                    <w:jc w:val="center"/>
                    <w:rPr>
                      <w:szCs w:val="21"/>
                    </w:rPr>
                  </w:pPr>
                  <w:r>
                    <w:rPr>
                      <w:szCs w:val="21"/>
                    </w:rPr>
                    <w:t>0.088</w:t>
                  </w:r>
                </w:p>
              </w:tc>
              <w:tc>
                <w:tcPr>
                  <w:tcW w:w="1004" w:type="dxa"/>
                  <w:vAlign w:val="center"/>
                </w:tcPr>
                <w:p>
                  <w:pPr>
                    <w:jc w:val="center"/>
                    <w:rPr>
                      <w:szCs w:val="21"/>
                    </w:rPr>
                  </w:pPr>
                  <w:r>
                    <w:rPr>
                      <w:szCs w:val="21"/>
                    </w:rPr>
                    <w:t>0.0367</w:t>
                  </w:r>
                </w:p>
              </w:tc>
              <w:tc>
                <w:tcPr>
                  <w:tcW w:w="992" w:type="dxa"/>
                  <w:vAlign w:val="center"/>
                </w:tcPr>
                <w:p>
                  <w:pPr>
                    <w:jc w:val="center"/>
                    <w:rPr>
                      <w:szCs w:val="21"/>
                    </w:rPr>
                  </w:pPr>
                  <w:r>
                    <w:rPr>
                      <w:rFonts w:hint="eastAsia"/>
                      <w:szCs w:val="21"/>
                    </w:rPr>
                    <w:t>/</w:t>
                  </w:r>
                </w:p>
              </w:tc>
              <w:tc>
                <w:tcPr>
                  <w:tcW w:w="1168" w:type="dxa"/>
                  <w:vAlign w:val="center"/>
                </w:tcPr>
                <w:p>
                  <w:pPr>
                    <w:jc w:val="center"/>
                    <w:rPr>
                      <w:szCs w:val="21"/>
                    </w:rPr>
                  </w:pPr>
                  <w:r>
                    <w:rPr>
                      <w:rFonts w:hint="eastAsia"/>
                      <w:szCs w:val="21"/>
                    </w:rPr>
                    <w:t>/</w:t>
                  </w:r>
                </w:p>
              </w:tc>
            </w:tr>
          </w:tbl>
          <w:p>
            <w:pPr>
              <w:snapToGrid w:val="0"/>
              <w:spacing w:line="520" w:lineRule="exact"/>
            </w:pPr>
          </w:p>
        </w:tc>
      </w:tr>
    </w:tbl>
    <w:p>
      <w:pPr>
        <w:tabs>
          <w:tab w:val="left" w:pos="2064"/>
        </w:tabs>
        <w:adjustRightInd w:val="0"/>
        <w:snapToGrid w:val="0"/>
        <w:spacing w:line="360" w:lineRule="auto"/>
        <w:rPr>
          <w:b/>
          <w:kern w:val="0"/>
          <w:sz w:val="28"/>
          <w:szCs w:val="28"/>
        </w:rPr>
        <w:sectPr>
          <w:pgSz w:w="16840" w:h="11907" w:orient="landscape"/>
          <w:pgMar w:top="1276" w:right="720" w:bottom="1275" w:left="720" w:header="851" w:footer="851" w:gutter="0"/>
          <w:cols w:space="720" w:num="1"/>
          <w:docGrid w:linePitch="312" w:charSpace="0"/>
        </w:sectPr>
      </w:pPr>
      <w:r>
        <w:rPr>
          <w:b/>
          <w:kern w:val="0"/>
          <w:sz w:val="28"/>
          <w:szCs w:val="28"/>
        </w:rPr>
        <w:tab/>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tabs>
                <w:tab w:val="left" w:pos="2064"/>
              </w:tabs>
              <w:adjustRightInd w:val="0"/>
              <w:snapToGrid w:val="0"/>
              <w:spacing w:line="360" w:lineRule="auto"/>
              <w:rPr>
                <w:b/>
                <w:kern w:val="0"/>
                <w:sz w:val="28"/>
                <w:szCs w:val="28"/>
              </w:rPr>
            </w:pPr>
            <w:r>
              <w:rPr>
                <w:bCs/>
                <w:szCs w:val="21"/>
              </w:rPr>
              <w:t>运营期环境影响和保护措施</w:t>
            </w:r>
          </w:p>
        </w:tc>
        <w:tc>
          <w:tcPr>
            <w:tcW w:w="8642" w:type="dxa"/>
          </w:tcPr>
          <w:p>
            <w:pPr>
              <w:snapToGrid w:val="0"/>
              <w:spacing w:line="360" w:lineRule="auto"/>
              <w:ind w:firstLine="422" w:firstLineChars="200"/>
              <w:rPr>
                <w:b/>
                <w:szCs w:val="21"/>
              </w:rPr>
            </w:pPr>
            <w:r>
              <w:rPr>
                <w:rFonts w:hint="eastAsia" w:ascii="宋体" w:hAnsi="宋体" w:cs="宋体"/>
                <w:b/>
                <w:szCs w:val="21"/>
              </w:rPr>
              <w:t>①</w:t>
            </w:r>
            <w:r>
              <w:rPr>
                <w:rFonts w:hint="eastAsia"/>
                <w:b/>
                <w:szCs w:val="21"/>
              </w:rPr>
              <w:t>颗粒物（锡及其化合物）</w:t>
            </w:r>
          </w:p>
          <w:p>
            <w:pPr>
              <w:widowControl/>
              <w:adjustRightInd w:val="0"/>
              <w:snapToGrid w:val="0"/>
              <w:spacing w:line="360" w:lineRule="auto"/>
              <w:ind w:firstLine="420" w:firstLineChars="200"/>
              <w:rPr>
                <w:rFonts w:hAnsi="宋体"/>
                <w:szCs w:val="21"/>
              </w:rPr>
            </w:pPr>
            <w:r>
              <w:rPr>
                <w:rFonts w:hint="eastAsia" w:hAnsi="宋体"/>
                <w:szCs w:val="21"/>
              </w:rPr>
              <w:t>项目粘片工序</w:t>
            </w:r>
            <w:r>
              <w:rPr>
                <w:rFonts w:hAnsi="宋体"/>
                <w:szCs w:val="21"/>
              </w:rPr>
              <w:t>使用</w:t>
            </w:r>
            <w:r>
              <w:rPr>
                <w:rFonts w:hint="eastAsia" w:hAnsi="宋体"/>
                <w:szCs w:val="21"/>
              </w:rPr>
              <w:t>锡膏和</w:t>
            </w:r>
            <w:r>
              <w:rPr>
                <w:rFonts w:hAnsi="宋体"/>
                <w:szCs w:val="21"/>
              </w:rPr>
              <w:t>锡丝，会产生</w:t>
            </w:r>
            <w:r>
              <w:rPr>
                <w:rFonts w:hint="eastAsia" w:hAnsi="宋体"/>
                <w:szCs w:val="21"/>
              </w:rPr>
              <w:t>颗粒物，颗粒物的产物系数参考《排放源统计调查产排污核算方法和系数手册》中</w:t>
            </w:r>
            <w:r>
              <w:rPr>
                <w:rFonts w:hAnsi="宋体"/>
                <w:szCs w:val="21"/>
              </w:rPr>
              <w:t>38-40</w:t>
            </w:r>
            <w:r>
              <w:rPr>
                <w:rFonts w:hint="eastAsia" w:hAnsi="宋体"/>
                <w:szCs w:val="21"/>
              </w:rPr>
              <w:t>电子电气行业系数手册表，其中附件3行业特殊工段实用性说明第</w:t>
            </w:r>
            <w:r>
              <w:rPr>
                <w:rFonts w:hAnsi="宋体"/>
                <w:szCs w:val="21"/>
              </w:rPr>
              <w:t>（</w:t>
            </w:r>
            <w:r>
              <w:rPr>
                <w:rFonts w:hint="eastAsia" w:hAnsi="宋体"/>
                <w:szCs w:val="21"/>
              </w:rPr>
              <w:t>11</w:t>
            </w:r>
            <w:r>
              <w:rPr>
                <w:rFonts w:hAnsi="宋体"/>
                <w:szCs w:val="21"/>
              </w:rPr>
              <w:t>）</w:t>
            </w:r>
            <w:r>
              <w:rPr>
                <w:rFonts w:hint="eastAsia" w:hAnsi="宋体"/>
                <w:szCs w:val="21"/>
              </w:rPr>
              <w:t>条</w:t>
            </w:r>
            <w:r>
              <w:rPr>
                <w:rFonts w:hAnsi="宋体"/>
                <w:szCs w:val="21"/>
              </w:rPr>
              <w:t>规定：</w:t>
            </w:r>
            <w:r>
              <w:rPr>
                <w:rFonts w:hint="eastAsia" w:hAnsi="宋体"/>
                <w:szCs w:val="21"/>
              </w:rPr>
              <w:t>“贴片”“点焊”使用本手册的“手工焊”工艺核算，无铅焊料手工焊过程颗粒物产生量为0</w:t>
            </w:r>
            <w:r>
              <w:rPr>
                <w:rFonts w:hAnsi="宋体"/>
                <w:szCs w:val="21"/>
              </w:rPr>
              <w:t>.4023</w:t>
            </w:r>
            <w:r>
              <w:rPr>
                <w:rFonts w:hint="eastAsia" w:hAnsi="宋体"/>
                <w:szCs w:val="21"/>
              </w:rPr>
              <w:t>g</w:t>
            </w:r>
            <w:r>
              <w:rPr>
                <w:rFonts w:hAnsi="宋体"/>
                <w:szCs w:val="21"/>
              </w:rPr>
              <w:t>/</w:t>
            </w:r>
            <w:r>
              <w:rPr>
                <w:rFonts w:hint="eastAsia" w:hAnsi="宋体"/>
                <w:szCs w:val="21"/>
              </w:rPr>
              <w:t>kg焊料，项目锡膏和</w:t>
            </w:r>
            <w:r>
              <w:rPr>
                <w:rFonts w:hAnsi="宋体"/>
                <w:szCs w:val="21"/>
              </w:rPr>
              <w:t>锡丝总</w:t>
            </w:r>
            <w:r>
              <w:rPr>
                <w:rFonts w:hint="eastAsia" w:hAnsi="宋体"/>
                <w:szCs w:val="21"/>
              </w:rPr>
              <w:t>用量</w:t>
            </w:r>
            <w:r>
              <w:rPr>
                <w:rFonts w:hAnsi="宋体"/>
                <w:szCs w:val="21"/>
              </w:rPr>
              <w:t>2.86</w:t>
            </w:r>
            <w:r>
              <w:rPr>
                <w:rFonts w:hint="eastAsia" w:hAnsi="宋体"/>
                <w:szCs w:val="21"/>
              </w:rPr>
              <w:t>t</w:t>
            </w:r>
            <w:r>
              <w:rPr>
                <w:rFonts w:hAnsi="宋体"/>
                <w:szCs w:val="21"/>
              </w:rPr>
              <w:t>/</w:t>
            </w:r>
            <w:r>
              <w:rPr>
                <w:rFonts w:hint="eastAsia" w:hAnsi="宋体"/>
                <w:szCs w:val="21"/>
              </w:rPr>
              <w:t>a，项目</w:t>
            </w:r>
            <w:r>
              <w:rPr>
                <w:rFonts w:hAnsi="宋体"/>
                <w:szCs w:val="21"/>
              </w:rPr>
              <w:t>粘片工序</w:t>
            </w:r>
            <w:r>
              <w:rPr>
                <w:rFonts w:hint="eastAsia" w:hAnsi="宋体"/>
                <w:szCs w:val="21"/>
              </w:rPr>
              <w:t>年</w:t>
            </w:r>
            <w:r>
              <w:rPr>
                <w:rFonts w:hAnsi="宋体"/>
                <w:szCs w:val="21"/>
              </w:rPr>
              <w:t>工作</w:t>
            </w:r>
            <w:r>
              <w:rPr>
                <w:rFonts w:hint="eastAsia" w:hAnsi="宋体"/>
                <w:szCs w:val="21"/>
              </w:rPr>
              <w:t>2400h，则项目粘片</w:t>
            </w:r>
            <w:r>
              <w:rPr>
                <w:rFonts w:hAnsi="宋体"/>
                <w:szCs w:val="21"/>
              </w:rPr>
              <w:t>过程</w:t>
            </w:r>
            <w:r>
              <w:rPr>
                <w:rFonts w:hint="eastAsia" w:hAnsi="宋体"/>
                <w:szCs w:val="21"/>
              </w:rPr>
              <w:t>颗粒物产生量为</w:t>
            </w:r>
            <w:r>
              <w:rPr>
                <w:rFonts w:hAnsi="宋体"/>
                <w:szCs w:val="21"/>
              </w:rPr>
              <w:t>0.0012</w:t>
            </w:r>
            <w:r>
              <w:rPr>
                <w:rFonts w:hint="eastAsia" w:hAnsi="宋体"/>
                <w:szCs w:val="21"/>
              </w:rPr>
              <w:t>t/a，产生</w:t>
            </w:r>
            <w:r>
              <w:rPr>
                <w:rFonts w:hAnsi="宋体"/>
                <w:szCs w:val="21"/>
              </w:rPr>
              <w:t>速率为</w:t>
            </w:r>
            <w:r>
              <w:rPr>
                <w:rFonts w:hint="eastAsia" w:hAnsi="宋体"/>
                <w:szCs w:val="21"/>
              </w:rPr>
              <w:t>0.0005kg/h；项目锡丝</w:t>
            </w:r>
            <w:r>
              <w:rPr>
                <w:rFonts w:hAnsi="宋体"/>
                <w:szCs w:val="21"/>
              </w:rPr>
              <w:t>中锡含量为</w:t>
            </w:r>
            <w:r>
              <w:rPr>
                <w:rFonts w:hint="eastAsia" w:hAnsi="宋体"/>
                <w:szCs w:val="21"/>
              </w:rPr>
              <w:t>97.2</w:t>
            </w:r>
            <w:r>
              <w:rPr>
                <w:rFonts w:hAnsi="宋体"/>
                <w:szCs w:val="21"/>
              </w:rPr>
              <w:t>%-98.3%</w:t>
            </w:r>
            <w:r>
              <w:rPr>
                <w:rFonts w:hint="eastAsia" w:hAnsi="宋体"/>
                <w:szCs w:val="21"/>
              </w:rPr>
              <w:t>，</w:t>
            </w:r>
            <w:r>
              <w:rPr>
                <w:rFonts w:hAnsi="宋体"/>
                <w:szCs w:val="21"/>
              </w:rPr>
              <w:t>锡膏的金属成分中锡含量</w:t>
            </w:r>
            <w:r>
              <w:rPr>
                <w:rFonts w:hint="eastAsia"/>
                <w:szCs w:val="21"/>
              </w:rPr>
              <w:t>＞9</w:t>
            </w:r>
            <w:r>
              <w:rPr>
                <w:szCs w:val="21"/>
              </w:rPr>
              <w:t>5.3%</w:t>
            </w:r>
            <w:r>
              <w:rPr>
                <w:rFonts w:hint="eastAsia"/>
                <w:szCs w:val="21"/>
              </w:rPr>
              <w:t>，</w:t>
            </w:r>
            <w:r>
              <w:rPr>
                <w:rFonts w:hint="eastAsia" w:hAnsi="宋体"/>
                <w:szCs w:val="21"/>
              </w:rPr>
              <w:t>因此，本项目粘片</w:t>
            </w:r>
            <w:r>
              <w:rPr>
                <w:rFonts w:hAnsi="宋体"/>
                <w:szCs w:val="21"/>
              </w:rPr>
              <w:t>过程产生的颗粒物</w:t>
            </w:r>
            <w:r>
              <w:rPr>
                <w:rFonts w:hint="eastAsia" w:hAnsi="宋体"/>
                <w:szCs w:val="21"/>
              </w:rPr>
              <w:t>中</w:t>
            </w:r>
            <w:r>
              <w:rPr>
                <w:rFonts w:hAnsi="宋体"/>
                <w:szCs w:val="21"/>
              </w:rPr>
              <w:t>锡及其化合物按</w:t>
            </w:r>
            <w:r>
              <w:rPr>
                <w:rFonts w:hint="eastAsia" w:hAnsi="宋体"/>
                <w:szCs w:val="21"/>
              </w:rPr>
              <w:t>95</w:t>
            </w:r>
            <w:r>
              <w:rPr>
                <w:rFonts w:hAnsi="宋体"/>
                <w:szCs w:val="21"/>
              </w:rPr>
              <w:t>%计</w:t>
            </w:r>
            <w:r>
              <w:rPr>
                <w:rFonts w:hint="eastAsia" w:hAnsi="宋体"/>
                <w:szCs w:val="21"/>
              </w:rPr>
              <w:t>，则项目粘片过程锡及其</w:t>
            </w:r>
            <w:r>
              <w:rPr>
                <w:rFonts w:hAnsi="宋体"/>
                <w:szCs w:val="21"/>
              </w:rPr>
              <w:t>化合物</w:t>
            </w:r>
            <w:r>
              <w:rPr>
                <w:rFonts w:hint="eastAsia" w:hAnsi="宋体"/>
                <w:szCs w:val="21"/>
              </w:rPr>
              <w:t>产生量为0.0011t/a，</w:t>
            </w:r>
            <w:r>
              <w:rPr>
                <w:rFonts w:hAnsi="宋体"/>
                <w:szCs w:val="21"/>
              </w:rPr>
              <w:t>产生速率</w:t>
            </w:r>
            <w:r>
              <w:rPr>
                <w:rFonts w:hint="eastAsia" w:hAnsi="宋体"/>
                <w:szCs w:val="21"/>
              </w:rPr>
              <w:t>0.0004</w:t>
            </w:r>
            <w:r>
              <w:rPr>
                <w:rFonts w:hAnsi="宋体"/>
                <w:szCs w:val="21"/>
              </w:rPr>
              <w:t>6</w:t>
            </w:r>
            <w:r>
              <w:rPr>
                <w:rFonts w:hint="eastAsia" w:hAnsi="宋体"/>
                <w:szCs w:val="21"/>
              </w:rPr>
              <w:t xml:space="preserve"> kg/h。</w:t>
            </w:r>
          </w:p>
          <w:p>
            <w:pPr>
              <w:snapToGrid w:val="0"/>
              <w:spacing w:line="360" w:lineRule="auto"/>
              <w:ind w:firstLine="422" w:firstLineChars="200"/>
              <w:rPr>
                <w:b/>
                <w:szCs w:val="21"/>
              </w:rPr>
            </w:pPr>
            <w:r>
              <w:rPr>
                <w:rFonts w:hint="eastAsia" w:ascii="宋体" w:hAnsi="宋体" w:cs="宋体"/>
                <w:b/>
                <w:szCs w:val="21"/>
              </w:rPr>
              <w:t>②</w:t>
            </w:r>
            <w:r>
              <w:rPr>
                <w:rFonts w:hint="eastAsia"/>
                <w:b/>
                <w:szCs w:val="21"/>
              </w:rPr>
              <w:t>T</w:t>
            </w:r>
            <w:r>
              <w:rPr>
                <w:b/>
                <w:szCs w:val="21"/>
              </w:rPr>
              <w:t>VOC</w:t>
            </w:r>
          </w:p>
          <w:p>
            <w:pPr>
              <w:widowControl/>
              <w:adjustRightInd w:val="0"/>
              <w:snapToGrid w:val="0"/>
              <w:spacing w:line="360" w:lineRule="auto"/>
              <w:ind w:firstLine="420" w:firstLineChars="200"/>
              <w:rPr>
                <w:rFonts w:cs="Calibri"/>
                <w:kern w:val="0"/>
                <w:szCs w:val="21"/>
              </w:rPr>
            </w:pPr>
            <w:r>
              <w:rPr>
                <w:rFonts w:hint="eastAsia" w:hAnsi="宋体"/>
                <w:szCs w:val="21"/>
              </w:rPr>
              <w:t>项目粘片工序</w:t>
            </w:r>
            <w:r>
              <w:rPr>
                <w:rFonts w:hAnsi="宋体"/>
                <w:szCs w:val="21"/>
              </w:rPr>
              <w:t>使用</w:t>
            </w:r>
            <w:r>
              <w:rPr>
                <w:rFonts w:hint="eastAsia" w:hAnsi="宋体"/>
                <w:szCs w:val="21"/>
              </w:rPr>
              <w:t>的锡膏和</w:t>
            </w:r>
            <w:r>
              <w:rPr>
                <w:rFonts w:hAnsi="宋体"/>
                <w:szCs w:val="21"/>
              </w:rPr>
              <w:t>锡丝</w:t>
            </w:r>
            <w:r>
              <w:rPr>
                <w:rFonts w:hint="eastAsia" w:hAnsi="宋体"/>
                <w:szCs w:val="21"/>
              </w:rPr>
              <w:t>中</w:t>
            </w:r>
            <w:r>
              <w:rPr>
                <w:rFonts w:hAnsi="宋体"/>
                <w:szCs w:val="21"/>
              </w:rPr>
              <w:t>含有松香</w:t>
            </w:r>
            <w:r>
              <w:rPr>
                <w:rFonts w:hint="eastAsia" w:hAnsi="宋体"/>
                <w:szCs w:val="21"/>
              </w:rPr>
              <w:t>和</w:t>
            </w:r>
            <w:r>
              <w:rPr>
                <w:rFonts w:hAnsi="宋体"/>
                <w:szCs w:val="21"/>
              </w:rPr>
              <w:t>助焊剂，</w:t>
            </w:r>
            <w:r>
              <w:rPr>
                <w:rFonts w:hint="eastAsia"/>
                <w:szCs w:val="21"/>
              </w:rPr>
              <w:t>使用时受热</w:t>
            </w:r>
            <w:r>
              <w:rPr>
                <w:szCs w:val="21"/>
              </w:rPr>
              <w:t>会产生一定量的有机废气，根据建设单位提供的</w:t>
            </w:r>
            <w:r>
              <w:rPr>
                <w:rFonts w:hint="eastAsia"/>
                <w:szCs w:val="21"/>
              </w:rPr>
              <w:t>资料</w:t>
            </w:r>
            <w:r>
              <w:rPr>
                <w:szCs w:val="21"/>
              </w:rPr>
              <w:t>，</w:t>
            </w:r>
            <w:r>
              <w:rPr>
                <w:rFonts w:hint="eastAsia"/>
                <w:szCs w:val="21"/>
              </w:rPr>
              <w:t>锡丝</w:t>
            </w:r>
            <w:r>
              <w:rPr>
                <w:szCs w:val="21"/>
              </w:rPr>
              <w:t>中松香</w:t>
            </w:r>
            <w:r>
              <w:rPr>
                <w:rFonts w:hint="eastAsia"/>
                <w:szCs w:val="21"/>
              </w:rPr>
              <w:t>含量</w:t>
            </w:r>
            <w:r>
              <w:rPr>
                <w:szCs w:val="21"/>
              </w:rPr>
              <w:t>为1.2-1.9%</w:t>
            </w:r>
            <w:r>
              <w:rPr>
                <w:kern w:val="0"/>
                <w:szCs w:val="21"/>
              </w:rPr>
              <w:t xml:space="preserve">， </w:t>
            </w:r>
            <w:r>
              <w:rPr>
                <w:rFonts w:hint="eastAsia"/>
                <w:kern w:val="0"/>
                <w:szCs w:val="21"/>
              </w:rPr>
              <w:t>锡膏</w:t>
            </w:r>
            <w:r>
              <w:rPr>
                <w:kern w:val="0"/>
                <w:szCs w:val="21"/>
              </w:rPr>
              <w:t>中助焊剂含量为</w:t>
            </w:r>
            <w:r>
              <w:rPr>
                <w:rFonts w:hint="eastAsia"/>
                <w:kern w:val="0"/>
                <w:szCs w:val="21"/>
              </w:rPr>
              <w:t>11.5</w:t>
            </w:r>
            <w:r>
              <w:rPr>
                <w:kern w:val="0"/>
                <w:szCs w:val="21"/>
              </w:rPr>
              <w:t>%，</w:t>
            </w:r>
            <w:r>
              <w:rPr>
                <w:rFonts w:hint="eastAsia"/>
                <w:kern w:val="0"/>
                <w:szCs w:val="21"/>
              </w:rPr>
              <w:t>因此</w:t>
            </w:r>
            <w:r>
              <w:rPr>
                <w:kern w:val="0"/>
                <w:szCs w:val="21"/>
              </w:rPr>
              <w:t>，</w:t>
            </w:r>
            <w:r>
              <w:rPr>
                <w:rFonts w:hint="eastAsia"/>
                <w:kern w:val="0"/>
                <w:szCs w:val="21"/>
              </w:rPr>
              <w:t>粘片</w:t>
            </w:r>
            <w:r>
              <w:rPr>
                <w:kern w:val="0"/>
                <w:szCs w:val="21"/>
              </w:rPr>
              <w:t>时锡丝的</w:t>
            </w:r>
            <w:r>
              <w:rPr>
                <w:rFonts w:hint="eastAsia"/>
                <w:kern w:val="0"/>
                <w:szCs w:val="21"/>
              </w:rPr>
              <w:t>VOCs产生率</w:t>
            </w:r>
            <w:r>
              <w:rPr>
                <w:kern w:val="0"/>
                <w:szCs w:val="21"/>
              </w:rPr>
              <w:t>按</w:t>
            </w:r>
            <w:r>
              <w:rPr>
                <w:rFonts w:hint="eastAsia"/>
                <w:kern w:val="0"/>
                <w:szCs w:val="21"/>
              </w:rPr>
              <w:t>1.9</w:t>
            </w:r>
            <w:r>
              <w:rPr>
                <w:kern w:val="0"/>
                <w:szCs w:val="21"/>
              </w:rPr>
              <w:t>%计，锡膏的</w:t>
            </w:r>
            <w:r>
              <w:rPr>
                <w:rFonts w:hint="eastAsia"/>
                <w:kern w:val="0"/>
                <w:szCs w:val="21"/>
              </w:rPr>
              <w:t>VOCs产生率</w:t>
            </w:r>
            <w:r>
              <w:rPr>
                <w:kern w:val="0"/>
                <w:szCs w:val="21"/>
              </w:rPr>
              <w:t>按</w:t>
            </w:r>
            <w:r>
              <w:rPr>
                <w:rFonts w:hint="eastAsia"/>
                <w:kern w:val="0"/>
                <w:szCs w:val="21"/>
              </w:rPr>
              <w:t>11.5</w:t>
            </w:r>
            <w:r>
              <w:rPr>
                <w:kern w:val="0"/>
                <w:szCs w:val="21"/>
              </w:rPr>
              <w:t>%计，</w:t>
            </w:r>
            <w:r>
              <w:rPr>
                <w:rFonts w:hint="eastAsia"/>
                <w:kern w:val="0"/>
                <w:szCs w:val="21"/>
              </w:rPr>
              <w:t>项目</w:t>
            </w:r>
            <w:r>
              <w:rPr>
                <w:kern w:val="0"/>
                <w:szCs w:val="21"/>
              </w:rPr>
              <w:t>锡丝</w:t>
            </w:r>
            <w:r>
              <w:rPr>
                <w:rFonts w:hint="eastAsia"/>
                <w:kern w:val="0"/>
                <w:szCs w:val="21"/>
              </w:rPr>
              <w:t>使用量2.8t/a，</w:t>
            </w:r>
            <w:r>
              <w:rPr>
                <w:kern w:val="0"/>
                <w:szCs w:val="21"/>
              </w:rPr>
              <w:t>锡膏使用量</w:t>
            </w:r>
            <w:r>
              <w:rPr>
                <w:rFonts w:hint="eastAsia"/>
                <w:kern w:val="0"/>
                <w:szCs w:val="21"/>
              </w:rPr>
              <w:t>0.06t/a，</w:t>
            </w:r>
            <w:r>
              <w:rPr>
                <w:kern w:val="0"/>
                <w:szCs w:val="21"/>
              </w:rPr>
              <w:t>则粘片工序</w:t>
            </w:r>
            <w:r>
              <w:rPr>
                <w:rFonts w:hint="eastAsia"/>
                <w:kern w:val="0"/>
                <w:szCs w:val="21"/>
              </w:rPr>
              <w:t>TVOC产生量</w:t>
            </w:r>
            <w:r>
              <w:rPr>
                <w:kern w:val="0"/>
                <w:szCs w:val="21"/>
              </w:rPr>
              <w:t>约</w:t>
            </w:r>
            <w:r>
              <w:rPr>
                <w:rFonts w:hint="eastAsia"/>
                <w:kern w:val="0"/>
                <w:szCs w:val="21"/>
              </w:rPr>
              <w:t>0.060t/a，</w:t>
            </w:r>
            <w:r>
              <w:rPr>
                <w:rFonts w:hint="eastAsia" w:hAnsi="宋体"/>
                <w:szCs w:val="21"/>
              </w:rPr>
              <w:t>项目</w:t>
            </w:r>
            <w:r>
              <w:rPr>
                <w:rFonts w:hAnsi="宋体"/>
                <w:szCs w:val="21"/>
              </w:rPr>
              <w:t>粘片工序</w:t>
            </w:r>
            <w:r>
              <w:rPr>
                <w:rFonts w:hint="eastAsia" w:hAnsi="宋体"/>
                <w:szCs w:val="21"/>
              </w:rPr>
              <w:t>年</w:t>
            </w:r>
            <w:r>
              <w:rPr>
                <w:rFonts w:hAnsi="宋体"/>
                <w:szCs w:val="21"/>
              </w:rPr>
              <w:t>工作</w:t>
            </w:r>
            <w:r>
              <w:rPr>
                <w:rFonts w:hint="eastAsia" w:hAnsi="宋体"/>
                <w:szCs w:val="21"/>
              </w:rPr>
              <w:t>2400h，产生速率</w:t>
            </w:r>
            <w:r>
              <w:rPr>
                <w:rFonts w:hAnsi="宋体"/>
                <w:szCs w:val="21"/>
              </w:rPr>
              <w:t>为</w:t>
            </w:r>
            <w:r>
              <w:rPr>
                <w:rFonts w:hint="eastAsia" w:hAnsi="宋体"/>
                <w:szCs w:val="21"/>
              </w:rPr>
              <w:t>0.025</w:t>
            </w:r>
            <w:r>
              <w:rPr>
                <w:rFonts w:hAnsi="宋体"/>
                <w:szCs w:val="21"/>
              </w:rPr>
              <w:t>kg/h</w:t>
            </w:r>
            <w:r>
              <w:rPr>
                <w:rFonts w:hint="eastAsia" w:cs="Calibri"/>
                <w:kern w:val="0"/>
                <w:szCs w:val="21"/>
              </w:rPr>
              <w:t>。</w:t>
            </w:r>
          </w:p>
          <w:p>
            <w:pPr>
              <w:spacing w:line="360" w:lineRule="auto"/>
              <w:ind w:firstLine="420" w:firstLineChars="200"/>
              <w:rPr>
                <w:szCs w:val="21"/>
              </w:rPr>
            </w:pPr>
            <w:r>
              <w:rPr>
                <w:kern w:val="0"/>
                <w:szCs w:val="21"/>
              </w:rPr>
              <w:t>项目塑封工序使用的塑封材料主要成分为：</w:t>
            </w:r>
            <w:r>
              <w:rPr>
                <w:szCs w:val="21"/>
              </w:rPr>
              <w:t>熔融硅微粉≤80%、环氧树脂1≤10%、环氧树脂2≤10%、酚醛树脂1≤10%、酚醛树脂2≤10%、炭黑≤0.8%、卡拉巴蜡≤0.8%、三苯基氧化膦≤1.0%、硅烷助剂≤1.0%、促进剂≤0.5%，其中含有的树脂等成分固化时受热熔融会产生一定量的有机废气，本项目塑封固化温度约175</w:t>
            </w:r>
            <w:r>
              <w:rPr>
                <w:rFonts w:hint="eastAsia" w:ascii="宋体" w:hAnsi="宋体" w:cs="宋体"/>
                <w:szCs w:val="21"/>
              </w:rPr>
              <w:t>℃</w:t>
            </w:r>
            <w:r>
              <w:rPr>
                <w:szCs w:val="21"/>
              </w:rPr>
              <w:t>，低于环氧树脂热分解温度300</w:t>
            </w:r>
            <w:r>
              <w:rPr>
                <w:rFonts w:hint="eastAsia" w:ascii="宋体" w:hAnsi="宋体" w:cs="宋体"/>
                <w:szCs w:val="21"/>
              </w:rPr>
              <w:t>℃</w:t>
            </w:r>
            <w:r>
              <w:rPr>
                <w:szCs w:val="21"/>
              </w:rPr>
              <w:t>，同时低于酚醛树脂热分解温度340~360</w:t>
            </w:r>
            <w:r>
              <w:rPr>
                <w:rFonts w:hint="eastAsia" w:ascii="宋体" w:hAnsi="宋体" w:cs="宋体"/>
                <w:szCs w:val="21"/>
              </w:rPr>
              <w:t>℃</w:t>
            </w:r>
            <w:r>
              <w:rPr>
                <w:szCs w:val="21"/>
              </w:rPr>
              <w:t>，在此温度下会有少量未聚合的单体挥发出来，参考《浙江省重点行业VOCS 污染源排放量计算方法（1.1 版）》（浙江省环境保护科学设计研究院、浙江环科环境研究院有限公司）中塑料制品行业排放系数法，其他塑料制品排放系数为2.368kg/t原料，企业塑封料的年耗量为1600t/a，其中环氧树脂和酚醛树脂最大占比为40%，则塑封固化工序TVOC的产生量为1.52t/a</w:t>
            </w:r>
            <w:r>
              <w:rPr>
                <w:rFonts w:hint="eastAsia"/>
                <w:szCs w:val="21"/>
              </w:rPr>
              <w:t>，</w:t>
            </w:r>
            <w:r>
              <w:rPr>
                <w:rFonts w:hint="eastAsia" w:hAnsi="宋体"/>
                <w:szCs w:val="21"/>
              </w:rPr>
              <w:t>项目塑封固化</w:t>
            </w:r>
            <w:r>
              <w:rPr>
                <w:rFonts w:hAnsi="宋体"/>
                <w:szCs w:val="21"/>
              </w:rPr>
              <w:t>工序</w:t>
            </w:r>
            <w:r>
              <w:rPr>
                <w:rFonts w:hint="eastAsia" w:hAnsi="宋体"/>
                <w:szCs w:val="21"/>
              </w:rPr>
              <w:t>年</w:t>
            </w:r>
            <w:r>
              <w:rPr>
                <w:rFonts w:hAnsi="宋体"/>
                <w:szCs w:val="21"/>
              </w:rPr>
              <w:t>工作</w:t>
            </w:r>
            <w:r>
              <w:rPr>
                <w:rFonts w:hint="eastAsia" w:hAnsi="宋体"/>
                <w:szCs w:val="21"/>
              </w:rPr>
              <w:t>2400h，产生速率</w:t>
            </w:r>
            <w:r>
              <w:rPr>
                <w:rFonts w:hAnsi="宋体"/>
                <w:szCs w:val="21"/>
              </w:rPr>
              <w:t>为0.633kg/h</w:t>
            </w:r>
            <w:r>
              <w:rPr>
                <w:szCs w:val="21"/>
              </w:rPr>
              <w:t>。</w:t>
            </w:r>
          </w:p>
          <w:p>
            <w:pPr>
              <w:spacing w:line="360" w:lineRule="auto"/>
              <w:ind w:firstLine="420" w:firstLineChars="200"/>
              <w:rPr>
                <w:szCs w:val="21"/>
              </w:rPr>
            </w:pPr>
            <w:r>
              <w:rPr>
                <w:rFonts w:hint="eastAsia" w:cs="宋体"/>
                <w:kern w:val="0"/>
                <w:szCs w:val="21"/>
              </w:rPr>
              <w:t>本项目点胶</w:t>
            </w:r>
            <w:r>
              <w:rPr>
                <w:rFonts w:cs="宋体"/>
                <w:kern w:val="0"/>
                <w:szCs w:val="21"/>
              </w:rPr>
              <w:t>工序使用</w:t>
            </w:r>
            <w:r>
              <w:rPr>
                <w:rFonts w:hint="eastAsia" w:cs="宋体"/>
                <w:kern w:val="0"/>
                <w:szCs w:val="21"/>
              </w:rPr>
              <w:t>少量的</w:t>
            </w:r>
            <w:r>
              <w:rPr>
                <w:rFonts w:cs="宋体"/>
                <w:kern w:val="0"/>
                <w:szCs w:val="21"/>
              </w:rPr>
              <w:t>环氧树脂</w:t>
            </w:r>
            <w:r>
              <w:rPr>
                <w:rFonts w:hint="eastAsia" w:cs="宋体"/>
                <w:kern w:val="0"/>
                <w:szCs w:val="21"/>
              </w:rPr>
              <w:t>胶</w:t>
            </w:r>
            <w:r>
              <w:rPr>
                <w:rFonts w:cs="宋体"/>
                <w:kern w:val="0"/>
                <w:szCs w:val="21"/>
              </w:rPr>
              <w:t>，</w:t>
            </w:r>
            <w:r>
              <w:rPr>
                <w:rFonts w:hint="eastAsia" w:cs="宋体"/>
                <w:kern w:val="0"/>
                <w:szCs w:val="21"/>
              </w:rPr>
              <w:t>会产生少量的有机废气</w:t>
            </w:r>
            <w:r>
              <w:rPr>
                <w:rFonts w:hint="eastAsia" w:cs="Calibri"/>
                <w:kern w:val="0"/>
                <w:szCs w:val="21"/>
              </w:rPr>
              <w:t>。项目</w:t>
            </w:r>
            <w:r>
              <w:rPr>
                <w:rFonts w:cs="Calibri"/>
                <w:kern w:val="0"/>
                <w:szCs w:val="21"/>
              </w:rPr>
              <w:t>环氧树脂</w:t>
            </w:r>
            <w:r>
              <w:rPr>
                <w:rFonts w:hint="eastAsia" w:cs="宋体"/>
                <w:kern w:val="0"/>
                <w:szCs w:val="21"/>
              </w:rPr>
              <w:t>胶</w:t>
            </w:r>
            <w:r>
              <w:rPr>
                <w:rFonts w:cs="Calibri"/>
                <w:kern w:val="0"/>
                <w:szCs w:val="21"/>
              </w:rPr>
              <w:t>使用量为</w:t>
            </w:r>
            <w:r>
              <w:rPr>
                <w:rFonts w:hint="eastAsia" w:cs="Calibri"/>
                <w:kern w:val="0"/>
                <w:szCs w:val="21"/>
              </w:rPr>
              <w:t>0.</w:t>
            </w:r>
            <w:r>
              <w:rPr>
                <w:rFonts w:cs="Calibri"/>
                <w:kern w:val="0"/>
                <w:szCs w:val="21"/>
              </w:rPr>
              <w:t>01t/a</w:t>
            </w:r>
            <w:r>
              <w:rPr>
                <w:rFonts w:hint="eastAsia" w:cs="Calibri"/>
                <w:kern w:val="0"/>
                <w:szCs w:val="21"/>
              </w:rPr>
              <w:t>，</w:t>
            </w:r>
            <w:r>
              <w:rPr>
                <w:rFonts w:cs="Calibri"/>
                <w:kern w:val="0"/>
                <w:szCs w:val="21"/>
              </w:rPr>
              <w:t>根据其</w:t>
            </w:r>
            <w:r>
              <w:rPr>
                <w:rFonts w:hint="eastAsia" w:cs="Calibri"/>
                <w:kern w:val="0"/>
                <w:szCs w:val="21"/>
              </w:rPr>
              <w:t>VOCs检测</w:t>
            </w:r>
            <w:r>
              <w:rPr>
                <w:rFonts w:cs="Calibri"/>
                <w:kern w:val="0"/>
                <w:szCs w:val="21"/>
              </w:rPr>
              <w:t>报告</w:t>
            </w:r>
            <w:r>
              <w:rPr>
                <w:szCs w:val="21"/>
              </w:rPr>
              <w:t>（附件5）</w:t>
            </w:r>
            <w:r>
              <w:rPr>
                <w:rFonts w:cs="Calibri"/>
                <w:kern w:val="0"/>
                <w:szCs w:val="21"/>
              </w:rPr>
              <w:t>，其</w:t>
            </w:r>
            <w:r>
              <w:rPr>
                <w:rFonts w:hint="eastAsia" w:cs="Calibri"/>
                <w:kern w:val="0"/>
                <w:szCs w:val="21"/>
              </w:rPr>
              <w:t>VOCs含量</w:t>
            </w:r>
            <w:r>
              <w:rPr>
                <w:rFonts w:cs="Calibri"/>
                <w:kern w:val="0"/>
                <w:szCs w:val="21"/>
              </w:rPr>
              <w:t>为</w:t>
            </w:r>
            <w:r>
              <w:rPr>
                <w:szCs w:val="21"/>
              </w:rPr>
              <w:t>6g/kg</w:t>
            </w:r>
            <w:r>
              <w:rPr>
                <w:rFonts w:hint="eastAsia"/>
                <w:szCs w:val="21"/>
              </w:rPr>
              <w:t>，则</w:t>
            </w:r>
            <w:r>
              <w:rPr>
                <w:szCs w:val="21"/>
              </w:rPr>
              <w:t>点胶过程</w:t>
            </w:r>
            <w:r>
              <w:rPr>
                <w:rFonts w:hint="eastAsia"/>
                <w:szCs w:val="21"/>
              </w:rPr>
              <w:t>T</w:t>
            </w:r>
            <w:r>
              <w:rPr>
                <w:szCs w:val="21"/>
              </w:rPr>
              <w:t>VOC</w:t>
            </w:r>
            <w:r>
              <w:rPr>
                <w:rFonts w:hint="eastAsia"/>
                <w:szCs w:val="21"/>
              </w:rPr>
              <w:t>产生量</w:t>
            </w:r>
            <w:r>
              <w:rPr>
                <w:szCs w:val="21"/>
              </w:rPr>
              <w:t>为</w:t>
            </w:r>
            <w:r>
              <w:rPr>
                <w:rFonts w:hint="eastAsia"/>
                <w:szCs w:val="21"/>
              </w:rPr>
              <w:t>0.000</w:t>
            </w:r>
            <w:r>
              <w:rPr>
                <w:szCs w:val="21"/>
              </w:rPr>
              <w:t>0</w:t>
            </w:r>
            <w:r>
              <w:rPr>
                <w:rFonts w:hint="eastAsia"/>
                <w:szCs w:val="21"/>
              </w:rPr>
              <w:t>6t/a，</w:t>
            </w:r>
            <w:r>
              <w:rPr>
                <w:rFonts w:hint="eastAsia" w:hAnsi="宋体"/>
                <w:szCs w:val="21"/>
              </w:rPr>
              <w:t>项目点胶</w:t>
            </w:r>
            <w:r>
              <w:rPr>
                <w:rFonts w:hAnsi="宋体"/>
                <w:szCs w:val="21"/>
              </w:rPr>
              <w:t>工序</w:t>
            </w:r>
            <w:r>
              <w:rPr>
                <w:rFonts w:hint="eastAsia" w:hAnsi="宋体"/>
                <w:szCs w:val="21"/>
              </w:rPr>
              <w:t>年</w:t>
            </w:r>
            <w:r>
              <w:rPr>
                <w:rFonts w:hAnsi="宋体"/>
                <w:szCs w:val="21"/>
              </w:rPr>
              <w:t>工作6</w:t>
            </w:r>
            <w:r>
              <w:rPr>
                <w:rFonts w:hint="eastAsia" w:hAnsi="宋体"/>
                <w:szCs w:val="21"/>
              </w:rPr>
              <w:t>00h，产生速率</w:t>
            </w:r>
            <w:r>
              <w:rPr>
                <w:rFonts w:hAnsi="宋体"/>
                <w:szCs w:val="21"/>
              </w:rPr>
              <w:t>为0.0001kg/h</w:t>
            </w:r>
            <w:r>
              <w:rPr>
                <w:szCs w:val="21"/>
              </w:rPr>
              <w:t>。</w:t>
            </w:r>
          </w:p>
          <w:p>
            <w:pPr>
              <w:snapToGrid w:val="0"/>
              <w:spacing w:line="360" w:lineRule="auto"/>
              <w:ind w:firstLine="422" w:firstLineChars="200"/>
              <w:rPr>
                <w:rFonts w:ascii="宋体" w:hAnsi="宋体" w:cs="宋体"/>
                <w:b/>
                <w:szCs w:val="21"/>
              </w:rPr>
            </w:pPr>
            <w:r>
              <w:rPr>
                <w:rFonts w:hint="eastAsia" w:ascii="宋体" w:hAnsi="宋体" w:cs="宋体"/>
                <w:b/>
                <w:szCs w:val="21"/>
              </w:rPr>
              <w:t>③废气</w:t>
            </w:r>
            <w:r>
              <w:rPr>
                <w:rFonts w:ascii="宋体" w:hAnsi="宋体" w:cs="宋体"/>
                <w:b/>
                <w:szCs w:val="21"/>
              </w:rPr>
              <w:t>收集处理措施</w:t>
            </w:r>
          </w:p>
          <w:p>
            <w:pPr>
              <w:spacing w:line="360" w:lineRule="auto"/>
              <w:ind w:firstLine="420" w:firstLineChars="200"/>
            </w:pPr>
            <w:r>
              <w:rPr>
                <w:rFonts w:hint="eastAsia"/>
              </w:rPr>
              <w:t>本项目</w:t>
            </w:r>
            <w:r>
              <w:t>厂房</w:t>
            </w:r>
            <w:r>
              <w:rPr>
                <w:rFonts w:hint="eastAsia"/>
              </w:rPr>
              <w:t>A、</w:t>
            </w:r>
            <w:r>
              <w:t>厂房</w:t>
            </w:r>
            <w:r>
              <w:rPr>
                <w:rFonts w:hint="eastAsia"/>
              </w:rPr>
              <w:t>B均</w:t>
            </w:r>
            <w:r>
              <w:t>设有粘片、塑封固化工序，</w:t>
            </w:r>
            <w:r>
              <w:rPr>
                <w:rFonts w:hint="eastAsia"/>
              </w:rPr>
              <w:t>两栋</w:t>
            </w:r>
            <w:r>
              <w:t>厂房内</w:t>
            </w:r>
            <w:r>
              <w:rPr>
                <w:rFonts w:hint="eastAsia"/>
              </w:rPr>
              <w:t>粘片</w:t>
            </w:r>
            <w:r>
              <w:t>、塑封固化工序废气源强</w:t>
            </w:r>
            <w:r>
              <w:rPr>
                <w:rFonts w:hint="eastAsia"/>
              </w:rPr>
              <w:t>本环评</w:t>
            </w:r>
            <w:r>
              <w:t>按</w:t>
            </w:r>
            <w:r>
              <w:rPr>
                <w:rFonts w:hint="eastAsia"/>
              </w:rPr>
              <w:t>平均</w:t>
            </w:r>
            <w:r>
              <w:t>分配计</w:t>
            </w:r>
            <w:r>
              <w:rPr>
                <w:rFonts w:hint="eastAsia"/>
              </w:rPr>
              <w:t>。</w:t>
            </w:r>
          </w:p>
          <w:p>
            <w:pPr>
              <w:spacing w:line="360" w:lineRule="auto"/>
              <w:ind w:firstLine="420" w:firstLineChars="200"/>
              <w:rPr>
                <w:szCs w:val="21"/>
              </w:rPr>
            </w:pPr>
            <w:r>
              <w:rPr>
                <w:rFonts w:hint="eastAsia"/>
                <w:szCs w:val="21"/>
              </w:rPr>
              <w:t>本项目塑封在密闭的塑封压机内进行，固化在密闭的烤箱内进行，</w:t>
            </w:r>
            <w:r>
              <w:rPr>
                <w:szCs w:val="21"/>
              </w:rPr>
              <w:t>每台</w:t>
            </w:r>
            <w:r>
              <w:rPr>
                <w:rFonts w:hint="eastAsia"/>
                <w:szCs w:val="21"/>
              </w:rPr>
              <w:t>塑封压机</w:t>
            </w:r>
            <w:r>
              <w:rPr>
                <w:szCs w:val="21"/>
              </w:rPr>
              <w:t>和烤箱上设有1个排气口，排气口直接与废气收集管相连</w:t>
            </w:r>
            <w:r>
              <w:rPr>
                <w:rFonts w:hint="eastAsia"/>
                <w:szCs w:val="21"/>
              </w:rPr>
              <w:t>。</w:t>
            </w:r>
          </w:p>
          <w:p>
            <w:pPr>
              <w:spacing w:line="360" w:lineRule="auto"/>
              <w:ind w:firstLine="420" w:firstLineChars="200"/>
              <w:rPr>
                <w:szCs w:val="21"/>
              </w:rPr>
            </w:pPr>
            <w:r>
              <w:rPr>
                <w:rFonts w:hint="eastAsia"/>
                <w:szCs w:val="21"/>
              </w:rPr>
              <w:t>厂房A：</w:t>
            </w:r>
            <w:r>
              <w:rPr>
                <w:szCs w:val="21"/>
              </w:rPr>
              <w:t>建设单位拟在</w:t>
            </w:r>
            <w:r>
              <w:rPr>
                <w:rFonts w:hint="eastAsia"/>
                <w:szCs w:val="21"/>
              </w:rPr>
              <w:t>粘片、点胶</w:t>
            </w:r>
            <w:r>
              <w:rPr>
                <w:szCs w:val="21"/>
              </w:rPr>
              <w:t>工位设置集气罩，将</w:t>
            </w:r>
            <w:r>
              <w:rPr>
                <w:rFonts w:hint="eastAsia"/>
                <w:szCs w:val="21"/>
              </w:rPr>
              <w:t>粘片、</w:t>
            </w:r>
            <w:r>
              <w:rPr>
                <w:szCs w:val="21"/>
              </w:rPr>
              <w:t>点胶废气收集后与</w:t>
            </w:r>
            <w:r>
              <w:rPr>
                <w:rFonts w:hint="eastAsia"/>
                <w:szCs w:val="21"/>
              </w:rPr>
              <w:t>集气管</w:t>
            </w:r>
            <w:r>
              <w:rPr>
                <w:szCs w:val="21"/>
              </w:rPr>
              <w:t>收集的</w:t>
            </w:r>
            <w:r>
              <w:rPr>
                <w:rFonts w:hint="eastAsia"/>
                <w:szCs w:val="21"/>
              </w:rPr>
              <w:t>塑封固化</w:t>
            </w:r>
            <w:r>
              <w:rPr>
                <w:szCs w:val="21"/>
              </w:rPr>
              <w:t>废气一起引至“</w:t>
            </w:r>
            <w:r>
              <w:rPr>
                <w:rFonts w:hint="eastAsia"/>
                <w:szCs w:val="21"/>
              </w:rPr>
              <w:t>喷淋塔+干式</w:t>
            </w:r>
            <w:r>
              <w:rPr>
                <w:szCs w:val="21"/>
              </w:rPr>
              <w:t>除雾器</w:t>
            </w:r>
            <w:r>
              <w:rPr>
                <w:rFonts w:hint="eastAsia"/>
                <w:szCs w:val="21"/>
              </w:rPr>
              <w:t>+两级活性炭</w:t>
            </w:r>
            <w:r>
              <w:rPr>
                <w:szCs w:val="21"/>
              </w:rPr>
              <w:t>吸附装置”处理后引至楼顶经DA001排气筒高空排放，</w:t>
            </w:r>
            <w:r>
              <w:rPr>
                <w:rFonts w:hint="eastAsia"/>
                <w:szCs w:val="21"/>
              </w:rPr>
              <w:t>排放</w:t>
            </w:r>
            <w:r>
              <w:rPr>
                <w:szCs w:val="21"/>
              </w:rPr>
              <w:t>高度</w:t>
            </w:r>
            <w:r>
              <w:rPr>
                <w:rFonts w:hint="eastAsia"/>
                <w:szCs w:val="21"/>
              </w:rPr>
              <w:t>约</w:t>
            </w:r>
            <w:r>
              <w:rPr>
                <w:szCs w:val="21"/>
              </w:rPr>
              <w:t>25</w:t>
            </w:r>
            <w:r>
              <w:rPr>
                <w:rFonts w:hint="eastAsia"/>
                <w:szCs w:val="21"/>
              </w:rPr>
              <w:t>米。</w:t>
            </w:r>
          </w:p>
          <w:p>
            <w:pPr>
              <w:spacing w:line="360" w:lineRule="auto"/>
              <w:ind w:firstLine="420" w:firstLineChars="200"/>
              <w:rPr>
                <w:szCs w:val="21"/>
              </w:rPr>
            </w:pPr>
            <w:r>
              <w:rPr>
                <w:rFonts w:hint="eastAsia"/>
                <w:szCs w:val="21"/>
              </w:rPr>
              <w:t>厂房</w:t>
            </w:r>
            <w:r>
              <w:rPr>
                <w:szCs w:val="21"/>
              </w:rPr>
              <w:t>B</w:t>
            </w:r>
            <w:r>
              <w:rPr>
                <w:rFonts w:hint="eastAsia"/>
                <w:szCs w:val="21"/>
              </w:rPr>
              <w:t>：</w:t>
            </w:r>
            <w:r>
              <w:rPr>
                <w:szCs w:val="21"/>
              </w:rPr>
              <w:t>建设单位拟在</w:t>
            </w:r>
            <w:r>
              <w:rPr>
                <w:rFonts w:hint="eastAsia"/>
                <w:szCs w:val="21"/>
              </w:rPr>
              <w:t>粘片</w:t>
            </w:r>
            <w:r>
              <w:rPr>
                <w:szCs w:val="21"/>
              </w:rPr>
              <w:t>工位设置集气罩，将</w:t>
            </w:r>
            <w:r>
              <w:rPr>
                <w:rFonts w:hint="eastAsia"/>
                <w:szCs w:val="21"/>
              </w:rPr>
              <w:t>粘片</w:t>
            </w:r>
            <w:r>
              <w:rPr>
                <w:szCs w:val="21"/>
              </w:rPr>
              <w:t>废气收集后与</w:t>
            </w:r>
            <w:r>
              <w:rPr>
                <w:rFonts w:hint="eastAsia"/>
                <w:szCs w:val="21"/>
              </w:rPr>
              <w:t>集气管</w:t>
            </w:r>
            <w:r>
              <w:rPr>
                <w:szCs w:val="21"/>
              </w:rPr>
              <w:t>收集的</w:t>
            </w:r>
            <w:r>
              <w:rPr>
                <w:rFonts w:hint="eastAsia"/>
                <w:szCs w:val="21"/>
              </w:rPr>
              <w:t>塑封固化</w:t>
            </w:r>
            <w:r>
              <w:rPr>
                <w:szCs w:val="21"/>
              </w:rPr>
              <w:t>废气一起引至“</w:t>
            </w:r>
            <w:r>
              <w:rPr>
                <w:rFonts w:hint="eastAsia"/>
                <w:szCs w:val="21"/>
              </w:rPr>
              <w:t>喷淋塔+干式</w:t>
            </w:r>
            <w:r>
              <w:rPr>
                <w:szCs w:val="21"/>
              </w:rPr>
              <w:t>除雾器</w:t>
            </w:r>
            <w:r>
              <w:rPr>
                <w:rFonts w:hint="eastAsia"/>
                <w:szCs w:val="21"/>
              </w:rPr>
              <w:t>+两级活性炭</w:t>
            </w:r>
            <w:r>
              <w:rPr>
                <w:szCs w:val="21"/>
              </w:rPr>
              <w:t>吸附装置”处理后引至楼顶经DA002排气筒高空排放，</w:t>
            </w:r>
            <w:r>
              <w:rPr>
                <w:rFonts w:hint="eastAsia"/>
                <w:szCs w:val="21"/>
              </w:rPr>
              <w:t>排放</w:t>
            </w:r>
            <w:r>
              <w:rPr>
                <w:szCs w:val="21"/>
              </w:rPr>
              <w:t>高度</w:t>
            </w:r>
            <w:r>
              <w:rPr>
                <w:rFonts w:hint="eastAsia"/>
                <w:szCs w:val="21"/>
              </w:rPr>
              <w:t>约</w:t>
            </w:r>
            <w:r>
              <w:rPr>
                <w:szCs w:val="21"/>
              </w:rPr>
              <w:t>15</w:t>
            </w:r>
            <w:r>
              <w:rPr>
                <w:rFonts w:hint="eastAsia"/>
                <w:szCs w:val="21"/>
              </w:rPr>
              <w:t>米。</w:t>
            </w:r>
          </w:p>
          <w:p>
            <w:pPr>
              <w:widowControl/>
              <w:adjustRightInd w:val="0"/>
              <w:snapToGrid w:val="0"/>
              <w:spacing w:line="360" w:lineRule="auto"/>
              <w:ind w:firstLine="420" w:firstLineChars="200"/>
              <w:rPr>
                <w:szCs w:val="21"/>
              </w:rPr>
            </w:pPr>
            <w:r>
              <w:rPr>
                <w:szCs w:val="21"/>
              </w:rPr>
              <w:t>本项目采用通过软质垂帘四周围挡（偶有部分敞开）的包围型集气罩，敞开面控制风速0.5m/s，参照《广东省工业源挥发性有机物减排量核算方法（试行）》，采用上述集气设备，废气收集效率约60%。</w:t>
            </w:r>
          </w:p>
          <w:p>
            <w:pPr>
              <w:widowControl/>
              <w:adjustRightInd w:val="0"/>
              <w:snapToGrid w:val="0"/>
              <w:spacing w:line="360" w:lineRule="auto"/>
              <w:ind w:firstLine="420" w:firstLineChars="200"/>
              <w:rPr>
                <w:szCs w:val="21"/>
              </w:rPr>
            </w:pPr>
            <w:r>
              <w:rPr>
                <w:rFonts w:hint="eastAsia"/>
                <w:szCs w:val="21"/>
              </w:rPr>
              <w:t>项目塑封压机和</w:t>
            </w:r>
            <w:r>
              <w:rPr>
                <w:szCs w:val="21"/>
              </w:rPr>
              <w:t>烤箱</w:t>
            </w:r>
            <w:r>
              <w:rPr>
                <w:rFonts w:hint="eastAsia"/>
                <w:szCs w:val="21"/>
              </w:rPr>
              <w:t>为全密封设备，设备</w:t>
            </w:r>
            <w:r>
              <w:rPr>
                <w:kern w:val="0"/>
                <w:szCs w:val="21"/>
                <w:lang w:bidi="ar"/>
              </w:rPr>
              <w:t>有固定排放管(或口)直接与风管连接，设备整体密闭只留产品进出口</w:t>
            </w:r>
            <w:r>
              <w:rPr>
                <w:szCs w:val="21"/>
              </w:rPr>
              <w:t>，参照《广东省工业源挥发性有机物减排量核算方法（试行）》</w:t>
            </w:r>
            <w:r>
              <w:rPr>
                <w:rFonts w:hint="eastAsia"/>
                <w:szCs w:val="21"/>
              </w:rPr>
              <w:t>，塑封固化废气</w:t>
            </w:r>
            <w:r>
              <w:rPr>
                <w:szCs w:val="21"/>
              </w:rPr>
              <w:t>收集效率约90%。</w:t>
            </w:r>
          </w:p>
          <w:p>
            <w:pPr>
              <w:numPr>
                <w:ilvl w:val="0"/>
                <w:numId w:val="5"/>
              </w:numPr>
              <w:adjustRightInd w:val="0"/>
              <w:snapToGrid w:val="0"/>
              <w:spacing w:line="360" w:lineRule="auto"/>
              <w:ind w:left="0"/>
              <w:jc w:val="center"/>
            </w:pPr>
            <w:r>
              <w:rPr>
                <w:rFonts w:hint="eastAsia"/>
                <w:b/>
                <w:szCs w:val="21"/>
              </w:rPr>
              <w:t>项目废气收集情况</w:t>
            </w:r>
            <w:r>
              <w:rPr>
                <w:b/>
                <w:szCs w:val="21"/>
              </w:rPr>
              <w:t>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8"/>
              <w:gridCol w:w="1167"/>
              <w:gridCol w:w="842"/>
              <w:gridCol w:w="801"/>
              <w:gridCol w:w="874"/>
              <w:gridCol w:w="795"/>
              <w:gridCol w:w="847"/>
              <w:gridCol w:w="801"/>
              <w:gridCol w:w="891"/>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56" w:type="pct"/>
                  <w:vMerge w:val="restart"/>
                  <w:vAlign w:val="center"/>
                </w:tcPr>
                <w:p>
                  <w:pPr>
                    <w:pStyle w:val="44"/>
                    <w:rPr>
                      <w:rFonts w:ascii="Times New Roman" w:hAnsi="Times New Roman"/>
                      <w:b/>
                      <w:color w:val="auto"/>
                      <w:sz w:val="18"/>
                      <w:szCs w:val="18"/>
                    </w:rPr>
                  </w:pPr>
                  <w:r>
                    <w:rPr>
                      <w:rFonts w:ascii="Times New Roman" w:hAnsi="Times New Roman"/>
                      <w:b/>
                      <w:color w:val="auto"/>
                      <w:sz w:val="18"/>
                      <w:szCs w:val="18"/>
                    </w:rPr>
                    <w:t>产污工序</w:t>
                  </w:r>
                </w:p>
              </w:tc>
              <w:tc>
                <w:tcPr>
                  <w:tcW w:w="693" w:type="pct"/>
                  <w:vMerge w:val="restart"/>
                  <w:vAlign w:val="center"/>
                </w:tcPr>
                <w:p>
                  <w:pPr>
                    <w:pStyle w:val="44"/>
                    <w:rPr>
                      <w:rFonts w:ascii="Times New Roman" w:hAnsi="Times New Roman"/>
                      <w:b/>
                      <w:color w:val="auto"/>
                      <w:sz w:val="18"/>
                      <w:szCs w:val="18"/>
                    </w:rPr>
                  </w:pPr>
                  <w:r>
                    <w:rPr>
                      <w:rFonts w:ascii="Times New Roman" w:hAnsi="Times New Roman"/>
                      <w:b/>
                      <w:color w:val="auto"/>
                      <w:sz w:val="18"/>
                      <w:szCs w:val="18"/>
                    </w:rPr>
                    <w:t>工序位置</w:t>
                  </w:r>
                </w:p>
              </w:tc>
              <w:tc>
                <w:tcPr>
                  <w:tcW w:w="1495" w:type="pct"/>
                  <w:gridSpan w:val="3"/>
                  <w:vAlign w:val="center"/>
                </w:tcPr>
                <w:p>
                  <w:pPr>
                    <w:pStyle w:val="44"/>
                    <w:rPr>
                      <w:rFonts w:ascii="Times New Roman" w:hAnsi="Times New Roman"/>
                      <w:b/>
                      <w:color w:val="auto"/>
                      <w:sz w:val="18"/>
                      <w:szCs w:val="18"/>
                    </w:rPr>
                  </w:pPr>
                  <w:r>
                    <w:rPr>
                      <w:rFonts w:ascii="Times New Roman" w:hAnsi="Times New Roman"/>
                      <w:b/>
                      <w:color w:val="auto"/>
                      <w:sz w:val="18"/>
                      <w:szCs w:val="18"/>
                    </w:rPr>
                    <w:t>产生量（t/a）</w:t>
                  </w:r>
                </w:p>
              </w:tc>
              <w:tc>
                <w:tcPr>
                  <w:tcW w:w="472" w:type="pct"/>
                  <w:vMerge w:val="restar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收集</w:t>
                  </w:r>
                  <w:r>
                    <w:rPr>
                      <w:rFonts w:ascii="Times New Roman" w:hAnsi="Times New Roman"/>
                      <w:b/>
                      <w:color w:val="auto"/>
                      <w:sz w:val="18"/>
                      <w:szCs w:val="18"/>
                    </w:rPr>
                    <w:t>效率</w:t>
                  </w:r>
                </w:p>
              </w:tc>
              <w:tc>
                <w:tcPr>
                  <w:tcW w:w="1508" w:type="pct"/>
                  <w:gridSpan w:val="3"/>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收集</w:t>
                  </w:r>
                  <w:r>
                    <w:rPr>
                      <w:rFonts w:ascii="Times New Roman" w:hAnsi="Times New Roman"/>
                      <w:b/>
                      <w:color w:val="auto"/>
                      <w:sz w:val="18"/>
                      <w:szCs w:val="18"/>
                    </w:rPr>
                    <w:t>量（t/a）</w:t>
                  </w:r>
                </w:p>
              </w:tc>
              <w:tc>
                <w:tcPr>
                  <w:tcW w:w="475" w:type="pct"/>
                  <w:vMerge w:val="restart"/>
                  <w:vAlign w:val="center"/>
                </w:tcPr>
                <w:p>
                  <w:pPr>
                    <w:pStyle w:val="44"/>
                    <w:rPr>
                      <w:rFonts w:ascii="Times New Roman" w:hAnsi="Times New Roman"/>
                      <w:b/>
                      <w:color w:val="auto"/>
                      <w:sz w:val="18"/>
                      <w:szCs w:val="18"/>
                    </w:rPr>
                  </w:pPr>
                  <w:r>
                    <w:rPr>
                      <w:rFonts w:ascii="Times New Roman" w:hAnsi="Times New Roman"/>
                      <w:b/>
                      <w:color w:val="auto"/>
                      <w:sz w:val="18"/>
                      <w:szCs w:val="18"/>
                    </w:rPr>
                    <w:t>对应排气筒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56" w:type="pct"/>
                  <w:vMerge w:val="continue"/>
                  <w:vAlign w:val="center"/>
                </w:tcPr>
                <w:p>
                  <w:pPr>
                    <w:pStyle w:val="44"/>
                    <w:rPr>
                      <w:rFonts w:ascii="Times New Roman" w:hAnsi="Times New Roman"/>
                      <w:b/>
                      <w:color w:val="auto"/>
                      <w:sz w:val="18"/>
                      <w:szCs w:val="18"/>
                    </w:rPr>
                  </w:pPr>
                </w:p>
              </w:tc>
              <w:tc>
                <w:tcPr>
                  <w:tcW w:w="693" w:type="pct"/>
                  <w:vMerge w:val="continue"/>
                  <w:vAlign w:val="center"/>
                </w:tcPr>
                <w:p>
                  <w:pPr>
                    <w:pStyle w:val="44"/>
                    <w:rPr>
                      <w:rFonts w:ascii="Times New Roman" w:hAnsi="Times New Roman"/>
                      <w:b/>
                      <w:color w:val="auto"/>
                      <w:sz w:val="18"/>
                      <w:szCs w:val="18"/>
                    </w:rPr>
                  </w:pPr>
                </w:p>
              </w:tc>
              <w:tc>
                <w:tcPr>
                  <w:tcW w:w="500"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颗粒物</w:t>
                  </w:r>
                </w:p>
              </w:tc>
              <w:tc>
                <w:tcPr>
                  <w:tcW w:w="476"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锡及其</w:t>
                  </w:r>
                  <w:r>
                    <w:rPr>
                      <w:rFonts w:ascii="Times New Roman" w:hAnsi="Times New Roman"/>
                      <w:b/>
                      <w:color w:val="auto"/>
                      <w:sz w:val="18"/>
                      <w:szCs w:val="18"/>
                    </w:rPr>
                    <w:t>化合物</w:t>
                  </w:r>
                </w:p>
              </w:tc>
              <w:tc>
                <w:tcPr>
                  <w:tcW w:w="519"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TVOC</w:t>
                  </w:r>
                </w:p>
              </w:tc>
              <w:tc>
                <w:tcPr>
                  <w:tcW w:w="472" w:type="pct"/>
                  <w:vMerge w:val="continue"/>
                  <w:vAlign w:val="center"/>
                </w:tcPr>
                <w:p>
                  <w:pPr>
                    <w:pStyle w:val="44"/>
                    <w:rPr>
                      <w:rFonts w:ascii="Times New Roman" w:hAnsi="Times New Roman"/>
                      <w:b/>
                      <w:color w:val="auto"/>
                      <w:sz w:val="18"/>
                      <w:szCs w:val="18"/>
                    </w:rPr>
                  </w:pPr>
                </w:p>
              </w:tc>
              <w:tc>
                <w:tcPr>
                  <w:tcW w:w="503"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颗粒物</w:t>
                  </w:r>
                </w:p>
              </w:tc>
              <w:tc>
                <w:tcPr>
                  <w:tcW w:w="476"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锡及其</w:t>
                  </w:r>
                  <w:r>
                    <w:rPr>
                      <w:rFonts w:ascii="Times New Roman" w:hAnsi="Times New Roman"/>
                      <w:b/>
                      <w:color w:val="auto"/>
                      <w:sz w:val="18"/>
                      <w:szCs w:val="18"/>
                    </w:rPr>
                    <w:t>化合物</w:t>
                  </w:r>
                </w:p>
              </w:tc>
              <w:tc>
                <w:tcPr>
                  <w:tcW w:w="529"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TVOC</w:t>
                  </w:r>
                </w:p>
              </w:tc>
              <w:tc>
                <w:tcPr>
                  <w:tcW w:w="475" w:type="pct"/>
                  <w:vMerge w:val="continue"/>
                  <w:vAlign w:val="center"/>
                </w:tcPr>
                <w:p>
                  <w:pPr>
                    <w:pStyle w:val="44"/>
                    <w:rPr>
                      <w:rFonts w:ascii="Times New Roman" w:hAnsi="Times New Roman"/>
                      <w:b/>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6" w:type="pct"/>
                  <w:vAlign w:val="center"/>
                </w:tcPr>
                <w:p>
                  <w:pPr>
                    <w:pStyle w:val="44"/>
                    <w:rPr>
                      <w:rFonts w:ascii="Times New Roman" w:hAnsi="Times New Roman"/>
                      <w:color w:val="auto"/>
                      <w:sz w:val="18"/>
                      <w:szCs w:val="18"/>
                    </w:rPr>
                  </w:pPr>
                  <w:r>
                    <w:rPr>
                      <w:rFonts w:ascii="Times New Roman" w:hAnsi="Times New Roman"/>
                      <w:color w:val="auto"/>
                      <w:sz w:val="18"/>
                      <w:szCs w:val="18"/>
                    </w:rPr>
                    <w:t>粘片</w:t>
                  </w:r>
                </w:p>
              </w:tc>
              <w:tc>
                <w:tcPr>
                  <w:tcW w:w="693"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厂房A二楼</w:t>
                  </w:r>
                  <w:r>
                    <w:rPr>
                      <w:rFonts w:ascii="Times New Roman" w:hAnsi="Times New Roman"/>
                      <w:color w:val="auto"/>
                      <w:sz w:val="18"/>
                      <w:szCs w:val="18"/>
                    </w:rPr>
                    <w:t>、三楼</w:t>
                  </w:r>
                </w:p>
              </w:tc>
              <w:tc>
                <w:tcPr>
                  <w:tcW w:w="500"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0.0006</w:t>
                  </w:r>
                </w:p>
              </w:tc>
              <w:tc>
                <w:tcPr>
                  <w:tcW w:w="47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0.00055</w:t>
                  </w:r>
                </w:p>
              </w:tc>
              <w:tc>
                <w:tcPr>
                  <w:tcW w:w="519" w:type="pct"/>
                  <w:vAlign w:val="center"/>
                </w:tcPr>
                <w:p>
                  <w:pPr>
                    <w:pStyle w:val="44"/>
                    <w:rPr>
                      <w:rFonts w:ascii="Times New Roman" w:hAnsi="Times New Roman"/>
                      <w:color w:val="auto"/>
                      <w:sz w:val="18"/>
                      <w:szCs w:val="18"/>
                    </w:rPr>
                  </w:pPr>
                  <w:r>
                    <w:rPr>
                      <w:rFonts w:ascii="Times New Roman" w:hAnsi="Times New Roman"/>
                      <w:color w:val="auto"/>
                      <w:sz w:val="18"/>
                      <w:szCs w:val="18"/>
                    </w:rPr>
                    <w:t>0.030</w:t>
                  </w:r>
                </w:p>
              </w:tc>
              <w:tc>
                <w:tcPr>
                  <w:tcW w:w="472"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60</w:t>
                  </w:r>
                  <w:r>
                    <w:rPr>
                      <w:rFonts w:ascii="Times New Roman" w:hAnsi="Times New Roman"/>
                      <w:color w:val="auto"/>
                      <w:sz w:val="18"/>
                      <w:szCs w:val="18"/>
                    </w:rPr>
                    <w:t>%</w:t>
                  </w:r>
                </w:p>
              </w:tc>
              <w:tc>
                <w:tcPr>
                  <w:tcW w:w="503"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0.00036</w:t>
                  </w:r>
                </w:p>
              </w:tc>
              <w:tc>
                <w:tcPr>
                  <w:tcW w:w="47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0.00033</w:t>
                  </w:r>
                </w:p>
              </w:tc>
              <w:tc>
                <w:tcPr>
                  <w:tcW w:w="529"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0.018</w:t>
                  </w:r>
                </w:p>
              </w:tc>
              <w:tc>
                <w:tcPr>
                  <w:tcW w:w="475" w:type="pct"/>
                  <w:vMerge w:val="restart"/>
                  <w:vAlign w:val="center"/>
                </w:tcPr>
                <w:p>
                  <w:pPr>
                    <w:pStyle w:val="44"/>
                    <w:rPr>
                      <w:rFonts w:ascii="Times New Roman" w:hAnsi="Times New Roman"/>
                      <w:color w:val="auto"/>
                      <w:sz w:val="18"/>
                      <w:szCs w:val="18"/>
                    </w:rPr>
                  </w:pPr>
                  <w:r>
                    <w:rPr>
                      <w:rFonts w:ascii="Times New Roman" w:hAnsi="Times New Roman"/>
                      <w:color w:val="auto"/>
                      <w:sz w:val="18"/>
                      <w:szCs w:val="18"/>
                    </w:rPr>
                    <w:t>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点胶</w:t>
                  </w:r>
                </w:p>
              </w:tc>
              <w:tc>
                <w:tcPr>
                  <w:tcW w:w="693"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厂房A一楼</w:t>
                  </w:r>
                </w:p>
              </w:tc>
              <w:tc>
                <w:tcPr>
                  <w:tcW w:w="500"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w:t>
                  </w:r>
                </w:p>
              </w:tc>
              <w:tc>
                <w:tcPr>
                  <w:tcW w:w="47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w:t>
                  </w:r>
                </w:p>
              </w:tc>
              <w:tc>
                <w:tcPr>
                  <w:tcW w:w="519" w:type="pct"/>
                  <w:vAlign w:val="center"/>
                </w:tcPr>
                <w:p>
                  <w:pPr>
                    <w:pStyle w:val="44"/>
                    <w:rPr>
                      <w:rFonts w:ascii="Times New Roman" w:hAnsi="Times New Roman"/>
                      <w:color w:val="auto"/>
                      <w:sz w:val="18"/>
                      <w:szCs w:val="18"/>
                    </w:rPr>
                  </w:pPr>
                  <w:r>
                    <w:rPr>
                      <w:rFonts w:ascii="Times New Roman" w:hAnsi="Times New Roman"/>
                      <w:color w:val="auto"/>
                      <w:sz w:val="18"/>
                      <w:szCs w:val="18"/>
                    </w:rPr>
                    <w:t>0.00006</w:t>
                  </w:r>
                </w:p>
              </w:tc>
              <w:tc>
                <w:tcPr>
                  <w:tcW w:w="472"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60</w:t>
                  </w:r>
                  <w:r>
                    <w:rPr>
                      <w:rFonts w:ascii="Times New Roman" w:hAnsi="Times New Roman"/>
                      <w:color w:val="auto"/>
                      <w:sz w:val="18"/>
                      <w:szCs w:val="18"/>
                    </w:rPr>
                    <w:t>%</w:t>
                  </w:r>
                </w:p>
              </w:tc>
              <w:tc>
                <w:tcPr>
                  <w:tcW w:w="503"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w:t>
                  </w:r>
                </w:p>
              </w:tc>
              <w:tc>
                <w:tcPr>
                  <w:tcW w:w="47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w:t>
                  </w:r>
                </w:p>
              </w:tc>
              <w:tc>
                <w:tcPr>
                  <w:tcW w:w="529"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0.000036</w:t>
                  </w:r>
                </w:p>
              </w:tc>
              <w:tc>
                <w:tcPr>
                  <w:tcW w:w="475" w:type="pct"/>
                  <w:vMerge w:val="continue"/>
                  <w:vAlign w:val="center"/>
                </w:tcPr>
                <w:p>
                  <w:pPr>
                    <w:pStyle w:val="44"/>
                    <w:rPr>
                      <w:rFonts w:ascii="Times New Roman" w:hAnsi="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塑封固化</w:t>
                  </w:r>
                </w:p>
              </w:tc>
              <w:tc>
                <w:tcPr>
                  <w:tcW w:w="693"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厂房A一楼</w:t>
                  </w:r>
                </w:p>
              </w:tc>
              <w:tc>
                <w:tcPr>
                  <w:tcW w:w="500"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w:t>
                  </w:r>
                </w:p>
              </w:tc>
              <w:tc>
                <w:tcPr>
                  <w:tcW w:w="47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w:t>
                  </w:r>
                </w:p>
              </w:tc>
              <w:tc>
                <w:tcPr>
                  <w:tcW w:w="519" w:type="pct"/>
                  <w:vAlign w:val="center"/>
                </w:tcPr>
                <w:p>
                  <w:pPr>
                    <w:pStyle w:val="44"/>
                    <w:rPr>
                      <w:rFonts w:ascii="Times New Roman" w:hAnsi="Times New Roman"/>
                      <w:color w:val="auto"/>
                      <w:sz w:val="18"/>
                      <w:szCs w:val="18"/>
                    </w:rPr>
                  </w:pPr>
                  <w:r>
                    <w:rPr>
                      <w:rFonts w:ascii="Times New Roman" w:hAnsi="Times New Roman"/>
                      <w:color w:val="auto"/>
                      <w:sz w:val="18"/>
                      <w:szCs w:val="18"/>
                    </w:rPr>
                    <w:t>0.76</w:t>
                  </w:r>
                </w:p>
              </w:tc>
              <w:tc>
                <w:tcPr>
                  <w:tcW w:w="472"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90</w:t>
                  </w:r>
                  <w:r>
                    <w:rPr>
                      <w:rFonts w:ascii="Times New Roman" w:hAnsi="Times New Roman"/>
                      <w:color w:val="auto"/>
                      <w:sz w:val="18"/>
                      <w:szCs w:val="18"/>
                    </w:rPr>
                    <w:t>%</w:t>
                  </w:r>
                </w:p>
              </w:tc>
              <w:tc>
                <w:tcPr>
                  <w:tcW w:w="503"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w:t>
                  </w:r>
                </w:p>
              </w:tc>
              <w:tc>
                <w:tcPr>
                  <w:tcW w:w="47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w:t>
                  </w:r>
                </w:p>
              </w:tc>
              <w:tc>
                <w:tcPr>
                  <w:tcW w:w="529"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0.684</w:t>
                  </w:r>
                </w:p>
              </w:tc>
              <w:tc>
                <w:tcPr>
                  <w:tcW w:w="475" w:type="pct"/>
                  <w:vMerge w:val="continue"/>
                  <w:vAlign w:val="center"/>
                </w:tcPr>
                <w:p>
                  <w:pPr>
                    <w:pStyle w:val="44"/>
                    <w:rPr>
                      <w:rFonts w:ascii="Times New Roman" w:hAnsi="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9" w:type="pct"/>
                  <w:gridSpan w:val="2"/>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合计</w:t>
                  </w:r>
                </w:p>
              </w:tc>
              <w:tc>
                <w:tcPr>
                  <w:tcW w:w="500"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0.0006</w:t>
                  </w:r>
                </w:p>
              </w:tc>
              <w:tc>
                <w:tcPr>
                  <w:tcW w:w="476"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0.00055</w:t>
                  </w:r>
                </w:p>
              </w:tc>
              <w:tc>
                <w:tcPr>
                  <w:tcW w:w="519"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0.79006</w:t>
                  </w:r>
                </w:p>
              </w:tc>
              <w:tc>
                <w:tcPr>
                  <w:tcW w:w="472"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w:t>
                  </w:r>
                </w:p>
              </w:tc>
              <w:tc>
                <w:tcPr>
                  <w:tcW w:w="503"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0.00036</w:t>
                  </w:r>
                </w:p>
              </w:tc>
              <w:tc>
                <w:tcPr>
                  <w:tcW w:w="476"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0.00033</w:t>
                  </w:r>
                </w:p>
              </w:tc>
              <w:tc>
                <w:tcPr>
                  <w:tcW w:w="529"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0.702036</w:t>
                  </w:r>
                </w:p>
              </w:tc>
              <w:tc>
                <w:tcPr>
                  <w:tcW w:w="475"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粘片</w:t>
                  </w:r>
                </w:p>
              </w:tc>
              <w:tc>
                <w:tcPr>
                  <w:tcW w:w="693"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厂房B</w:t>
                  </w:r>
                </w:p>
              </w:tc>
              <w:tc>
                <w:tcPr>
                  <w:tcW w:w="500"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0.0006</w:t>
                  </w:r>
                </w:p>
              </w:tc>
              <w:tc>
                <w:tcPr>
                  <w:tcW w:w="47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0.00055</w:t>
                  </w:r>
                </w:p>
              </w:tc>
              <w:tc>
                <w:tcPr>
                  <w:tcW w:w="519" w:type="pct"/>
                  <w:vAlign w:val="center"/>
                </w:tcPr>
                <w:p>
                  <w:pPr>
                    <w:pStyle w:val="44"/>
                    <w:rPr>
                      <w:rFonts w:ascii="Times New Roman" w:hAnsi="Times New Roman"/>
                      <w:color w:val="auto"/>
                      <w:sz w:val="18"/>
                      <w:szCs w:val="18"/>
                    </w:rPr>
                  </w:pPr>
                  <w:r>
                    <w:rPr>
                      <w:rFonts w:ascii="Times New Roman" w:hAnsi="Times New Roman"/>
                      <w:color w:val="auto"/>
                      <w:sz w:val="18"/>
                      <w:szCs w:val="18"/>
                    </w:rPr>
                    <w:t>0.030</w:t>
                  </w:r>
                </w:p>
              </w:tc>
              <w:tc>
                <w:tcPr>
                  <w:tcW w:w="472"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60</w:t>
                  </w:r>
                  <w:r>
                    <w:rPr>
                      <w:rFonts w:ascii="Times New Roman" w:hAnsi="Times New Roman"/>
                      <w:color w:val="auto"/>
                      <w:sz w:val="18"/>
                      <w:szCs w:val="18"/>
                    </w:rPr>
                    <w:t>%</w:t>
                  </w:r>
                </w:p>
              </w:tc>
              <w:tc>
                <w:tcPr>
                  <w:tcW w:w="503"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0.00036</w:t>
                  </w:r>
                </w:p>
              </w:tc>
              <w:tc>
                <w:tcPr>
                  <w:tcW w:w="47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0.00033</w:t>
                  </w:r>
                </w:p>
              </w:tc>
              <w:tc>
                <w:tcPr>
                  <w:tcW w:w="529"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0.018</w:t>
                  </w:r>
                </w:p>
              </w:tc>
              <w:tc>
                <w:tcPr>
                  <w:tcW w:w="475" w:type="pct"/>
                  <w:vMerge w:val="restart"/>
                  <w:vAlign w:val="center"/>
                </w:tcPr>
                <w:p>
                  <w:pPr>
                    <w:pStyle w:val="44"/>
                    <w:rPr>
                      <w:rFonts w:ascii="Times New Roman" w:hAnsi="Times New Roman"/>
                      <w:color w:val="auto"/>
                      <w:sz w:val="18"/>
                      <w:szCs w:val="18"/>
                    </w:rPr>
                  </w:pPr>
                  <w:r>
                    <w:rPr>
                      <w:rFonts w:ascii="Times New Roman" w:hAnsi="Times New Roman"/>
                      <w:color w:val="auto"/>
                      <w:sz w:val="18"/>
                      <w:szCs w:val="18"/>
                    </w:rPr>
                    <w:t>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塑封固化</w:t>
                  </w:r>
                </w:p>
              </w:tc>
              <w:tc>
                <w:tcPr>
                  <w:tcW w:w="693"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厂房B</w:t>
                  </w:r>
                </w:p>
              </w:tc>
              <w:tc>
                <w:tcPr>
                  <w:tcW w:w="500"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w:t>
                  </w:r>
                </w:p>
              </w:tc>
              <w:tc>
                <w:tcPr>
                  <w:tcW w:w="47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w:t>
                  </w:r>
                </w:p>
              </w:tc>
              <w:tc>
                <w:tcPr>
                  <w:tcW w:w="519" w:type="pct"/>
                  <w:vAlign w:val="center"/>
                </w:tcPr>
                <w:p>
                  <w:pPr>
                    <w:pStyle w:val="44"/>
                    <w:rPr>
                      <w:rFonts w:ascii="Times New Roman" w:hAnsi="Times New Roman"/>
                      <w:color w:val="auto"/>
                      <w:sz w:val="18"/>
                      <w:szCs w:val="18"/>
                    </w:rPr>
                  </w:pPr>
                  <w:r>
                    <w:rPr>
                      <w:rFonts w:ascii="Times New Roman" w:hAnsi="Times New Roman"/>
                      <w:color w:val="auto"/>
                      <w:sz w:val="18"/>
                      <w:szCs w:val="18"/>
                    </w:rPr>
                    <w:t>0.76</w:t>
                  </w:r>
                </w:p>
              </w:tc>
              <w:tc>
                <w:tcPr>
                  <w:tcW w:w="472"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90</w:t>
                  </w:r>
                  <w:r>
                    <w:rPr>
                      <w:rFonts w:ascii="Times New Roman" w:hAnsi="Times New Roman"/>
                      <w:color w:val="auto"/>
                      <w:sz w:val="18"/>
                      <w:szCs w:val="18"/>
                    </w:rPr>
                    <w:t>%</w:t>
                  </w:r>
                </w:p>
              </w:tc>
              <w:tc>
                <w:tcPr>
                  <w:tcW w:w="503"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w:t>
                  </w:r>
                </w:p>
              </w:tc>
              <w:tc>
                <w:tcPr>
                  <w:tcW w:w="476"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w:t>
                  </w:r>
                </w:p>
              </w:tc>
              <w:tc>
                <w:tcPr>
                  <w:tcW w:w="529" w:type="pct"/>
                  <w:vAlign w:val="center"/>
                </w:tcPr>
                <w:p>
                  <w:pPr>
                    <w:pStyle w:val="44"/>
                    <w:rPr>
                      <w:rFonts w:ascii="Times New Roman" w:hAnsi="Times New Roman"/>
                      <w:color w:val="auto"/>
                      <w:sz w:val="18"/>
                      <w:szCs w:val="18"/>
                    </w:rPr>
                  </w:pPr>
                  <w:r>
                    <w:rPr>
                      <w:rFonts w:hint="eastAsia" w:ascii="Times New Roman" w:hAnsi="Times New Roman"/>
                      <w:color w:val="auto"/>
                      <w:sz w:val="18"/>
                      <w:szCs w:val="18"/>
                    </w:rPr>
                    <w:t>0.684</w:t>
                  </w:r>
                </w:p>
              </w:tc>
              <w:tc>
                <w:tcPr>
                  <w:tcW w:w="475" w:type="pct"/>
                  <w:vMerge w:val="continue"/>
                  <w:vAlign w:val="center"/>
                </w:tcPr>
                <w:p>
                  <w:pPr>
                    <w:pStyle w:val="44"/>
                    <w:rPr>
                      <w:rFonts w:ascii="Times New Roman" w:hAnsi="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9" w:type="pct"/>
                  <w:gridSpan w:val="2"/>
                  <w:vAlign w:val="center"/>
                </w:tcPr>
                <w:p>
                  <w:pPr>
                    <w:pStyle w:val="44"/>
                    <w:rPr>
                      <w:rFonts w:ascii="Times New Roman" w:hAnsi="Times New Roman"/>
                      <w:b/>
                      <w:color w:val="auto"/>
                      <w:sz w:val="18"/>
                      <w:szCs w:val="18"/>
                    </w:rPr>
                  </w:pPr>
                  <w:r>
                    <w:rPr>
                      <w:rFonts w:ascii="Times New Roman" w:hAnsi="Times New Roman"/>
                      <w:b/>
                      <w:color w:val="auto"/>
                      <w:sz w:val="18"/>
                      <w:szCs w:val="18"/>
                    </w:rPr>
                    <w:t>合计</w:t>
                  </w:r>
                </w:p>
              </w:tc>
              <w:tc>
                <w:tcPr>
                  <w:tcW w:w="500"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0.0006</w:t>
                  </w:r>
                </w:p>
              </w:tc>
              <w:tc>
                <w:tcPr>
                  <w:tcW w:w="476"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0.00055</w:t>
                  </w:r>
                </w:p>
              </w:tc>
              <w:tc>
                <w:tcPr>
                  <w:tcW w:w="519"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0.79</w:t>
                  </w:r>
                </w:p>
              </w:tc>
              <w:tc>
                <w:tcPr>
                  <w:tcW w:w="472"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w:t>
                  </w:r>
                </w:p>
              </w:tc>
              <w:tc>
                <w:tcPr>
                  <w:tcW w:w="503"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0.00036</w:t>
                  </w:r>
                </w:p>
              </w:tc>
              <w:tc>
                <w:tcPr>
                  <w:tcW w:w="476"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0.00033</w:t>
                  </w:r>
                </w:p>
              </w:tc>
              <w:tc>
                <w:tcPr>
                  <w:tcW w:w="529" w:type="pct"/>
                  <w:vAlign w:val="center"/>
                </w:tcPr>
                <w:p>
                  <w:pPr>
                    <w:pStyle w:val="44"/>
                    <w:rPr>
                      <w:rFonts w:ascii="Times New Roman" w:hAnsi="Times New Roman"/>
                      <w:b/>
                      <w:color w:val="auto"/>
                      <w:sz w:val="18"/>
                      <w:szCs w:val="18"/>
                    </w:rPr>
                  </w:pPr>
                  <w:r>
                    <w:rPr>
                      <w:rFonts w:hint="eastAsia" w:ascii="Times New Roman" w:hAnsi="Times New Roman"/>
                      <w:b/>
                      <w:color w:val="auto"/>
                      <w:sz w:val="18"/>
                      <w:szCs w:val="18"/>
                    </w:rPr>
                    <w:t>0.702</w:t>
                  </w:r>
                </w:p>
              </w:tc>
              <w:tc>
                <w:tcPr>
                  <w:tcW w:w="475" w:type="pct"/>
                  <w:vAlign w:val="center"/>
                </w:tcPr>
                <w:p>
                  <w:pPr>
                    <w:pStyle w:val="44"/>
                    <w:rPr>
                      <w:rFonts w:ascii="Times New Roman" w:hAnsi="Times New Roman"/>
                      <w:color w:val="auto"/>
                      <w:sz w:val="18"/>
                      <w:szCs w:val="18"/>
                    </w:rPr>
                  </w:pPr>
                  <w:r>
                    <w:rPr>
                      <w:rFonts w:ascii="Times New Roman" w:hAnsi="Times New Roman"/>
                      <w:color w:val="auto"/>
                      <w:sz w:val="18"/>
                      <w:szCs w:val="18"/>
                    </w:rPr>
                    <w:t>/</w:t>
                  </w:r>
                </w:p>
              </w:tc>
            </w:tr>
          </w:tbl>
          <w:p>
            <w:pPr>
              <w:spacing w:line="360" w:lineRule="auto"/>
              <w:ind w:firstLine="420" w:firstLineChars="200"/>
            </w:pPr>
            <w:r>
              <w:rPr>
                <w:bCs/>
              </w:rPr>
              <w:t>根据《</w:t>
            </w:r>
            <w:r>
              <w:rPr>
                <w:rFonts w:hint="eastAsia"/>
                <w:bCs/>
              </w:rPr>
              <w:t>环保设备设计手册——大气污染控制设备</w:t>
            </w:r>
            <w:r>
              <w:rPr>
                <w:bCs/>
              </w:rPr>
              <w:t>》（</w:t>
            </w:r>
            <w:r>
              <w:rPr>
                <w:rFonts w:hint="eastAsia"/>
                <w:bCs/>
              </w:rPr>
              <w:t>周兴求 叶代启</w:t>
            </w:r>
            <w:r>
              <w:rPr>
                <w:bCs/>
              </w:rPr>
              <w:t>）中</w:t>
            </w:r>
            <w:r>
              <w:rPr>
                <w:rFonts w:hint="eastAsia"/>
                <w:bCs/>
              </w:rPr>
              <w:t>上</w:t>
            </w:r>
            <w:r>
              <w:rPr>
                <w:bCs/>
              </w:rPr>
              <w:t>部集气罩风量确定计算公式</w:t>
            </w:r>
            <w:r>
              <w:t>：</w:t>
            </w:r>
            <w:r>
              <w:rPr>
                <w:bCs/>
              </w:rPr>
              <w:t>Q=3600kLHV</w:t>
            </w:r>
            <w:r>
              <w:rPr>
                <w:bCs/>
                <w:vertAlign w:val="subscript"/>
              </w:rPr>
              <w:t>x</w:t>
            </w:r>
            <w:r>
              <w:t>（m</w:t>
            </w:r>
            <w:r>
              <w:rPr>
                <w:vertAlign w:val="superscript"/>
              </w:rPr>
              <w:t>3</w:t>
            </w:r>
            <w:r>
              <w:t>/</w:t>
            </w:r>
            <w:r>
              <w:rPr>
                <w:rFonts w:hint="eastAsia"/>
              </w:rPr>
              <w:t>h</w:t>
            </w:r>
            <w:r>
              <w:t>）</w:t>
            </w:r>
            <w:r>
              <w:rPr>
                <w:rFonts w:hint="eastAsia"/>
              </w:rPr>
              <w:t>。</w:t>
            </w:r>
          </w:p>
          <w:p>
            <w:pPr>
              <w:spacing w:line="360" w:lineRule="auto"/>
              <w:ind w:firstLine="420" w:firstLineChars="200"/>
              <w:rPr>
                <w:bCs/>
              </w:rPr>
            </w:pPr>
            <w:r>
              <w:t>其中：</w:t>
            </w:r>
            <w:r>
              <w:rPr>
                <w:bCs/>
              </w:rPr>
              <w:t xml:space="preserve"> L---集气罩口敞开面的周长，m；H---罩口至污染源距离，m；Vx---污染源边缘控制风速，m/s；k---安全系数，一般取k=1.4。</w:t>
            </w:r>
          </w:p>
          <w:p>
            <w:pPr>
              <w:numPr>
                <w:ilvl w:val="0"/>
                <w:numId w:val="5"/>
              </w:numPr>
              <w:adjustRightInd w:val="0"/>
              <w:snapToGrid w:val="0"/>
              <w:spacing w:line="360" w:lineRule="auto"/>
              <w:ind w:left="0"/>
              <w:jc w:val="center"/>
              <w:rPr>
                <w:b/>
              </w:rPr>
            </w:pPr>
            <w:r>
              <w:rPr>
                <w:b/>
              </w:rPr>
              <w:t>项目</w:t>
            </w:r>
            <w:r>
              <w:rPr>
                <w:rFonts w:hint="eastAsia"/>
                <w:b/>
              </w:rPr>
              <w:t>DA001排气筒</w:t>
            </w:r>
            <w:r>
              <w:rPr>
                <w:b/>
              </w:rPr>
              <w:t>风机风量设计参数表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204"/>
              <w:gridCol w:w="911"/>
              <w:gridCol w:w="224"/>
              <w:gridCol w:w="1082"/>
              <w:gridCol w:w="990"/>
              <w:gridCol w:w="24"/>
              <w:gridCol w:w="976"/>
              <w:gridCol w:w="471"/>
              <w:gridCol w:w="643"/>
              <w:gridCol w:w="513"/>
              <w:gridCol w:w="507"/>
              <w:gridCol w:w="1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484" w:type="pct"/>
                  <w:vAlign w:val="center"/>
                </w:tcPr>
                <w:p>
                  <w:pPr>
                    <w:pStyle w:val="44"/>
                    <w:rPr>
                      <w:rFonts w:ascii="Times New Roman" w:hAnsi="Times New Roman"/>
                      <w:b/>
                      <w:color w:val="auto"/>
                      <w:sz w:val="21"/>
                      <w:szCs w:val="21"/>
                    </w:rPr>
                  </w:pPr>
                  <w:r>
                    <w:rPr>
                      <w:rFonts w:ascii="Times New Roman" w:hAnsi="Times New Roman"/>
                      <w:b/>
                      <w:color w:val="auto"/>
                      <w:sz w:val="21"/>
                      <w:szCs w:val="21"/>
                    </w:rPr>
                    <w:t>废气收集设施</w:t>
                  </w:r>
                </w:p>
              </w:tc>
              <w:tc>
                <w:tcPr>
                  <w:tcW w:w="662" w:type="pct"/>
                  <w:gridSpan w:val="2"/>
                  <w:shd w:val="clear" w:color="auto" w:fill="auto"/>
                  <w:vAlign w:val="center"/>
                </w:tcPr>
                <w:p>
                  <w:pPr>
                    <w:pStyle w:val="44"/>
                    <w:rPr>
                      <w:rFonts w:ascii="Times New Roman" w:hAnsi="Times New Roman"/>
                      <w:b/>
                      <w:color w:val="auto"/>
                      <w:sz w:val="21"/>
                      <w:szCs w:val="21"/>
                    </w:rPr>
                  </w:pPr>
                  <w:r>
                    <w:rPr>
                      <w:rFonts w:ascii="Times New Roman" w:hAnsi="Times New Roman"/>
                      <w:b/>
                      <w:color w:val="auto"/>
                      <w:sz w:val="21"/>
                      <w:szCs w:val="21"/>
                    </w:rPr>
                    <w:t>设置位置</w:t>
                  </w:r>
                </w:p>
              </w:tc>
              <w:tc>
                <w:tcPr>
                  <w:tcW w:w="776" w:type="pct"/>
                  <w:gridSpan w:val="2"/>
                  <w:shd w:val="clear" w:color="auto" w:fill="auto"/>
                  <w:vAlign w:val="center"/>
                </w:tcPr>
                <w:p>
                  <w:pPr>
                    <w:adjustRightInd w:val="0"/>
                    <w:snapToGrid w:val="0"/>
                    <w:jc w:val="center"/>
                    <w:rPr>
                      <w:b/>
                    </w:rPr>
                  </w:pPr>
                  <w:r>
                    <w:rPr>
                      <w:rFonts w:hint="eastAsia"/>
                      <w:b/>
                    </w:rPr>
                    <w:t>罩口敞开面周长</w:t>
                  </w:r>
                  <w:r>
                    <w:rPr>
                      <w:b/>
                    </w:rPr>
                    <w:t>（m）</w:t>
                  </w:r>
                </w:p>
              </w:tc>
              <w:tc>
                <w:tcPr>
                  <w:tcW w:w="588" w:type="pct"/>
                  <w:shd w:val="clear" w:color="auto" w:fill="auto"/>
                  <w:vAlign w:val="center"/>
                </w:tcPr>
                <w:p>
                  <w:pPr>
                    <w:adjustRightInd w:val="0"/>
                    <w:snapToGrid w:val="0"/>
                    <w:jc w:val="center"/>
                    <w:rPr>
                      <w:b/>
                    </w:rPr>
                  </w:pPr>
                  <w:r>
                    <w:rPr>
                      <w:rFonts w:hint="eastAsia"/>
                      <w:b/>
                    </w:rPr>
                    <w:t>罩口至污染源距离</w:t>
                  </w:r>
                  <w:r>
                    <w:rPr>
                      <w:b/>
                    </w:rPr>
                    <w:t>（m）</w:t>
                  </w:r>
                </w:p>
              </w:tc>
              <w:tc>
                <w:tcPr>
                  <w:tcW w:w="594" w:type="pct"/>
                  <w:gridSpan w:val="2"/>
                  <w:vAlign w:val="center"/>
                </w:tcPr>
                <w:p>
                  <w:pPr>
                    <w:adjustRightInd w:val="0"/>
                    <w:snapToGrid w:val="0"/>
                    <w:jc w:val="center"/>
                    <w:rPr>
                      <w:b/>
                    </w:rPr>
                  </w:pPr>
                  <w:r>
                    <w:rPr>
                      <w:b/>
                    </w:rPr>
                    <w:t>控制风速（m/s）</w:t>
                  </w:r>
                </w:p>
              </w:tc>
              <w:tc>
                <w:tcPr>
                  <w:tcW w:w="662" w:type="pct"/>
                  <w:gridSpan w:val="2"/>
                  <w:shd w:val="clear" w:color="auto" w:fill="auto"/>
                  <w:vAlign w:val="center"/>
                </w:tcPr>
                <w:p>
                  <w:pPr>
                    <w:adjustRightInd w:val="0"/>
                    <w:snapToGrid w:val="0"/>
                    <w:jc w:val="center"/>
                    <w:rPr>
                      <w:b/>
                    </w:rPr>
                  </w:pPr>
                  <w:r>
                    <w:rPr>
                      <w:rFonts w:hint="eastAsia"/>
                      <w:b/>
                    </w:rPr>
                    <w:t>安全系数</w:t>
                  </w:r>
                  <w:r>
                    <w:rPr>
                      <w:b/>
                    </w:rPr>
                    <w:t>k</w:t>
                  </w:r>
                </w:p>
              </w:tc>
              <w:tc>
                <w:tcPr>
                  <w:tcW w:w="605" w:type="pct"/>
                  <w:gridSpan w:val="2"/>
                  <w:shd w:val="clear" w:color="auto" w:fill="auto"/>
                  <w:vAlign w:val="center"/>
                </w:tcPr>
                <w:p>
                  <w:pPr>
                    <w:adjustRightInd w:val="0"/>
                    <w:snapToGrid w:val="0"/>
                    <w:jc w:val="center"/>
                    <w:rPr>
                      <w:b/>
                    </w:rPr>
                  </w:pPr>
                  <w:r>
                    <w:rPr>
                      <w:b/>
                    </w:rPr>
                    <w:t>集气设施数量（个）</w:t>
                  </w:r>
                </w:p>
              </w:tc>
              <w:tc>
                <w:tcPr>
                  <w:tcW w:w="629" w:type="pct"/>
                  <w:vAlign w:val="center"/>
                </w:tcPr>
                <w:p>
                  <w:pPr>
                    <w:pStyle w:val="44"/>
                    <w:rPr>
                      <w:rFonts w:ascii="Times New Roman" w:hAnsi="Times New Roman"/>
                      <w:b/>
                      <w:color w:val="auto"/>
                      <w:sz w:val="21"/>
                      <w:szCs w:val="21"/>
                    </w:rPr>
                  </w:pPr>
                  <w:r>
                    <w:rPr>
                      <w:rFonts w:ascii="Times New Roman" w:hAnsi="Times New Roman"/>
                      <w:b/>
                      <w:color w:val="auto"/>
                      <w:sz w:val="21"/>
                      <w:szCs w:val="21"/>
                    </w:rPr>
                    <w:t>所需风量（m</w:t>
                  </w:r>
                  <w:r>
                    <w:rPr>
                      <w:rFonts w:ascii="Times New Roman" w:hAnsi="Times New Roman"/>
                      <w:b/>
                      <w:color w:val="auto"/>
                      <w:sz w:val="21"/>
                      <w:szCs w:val="21"/>
                      <w:vertAlign w:val="superscript"/>
                    </w:rPr>
                    <w:t>3</w:t>
                  </w:r>
                  <w:r>
                    <w:rPr>
                      <w:rFonts w:ascii="Times New Roman" w:hAnsi="Times New Roman"/>
                      <w:b/>
                      <w:color w:val="auto"/>
                      <w:sz w:val="21"/>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4" w:type="pct"/>
                  <w:vMerge w:val="restart"/>
                  <w:vAlign w:val="center"/>
                </w:tcPr>
                <w:p>
                  <w:pPr>
                    <w:pStyle w:val="44"/>
                    <w:rPr>
                      <w:rFonts w:ascii="Times New Roman" w:hAnsi="Times New Roman"/>
                      <w:color w:val="auto"/>
                      <w:sz w:val="21"/>
                      <w:szCs w:val="21"/>
                    </w:rPr>
                  </w:pPr>
                  <w:r>
                    <w:rPr>
                      <w:rFonts w:ascii="Times New Roman" w:hAnsi="Times New Roman"/>
                      <w:color w:val="auto"/>
                      <w:sz w:val="21"/>
                      <w:szCs w:val="21"/>
                    </w:rPr>
                    <w:t>集气罩</w:t>
                  </w:r>
                </w:p>
              </w:tc>
              <w:tc>
                <w:tcPr>
                  <w:tcW w:w="662" w:type="pct"/>
                  <w:gridSpan w:val="2"/>
                  <w:shd w:val="clear" w:color="auto" w:fill="auto"/>
                  <w:vAlign w:val="center"/>
                </w:tcPr>
                <w:p>
                  <w:pPr>
                    <w:pStyle w:val="44"/>
                    <w:rPr>
                      <w:rFonts w:ascii="Times New Roman" w:hAnsi="Times New Roman"/>
                      <w:color w:val="auto"/>
                      <w:sz w:val="21"/>
                      <w:szCs w:val="21"/>
                    </w:rPr>
                  </w:pPr>
                  <w:r>
                    <w:rPr>
                      <w:rFonts w:hint="eastAsia" w:ascii="Times New Roman" w:hAnsi="Times New Roman"/>
                      <w:color w:val="auto"/>
                      <w:sz w:val="21"/>
                      <w:szCs w:val="21"/>
                    </w:rPr>
                    <w:t>粘片机</w:t>
                  </w:r>
                </w:p>
              </w:tc>
              <w:tc>
                <w:tcPr>
                  <w:tcW w:w="776" w:type="pct"/>
                  <w:gridSpan w:val="2"/>
                  <w:shd w:val="clear" w:color="auto" w:fill="auto"/>
                  <w:vAlign w:val="center"/>
                </w:tcPr>
                <w:p>
                  <w:pPr>
                    <w:widowControl/>
                    <w:jc w:val="center"/>
                    <w:rPr>
                      <w:kern w:val="0"/>
                      <w:szCs w:val="21"/>
                    </w:rPr>
                  </w:pPr>
                  <w:r>
                    <w:rPr>
                      <w:szCs w:val="21"/>
                    </w:rPr>
                    <w:t>1.6</w:t>
                  </w:r>
                </w:p>
              </w:tc>
              <w:tc>
                <w:tcPr>
                  <w:tcW w:w="588" w:type="pct"/>
                  <w:shd w:val="clear" w:color="auto" w:fill="auto"/>
                  <w:vAlign w:val="center"/>
                </w:tcPr>
                <w:p>
                  <w:pPr>
                    <w:jc w:val="center"/>
                    <w:rPr>
                      <w:szCs w:val="21"/>
                    </w:rPr>
                  </w:pPr>
                  <w:r>
                    <w:rPr>
                      <w:szCs w:val="21"/>
                    </w:rPr>
                    <w:t>0.2</w:t>
                  </w:r>
                </w:p>
              </w:tc>
              <w:tc>
                <w:tcPr>
                  <w:tcW w:w="594" w:type="pct"/>
                  <w:gridSpan w:val="2"/>
                  <w:vAlign w:val="center"/>
                </w:tcPr>
                <w:p>
                  <w:pPr>
                    <w:jc w:val="center"/>
                    <w:rPr>
                      <w:szCs w:val="21"/>
                    </w:rPr>
                  </w:pPr>
                  <w:r>
                    <w:rPr>
                      <w:szCs w:val="21"/>
                    </w:rPr>
                    <w:t>0.5</w:t>
                  </w:r>
                </w:p>
              </w:tc>
              <w:tc>
                <w:tcPr>
                  <w:tcW w:w="662" w:type="pct"/>
                  <w:gridSpan w:val="2"/>
                  <w:shd w:val="clear" w:color="auto" w:fill="auto"/>
                  <w:vAlign w:val="center"/>
                </w:tcPr>
                <w:p>
                  <w:pPr>
                    <w:jc w:val="center"/>
                    <w:rPr>
                      <w:szCs w:val="21"/>
                    </w:rPr>
                  </w:pPr>
                  <w:r>
                    <w:rPr>
                      <w:szCs w:val="21"/>
                    </w:rPr>
                    <w:t>1.4</w:t>
                  </w:r>
                </w:p>
              </w:tc>
              <w:tc>
                <w:tcPr>
                  <w:tcW w:w="605" w:type="pct"/>
                  <w:gridSpan w:val="2"/>
                  <w:shd w:val="clear" w:color="auto" w:fill="auto"/>
                  <w:vAlign w:val="center"/>
                </w:tcPr>
                <w:p>
                  <w:pPr>
                    <w:jc w:val="center"/>
                    <w:rPr>
                      <w:szCs w:val="21"/>
                    </w:rPr>
                  </w:pPr>
                  <w:r>
                    <w:rPr>
                      <w:szCs w:val="21"/>
                    </w:rPr>
                    <w:t>34</w:t>
                  </w:r>
                </w:p>
              </w:tc>
              <w:tc>
                <w:tcPr>
                  <w:tcW w:w="629" w:type="pct"/>
                  <w:vAlign w:val="center"/>
                </w:tcPr>
                <w:p>
                  <w:pPr>
                    <w:widowControl/>
                    <w:jc w:val="center"/>
                    <w:rPr>
                      <w:kern w:val="0"/>
                      <w:szCs w:val="21"/>
                    </w:rPr>
                  </w:pPr>
                  <w:r>
                    <w:rPr>
                      <w:szCs w:val="21"/>
                    </w:rPr>
                    <w:t>27417.6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4" w:type="pct"/>
                  <w:vMerge w:val="continue"/>
                  <w:vAlign w:val="center"/>
                </w:tcPr>
                <w:p>
                  <w:pPr>
                    <w:pStyle w:val="44"/>
                    <w:rPr>
                      <w:rFonts w:ascii="Times New Roman" w:hAnsi="Times New Roman"/>
                      <w:color w:val="auto"/>
                      <w:sz w:val="21"/>
                      <w:szCs w:val="21"/>
                    </w:rPr>
                  </w:pPr>
                </w:p>
              </w:tc>
              <w:tc>
                <w:tcPr>
                  <w:tcW w:w="662" w:type="pct"/>
                  <w:gridSpan w:val="2"/>
                  <w:shd w:val="clear" w:color="auto" w:fill="auto"/>
                  <w:vAlign w:val="center"/>
                </w:tcPr>
                <w:p>
                  <w:pPr>
                    <w:pStyle w:val="44"/>
                    <w:rPr>
                      <w:rFonts w:ascii="Times New Roman" w:hAnsi="Times New Roman"/>
                      <w:color w:val="auto"/>
                      <w:sz w:val="21"/>
                      <w:szCs w:val="21"/>
                    </w:rPr>
                  </w:pPr>
                  <w:r>
                    <w:rPr>
                      <w:rFonts w:hint="eastAsia" w:ascii="Times New Roman" w:hAnsi="Times New Roman"/>
                      <w:color w:val="auto"/>
                      <w:sz w:val="21"/>
                      <w:szCs w:val="21"/>
                    </w:rPr>
                    <w:t>点胶机</w:t>
                  </w:r>
                </w:p>
              </w:tc>
              <w:tc>
                <w:tcPr>
                  <w:tcW w:w="776" w:type="pct"/>
                  <w:gridSpan w:val="2"/>
                  <w:shd w:val="clear" w:color="auto" w:fill="auto"/>
                  <w:vAlign w:val="center"/>
                </w:tcPr>
                <w:p>
                  <w:pPr>
                    <w:jc w:val="center"/>
                    <w:rPr>
                      <w:szCs w:val="21"/>
                    </w:rPr>
                  </w:pPr>
                  <w:r>
                    <w:rPr>
                      <w:szCs w:val="21"/>
                    </w:rPr>
                    <w:t>1.2</w:t>
                  </w:r>
                </w:p>
              </w:tc>
              <w:tc>
                <w:tcPr>
                  <w:tcW w:w="588" w:type="pct"/>
                  <w:shd w:val="clear" w:color="auto" w:fill="auto"/>
                  <w:vAlign w:val="center"/>
                </w:tcPr>
                <w:p>
                  <w:pPr>
                    <w:jc w:val="center"/>
                    <w:rPr>
                      <w:szCs w:val="21"/>
                    </w:rPr>
                  </w:pPr>
                  <w:r>
                    <w:rPr>
                      <w:szCs w:val="21"/>
                    </w:rPr>
                    <w:t>0.2</w:t>
                  </w:r>
                </w:p>
              </w:tc>
              <w:tc>
                <w:tcPr>
                  <w:tcW w:w="594" w:type="pct"/>
                  <w:gridSpan w:val="2"/>
                  <w:vAlign w:val="center"/>
                </w:tcPr>
                <w:p>
                  <w:pPr>
                    <w:jc w:val="center"/>
                    <w:rPr>
                      <w:szCs w:val="21"/>
                    </w:rPr>
                  </w:pPr>
                  <w:r>
                    <w:rPr>
                      <w:szCs w:val="21"/>
                    </w:rPr>
                    <w:t>0.5</w:t>
                  </w:r>
                </w:p>
              </w:tc>
              <w:tc>
                <w:tcPr>
                  <w:tcW w:w="662" w:type="pct"/>
                  <w:gridSpan w:val="2"/>
                  <w:shd w:val="clear" w:color="auto" w:fill="auto"/>
                  <w:vAlign w:val="center"/>
                </w:tcPr>
                <w:p>
                  <w:pPr>
                    <w:jc w:val="center"/>
                    <w:rPr>
                      <w:szCs w:val="21"/>
                    </w:rPr>
                  </w:pPr>
                  <w:r>
                    <w:rPr>
                      <w:szCs w:val="21"/>
                    </w:rPr>
                    <w:t>1.4</w:t>
                  </w:r>
                </w:p>
              </w:tc>
              <w:tc>
                <w:tcPr>
                  <w:tcW w:w="605" w:type="pct"/>
                  <w:gridSpan w:val="2"/>
                  <w:shd w:val="clear" w:color="auto" w:fill="auto"/>
                  <w:vAlign w:val="center"/>
                </w:tcPr>
                <w:p>
                  <w:pPr>
                    <w:jc w:val="center"/>
                    <w:rPr>
                      <w:szCs w:val="21"/>
                    </w:rPr>
                  </w:pPr>
                  <w:r>
                    <w:rPr>
                      <w:szCs w:val="21"/>
                    </w:rPr>
                    <w:t>2</w:t>
                  </w:r>
                </w:p>
              </w:tc>
              <w:tc>
                <w:tcPr>
                  <w:tcW w:w="629" w:type="pct"/>
                  <w:vAlign w:val="center"/>
                </w:tcPr>
                <w:p>
                  <w:pPr>
                    <w:jc w:val="center"/>
                    <w:rPr>
                      <w:szCs w:val="21"/>
                    </w:rPr>
                  </w:pPr>
                  <w:r>
                    <w:rPr>
                      <w:szCs w:val="21"/>
                    </w:rPr>
                    <w:t>1209.6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4371" w:type="pct"/>
                  <w:gridSpan w:val="12"/>
                </w:tcPr>
                <w:p>
                  <w:pPr>
                    <w:pStyle w:val="44"/>
                    <w:rPr>
                      <w:rFonts w:ascii="Times New Roman" w:hAnsi="Times New Roman"/>
                      <w:b/>
                      <w:color w:val="auto"/>
                      <w:sz w:val="21"/>
                      <w:szCs w:val="21"/>
                    </w:rPr>
                  </w:pPr>
                  <w:r>
                    <w:rPr>
                      <w:rFonts w:ascii="Times New Roman" w:hAnsi="Times New Roman"/>
                      <w:b/>
                      <w:color w:val="auto"/>
                      <w:sz w:val="21"/>
                      <w:szCs w:val="21"/>
                    </w:rPr>
                    <w:t>合计</w:t>
                  </w:r>
                </w:p>
              </w:tc>
              <w:tc>
                <w:tcPr>
                  <w:tcW w:w="629" w:type="pct"/>
                  <w:vAlign w:val="center"/>
                </w:tcPr>
                <w:p>
                  <w:pPr>
                    <w:pStyle w:val="44"/>
                    <w:rPr>
                      <w:rFonts w:ascii="Times New Roman" w:hAnsi="Times New Roman"/>
                      <w:b/>
                      <w:color w:val="auto"/>
                      <w:sz w:val="21"/>
                      <w:szCs w:val="21"/>
                    </w:rPr>
                  </w:pPr>
                  <w:r>
                    <w:rPr>
                      <w:rFonts w:ascii="Times New Roman" w:hAnsi="Times New Roman"/>
                      <w:b/>
                      <w:color w:val="auto"/>
                      <w:sz w:val="21"/>
                      <w:szCs w:val="21"/>
                    </w:rPr>
                    <w:t>28627.2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5" w:type="pct"/>
                  <w:gridSpan w:val="2"/>
                  <w:vAlign w:val="center"/>
                </w:tcPr>
                <w:p>
                  <w:pPr>
                    <w:pStyle w:val="44"/>
                    <w:rPr>
                      <w:rFonts w:ascii="Times New Roman" w:hAnsi="Times New Roman"/>
                      <w:b/>
                      <w:color w:val="auto"/>
                      <w:sz w:val="21"/>
                      <w:szCs w:val="21"/>
                    </w:rPr>
                  </w:pPr>
                  <w:r>
                    <w:rPr>
                      <w:rFonts w:ascii="Times New Roman" w:hAnsi="Times New Roman"/>
                      <w:b/>
                      <w:color w:val="auto"/>
                      <w:sz w:val="21"/>
                      <w:szCs w:val="21"/>
                    </w:rPr>
                    <w:t>废气收集设施</w:t>
                  </w:r>
                </w:p>
              </w:tc>
              <w:tc>
                <w:tcPr>
                  <w:tcW w:w="674" w:type="pct"/>
                  <w:gridSpan w:val="2"/>
                  <w:shd w:val="clear" w:color="auto" w:fill="auto"/>
                  <w:vAlign w:val="center"/>
                </w:tcPr>
                <w:p>
                  <w:pPr>
                    <w:pStyle w:val="44"/>
                    <w:rPr>
                      <w:rFonts w:ascii="Times New Roman" w:hAnsi="Times New Roman"/>
                      <w:b/>
                      <w:color w:val="auto"/>
                      <w:sz w:val="21"/>
                      <w:szCs w:val="21"/>
                    </w:rPr>
                  </w:pPr>
                  <w:r>
                    <w:rPr>
                      <w:rFonts w:ascii="Times New Roman" w:hAnsi="Times New Roman"/>
                      <w:b/>
                      <w:color w:val="auto"/>
                      <w:sz w:val="21"/>
                      <w:szCs w:val="21"/>
                    </w:rPr>
                    <w:t>设置位置</w:t>
                  </w:r>
                </w:p>
              </w:tc>
              <w:tc>
                <w:tcPr>
                  <w:tcW w:w="1245" w:type="pct"/>
                  <w:gridSpan w:val="3"/>
                  <w:shd w:val="clear" w:color="auto" w:fill="auto"/>
                  <w:vAlign w:val="center"/>
                </w:tcPr>
                <w:p>
                  <w:pPr>
                    <w:pStyle w:val="44"/>
                    <w:rPr>
                      <w:rFonts w:ascii="Times New Roman" w:hAnsi="Times New Roman"/>
                      <w:b/>
                      <w:color w:val="auto"/>
                      <w:sz w:val="21"/>
                      <w:szCs w:val="21"/>
                    </w:rPr>
                  </w:pPr>
                  <w:r>
                    <w:rPr>
                      <w:rFonts w:ascii="Times New Roman" w:hAnsi="Times New Roman"/>
                      <w:b/>
                      <w:color w:val="auto"/>
                      <w:sz w:val="21"/>
                      <w:szCs w:val="21"/>
                    </w:rPr>
                    <w:t>排气口内径（m）</w:t>
                  </w:r>
                </w:p>
              </w:tc>
              <w:tc>
                <w:tcPr>
                  <w:tcW w:w="860" w:type="pct"/>
                  <w:gridSpan w:val="2"/>
                  <w:shd w:val="clear" w:color="auto" w:fill="auto"/>
                  <w:vAlign w:val="center"/>
                </w:tcPr>
                <w:p>
                  <w:pPr>
                    <w:pStyle w:val="44"/>
                    <w:rPr>
                      <w:rFonts w:ascii="Times New Roman" w:hAnsi="Times New Roman"/>
                      <w:b/>
                      <w:color w:val="auto"/>
                      <w:sz w:val="21"/>
                      <w:szCs w:val="21"/>
                    </w:rPr>
                  </w:pPr>
                  <w:r>
                    <w:rPr>
                      <w:rFonts w:ascii="Times New Roman" w:hAnsi="Times New Roman"/>
                      <w:b/>
                      <w:color w:val="auto"/>
                      <w:sz w:val="21"/>
                      <w:szCs w:val="21"/>
                    </w:rPr>
                    <w:t>集气口风速（m/s）</w:t>
                  </w:r>
                </w:p>
              </w:tc>
              <w:tc>
                <w:tcPr>
                  <w:tcW w:w="686" w:type="pct"/>
                  <w:gridSpan w:val="2"/>
                  <w:shd w:val="clear" w:color="auto" w:fill="auto"/>
                  <w:vAlign w:val="center"/>
                </w:tcPr>
                <w:p>
                  <w:pPr>
                    <w:pStyle w:val="44"/>
                    <w:rPr>
                      <w:rFonts w:ascii="Times New Roman" w:hAnsi="Times New Roman"/>
                      <w:b/>
                      <w:color w:val="auto"/>
                      <w:sz w:val="21"/>
                      <w:szCs w:val="21"/>
                    </w:rPr>
                  </w:pPr>
                  <w:r>
                    <w:rPr>
                      <w:rFonts w:ascii="Times New Roman" w:hAnsi="Times New Roman"/>
                      <w:b/>
                      <w:color w:val="auto"/>
                      <w:sz w:val="21"/>
                      <w:szCs w:val="21"/>
                    </w:rPr>
                    <w:t>数量（根）</w:t>
                  </w:r>
                </w:p>
              </w:tc>
              <w:tc>
                <w:tcPr>
                  <w:tcW w:w="929" w:type="pct"/>
                  <w:gridSpan w:val="2"/>
                  <w:vAlign w:val="center"/>
                </w:tcPr>
                <w:p>
                  <w:pPr>
                    <w:widowControl/>
                    <w:jc w:val="center"/>
                    <w:rPr>
                      <w:b/>
                      <w:kern w:val="0"/>
                      <w:szCs w:val="21"/>
                    </w:rPr>
                  </w:pPr>
                  <w:r>
                    <w:rPr>
                      <w:b/>
                      <w:szCs w:val="21"/>
                    </w:rPr>
                    <w:t>所需风量（m</w:t>
                  </w:r>
                  <w:r>
                    <w:rPr>
                      <w:b/>
                      <w:szCs w:val="21"/>
                      <w:vertAlign w:val="superscript"/>
                    </w:rPr>
                    <w:t>3</w:t>
                  </w:r>
                  <w:r>
                    <w:rPr>
                      <w:b/>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5" w:type="pct"/>
                  <w:gridSpan w:val="2"/>
                  <w:vMerge w:val="restart"/>
                  <w:vAlign w:val="center"/>
                </w:tcPr>
                <w:p>
                  <w:pPr>
                    <w:pStyle w:val="44"/>
                    <w:rPr>
                      <w:rFonts w:ascii="Times New Roman" w:hAnsi="Times New Roman"/>
                      <w:color w:val="auto"/>
                      <w:sz w:val="21"/>
                      <w:szCs w:val="21"/>
                    </w:rPr>
                  </w:pPr>
                  <w:r>
                    <w:rPr>
                      <w:rFonts w:ascii="Times New Roman" w:hAnsi="Times New Roman"/>
                      <w:color w:val="auto"/>
                      <w:sz w:val="21"/>
                      <w:szCs w:val="21"/>
                    </w:rPr>
                    <w:t>集气管</w:t>
                  </w:r>
                </w:p>
              </w:tc>
              <w:tc>
                <w:tcPr>
                  <w:tcW w:w="674" w:type="pct"/>
                  <w:gridSpan w:val="2"/>
                  <w:tcBorders>
                    <w:bottom w:val="single" w:color="auto" w:sz="4" w:space="0"/>
                  </w:tcBorders>
                  <w:shd w:val="clear" w:color="auto" w:fill="auto"/>
                  <w:vAlign w:val="center"/>
                </w:tcPr>
                <w:p>
                  <w:pPr>
                    <w:pStyle w:val="44"/>
                    <w:rPr>
                      <w:rFonts w:ascii="Times New Roman" w:hAnsi="Times New Roman"/>
                      <w:color w:val="auto"/>
                      <w:sz w:val="21"/>
                      <w:szCs w:val="21"/>
                    </w:rPr>
                  </w:pPr>
                  <w:r>
                    <w:rPr>
                      <w:rFonts w:hint="eastAsia" w:ascii="Times New Roman" w:hAnsi="Times New Roman"/>
                      <w:color w:val="auto"/>
                      <w:sz w:val="21"/>
                      <w:szCs w:val="21"/>
                    </w:rPr>
                    <w:t>塑封压机</w:t>
                  </w:r>
                </w:p>
              </w:tc>
              <w:tc>
                <w:tcPr>
                  <w:tcW w:w="1245" w:type="pct"/>
                  <w:gridSpan w:val="3"/>
                  <w:tcBorders>
                    <w:bottom w:val="single" w:color="auto" w:sz="4" w:space="0"/>
                  </w:tcBorders>
                  <w:shd w:val="clear" w:color="auto" w:fill="auto"/>
                  <w:vAlign w:val="center"/>
                </w:tcPr>
                <w:p>
                  <w:pPr>
                    <w:pStyle w:val="44"/>
                    <w:rPr>
                      <w:rFonts w:ascii="Times New Roman" w:hAnsi="Times New Roman"/>
                      <w:color w:val="auto"/>
                      <w:sz w:val="21"/>
                      <w:szCs w:val="21"/>
                    </w:rPr>
                  </w:pPr>
                  <w:r>
                    <w:rPr>
                      <w:rFonts w:ascii="Times New Roman" w:hAnsi="Times New Roman"/>
                      <w:color w:val="auto"/>
                      <w:sz w:val="21"/>
                      <w:szCs w:val="21"/>
                    </w:rPr>
                    <w:t>0.1</w:t>
                  </w:r>
                </w:p>
              </w:tc>
              <w:tc>
                <w:tcPr>
                  <w:tcW w:w="860" w:type="pct"/>
                  <w:gridSpan w:val="2"/>
                  <w:tcBorders>
                    <w:bottom w:val="single" w:color="auto" w:sz="4" w:space="0"/>
                  </w:tcBorders>
                  <w:shd w:val="clear" w:color="auto" w:fill="auto"/>
                  <w:vAlign w:val="center"/>
                </w:tcPr>
                <w:p>
                  <w:pPr>
                    <w:pStyle w:val="44"/>
                    <w:rPr>
                      <w:rFonts w:ascii="Times New Roman" w:hAnsi="Times New Roman"/>
                      <w:color w:val="auto"/>
                      <w:sz w:val="21"/>
                      <w:szCs w:val="21"/>
                    </w:rPr>
                  </w:pPr>
                  <w:r>
                    <w:rPr>
                      <w:rFonts w:ascii="Times New Roman" w:hAnsi="Times New Roman"/>
                      <w:color w:val="auto"/>
                      <w:sz w:val="21"/>
                      <w:szCs w:val="21"/>
                    </w:rPr>
                    <w:t>2</w:t>
                  </w:r>
                </w:p>
              </w:tc>
              <w:tc>
                <w:tcPr>
                  <w:tcW w:w="686" w:type="pct"/>
                  <w:gridSpan w:val="2"/>
                  <w:tcBorders>
                    <w:bottom w:val="single" w:color="auto" w:sz="4" w:space="0"/>
                  </w:tcBorders>
                  <w:shd w:val="clear" w:color="auto" w:fill="auto"/>
                  <w:vAlign w:val="center"/>
                </w:tcPr>
                <w:p>
                  <w:pPr>
                    <w:pStyle w:val="44"/>
                    <w:rPr>
                      <w:rFonts w:ascii="Times New Roman" w:hAnsi="Times New Roman"/>
                      <w:color w:val="auto"/>
                      <w:sz w:val="21"/>
                      <w:szCs w:val="21"/>
                    </w:rPr>
                  </w:pPr>
                  <w:r>
                    <w:rPr>
                      <w:rFonts w:ascii="Times New Roman" w:hAnsi="Times New Roman"/>
                      <w:color w:val="auto"/>
                      <w:sz w:val="21"/>
                      <w:szCs w:val="21"/>
                    </w:rPr>
                    <w:t>15</w:t>
                  </w:r>
                </w:p>
              </w:tc>
              <w:tc>
                <w:tcPr>
                  <w:tcW w:w="929" w:type="pct"/>
                  <w:gridSpan w:val="2"/>
                  <w:tcBorders>
                    <w:bottom w:val="single" w:color="auto" w:sz="4" w:space="0"/>
                  </w:tcBorders>
                  <w:vAlign w:val="center"/>
                </w:tcPr>
                <w:p>
                  <w:pPr>
                    <w:jc w:val="center"/>
                    <w:rPr>
                      <w:szCs w:val="21"/>
                    </w:rPr>
                  </w:pPr>
                  <w:r>
                    <w:rPr>
                      <w:szCs w:val="21"/>
                    </w:rPr>
                    <w:t>848.2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5" w:type="pct"/>
                  <w:gridSpan w:val="2"/>
                  <w:vMerge w:val="continue"/>
                  <w:vAlign w:val="center"/>
                </w:tcPr>
                <w:p>
                  <w:pPr>
                    <w:pStyle w:val="44"/>
                    <w:rPr>
                      <w:rFonts w:ascii="Times New Roman" w:hAnsi="Times New Roman"/>
                      <w:color w:val="auto"/>
                      <w:sz w:val="21"/>
                      <w:szCs w:val="21"/>
                    </w:rPr>
                  </w:pPr>
                </w:p>
              </w:tc>
              <w:tc>
                <w:tcPr>
                  <w:tcW w:w="674" w:type="pct"/>
                  <w:gridSpan w:val="2"/>
                  <w:tcBorders>
                    <w:bottom w:val="single" w:color="auto" w:sz="4" w:space="0"/>
                  </w:tcBorders>
                  <w:shd w:val="clear" w:color="auto" w:fill="auto"/>
                  <w:vAlign w:val="center"/>
                </w:tcPr>
                <w:p>
                  <w:pPr>
                    <w:pStyle w:val="44"/>
                    <w:rPr>
                      <w:rFonts w:ascii="Times New Roman" w:hAnsi="Times New Roman"/>
                      <w:color w:val="auto"/>
                      <w:sz w:val="21"/>
                      <w:szCs w:val="21"/>
                    </w:rPr>
                  </w:pPr>
                  <w:r>
                    <w:rPr>
                      <w:rFonts w:hint="eastAsia" w:ascii="Times New Roman" w:hAnsi="Times New Roman"/>
                      <w:color w:val="auto"/>
                      <w:sz w:val="21"/>
                      <w:szCs w:val="21"/>
                    </w:rPr>
                    <w:t>烤箱</w:t>
                  </w:r>
                </w:p>
              </w:tc>
              <w:tc>
                <w:tcPr>
                  <w:tcW w:w="1245" w:type="pct"/>
                  <w:gridSpan w:val="3"/>
                  <w:tcBorders>
                    <w:bottom w:val="single" w:color="auto" w:sz="4" w:space="0"/>
                  </w:tcBorders>
                  <w:shd w:val="clear" w:color="auto" w:fill="auto"/>
                  <w:vAlign w:val="center"/>
                </w:tcPr>
                <w:p>
                  <w:pPr>
                    <w:pStyle w:val="44"/>
                    <w:rPr>
                      <w:rFonts w:ascii="Times New Roman" w:hAnsi="Times New Roman"/>
                      <w:color w:val="auto"/>
                      <w:sz w:val="21"/>
                      <w:szCs w:val="21"/>
                    </w:rPr>
                  </w:pPr>
                  <w:r>
                    <w:rPr>
                      <w:rFonts w:hint="eastAsia" w:ascii="Times New Roman" w:hAnsi="Times New Roman"/>
                      <w:color w:val="auto"/>
                      <w:sz w:val="21"/>
                      <w:szCs w:val="21"/>
                    </w:rPr>
                    <w:t>0.</w:t>
                  </w:r>
                  <w:r>
                    <w:rPr>
                      <w:rFonts w:ascii="Times New Roman" w:hAnsi="Times New Roman"/>
                      <w:color w:val="auto"/>
                      <w:sz w:val="21"/>
                      <w:szCs w:val="21"/>
                    </w:rPr>
                    <w:t>1</w:t>
                  </w:r>
                </w:p>
              </w:tc>
              <w:tc>
                <w:tcPr>
                  <w:tcW w:w="860" w:type="pct"/>
                  <w:gridSpan w:val="2"/>
                  <w:tcBorders>
                    <w:bottom w:val="single" w:color="auto" w:sz="4" w:space="0"/>
                  </w:tcBorders>
                  <w:shd w:val="clear" w:color="auto" w:fill="auto"/>
                  <w:vAlign w:val="center"/>
                </w:tcPr>
                <w:p>
                  <w:pPr>
                    <w:pStyle w:val="44"/>
                    <w:rPr>
                      <w:rFonts w:ascii="Times New Roman" w:hAnsi="Times New Roman"/>
                      <w:color w:val="auto"/>
                      <w:sz w:val="21"/>
                      <w:szCs w:val="21"/>
                    </w:rPr>
                  </w:pPr>
                  <w:r>
                    <w:rPr>
                      <w:rFonts w:hint="eastAsia" w:ascii="Times New Roman" w:hAnsi="Times New Roman"/>
                      <w:color w:val="auto"/>
                      <w:sz w:val="21"/>
                      <w:szCs w:val="21"/>
                    </w:rPr>
                    <w:t>2</w:t>
                  </w:r>
                </w:p>
              </w:tc>
              <w:tc>
                <w:tcPr>
                  <w:tcW w:w="686" w:type="pct"/>
                  <w:gridSpan w:val="2"/>
                  <w:tcBorders>
                    <w:bottom w:val="single" w:color="auto" w:sz="4" w:space="0"/>
                  </w:tcBorders>
                  <w:shd w:val="clear" w:color="auto" w:fill="auto"/>
                  <w:vAlign w:val="center"/>
                </w:tcPr>
                <w:p>
                  <w:pPr>
                    <w:pStyle w:val="44"/>
                    <w:rPr>
                      <w:rFonts w:ascii="Times New Roman" w:hAnsi="Times New Roman"/>
                      <w:color w:val="auto"/>
                      <w:sz w:val="21"/>
                      <w:szCs w:val="21"/>
                    </w:rPr>
                  </w:pPr>
                  <w:r>
                    <w:rPr>
                      <w:rFonts w:hint="eastAsia" w:ascii="Times New Roman" w:hAnsi="Times New Roman"/>
                      <w:color w:val="auto"/>
                      <w:sz w:val="21"/>
                      <w:szCs w:val="21"/>
                    </w:rPr>
                    <w:t>6</w:t>
                  </w:r>
                </w:p>
              </w:tc>
              <w:tc>
                <w:tcPr>
                  <w:tcW w:w="929" w:type="pct"/>
                  <w:gridSpan w:val="2"/>
                  <w:tcBorders>
                    <w:bottom w:val="single" w:color="auto" w:sz="4" w:space="0"/>
                  </w:tcBorders>
                  <w:vAlign w:val="center"/>
                </w:tcPr>
                <w:p>
                  <w:pPr>
                    <w:jc w:val="center"/>
                    <w:rPr>
                      <w:szCs w:val="21"/>
                    </w:rPr>
                  </w:pPr>
                  <w:r>
                    <w:rPr>
                      <w:szCs w:val="21"/>
                    </w:rPr>
                    <w:t>339.3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71" w:type="pct"/>
                  <w:gridSpan w:val="11"/>
                </w:tcPr>
                <w:p>
                  <w:pPr>
                    <w:pStyle w:val="44"/>
                    <w:rPr>
                      <w:rFonts w:ascii="Times New Roman" w:hAnsi="Times New Roman"/>
                      <w:b/>
                      <w:color w:val="auto"/>
                      <w:sz w:val="21"/>
                      <w:szCs w:val="21"/>
                    </w:rPr>
                  </w:pPr>
                  <w:r>
                    <w:rPr>
                      <w:rFonts w:ascii="Times New Roman" w:hAnsi="Times New Roman"/>
                      <w:b/>
                      <w:color w:val="auto"/>
                      <w:sz w:val="21"/>
                      <w:szCs w:val="21"/>
                    </w:rPr>
                    <w:t>合计</w:t>
                  </w:r>
                </w:p>
              </w:tc>
              <w:tc>
                <w:tcPr>
                  <w:tcW w:w="929" w:type="pct"/>
                  <w:gridSpan w:val="2"/>
                  <w:vAlign w:val="center"/>
                </w:tcPr>
                <w:p>
                  <w:pPr>
                    <w:pStyle w:val="44"/>
                    <w:rPr>
                      <w:rFonts w:ascii="Times New Roman" w:hAnsi="Times New Roman"/>
                      <w:b/>
                      <w:color w:val="auto"/>
                      <w:sz w:val="21"/>
                      <w:szCs w:val="21"/>
                    </w:rPr>
                  </w:pPr>
                  <w:r>
                    <w:rPr>
                      <w:rFonts w:ascii="Times New Roman" w:hAnsi="Times New Roman"/>
                      <w:b/>
                      <w:color w:val="auto"/>
                      <w:sz w:val="21"/>
                      <w:szCs w:val="21"/>
                    </w:rPr>
                    <w:t>1187.5</w:t>
                  </w:r>
                </w:p>
              </w:tc>
            </w:tr>
          </w:tbl>
          <w:p>
            <w:pPr>
              <w:adjustRightInd w:val="0"/>
              <w:snapToGrid w:val="0"/>
              <w:spacing w:line="360" w:lineRule="auto"/>
              <w:ind w:firstLine="420" w:firstLineChars="200"/>
              <w:rPr>
                <w:szCs w:val="21"/>
              </w:rPr>
            </w:pPr>
            <w:r>
              <w:rPr>
                <w:rFonts w:hint="eastAsia"/>
              </w:rPr>
              <w:t>由</w:t>
            </w:r>
            <w:r>
              <w:t>上表可知，本项目</w:t>
            </w:r>
            <w:r>
              <w:rPr>
                <w:rFonts w:hint="eastAsia"/>
              </w:rPr>
              <w:t>厂房A废气</w:t>
            </w:r>
            <w:r>
              <w:t>收集系统所需集气风量约为28627.2+1187.5=29814.7m</w:t>
            </w:r>
            <w:r>
              <w:rPr>
                <w:vertAlign w:val="superscript"/>
              </w:rPr>
              <w:t>3</w:t>
            </w:r>
            <w:r>
              <w:t>/h，</w:t>
            </w:r>
            <w:r>
              <w:rPr>
                <w:rFonts w:hint="eastAsia"/>
              </w:rPr>
              <w:t>考虑</w:t>
            </w:r>
            <w:r>
              <w:t>风量损失，</w:t>
            </w:r>
            <w:r>
              <w:rPr>
                <w:rFonts w:hint="eastAsia"/>
              </w:rPr>
              <w:t>该</w:t>
            </w:r>
            <w:r>
              <w:t>套废气处理设施风机</w:t>
            </w:r>
            <w:r>
              <w:rPr>
                <w:rFonts w:hint="eastAsia"/>
              </w:rPr>
              <w:t>设计</w:t>
            </w:r>
            <w:r>
              <w:t>风量取30000m</w:t>
            </w:r>
            <w:r>
              <w:rPr>
                <w:vertAlign w:val="superscript"/>
              </w:rPr>
              <w:t>3</w:t>
            </w:r>
            <w:r>
              <w:t>/h。</w:t>
            </w:r>
          </w:p>
          <w:p>
            <w:pPr>
              <w:numPr>
                <w:ilvl w:val="0"/>
                <w:numId w:val="5"/>
              </w:numPr>
              <w:adjustRightInd w:val="0"/>
              <w:snapToGrid w:val="0"/>
              <w:spacing w:line="360" w:lineRule="auto"/>
              <w:ind w:left="0"/>
              <w:jc w:val="center"/>
              <w:rPr>
                <w:b/>
              </w:rPr>
            </w:pPr>
            <w:r>
              <w:rPr>
                <w:b/>
              </w:rPr>
              <w:t>项目</w:t>
            </w:r>
            <w:r>
              <w:rPr>
                <w:rFonts w:hint="eastAsia"/>
                <w:b/>
              </w:rPr>
              <w:t>DA00</w:t>
            </w:r>
            <w:r>
              <w:rPr>
                <w:b/>
              </w:rPr>
              <w:t>2</w:t>
            </w:r>
            <w:r>
              <w:rPr>
                <w:rFonts w:hint="eastAsia"/>
                <w:b/>
              </w:rPr>
              <w:t>排气筒</w:t>
            </w:r>
            <w:r>
              <w:rPr>
                <w:b/>
              </w:rPr>
              <w:t>风机风量设计参数表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204"/>
              <w:gridCol w:w="911"/>
              <w:gridCol w:w="224"/>
              <w:gridCol w:w="1082"/>
              <w:gridCol w:w="990"/>
              <w:gridCol w:w="24"/>
              <w:gridCol w:w="976"/>
              <w:gridCol w:w="471"/>
              <w:gridCol w:w="643"/>
              <w:gridCol w:w="513"/>
              <w:gridCol w:w="505"/>
              <w:gridCol w:w="1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4" w:type="pct"/>
                  <w:vAlign w:val="center"/>
                </w:tcPr>
                <w:p>
                  <w:pPr>
                    <w:pStyle w:val="44"/>
                    <w:rPr>
                      <w:rFonts w:ascii="Times New Roman" w:hAnsi="Times New Roman"/>
                      <w:b/>
                      <w:color w:val="auto"/>
                      <w:sz w:val="21"/>
                      <w:szCs w:val="21"/>
                    </w:rPr>
                  </w:pPr>
                  <w:r>
                    <w:rPr>
                      <w:rFonts w:ascii="Times New Roman" w:hAnsi="Times New Roman"/>
                      <w:b/>
                      <w:color w:val="auto"/>
                      <w:sz w:val="21"/>
                      <w:szCs w:val="21"/>
                    </w:rPr>
                    <w:t>废气收集设施</w:t>
                  </w:r>
                </w:p>
              </w:tc>
              <w:tc>
                <w:tcPr>
                  <w:tcW w:w="662" w:type="pct"/>
                  <w:gridSpan w:val="2"/>
                  <w:shd w:val="clear" w:color="auto" w:fill="auto"/>
                  <w:vAlign w:val="center"/>
                </w:tcPr>
                <w:p>
                  <w:pPr>
                    <w:pStyle w:val="44"/>
                    <w:rPr>
                      <w:rFonts w:ascii="Times New Roman" w:hAnsi="Times New Roman"/>
                      <w:b/>
                      <w:color w:val="auto"/>
                      <w:sz w:val="21"/>
                      <w:szCs w:val="21"/>
                    </w:rPr>
                  </w:pPr>
                  <w:r>
                    <w:rPr>
                      <w:rFonts w:ascii="Times New Roman" w:hAnsi="Times New Roman"/>
                      <w:b/>
                      <w:color w:val="auto"/>
                      <w:sz w:val="21"/>
                      <w:szCs w:val="21"/>
                    </w:rPr>
                    <w:t>设置位置</w:t>
                  </w:r>
                </w:p>
              </w:tc>
              <w:tc>
                <w:tcPr>
                  <w:tcW w:w="776" w:type="pct"/>
                  <w:gridSpan w:val="2"/>
                  <w:shd w:val="clear" w:color="auto" w:fill="auto"/>
                  <w:vAlign w:val="center"/>
                </w:tcPr>
                <w:p>
                  <w:pPr>
                    <w:adjustRightInd w:val="0"/>
                    <w:snapToGrid w:val="0"/>
                    <w:jc w:val="center"/>
                    <w:rPr>
                      <w:b/>
                    </w:rPr>
                  </w:pPr>
                  <w:r>
                    <w:rPr>
                      <w:rFonts w:hint="eastAsia"/>
                      <w:b/>
                    </w:rPr>
                    <w:t>罩口敞开面周长</w:t>
                  </w:r>
                  <w:r>
                    <w:rPr>
                      <w:b/>
                    </w:rPr>
                    <w:t>（m）</w:t>
                  </w:r>
                </w:p>
              </w:tc>
              <w:tc>
                <w:tcPr>
                  <w:tcW w:w="588" w:type="pct"/>
                  <w:shd w:val="clear" w:color="auto" w:fill="auto"/>
                  <w:vAlign w:val="center"/>
                </w:tcPr>
                <w:p>
                  <w:pPr>
                    <w:adjustRightInd w:val="0"/>
                    <w:snapToGrid w:val="0"/>
                    <w:jc w:val="center"/>
                    <w:rPr>
                      <w:b/>
                    </w:rPr>
                  </w:pPr>
                  <w:r>
                    <w:rPr>
                      <w:rFonts w:hint="eastAsia"/>
                      <w:b/>
                    </w:rPr>
                    <w:t>罩口至污染源距离</w:t>
                  </w:r>
                  <w:r>
                    <w:rPr>
                      <w:b/>
                    </w:rPr>
                    <w:t>（m）</w:t>
                  </w:r>
                </w:p>
              </w:tc>
              <w:tc>
                <w:tcPr>
                  <w:tcW w:w="594" w:type="pct"/>
                  <w:gridSpan w:val="2"/>
                  <w:vAlign w:val="center"/>
                </w:tcPr>
                <w:p>
                  <w:pPr>
                    <w:adjustRightInd w:val="0"/>
                    <w:snapToGrid w:val="0"/>
                    <w:jc w:val="center"/>
                    <w:rPr>
                      <w:b/>
                    </w:rPr>
                  </w:pPr>
                  <w:r>
                    <w:rPr>
                      <w:b/>
                    </w:rPr>
                    <w:t>控制风速（m/s）</w:t>
                  </w:r>
                </w:p>
              </w:tc>
              <w:tc>
                <w:tcPr>
                  <w:tcW w:w="662" w:type="pct"/>
                  <w:gridSpan w:val="2"/>
                  <w:shd w:val="clear" w:color="auto" w:fill="auto"/>
                  <w:vAlign w:val="center"/>
                </w:tcPr>
                <w:p>
                  <w:pPr>
                    <w:adjustRightInd w:val="0"/>
                    <w:snapToGrid w:val="0"/>
                    <w:jc w:val="center"/>
                    <w:rPr>
                      <w:b/>
                    </w:rPr>
                  </w:pPr>
                  <w:r>
                    <w:rPr>
                      <w:rFonts w:hint="eastAsia"/>
                      <w:b/>
                    </w:rPr>
                    <w:t>安全系数</w:t>
                  </w:r>
                  <w:r>
                    <w:rPr>
                      <w:b/>
                    </w:rPr>
                    <w:t>k</w:t>
                  </w:r>
                </w:p>
              </w:tc>
              <w:tc>
                <w:tcPr>
                  <w:tcW w:w="605" w:type="pct"/>
                  <w:gridSpan w:val="2"/>
                  <w:shd w:val="clear" w:color="auto" w:fill="auto"/>
                  <w:vAlign w:val="center"/>
                </w:tcPr>
                <w:p>
                  <w:pPr>
                    <w:adjustRightInd w:val="0"/>
                    <w:snapToGrid w:val="0"/>
                    <w:jc w:val="center"/>
                    <w:rPr>
                      <w:b/>
                    </w:rPr>
                  </w:pPr>
                  <w:r>
                    <w:rPr>
                      <w:b/>
                    </w:rPr>
                    <w:t>集气设施数量（个）</w:t>
                  </w:r>
                </w:p>
              </w:tc>
              <w:tc>
                <w:tcPr>
                  <w:tcW w:w="629" w:type="pct"/>
                  <w:vAlign w:val="center"/>
                </w:tcPr>
                <w:p>
                  <w:pPr>
                    <w:pStyle w:val="44"/>
                    <w:rPr>
                      <w:rFonts w:ascii="Times New Roman" w:hAnsi="Times New Roman"/>
                      <w:b/>
                      <w:color w:val="auto"/>
                      <w:sz w:val="21"/>
                      <w:szCs w:val="21"/>
                    </w:rPr>
                  </w:pPr>
                  <w:r>
                    <w:rPr>
                      <w:rFonts w:ascii="Times New Roman" w:hAnsi="Times New Roman"/>
                      <w:b/>
                      <w:color w:val="auto"/>
                      <w:sz w:val="21"/>
                      <w:szCs w:val="21"/>
                    </w:rPr>
                    <w:t>所需风量（m</w:t>
                  </w:r>
                  <w:r>
                    <w:rPr>
                      <w:rFonts w:ascii="Times New Roman" w:hAnsi="Times New Roman"/>
                      <w:b/>
                      <w:color w:val="auto"/>
                      <w:sz w:val="21"/>
                      <w:szCs w:val="21"/>
                      <w:vertAlign w:val="superscript"/>
                    </w:rPr>
                    <w:t>3</w:t>
                  </w:r>
                  <w:r>
                    <w:rPr>
                      <w:rFonts w:ascii="Times New Roman" w:hAnsi="Times New Roman"/>
                      <w:b/>
                      <w:color w:val="auto"/>
                      <w:sz w:val="21"/>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4" w:type="pct"/>
                  <w:vAlign w:val="center"/>
                </w:tcPr>
                <w:p>
                  <w:pPr>
                    <w:pStyle w:val="44"/>
                    <w:rPr>
                      <w:rFonts w:ascii="Times New Roman" w:hAnsi="Times New Roman"/>
                      <w:color w:val="auto"/>
                      <w:sz w:val="21"/>
                      <w:szCs w:val="21"/>
                    </w:rPr>
                  </w:pPr>
                  <w:r>
                    <w:rPr>
                      <w:rFonts w:ascii="Times New Roman" w:hAnsi="Times New Roman"/>
                      <w:color w:val="auto"/>
                      <w:sz w:val="21"/>
                      <w:szCs w:val="21"/>
                    </w:rPr>
                    <w:t>集气罩</w:t>
                  </w:r>
                </w:p>
              </w:tc>
              <w:tc>
                <w:tcPr>
                  <w:tcW w:w="662" w:type="pct"/>
                  <w:gridSpan w:val="2"/>
                  <w:shd w:val="clear" w:color="auto" w:fill="auto"/>
                  <w:vAlign w:val="center"/>
                </w:tcPr>
                <w:p>
                  <w:pPr>
                    <w:pStyle w:val="44"/>
                    <w:rPr>
                      <w:rFonts w:ascii="Times New Roman" w:hAnsi="Times New Roman"/>
                      <w:color w:val="auto"/>
                      <w:sz w:val="21"/>
                      <w:szCs w:val="21"/>
                    </w:rPr>
                  </w:pPr>
                  <w:r>
                    <w:rPr>
                      <w:rFonts w:hint="eastAsia" w:ascii="Times New Roman" w:hAnsi="Times New Roman"/>
                      <w:color w:val="auto"/>
                      <w:sz w:val="21"/>
                      <w:szCs w:val="21"/>
                    </w:rPr>
                    <w:t>粘片机</w:t>
                  </w:r>
                </w:p>
              </w:tc>
              <w:tc>
                <w:tcPr>
                  <w:tcW w:w="776" w:type="pct"/>
                  <w:gridSpan w:val="2"/>
                  <w:shd w:val="clear" w:color="auto" w:fill="auto"/>
                  <w:vAlign w:val="center"/>
                </w:tcPr>
                <w:p>
                  <w:pPr>
                    <w:widowControl/>
                    <w:jc w:val="center"/>
                    <w:rPr>
                      <w:kern w:val="0"/>
                      <w:szCs w:val="21"/>
                    </w:rPr>
                  </w:pPr>
                  <w:r>
                    <w:rPr>
                      <w:szCs w:val="21"/>
                    </w:rPr>
                    <w:t>1.6</w:t>
                  </w:r>
                </w:p>
              </w:tc>
              <w:tc>
                <w:tcPr>
                  <w:tcW w:w="588" w:type="pct"/>
                  <w:shd w:val="clear" w:color="auto" w:fill="auto"/>
                  <w:vAlign w:val="center"/>
                </w:tcPr>
                <w:p>
                  <w:pPr>
                    <w:jc w:val="center"/>
                    <w:rPr>
                      <w:szCs w:val="21"/>
                    </w:rPr>
                  </w:pPr>
                  <w:r>
                    <w:rPr>
                      <w:szCs w:val="21"/>
                    </w:rPr>
                    <w:t>0.2</w:t>
                  </w:r>
                </w:p>
              </w:tc>
              <w:tc>
                <w:tcPr>
                  <w:tcW w:w="594" w:type="pct"/>
                  <w:gridSpan w:val="2"/>
                  <w:vAlign w:val="center"/>
                </w:tcPr>
                <w:p>
                  <w:pPr>
                    <w:jc w:val="center"/>
                    <w:rPr>
                      <w:szCs w:val="21"/>
                    </w:rPr>
                  </w:pPr>
                  <w:r>
                    <w:rPr>
                      <w:szCs w:val="21"/>
                    </w:rPr>
                    <w:t>0.5</w:t>
                  </w:r>
                </w:p>
              </w:tc>
              <w:tc>
                <w:tcPr>
                  <w:tcW w:w="662" w:type="pct"/>
                  <w:gridSpan w:val="2"/>
                  <w:shd w:val="clear" w:color="auto" w:fill="auto"/>
                  <w:vAlign w:val="center"/>
                </w:tcPr>
                <w:p>
                  <w:pPr>
                    <w:jc w:val="center"/>
                    <w:rPr>
                      <w:szCs w:val="21"/>
                    </w:rPr>
                  </w:pPr>
                  <w:r>
                    <w:rPr>
                      <w:szCs w:val="21"/>
                    </w:rPr>
                    <w:t>1.4</w:t>
                  </w:r>
                </w:p>
              </w:tc>
              <w:tc>
                <w:tcPr>
                  <w:tcW w:w="605" w:type="pct"/>
                  <w:gridSpan w:val="2"/>
                  <w:shd w:val="clear" w:color="auto" w:fill="auto"/>
                  <w:vAlign w:val="center"/>
                </w:tcPr>
                <w:p>
                  <w:pPr>
                    <w:jc w:val="center"/>
                    <w:rPr>
                      <w:szCs w:val="21"/>
                    </w:rPr>
                  </w:pPr>
                  <w:r>
                    <w:rPr>
                      <w:szCs w:val="21"/>
                    </w:rPr>
                    <w:t>34</w:t>
                  </w:r>
                </w:p>
              </w:tc>
              <w:tc>
                <w:tcPr>
                  <w:tcW w:w="629" w:type="pct"/>
                  <w:vAlign w:val="center"/>
                </w:tcPr>
                <w:p>
                  <w:pPr>
                    <w:widowControl/>
                    <w:jc w:val="center"/>
                    <w:rPr>
                      <w:kern w:val="0"/>
                      <w:szCs w:val="21"/>
                    </w:rPr>
                  </w:pPr>
                  <w:r>
                    <w:rPr>
                      <w:szCs w:val="21"/>
                    </w:rPr>
                    <w:t>27417.6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5" w:type="pct"/>
                  <w:gridSpan w:val="2"/>
                  <w:vAlign w:val="center"/>
                </w:tcPr>
                <w:p>
                  <w:pPr>
                    <w:pStyle w:val="44"/>
                    <w:rPr>
                      <w:rFonts w:ascii="Times New Roman" w:hAnsi="Times New Roman"/>
                      <w:b/>
                      <w:color w:val="auto"/>
                      <w:sz w:val="21"/>
                      <w:szCs w:val="21"/>
                    </w:rPr>
                  </w:pPr>
                  <w:r>
                    <w:rPr>
                      <w:rFonts w:ascii="Times New Roman" w:hAnsi="Times New Roman"/>
                      <w:b/>
                      <w:color w:val="auto"/>
                      <w:sz w:val="21"/>
                      <w:szCs w:val="21"/>
                    </w:rPr>
                    <w:t>废气收集设施</w:t>
                  </w:r>
                </w:p>
              </w:tc>
              <w:tc>
                <w:tcPr>
                  <w:tcW w:w="674" w:type="pct"/>
                  <w:gridSpan w:val="2"/>
                  <w:shd w:val="clear" w:color="auto" w:fill="auto"/>
                  <w:vAlign w:val="center"/>
                </w:tcPr>
                <w:p>
                  <w:pPr>
                    <w:pStyle w:val="44"/>
                    <w:rPr>
                      <w:rFonts w:ascii="Times New Roman" w:hAnsi="Times New Roman"/>
                      <w:b/>
                      <w:color w:val="auto"/>
                      <w:sz w:val="21"/>
                      <w:szCs w:val="21"/>
                    </w:rPr>
                  </w:pPr>
                  <w:r>
                    <w:rPr>
                      <w:rFonts w:ascii="Times New Roman" w:hAnsi="Times New Roman"/>
                      <w:b/>
                      <w:color w:val="auto"/>
                      <w:sz w:val="21"/>
                      <w:szCs w:val="21"/>
                    </w:rPr>
                    <w:t>设置位置</w:t>
                  </w:r>
                </w:p>
              </w:tc>
              <w:tc>
                <w:tcPr>
                  <w:tcW w:w="1245" w:type="pct"/>
                  <w:gridSpan w:val="3"/>
                  <w:shd w:val="clear" w:color="auto" w:fill="auto"/>
                  <w:vAlign w:val="center"/>
                </w:tcPr>
                <w:p>
                  <w:pPr>
                    <w:pStyle w:val="44"/>
                    <w:rPr>
                      <w:rFonts w:ascii="Times New Roman" w:hAnsi="Times New Roman"/>
                      <w:b/>
                      <w:color w:val="auto"/>
                      <w:sz w:val="21"/>
                      <w:szCs w:val="21"/>
                    </w:rPr>
                  </w:pPr>
                  <w:r>
                    <w:rPr>
                      <w:rFonts w:ascii="Times New Roman" w:hAnsi="Times New Roman"/>
                      <w:b/>
                      <w:color w:val="auto"/>
                      <w:sz w:val="21"/>
                      <w:szCs w:val="21"/>
                    </w:rPr>
                    <w:t>排气口内径（m）</w:t>
                  </w:r>
                </w:p>
              </w:tc>
              <w:tc>
                <w:tcPr>
                  <w:tcW w:w="860" w:type="pct"/>
                  <w:gridSpan w:val="2"/>
                  <w:shd w:val="clear" w:color="auto" w:fill="auto"/>
                  <w:vAlign w:val="center"/>
                </w:tcPr>
                <w:p>
                  <w:pPr>
                    <w:pStyle w:val="44"/>
                    <w:rPr>
                      <w:rFonts w:ascii="Times New Roman" w:hAnsi="Times New Roman"/>
                      <w:b/>
                      <w:color w:val="auto"/>
                      <w:sz w:val="21"/>
                      <w:szCs w:val="21"/>
                    </w:rPr>
                  </w:pPr>
                  <w:r>
                    <w:rPr>
                      <w:rFonts w:ascii="Times New Roman" w:hAnsi="Times New Roman"/>
                      <w:b/>
                      <w:color w:val="auto"/>
                      <w:sz w:val="21"/>
                      <w:szCs w:val="21"/>
                    </w:rPr>
                    <w:t>集气口风速（m/s）</w:t>
                  </w:r>
                </w:p>
              </w:tc>
              <w:tc>
                <w:tcPr>
                  <w:tcW w:w="687" w:type="pct"/>
                  <w:gridSpan w:val="2"/>
                  <w:shd w:val="clear" w:color="auto" w:fill="auto"/>
                  <w:vAlign w:val="center"/>
                </w:tcPr>
                <w:p>
                  <w:pPr>
                    <w:pStyle w:val="44"/>
                    <w:rPr>
                      <w:rFonts w:ascii="Times New Roman" w:hAnsi="Times New Roman"/>
                      <w:b/>
                      <w:color w:val="auto"/>
                      <w:sz w:val="21"/>
                      <w:szCs w:val="21"/>
                    </w:rPr>
                  </w:pPr>
                  <w:r>
                    <w:rPr>
                      <w:rFonts w:ascii="Times New Roman" w:hAnsi="Times New Roman"/>
                      <w:b/>
                      <w:color w:val="auto"/>
                      <w:sz w:val="21"/>
                      <w:szCs w:val="21"/>
                    </w:rPr>
                    <w:t>数量（根）</w:t>
                  </w:r>
                </w:p>
              </w:tc>
              <w:tc>
                <w:tcPr>
                  <w:tcW w:w="929" w:type="pct"/>
                  <w:gridSpan w:val="2"/>
                  <w:vAlign w:val="center"/>
                </w:tcPr>
                <w:p>
                  <w:pPr>
                    <w:widowControl/>
                    <w:jc w:val="center"/>
                    <w:rPr>
                      <w:b/>
                      <w:kern w:val="0"/>
                      <w:szCs w:val="21"/>
                    </w:rPr>
                  </w:pPr>
                  <w:r>
                    <w:rPr>
                      <w:b/>
                      <w:szCs w:val="21"/>
                    </w:rPr>
                    <w:t>所需风量（m</w:t>
                  </w:r>
                  <w:r>
                    <w:rPr>
                      <w:b/>
                      <w:szCs w:val="21"/>
                      <w:vertAlign w:val="superscript"/>
                    </w:rPr>
                    <w:t>3</w:t>
                  </w:r>
                  <w:r>
                    <w:rPr>
                      <w:b/>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5" w:type="pct"/>
                  <w:gridSpan w:val="2"/>
                  <w:vMerge w:val="restart"/>
                  <w:vAlign w:val="center"/>
                </w:tcPr>
                <w:p>
                  <w:pPr>
                    <w:pStyle w:val="44"/>
                    <w:rPr>
                      <w:rFonts w:ascii="Times New Roman" w:hAnsi="Times New Roman"/>
                      <w:color w:val="auto"/>
                      <w:sz w:val="21"/>
                      <w:szCs w:val="21"/>
                    </w:rPr>
                  </w:pPr>
                  <w:r>
                    <w:rPr>
                      <w:rFonts w:ascii="Times New Roman" w:hAnsi="Times New Roman"/>
                      <w:color w:val="auto"/>
                      <w:sz w:val="21"/>
                      <w:szCs w:val="21"/>
                    </w:rPr>
                    <w:t>集气管</w:t>
                  </w:r>
                </w:p>
              </w:tc>
              <w:tc>
                <w:tcPr>
                  <w:tcW w:w="674" w:type="pct"/>
                  <w:gridSpan w:val="2"/>
                  <w:tcBorders>
                    <w:bottom w:val="single" w:color="auto" w:sz="4" w:space="0"/>
                  </w:tcBorders>
                  <w:shd w:val="clear" w:color="auto" w:fill="auto"/>
                  <w:vAlign w:val="center"/>
                </w:tcPr>
                <w:p>
                  <w:pPr>
                    <w:pStyle w:val="44"/>
                    <w:rPr>
                      <w:rFonts w:ascii="Times New Roman" w:hAnsi="Times New Roman"/>
                      <w:color w:val="auto"/>
                      <w:sz w:val="21"/>
                      <w:szCs w:val="21"/>
                    </w:rPr>
                  </w:pPr>
                  <w:r>
                    <w:rPr>
                      <w:rFonts w:hint="eastAsia" w:ascii="Times New Roman" w:hAnsi="Times New Roman"/>
                      <w:color w:val="auto"/>
                      <w:sz w:val="21"/>
                      <w:szCs w:val="21"/>
                    </w:rPr>
                    <w:t>塑封压机</w:t>
                  </w:r>
                </w:p>
              </w:tc>
              <w:tc>
                <w:tcPr>
                  <w:tcW w:w="1245" w:type="pct"/>
                  <w:gridSpan w:val="3"/>
                  <w:tcBorders>
                    <w:bottom w:val="single" w:color="auto" w:sz="4" w:space="0"/>
                  </w:tcBorders>
                  <w:shd w:val="clear" w:color="auto" w:fill="auto"/>
                  <w:vAlign w:val="center"/>
                </w:tcPr>
                <w:p>
                  <w:pPr>
                    <w:pStyle w:val="44"/>
                    <w:rPr>
                      <w:rFonts w:ascii="Times New Roman" w:hAnsi="Times New Roman"/>
                      <w:color w:val="auto"/>
                      <w:sz w:val="21"/>
                      <w:szCs w:val="21"/>
                    </w:rPr>
                  </w:pPr>
                  <w:r>
                    <w:rPr>
                      <w:rFonts w:ascii="Times New Roman" w:hAnsi="Times New Roman"/>
                      <w:color w:val="auto"/>
                      <w:sz w:val="21"/>
                      <w:szCs w:val="21"/>
                    </w:rPr>
                    <w:t>0.1</w:t>
                  </w:r>
                </w:p>
              </w:tc>
              <w:tc>
                <w:tcPr>
                  <w:tcW w:w="860" w:type="pct"/>
                  <w:gridSpan w:val="2"/>
                  <w:tcBorders>
                    <w:bottom w:val="single" w:color="auto" w:sz="4" w:space="0"/>
                  </w:tcBorders>
                  <w:shd w:val="clear" w:color="auto" w:fill="auto"/>
                  <w:vAlign w:val="center"/>
                </w:tcPr>
                <w:p>
                  <w:pPr>
                    <w:pStyle w:val="44"/>
                    <w:rPr>
                      <w:rFonts w:ascii="Times New Roman" w:hAnsi="Times New Roman"/>
                      <w:color w:val="auto"/>
                      <w:sz w:val="21"/>
                      <w:szCs w:val="21"/>
                    </w:rPr>
                  </w:pPr>
                  <w:r>
                    <w:rPr>
                      <w:rFonts w:ascii="Times New Roman" w:hAnsi="Times New Roman"/>
                      <w:color w:val="auto"/>
                      <w:sz w:val="21"/>
                      <w:szCs w:val="21"/>
                    </w:rPr>
                    <w:t>2</w:t>
                  </w:r>
                </w:p>
              </w:tc>
              <w:tc>
                <w:tcPr>
                  <w:tcW w:w="687" w:type="pct"/>
                  <w:gridSpan w:val="2"/>
                  <w:tcBorders>
                    <w:bottom w:val="single" w:color="auto" w:sz="4" w:space="0"/>
                  </w:tcBorders>
                  <w:shd w:val="clear" w:color="auto" w:fill="auto"/>
                  <w:vAlign w:val="center"/>
                </w:tcPr>
                <w:p>
                  <w:pPr>
                    <w:pStyle w:val="44"/>
                    <w:rPr>
                      <w:rFonts w:ascii="Times New Roman" w:hAnsi="Times New Roman"/>
                      <w:color w:val="auto"/>
                      <w:sz w:val="21"/>
                      <w:szCs w:val="21"/>
                    </w:rPr>
                  </w:pPr>
                  <w:r>
                    <w:rPr>
                      <w:rFonts w:ascii="Times New Roman" w:hAnsi="Times New Roman"/>
                      <w:color w:val="auto"/>
                      <w:sz w:val="21"/>
                      <w:szCs w:val="21"/>
                    </w:rPr>
                    <w:t>15</w:t>
                  </w:r>
                </w:p>
              </w:tc>
              <w:tc>
                <w:tcPr>
                  <w:tcW w:w="929" w:type="pct"/>
                  <w:gridSpan w:val="2"/>
                  <w:tcBorders>
                    <w:bottom w:val="single" w:color="auto" w:sz="4" w:space="0"/>
                  </w:tcBorders>
                  <w:vAlign w:val="center"/>
                </w:tcPr>
                <w:p>
                  <w:pPr>
                    <w:jc w:val="center"/>
                    <w:rPr>
                      <w:szCs w:val="21"/>
                    </w:rPr>
                  </w:pPr>
                  <w:r>
                    <w:rPr>
                      <w:szCs w:val="21"/>
                    </w:rPr>
                    <w:t>848.2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5" w:type="pct"/>
                  <w:gridSpan w:val="2"/>
                  <w:vMerge w:val="continue"/>
                  <w:vAlign w:val="center"/>
                </w:tcPr>
                <w:p>
                  <w:pPr>
                    <w:pStyle w:val="44"/>
                    <w:rPr>
                      <w:rFonts w:ascii="Times New Roman" w:hAnsi="Times New Roman"/>
                      <w:color w:val="auto"/>
                      <w:sz w:val="21"/>
                      <w:szCs w:val="21"/>
                    </w:rPr>
                  </w:pPr>
                </w:p>
              </w:tc>
              <w:tc>
                <w:tcPr>
                  <w:tcW w:w="674" w:type="pct"/>
                  <w:gridSpan w:val="2"/>
                  <w:tcBorders>
                    <w:bottom w:val="single" w:color="auto" w:sz="4" w:space="0"/>
                  </w:tcBorders>
                  <w:shd w:val="clear" w:color="auto" w:fill="auto"/>
                  <w:vAlign w:val="center"/>
                </w:tcPr>
                <w:p>
                  <w:pPr>
                    <w:pStyle w:val="44"/>
                    <w:rPr>
                      <w:rFonts w:ascii="Times New Roman" w:hAnsi="Times New Roman"/>
                      <w:color w:val="auto"/>
                      <w:sz w:val="21"/>
                      <w:szCs w:val="21"/>
                    </w:rPr>
                  </w:pPr>
                  <w:r>
                    <w:rPr>
                      <w:rFonts w:hint="eastAsia" w:ascii="Times New Roman" w:hAnsi="Times New Roman"/>
                      <w:color w:val="auto"/>
                      <w:sz w:val="21"/>
                      <w:szCs w:val="21"/>
                    </w:rPr>
                    <w:t>烤箱</w:t>
                  </w:r>
                </w:p>
              </w:tc>
              <w:tc>
                <w:tcPr>
                  <w:tcW w:w="1245" w:type="pct"/>
                  <w:gridSpan w:val="3"/>
                  <w:tcBorders>
                    <w:bottom w:val="single" w:color="auto" w:sz="4" w:space="0"/>
                  </w:tcBorders>
                  <w:shd w:val="clear" w:color="auto" w:fill="auto"/>
                  <w:vAlign w:val="center"/>
                </w:tcPr>
                <w:p>
                  <w:pPr>
                    <w:pStyle w:val="44"/>
                    <w:rPr>
                      <w:rFonts w:ascii="Times New Roman" w:hAnsi="Times New Roman"/>
                      <w:color w:val="auto"/>
                      <w:sz w:val="21"/>
                      <w:szCs w:val="21"/>
                    </w:rPr>
                  </w:pPr>
                  <w:r>
                    <w:rPr>
                      <w:rFonts w:hint="eastAsia" w:ascii="Times New Roman" w:hAnsi="Times New Roman"/>
                      <w:color w:val="auto"/>
                      <w:sz w:val="21"/>
                      <w:szCs w:val="21"/>
                    </w:rPr>
                    <w:t>0.</w:t>
                  </w:r>
                  <w:r>
                    <w:rPr>
                      <w:rFonts w:ascii="Times New Roman" w:hAnsi="Times New Roman"/>
                      <w:color w:val="auto"/>
                      <w:sz w:val="21"/>
                      <w:szCs w:val="21"/>
                    </w:rPr>
                    <w:t>1</w:t>
                  </w:r>
                </w:p>
              </w:tc>
              <w:tc>
                <w:tcPr>
                  <w:tcW w:w="860" w:type="pct"/>
                  <w:gridSpan w:val="2"/>
                  <w:tcBorders>
                    <w:bottom w:val="single" w:color="auto" w:sz="4" w:space="0"/>
                  </w:tcBorders>
                  <w:shd w:val="clear" w:color="auto" w:fill="auto"/>
                  <w:vAlign w:val="center"/>
                </w:tcPr>
                <w:p>
                  <w:pPr>
                    <w:pStyle w:val="44"/>
                    <w:rPr>
                      <w:rFonts w:ascii="Times New Roman" w:hAnsi="Times New Roman"/>
                      <w:color w:val="auto"/>
                      <w:sz w:val="21"/>
                      <w:szCs w:val="21"/>
                    </w:rPr>
                  </w:pPr>
                  <w:r>
                    <w:rPr>
                      <w:rFonts w:hint="eastAsia" w:ascii="Times New Roman" w:hAnsi="Times New Roman"/>
                      <w:color w:val="auto"/>
                      <w:sz w:val="21"/>
                      <w:szCs w:val="21"/>
                    </w:rPr>
                    <w:t>2</w:t>
                  </w:r>
                </w:p>
              </w:tc>
              <w:tc>
                <w:tcPr>
                  <w:tcW w:w="687" w:type="pct"/>
                  <w:gridSpan w:val="2"/>
                  <w:tcBorders>
                    <w:bottom w:val="single" w:color="auto" w:sz="4" w:space="0"/>
                  </w:tcBorders>
                  <w:shd w:val="clear" w:color="auto" w:fill="auto"/>
                  <w:vAlign w:val="center"/>
                </w:tcPr>
                <w:p>
                  <w:pPr>
                    <w:pStyle w:val="44"/>
                    <w:rPr>
                      <w:rFonts w:ascii="Times New Roman" w:hAnsi="Times New Roman"/>
                      <w:color w:val="auto"/>
                      <w:sz w:val="21"/>
                      <w:szCs w:val="21"/>
                    </w:rPr>
                  </w:pPr>
                  <w:r>
                    <w:rPr>
                      <w:rFonts w:hint="eastAsia" w:ascii="Times New Roman" w:hAnsi="Times New Roman"/>
                      <w:color w:val="auto"/>
                      <w:sz w:val="21"/>
                      <w:szCs w:val="21"/>
                    </w:rPr>
                    <w:t>6</w:t>
                  </w:r>
                </w:p>
              </w:tc>
              <w:tc>
                <w:tcPr>
                  <w:tcW w:w="929" w:type="pct"/>
                  <w:gridSpan w:val="2"/>
                  <w:tcBorders>
                    <w:bottom w:val="single" w:color="auto" w:sz="4" w:space="0"/>
                  </w:tcBorders>
                  <w:vAlign w:val="center"/>
                </w:tcPr>
                <w:p>
                  <w:pPr>
                    <w:jc w:val="center"/>
                    <w:rPr>
                      <w:szCs w:val="21"/>
                    </w:rPr>
                  </w:pPr>
                  <w:r>
                    <w:rPr>
                      <w:szCs w:val="21"/>
                    </w:rPr>
                    <w:t>339.3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71" w:type="pct"/>
                  <w:gridSpan w:val="11"/>
                </w:tcPr>
                <w:p>
                  <w:pPr>
                    <w:pStyle w:val="44"/>
                    <w:rPr>
                      <w:rFonts w:ascii="Times New Roman" w:hAnsi="Times New Roman"/>
                      <w:b/>
                      <w:color w:val="auto"/>
                      <w:sz w:val="21"/>
                      <w:szCs w:val="21"/>
                    </w:rPr>
                  </w:pPr>
                  <w:r>
                    <w:rPr>
                      <w:rFonts w:ascii="Times New Roman" w:hAnsi="Times New Roman"/>
                      <w:b/>
                      <w:color w:val="auto"/>
                      <w:sz w:val="21"/>
                      <w:szCs w:val="21"/>
                    </w:rPr>
                    <w:t>合计</w:t>
                  </w:r>
                </w:p>
              </w:tc>
              <w:tc>
                <w:tcPr>
                  <w:tcW w:w="929" w:type="pct"/>
                  <w:gridSpan w:val="2"/>
                  <w:vAlign w:val="center"/>
                </w:tcPr>
                <w:p>
                  <w:pPr>
                    <w:pStyle w:val="44"/>
                    <w:rPr>
                      <w:rFonts w:ascii="Times New Roman" w:hAnsi="Times New Roman"/>
                      <w:b/>
                      <w:color w:val="auto"/>
                      <w:sz w:val="21"/>
                      <w:szCs w:val="21"/>
                    </w:rPr>
                  </w:pPr>
                  <w:r>
                    <w:rPr>
                      <w:rFonts w:ascii="Times New Roman" w:hAnsi="Times New Roman"/>
                      <w:b/>
                      <w:color w:val="auto"/>
                      <w:sz w:val="21"/>
                      <w:szCs w:val="21"/>
                    </w:rPr>
                    <w:t>1187.5</w:t>
                  </w:r>
                </w:p>
              </w:tc>
            </w:tr>
          </w:tbl>
          <w:p>
            <w:pPr>
              <w:adjustRightInd w:val="0"/>
              <w:snapToGrid w:val="0"/>
              <w:spacing w:line="360" w:lineRule="auto"/>
              <w:ind w:firstLine="420" w:firstLineChars="200"/>
              <w:rPr>
                <w:szCs w:val="21"/>
              </w:rPr>
            </w:pPr>
            <w:r>
              <w:rPr>
                <w:rFonts w:hint="eastAsia"/>
              </w:rPr>
              <w:t>由</w:t>
            </w:r>
            <w:r>
              <w:t>上表可知，本项目</w:t>
            </w:r>
            <w:r>
              <w:rPr>
                <w:rFonts w:hint="eastAsia"/>
              </w:rPr>
              <w:t>厂房</w:t>
            </w:r>
            <w:r>
              <w:t>B</w:t>
            </w:r>
            <w:r>
              <w:rPr>
                <w:rFonts w:hint="eastAsia"/>
              </w:rPr>
              <w:t>废气</w:t>
            </w:r>
            <w:r>
              <w:t>收集系统所需集气风量约为27417.6+1187.5=28605.12m</w:t>
            </w:r>
            <w:r>
              <w:rPr>
                <w:vertAlign w:val="superscript"/>
              </w:rPr>
              <w:t>3</w:t>
            </w:r>
            <w:r>
              <w:t>/h，</w:t>
            </w:r>
            <w:r>
              <w:rPr>
                <w:rFonts w:hint="eastAsia"/>
              </w:rPr>
              <w:t>考虑</w:t>
            </w:r>
            <w:r>
              <w:t>风量损失，</w:t>
            </w:r>
            <w:r>
              <w:rPr>
                <w:rFonts w:hint="eastAsia"/>
              </w:rPr>
              <w:t>该</w:t>
            </w:r>
            <w:r>
              <w:t>套废气处理设施风机</w:t>
            </w:r>
            <w:r>
              <w:rPr>
                <w:rFonts w:hint="eastAsia"/>
              </w:rPr>
              <w:t>设计</w:t>
            </w:r>
            <w:r>
              <w:t>风量取30000m</w:t>
            </w:r>
            <w:r>
              <w:rPr>
                <w:vertAlign w:val="superscript"/>
              </w:rPr>
              <w:t>3</w:t>
            </w:r>
            <w:r>
              <w:t>/h。</w:t>
            </w:r>
          </w:p>
          <w:p>
            <w:pPr>
              <w:pStyle w:val="44"/>
              <w:snapToGrid w:val="0"/>
              <w:spacing w:line="360" w:lineRule="auto"/>
              <w:ind w:firstLine="420" w:firstLineChars="200"/>
              <w:jc w:val="both"/>
              <w:rPr>
                <w:rFonts w:ascii="Times New Roman" w:hAnsi="Times New Roman"/>
                <w:color w:val="auto"/>
                <w:sz w:val="21"/>
                <w:szCs w:val="21"/>
              </w:rPr>
            </w:pPr>
            <w:r>
              <w:rPr>
                <w:rFonts w:ascii="Times New Roman" w:hAnsi="Times New Roman"/>
                <w:color w:val="auto"/>
                <w:sz w:val="21"/>
                <w:szCs w:val="21"/>
              </w:rPr>
              <w:t>根据</w:t>
            </w:r>
            <w:r>
              <w:rPr>
                <w:rFonts w:ascii="Times New Roman" w:hAnsi="Times New Roman"/>
                <w:bCs/>
                <w:color w:val="auto"/>
                <w:sz w:val="21"/>
                <w:szCs w:val="21"/>
              </w:rPr>
              <w:t>《</w:t>
            </w:r>
            <w:r>
              <w:rPr>
                <w:rFonts w:hint="eastAsia" w:ascii="Times New Roman" w:hAnsi="Times New Roman"/>
                <w:bCs/>
                <w:color w:val="auto"/>
                <w:sz w:val="21"/>
                <w:szCs w:val="21"/>
              </w:rPr>
              <w:t>废气处理</w:t>
            </w:r>
            <w:r>
              <w:rPr>
                <w:rFonts w:ascii="Times New Roman" w:hAnsi="Times New Roman"/>
                <w:bCs/>
                <w:color w:val="auto"/>
                <w:sz w:val="21"/>
                <w:szCs w:val="21"/>
              </w:rPr>
              <w:t>工程技术手册》（</w:t>
            </w:r>
            <w:r>
              <w:rPr>
                <w:rFonts w:hint="eastAsia" w:ascii="Times New Roman" w:hAnsi="Times New Roman"/>
                <w:bCs/>
                <w:color w:val="auto"/>
                <w:sz w:val="21"/>
                <w:szCs w:val="21"/>
              </w:rPr>
              <w:t>王纯、</w:t>
            </w:r>
            <w:r>
              <w:rPr>
                <w:rFonts w:ascii="Times New Roman" w:hAnsi="Times New Roman"/>
                <w:bCs/>
                <w:color w:val="auto"/>
                <w:sz w:val="21"/>
                <w:szCs w:val="21"/>
              </w:rPr>
              <w:t>张殿印主编）</w:t>
            </w:r>
            <w:r>
              <w:rPr>
                <w:rFonts w:hint="eastAsia" w:ascii="Times New Roman" w:hAnsi="Times New Roman"/>
                <w:bCs/>
                <w:color w:val="auto"/>
                <w:sz w:val="21"/>
                <w:szCs w:val="21"/>
              </w:rPr>
              <w:t>，</w:t>
            </w:r>
            <w:r>
              <w:rPr>
                <w:rFonts w:ascii="Times New Roman" w:hAnsi="Times New Roman"/>
                <w:bCs/>
                <w:color w:val="auto"/>
                <w:sz w:val="21"/>
                <w:szCs w:val="21"/>
              </w:rPr>
              <w:t>喷淋塔</w:t>
            </w:r>
            <w:r>
              <w:rPr>
                <w:rFonts w:hint="eastAsia" w:ascii="Times New Roman" w:hAnsi="Times New Roman"/>
                <w:bCs/>
                <w:color w:val="auto"/>
                <w:sz w:val="21"/>
                <w:szCs w:val="21"/>
              </w:rPr>
              <w:t>对</w:t>
            </w:r>
            <w:r>
              <w:rPr>
                <w:rFonts w:ascii="Times New Roman" w:hAnsi="Times New Roman"/>
                <w:bCs/>
                <w:color w:val="auto"/>
                <w:sz w:val="21"/>
                <w:szCs w:val="21"/>
              </w:rPr>
              <w:t>颗粒物去除效率约</w:t>
            </w:r>
            <w:r>
              <w:rPr>
                <w:rFonts w:hint="eastAsia" w:ascii="Times New Roman" w:hAnsi="Times New Roman"/>
                <w:bCs/>
                <w:color w:val="auto"/>
                <w:sz w:val="21"/>
                <w:szCs w:val="21"/>
              </w:rPr>
              <w:t>40</w:t>
            </w:r>
            <w:r>
              <w:rPr>
                <w:rFonts w:ascii="Times New Roman" w:hAnsi="Times New Roman"/>
                <w:bCs/>
                <w:color w:val="auto"/>
                <w:sz w:val="21"/>
                <w:szCs w:val="21"/>
              </w:rPr>
              <w:t>%；根据</w:t>
            </w:r>
            <w:r>
              <w:rPr>
                <w:rFonts w:ascii="Times New Roman" w:hAnsi="Times New Roman"/>
                <w:color w:val="auto"/>
                <w:sz w:val="21"/>
                <w:szCs w:val="21"/>
              </w:rPr>
              <w:t>《深圳市典型行业工艺废气排污量核算方法（试行）》表6挥发性有机物治理设施及达标要求，活性炭吸附治理效率为70%。</w:t>
            </w:r>
          </w:p>
          <w:p>
            <w:pPr>
              <w:pStyle w:val="80"/>
              <w:adjustRightInd w:val="0"/>
              <w:snapToGrid w:val="0"/>
              <w:spacing w:line="360" w:lineRule="auto"/>
              <w:ind w:firstLine="420"/>
              <w:rPr>
                <w:kern w:val="2"/>
                <w:sz w:val="21"/>
              </w:rPr>
            </w:pPr>
            <w:r>
              <w:rPr>
                <w:rFonts w:hint="eastAsia"/>
                <w:kern w:val="2"/>
                <w:sz w:val="21"/>
              </w:rPr>
              <w:t>综上</w:t>
            </w:r>
            <w:r>
              <w:rPr>
                <w:kern w:val="2"/>
                <w:sz w:val="21"/>
              </w:rPr>
              <w:t>所述，</w:t>
            </w:r>
            <w:r>
              <w:rPr>
                <w:rFonts w:hint="eastAsia"/>
                <w:kern w:val="2"/>
                <w:sz w:val="21"/>
              </w:rPr>
              <w:t>经</w:t>
            </w:r>
            <w:r>
              <w:rPr>
                <w:kern w:val="2"/>
                <w:sz w:val="21"/>
              </w:rPr>
              <w:t>处理后，项目</w:t>
            </w:r>
            <w:r>
              <w:rPr>
                <w:rFonts w:hint="eastAsia"/>
                <w:kern w:val="2"/>
                <w:sz w:val="21"/>
              </w:rPr>
              <w:t>废气</w:t>
            </w:r>
            <w:r>
              <w:rPr>
                <w:kern w:val="2"/>
                <w:sz w:val="21"/>
              </w:rPr>
              <w:t>排放情况如下表所示。</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3"/>
              <w:gridCol w:w="1525"/>
              <w:gridCol w:w="1004"/>
              <w:gridCol w:w="1195"/>
              <w:gridCol w:w="1042"/>
              <w:gridCol w:w="1498"/>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519" w:type="pct"/>
                  <w:vMerge w:val="restart"/>
                  <w:vAlign w:val="center"/>
                </w:tcPr>
                <w:p>
                  <w:pPr>
                    <w:adjustRightInd w:val="0"/>
                    <w:snapToGrid w:val="0"/>
                    <w:jc w:val="center"/>
                    <w:rPr>
                      <w:b/>
                      <w:bCs/>
                      <w:szCs w:val="21"/>
                    </w:rPr>
                  </w:pPr>
                  <w:r>
                    <w:rPr>
                      <w:rFonts w:hint="eastAsia"/>
                      <w:b/>
                      <w:bCs/>
                      <w:szCs w:val="21"/>
                    </w:rPr>
                    <w:t>排气筒</w:t>
                  </w:r>
                </w:p>
              </w:tc>
              <w:tc>
                <w:tcPr>
                  <w:tcW w:w="906" w:type="pct"/>
                  <w:vMerge w:val="restart"/>
                  <w:vAlign w:val="center"/>
                </w:tcPr>
                <w:p>
                  <w:pPr>
                    <w:adjustRightInd w:val="0"/>
                    <w:snapToGrid w:val="0"/>
                    <w:jc w:val="center"/>
                    <w:rPr>
                      <w:b/>
                      <w:bCs/>
                      <w:szCs w:val="21"/>
                    </w:rPr>
                  </w:pPr>
                  <w:r>
                    <w:rPr>
                      <w:b/>
                      <w:bCs/>
                      <w:szCs w:val="21"/>
                    </w:rPr>
                    <w:t>污染物</w:t>
                  </w:r>
                </w:p>
              </w:tc>
              <w:tc>
                <w:tcPr>
                  <w:tcW w:w="1306" w:type="pct"/>
                  <w:gridSpan w:val="2"/>
                  <w:vAlign w:val="center"/>
                </w:tcPr>
                <w:p>
                  <w:pPr>
                    <w:adjustRightInd w:val="0"/>
                    <w:snapToGrid w:val="0"/>
                    <w:jc w:val="center"/>
                    <w:rPr>
                      <w:b/>
                      <w:bCs/>
                      <w:szCs w:val="21"/>
                    </w:rPr>
                  </w:pPr>
                  <w:r>
                    <w:rPr>
                      <w:b/>
                      <w:bCs/>
                      <w:szCs w:val="21"/>
                    </w:rPr>
                    <w:t>产生</w:t>
                  </w:r>
                  <w:r>
                    <w:rPr>
                      <w:rFonts w:hint="eastAsia"/>
                      <w:b/>
                      <w:bCs/>
                      <w:szCs w:val="21"/>
                    </w:rPr>
                    <w:t>情况</w:t>
                  </w:r>
                </w:p>
              </w:tc>
              <w:tc>
                <w:tcPr>
                  <w:tcW w:w="2269" w:type="pct"/>
                  <w:gridSpan w:val="3"/>
                  <w:vAlign w:val="center"/>
                </w:tcPr>
                <w:p>
                  <w:pPr>
                    <w:adjustRightInd w:val="0"/>
                    <w:snapToGrid w:val="0"/>
                    <w:jc w:val="center"/>
                    <w:rPr>
                      <w:b/>
                      <w:bCs/>
                      <w:szCs w:val="21"/>
                    </w:rPr>
                  </w:pPr>
                  <w:r>
                    <w:rPr>
                      <w:rFonts w:hint="eastAsia"/>
                      <w:b/>
                      <w:bCs/>
                      <w:szCs w:val="21"/>
                    </w:rPr>
                    <w:t>收集情况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519" w:type="pct"/>
                  <w:vMerge w:val="continue"/>
                  <w:vAlign w:val="center"/>
                </w:tcPr>
                <w:p>
                  <w:pPr>
                    <w:adjustRightInd w:val="0"/>
                    <w:snapToGrid w:val="0"/>
                    <w:jc w:val="center"/>
                    <w:rPr>
                      <w:b/>
                      <w:bCs/>
                      <w:szCs w:val="21"/>
                    </w:rPr>
                  </w:pPr>
                </w:p>
              </w:tc>
              <w:tc>
                <w:tcPr>
                  <w:tcW w:w="906" w:type="pct"/>
                  <w:vMerge w:val="continue"/>
                  <w:vAlign w:val="center"/>
                </w:tcPr>
                <w:p>
                  <w:pPr>
                    <w:adjustRightInd w:val="0"/>
                    <w:snapToGrid w:val="0"/>
                    <w:jc w:val="center"/>
                    <w:rPr>
                      <w:b/>
                      <w:bCs/>
                      <w:szCs w:val="21"/>
                    </w:rPr>
                  </w:pPr>
                </w:p>
              </w:tc>
              <w:tc>
                <w:tcPr>
                  <w:tcW w:w="1306" w:type="pct"/>
                  <w:gridSpan w:val="2"/>
                  <w:vAlign w:val="center"/>
                </w:tcPr>
                <w:p>
                  <w:pPr>
                    <w:adjustRightInd w:val="0"/>
                    <w:snapToGrid w:val="0"/>
                    <w:jc w:val="center"/>
                    <w:rPr>
                      <w:b/>
                      <w:bCs/>
                      <w:szCs w:val="21"/>
                    </w:rPr>
                  </w:pPr>
                  <w:r>
                    <w:rPr>
                      <w:b/>
                      <w:bCs/>
                      <w:szCs w:val="21"/>
                    </w:rPr>
                    <w:t>产生量</w:t>
                  </w:r>
                </w:p>
                <w:p>
                  <w:pPr>
                    <w:adjustRightInd w:val="0"/>
                    <w:snapToGrid w:val="0"/>
                    <w:jc w:val="center"/>
                    <w:rPr>
                      <w:b/>
                      <w:bCs/>
                      <w:szCs w:val="21"/>
                    </w:rPr>
                  </w:pPr>
                  <w:r>
                    <w:rPr>
                      <w:b/>
                      <w:bCs/>
                      <w:szCs w:val="21"/>
                    </w:rPr>
                    <w:t>t/a</w:t>
                  </w:r>
                </w:p>
              </w:tc>
              <w:tc>
                <w:tcPr>
                  <w:tcW w:w="619" w:type="pct"/>
                  <w:vAlign w:val="center"/>
                </w:tcPr>
                <w:p>
                  <w:pPr>
                    <w:adjustRightInd w:val="0"/>
                    <w:snapToGrid w:val="0"/>
                    <w:jc w:val="center"/>
                    <w:rPr>
                      <w:b/>
                      <w:bCs/>
                      <w:szCs w:val="21"/>
                    </w:rPr>
                  </w:pPr>
                  <w:r>
                    <w:rPr>
                      <w:rFonts w:hint="eastAsia"/>
                      <w:b/>
                      <w:bCs/>
                      <w:szCs w:val="21"/>
                    </w:rPr>
                    <w:t>收集</w:t>
                  </w:r>
                  <w:r>
                    <w:rPr>
                      <w:b/>
                      <w:bCs/>
                      <w:szCs w:val="21"/>
                    </w:rPr>
                    <w:t>量</w:t>
                  </w:r>
                </w:p>
                <w:p>
                  <w:pPr>
                    <w:adjustRightInd w:val="0"/>
                    <w:snapToGrid w:val="0"/>
                    <w:jc w:val="center"/>
                    <w:rPr>
                      <w:b/>
                      <w:bCs/>
                      <w:szCs w:val="21"/>
                    </w:rPr>
                  </w:pPr>
                  <w:r>
                    <w:rPr>
                      <w:b/>
                      <w:bCs/>
                      <w:szCs w:val="21"/>
                    </w:rPr>
                    <w:t>t</w:t>
                  </w:r>
                  <w:r>
                    <w:rPr>
                      <w:rFonts w:hint="eastAsia"/>
                      <w:b/>
                      <w:bCs/>
                      <w:szCs w:val="21"/>
                    </w:rPr>
                    <w:t>/a</w:t>
                  </w:r>
                </w:p>
              </w:tc>
              <w:tc>
                <w:tcPr>
                  <w:tcW w:w="890" w:type="pct"/>
                  <w:vAlign w:val="center"/>
                </w:tcPr>
                <w:p>
                  <w:pPr>
                    <w:adjustRightInd w:val="0"/>
                    <w:snapToGrid w:val="0"/>
                    <w:jc w:val="center"/>
                    <w:rPr>
                      <w:b/>
                      <w:bCs/>
                      <w:szCs w:val="21"/>
                    </w:rPr>
                  </w:pPr>
                  <w:r>
                    <w:rPr>
                      <w:rFonts w:hint="eastAsia"/>
                      <w:b/>
                      <w:bCs/>
                      <w:szCs w:val="21"/>
                    </w:rPr>
                    <w:t>产生速率kg/h</w:t>
                  </w:r>
                </w:p>
              </w:tc>
              <w:tc>
                <w:tcPr>
                  <w:tcW w:w="760" w:type="pct"/>
                  <w:vAlign w:val="center"/>
                </w:tcPr>
                <w:p>
                  <w:pPr>
                    <w:adjustRightInd w:val="0"/>
                    <w:snapToGrid w:val="0"/>
                    <w:jc w:val="center"/>
                    <w:rPr>
                      <w:b/>
                      <w:bCs/>
                      <w:szCs w:val="21"/>
                    </w:rPr>
                  </w:pPr>
                  <w:r>
                    <w:rPr>
                      <w:rFonts w:hint="eastAsia"/>
                      <w:b/>
                      <w:bCs/>
                      <w:szCs w:val="21"/>
                    </w:rPr>
                    <w:t>产生浓度</w:t>
                  </w:r>
                </w:p>
                <w:p>
                  <w:pPr>
                    <w:adjustRightInd w:val="0"/>
                    <w:snapToGrid w:val="0"/>
                    <w:jc w:val="center"/>
                    <w:rPr>
                      <w:b/>
                      <w:bCs/>
                      <w:szCs w:val="21"/>
                    </w:rPr>
                  </w:pPr>
                  <w:r>
                    <w:rPr>
                      <w:b/>
                      <w:bCs/>
                      <w:szCs w:val="21"/>
                    </w:rPr>
                    <w:t>mg/m</w:t>
                  </w:r>
                  <w:r>
                    <w:rPr>
                      <w:b/>
                      <w:bCs/>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9" w:type="pct"/>
                  <w:vMerge w:val="restart"/>
                  <w:vAlign w:val="center"/>
                </w:tcPr>
                <w:p>
                  <w:pPr>
                    <w:adjustRightInd w:val="0"/>
                    <w:snapToGrid w:val="0"/>
                    <w:jc w:val="center"/>
                    <w:rPr>
                      <w:szCs w:val="21"/>
                    </w:rPr>
                  </w:pPr>
                  <w:r>
                    <w:rPr>
                      <w:rFonts w:hint="eastAsia"/>
                      <w:szCs w:val="21"/>
                    </w:rPr>
                    <w:t>DA00</w:t>
                  </w:r>
                  <w:r>
                    <w:rPr>
                      <w:szCs w:val="21"/>
                    </w:rPr>
                    <w:t>1</w:t>
                  </w:r>
                </w:p>
              </w:tc>
              <w:tc>
                <w:tcPr>
                  <w:tcW w:w="906" w:type="pct"/>
                  <w:vAlign w:val="center"/>
                </w:tcPr>
                <w:p>
                  <w:pPr>
                    <w:adjustRightInd w:val="0"/>
                    <w:snapToGrid w:val="0"/>
                    <w:jc w:val="center"/>
                    <w:rPr>
                      <w:szCs w:val="21"/>
                    </w:rPr>
                  </w:pPr>
                  <w:r>
                    <w:rPr>
                      <w:rFonts w:hint="eastAsia"/>
                      <w:szCs w:val="21"/>
                    </w:rPr>
                    <w:t>颗粒物</w:t>
                  </w:r>
                </w:p>
              </w:tc>
              <w:tc>
                <w:tcPr>
                  <w:tcW w:w="1306" w:type="pct"/>
                  <w:gridSpan w:val="2"/>
                  <w:vAlign w:val="center"/>
                </w:tcPr>
                <w:p>
                  <w:pPr>
                    <w:adjustRightInd w:val="0"/>
                    <w:snapToGrid w:val="0"/>
                    <w:jc w:val="center"/>
                    <w:rPr>
                      <w:szCs w:val="21"/>
                    </w:rPr>
                  </w:pPr>
                  <w:r>
                    <w:rPr>
                      <w:szCs w:val="21"/>
                    </w:rPr>
                    <w:t>0.0006</w:t>
                  </w:r>
                </w:p>
              </w:tc>
              <w:tc>
                <w:tcPr>
                  <w:tcW w:w="619" w:type="pct"/>
                  <w:vAlign w:val="center"/>
                </w:tcPr>
                <w:p>
                  <w:pPr>
                    <w:adjustRightInd w:val="0"/>
                    <w:snapToGrid w:val="0"/>
                    <w:jc w:val="center"/>
                    <w:rPr>
                      <w:szCs w:val="21"/>
                    </w:rPr>
                  </w:pPr>
                  <w:r>
                    <w:rPr>
                      <w:szCs w:val="21"/>
                    </w:rPr>
                    <w:t>0.00036</w:t>
                  </w:r>
                </w:p>
              </w:tc>
              <w:tc>
                <w:tcPr>
                  <w:tcW w:w="890" w:type="pct"/>
                  <w:vAlign w:val="center"/>
                </w:tcPr>
                <w:p>
                  <w:pPr>
                    <w:widowControl/>
                    <w:jc w:val="center"/>
                    <w:textAlignment w:val="center"/>
                    <w:rPr>
                      <w:szCs w:val="21"/>
                    </w:rPr>
                  </w:pPr>
                  <w:r>
                    <w:rPr>
                      <w:szCs w:val="21"/>
                    </w:rPr>
                    <w:t>0.00015</w:t>
                  </w:r>
                </w:p>
              </w:tc>
              <w:tc>
                <w:tcPr>
                  <w:tcW w:w="760" w:type="pct"/>
                  <w:vAlign w:val="center"/>
                </w:tcPr>
                <w:p>
                  <w:pPr>
                    <w:adjustRightInd w:val="0"/>
                    <w:snapToGrid w:val="0"/>
                    <w:jc w:val="center"/>
                    <w:rPr>
                      <w:szCs w:val="21"/>
                    </w:rPr>
                  </w:pPr>
                  <w:r>
                    <w:rPr>
                      <w:szCs w:val="21"/>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9" w:type="pct"/>
                  <w:vMerge w:val="continue"/>
                  <w:vAlign w:val="center"/>
                </w:tcPr>
                <w:p>
                  <w:pPr>
                    <w:adjustRightInd w:val="0"/>
                    <w:snapToGrid w:val="0"/>
                    <w:jc w:val="center"/>
                    <w:rPr>
                      <w:szCs w:val="21"/>
                    </w:rPr>
                  </w:pPr>
                </w:p>
              </w:tc>
              <w:tc>
                <w:tcPr>
                  <w:tcW w:w="906" w:type="pct"/>
                  <w:vAlign w:val="center"/>
                </w:tcPr>
                <w:p>
                  <w:pPr>
                    <w:adjustRightInd w:val="0"/>
                    <w:snapToGrid w:val="0"/>
                    <w:jc w:val="center"/>
                    <w:rPr>
                      <w:szCs w:val="21"/>
                    </w:rPr>
                  </w:pPr>
                  <w:r>
                    <w:rPr>
                      <w:rFonts w:hint="eastAsia"/>
                      <w:szCs w:val="21"/>
                    </w:rPr>
                    <w:t>锡及其</w:t>
                  </w:r>
                  <w:r>
                    <w:rPr>
                      <w:szCs w:val="21"/>
                    </w:rPr>
                    <w:t>化合物</w:t>
                  </w:r>
                </w:p>
              </w:tc>
              <w:tc>
                <w:tcPr>
                  <w:tcW w:w="1306" w:type="pct"/>
                  <w:gridSpan w:val="2"/>
                  <w:vAlign w:val="center"/>
                </w:tcPr>
                <w:p>
                  <w:pPr>
                    <w:adjustRightInd w:val="0"/>
                    <w:snapToGrid w:val="0"/>
                    <w:jc w:val="center"/>
                    <w:rPr>
                      <w:szCs w:val="21"/>
                    </w:rPr>
                  </w:pPr>
                  <w:r>
                    <w:rPr>
                      <w:szCs w:val="21"/>
                    </w:rPr>
                    <w:t>0.00055</w:t>
                  </w:r>
                </w:p>
              </w:tc>
              <w:tc>
                <w:tcPr>
                  <w:tcW w:w="619" w:type="pct"/>
                  <w:vAlign w:val="center"/>
                </w:tcPr>
                <w:p>
                  <w:pPr>
                    <w:adjustRightInd w:val="0"/>
                    <w:snapToGrid w:val="0"/>
                    <w:jc w:val="center"/>
                    <w:rPr>
                      <w:szCs w:val="21"/>
                    </w:rPr>
                  </w:pPr>
                  <w:r>
                    <w:rPr>
                      <w:szCs w:val="21"/>
                    </w:rPr>
                    <w:t>0.00033</w:t>
                  </w:r>
                </w:p>
              </w:tc>
              <w:tc>
                <w:tcPr>
                  <w:tcW w:w="890" w:type="pct"/>
                  <w:vAlign w:val="center"/>
                </w:tcPr>
                <w:p>
                  <w:pPr>
                    <w:widowControl/>
                    <w:jc w:val="center"/>
                    <w:textAlignment w:val="center"/>
                    <w:rPr>
                      <w:szCs w:val="21"/>
                    </w:rPr>
                  </w:pPr>
                  <w:r>
                    <w:rPr>
                      <w:szCs w:val="21"/>
                    </w:rPr>
                    <w:t>0.00014</w:t>
                  </w:r>
                </w:p>
              </w:tc>
              <w:tc>
                <w:tcPr>
                  <w:tcW w:w="760" w:type="pct"/>
                  <w:vAlign w:val="center"/>
                </w:tcPr>
                <w:p>
                  <w:pPr>
                    <w:adjustRightInd w:val="0"/>
                    <w:snapToGrid w:val="0"/>
                    <w:jc w:val="center"/>
                    <w:rPr>
                      <w:szCs w:val="21"/>
                    </w:rPr>
                  </w:pPr>
                  <w:r>
                    <w:rPr>
                      <w:szCs w:val="21"/>
                    </w:rPr>
                    <w:t>0.0047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9" w:type="pct"/>
                  <w:vMerge w:val="continue"/>
                  <w:vAlign w:val="center"/>
                </w:tcPr>
                <w:p>
                  <w:pPr>
                    <w:adjustRightInd w:val="0"/>
                    <w:snapToGrid w:val="0"/>
                    <w:jc w:val="center"/>
                    <w:rPr>
                      <w:szCs w:val="21"/>
                    </w:rPr>
                  </w:pPr>
                </w:p>
              </w:tc>
              <w:tc>
                <w:tcPr>
                  <w:tcW w:w="906" w:type="pct"/>
                  <w:vAlign w:val="center"/>
                </w:tcPr>
                <w:p>
                  <w:pPr>
                    <w:adjustRightInd w:val="0"/>
                    <w:snapToGrid w:val="0"/>
                    <w:jc w:val="center"/>
                    <w:rPr>
                      <w:szCs w:val="21"/>
                    </w:rPr>
                  </w:pPr>
                  <w:r>
                    <w:rPr>
                      <w:rFonts w:hint="eastAsia"/>
                      <w:szCs w:val="21"/>
                    </w:rPr>
                    <w:t>TVOC</w:t>
                  </w:r>
                </w:p>
              </w:tc>
              <w:tc>
                <w:tcPr>
                  <w:tcW w:w="1306" w:type="pct"/>
                  <w:gridSpan w:val="2"/>
                  <w:vAlign w:val="center"/>
                </w:tcPr>
                <w:p>
                  <w:pPr>
                    <w:adjustRightInd w:val="0"/>
                    <w:snapToGrid w:val="0"/>
                    <w:jc w:val="center"/>
                    <w:rPr>
                      <w:szCs w:val="21"/>
                    </w:rPr>
                  </w:pPr>
                  <w:r>
                    <w:rPr>
                      <w:rFonts w:hint="eastAsia"/>
                      <w:szCs w:val="21"/>
                    </w:rPr>
                    <w:t>0</w:t>
                  </w:r>
                  <w:r>
                    <w:rPr>
                      <w:szCs w:val="21"/>
                    </w:rPr>
                    <w:t>.79006</w:t>
                  </w:r>
                </w:p>
              </w:tc>
              <w:tc>
                <w:tcPr>
                  <w:tcW w:w="619" w:type="pct"/>
                  <w:vAlign w:val="center"/>
                </w:tcPr>
                <w:p>
                  <w:pPr>
                    <w:adjustRightInd w:val="0"/>
                    <w:snapToGrid w:val="0"/>
                    <w:jc w:val="center"/>
                    <w:rPr>
                      <w:szCs w:val="21"/>
                    </w:rPr>
                  </w:pPr>
                  <w:r>
                    <w:rPr>
                      <w:rFonts w:hint="eastAsia"/>
                      <w:szCs w:val="21"/>
                    </w:rPr>
                    <w:t>0.702036</w:t>
                  </w:r>
                </w:p>
              </w:tc>
              <w:tc>
                <w:tcPr>
                  <w:tcW w:w="890" w:type="pct"/>
                  <w:vAlign w:val="center"/>
                </w:tcPr>
                <w:p>
                  <w:pPr>
                    <w:widowControl/>
                    <w:jc w:val="center"/>
                    <w:textAlignment w:val="center"/>
                    <w:rPr>
                      <w:szCs w:val="21"/>
                    </w:rPr>
                  </w:pPr>
                  <w:r>
                    <w:rPr>
                      <w:rFonts w:hint="eastAsia"/>
                      <w:szCs w:val="21"/>
                    </w:rPr>
                    <w:t>0.29</w:t>
                  </w:r>
                  <w:r>
                    <w:rPr>
                      <w:szCs w:val="21"/>
                    </w:rPr>
                    <w:t>256</w:t>
                  </w:r>
                </w:p>
              </w:tc>
              <w:tc>
                <w:tcPr>
                  <w:tcW w:w="760" w:type="pct"/>
                  <w:vAlign w:val="center"/>
                </w:tcPr>
                <w:p>
                  <w:pPr>
                    <w:adjustRightInd w:val="0"/>
                    <w:snapToGrid w:val="0"/>
                    <w:jc w:val="center"/>
                    <w:rPr>
                      <w:szCs w:val="21"/>
                    </w:rPr>
                  </w:pPr>
                  <w:r>
                    <w:rPr>
                      <w:rFonts w:hint="eastAsia"/>
                      <w:szCs w:val="21"/>
                    </w:rPr>
                    <w:t>9.752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9" w:type="pct"/>
                  <w:vMerge w:val="restart"/>
                  <w:vAlign w:val="center"/>
                </w:tcPr>
                <w:p>
                  <w:pPr>
                    <w:adjustRightInd w:val="0"/>
                    <w:snapToGrid w:val="0"/>
                    <w:jc w:val="center"/>
                    <w:rPr>
                      <w:szCs w:val="21"/>
                    </w:rPr>
                  </w:pPr>
                  <w:r>
                    <w:rPr>
                      <w:rFonts w:hint="eastAsia"/>
                      <w:szCs w:val="21"/>
                    </w:rPr>
                    <w:t>DA002</w:t>
                  </w:r>
                </w:p>
              </w:tc>
              <w:tc>
                <w:tcPr>
                  <w:tcW w:w="906" w:type="pct"/>
                  <w:vAlign w:val="center"/>
                </w:tcPr>
                <w:p>
                  <w:pPr>
                    <w:adjustRightInd w:val="0"/>
                    <w:snapToGrid w:val="0"/>
                    <w:jc w:val="center"/>
                    <w:rPr>
                      <w:szCs w:val="21"/>
                    </w:rPr>
                  </w:pPr>
                  <w:r>
                    <w:rPr>
                      <w:rFonts w:hint="eastAsia"/>
                      <w:szCs w:val="21"/>
                    </w:rPr>
                    <w:t>颗粒物</w:t>
                  </w:r>
                </w:p>
              </w:tc>
              <w:tc>
                <w:tcPr>
                  <w:tcW w:w="1306" w:type="pct"/>
                  <w:gridSpan w:val="2"/>
                  <w:vAlign w:val="center"/>
                </w:tcPr>
                <w:p>
                  <w:pPr>
                    <w:adjustRightInd w:val="0"/>
                    <w:snapToGrid w:val="0"/>
                    <w:jc w:val="center"/>
                    <w:rPr>
                      <w:szCs w:val="21"/>
                    </w:rPr>
                  </w:pPr>
                  <w:r>
                    <w:rPr>
                      <w:szCs w:val="21"/>
                    </w:rPr>
                    <w:t>0.0006</w:t>
                  </w:r>
                </w:p>
              </w:tc>
              <w:tc>
                <w:tcPr>
                  <w:tcW w:w="619" w:type="pct"/>
                  <w:vAlign w:val="center"/>
                </w:tcPr>
                <w:p>
                  <w:pPr>
                    <w:adjustRightInd w:val="0"/>
                    <w:snapToGrid w:val="0"/>
                    <w:jc w:val="center"/>
                    <w:rPr>
                      <w:szCs w:val="21"/>
                    </w:rPr>
                  </w:pPr>
                  <w:r>
                    <w:rPr>
                      <w:rFonts w:hint="eastAsia"/>
                      <w:szCs w:val="21"/>
                    </w:rPr>
                    <w:t>0.</w:t>
                  </w:r>
                  <w:r>
                    <w:rPr>
                      <w:szCs w:val="21"/>
                    </w:rPr>
                    <w:t>00036</w:t>
                  </w:r>
                </w:p>
              </w:tc>
              <w:tc>
                <w:tcPr>
                  <w:tcW w:w="890" w:type="pct"/>
                  <w:vAlign w:val="center"/>
                </w:tcPr>
                <w:p>
                  <w:pPr>
                    <w:widowControl/>
                    <w:jc w:val="center"/>
                    <w:textAlignment w:val="center"/>
                    <w:rPr>
                      <w:szCs w:val="21"/>
                    </w:rPr>
                  </w:pPr>
                  <w:r>
                    <w:rPr>
                      <w:szCs w:val="21"/>
                    </w:rPr>
                    <w:t>0.00015</w:t>
                  </w:r>
                </w:p>
              </w:tc>
              <w:tc>
                <w:tcPr>
                  <w:tcW w:w="760" w:type="pct"/>
                  <w:vAlign w:val="center"/>
                </w:tcPr>
                <w:p>
                  <w:pPr>
                    <w:adjustRightInd w:val="0"/>
                    <w:snapToGrid w:val="0"/>
                    <w:jc w:val="center"/>
                    <w:rPr>
                      <w:szCs w:val="21"/>
                    </w:rPr>
                  </w:pPr>
                  <w:r>
                    <w:rPr>
                      <w:szCs w:val="21"/>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9" w:type="pct"/>
                  <w:vMerge w:val="continue"/>
                  <w:vAlign w:val="center"/>
                </w:tcPr>
                <w:p>
                  <w:pPr>
                    <w:adjustRightInd w:val="0"/>
                    <w:snapToGrid w:val="0"/>
                    <w:jc w:val="center"/>
                    <w:rPr>
                      <w:szCs w:val="21"/>
                    </w:rPr>
                  </w:pPr>
                </w:p>
              </w:tc>
              <w:tc>
                <w:tcPr>
                  <w:tcW w:w="906" w:type="pct"/>
                  <w:vAlign w:val="center"/>
                </w:tcPr>
                <w:p>
                  <w:pPr>
                    <w:adjustRightInd w:val="0"/>
                    <w:snapToGrid w:val="0"/>
                    <w:jc w:val="center"/>
                    <w:rPr>
                      <w:szCs w:val="21"/>
                    </w:rPr>
                  </w:pPr>
                  <w:r>
                    <w:rPr>
                      <w:rFonts w:hint="eastAsia"/>
                      <w:szCs w:val="21"/>
                    </w:rPr>
                    <w:t>锡及其</w:t>
                  </w:r>
                  <w:r>
                    <w:rPr>
                      <w:szCs w:val="21"/>
                    </w:rPr>
                    <w:t>化合物</w:t>
                  </w:r>
                </w:p>
              </w:tc>
              <w:tc>
                <w:tcPr>
                  <w:tcW w:w="1306" w:type="pct"/>
                  <w:gridSpan w:val="2"/>
                  <w:vAlign w:val="center"/>
                </w:tcPr>
                <w:p>
                  <w:pPr>
                    <w:adjustRightInd w:val="0"/>
                    <w:snapToGrid w:val="0"/>
                    <w:jc w:val="center"/>
                    <w:rPr>
                      <w:szCs w:val="21"/>
                    </w:rPr>
                  </w:pPr>
                  <w:r>
                    <w:rPr>
                      <w:szCs w:val="21"/>
                    </w:rPr>
                    <w:t>0.00055</w:t>
                  </w:r>
                </w:p>
              </w:tc>
              <w:tc>
                <w:tcPr>
                  <w:tcW w:w="619" w:type="pct"/>
                  <w:vAlign w:val="center"/>
                </w:tcPr>
                <w:p>
                  <w:pPr>
                    <w:adjustRightInd w:val="0"/>
                    <w:snapToGrid w:val="0"/>
                    <w:jc w:val="center"/>
                    <w:rPr>
                      <w:szCs w:val="21"/>
                    </w:rPr>
                  </w:pPr>
                  <w:r>
                    <w:rPr>
                      <w:rFonts w:hint="eastAsia"/>
                      <w:szCs w:val="21"/>
                    </w:rPr>
                    <w:t>0.00033</w:t>
                  </w:r>
                </w:p>
              </w:tc>
              <w:tc>
                <w:tcPr>
                  <w:tcW w:w="890" w:type="pct"/>
                  <w:vAlign w:val="center"/>
                </w:tcPr>
                <w:p>
                  <w:pPr>
                    <w:widowControl/>
                    <w:jc w:val="center"/>
                    <w:textAlignment w:val="center"/>
                    <w:rPr>
                      <w:szCs w:val="21"/>
                    </w:rPr>
                  </w:pPr>
                  <w:r>
                    <w:rPr>
                      <w:szCs w:val="21"/>
                    </w:rPr>
                    <w:t>0.00014</w:t>
                  </w:r>
                </w:p>
              </w:tc>
              <w:tc>
                <w:tcPr>
                  <w:tcW w:w="760" w:type="pct"/>
                  <w:vAlign w:val="center"/>
                </w:tcPr>
                <w:p>
                  <w:pPr>
                    <w:adjustRightInd w:val="0"/>
                    <w:snapToGrid w:val="0"/>
                    <w:jc w:val="center"/>
                    <w:rPr>
                      <w:szCs w:val="21"/>
                    </w:rPr>
                  </w:pPr>
                  <w:r>
                    <w:rPr>
                      <w:szCs w:val="21"/>
                    </w:rPr>
                    <w:t>0.0047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9" w:type="pct"/>
                  <w:vMerge w:val="continue"/>
                  <w:vAlign w:val="center"/>
                </w:tcPr>
                <w:p>
                  <w:pPr>
                    <w:adjustRightInd w:val="0"/>
                    <w:snapToGrid w:val="0"/>
                    <w:jc w:val="center"/>
                    <w:rPr>
                      <w:szCs w:val="21"/>
                    </w:rPr>
                  </w:pPr>
                </w:p>
              </w:tc>
              <w:tc>
                <w:tcPr>
                  <w:tcW w:w="906" w:type="pct"/>
                  <w:vAlign w:val="center"/>
                </w:tcPr>
                <w:p>
                  <w:pPr>
                    <w:adjustRightInd w:val="0"/>
                    <w:snapToGrid w:val="0"/>
                    <w:jc w:val="center"/>
                    <w:rPr>
                      <w:szCs w:val="21"/>
                    </w:rPr>
                  </w:pPr>
                  <w:r>
                    <w:rPr>
                      <w:rFonts w:hint="eastAsia"/>
                      <w:szCs w:val="21"/>
                    </w:rPr>
                    <w:t>TVOC</w:t>
                  </w:r>
                </w:p>
              </w:tc>
              <w:tc>
                <w:tcPr>
                  <w:tcW w:w="1306" w:type="pct"/>
                  <w:gridSpan w:val="2"/>
                  <w:vAlign w:val="center"/>
                </w:tcPr>
                <w:p>
                  <w:pPr>
                    <w:adjustRightInd w:val="0"/>
                    <w:snapToGrid w:val="0"/>
                    <w:jc w:val="center"/>
                    <w:rPr>
                      <w:szCs w:val="21"/>
                    </w:rPr>
                  </w:pPr>
                  <w:r>
                    <w:rPr>
                      <w:rFonts w:hint="eastAsia"/>
                      <w:szCs w:val="21"/>
                    </w:rPr>
                    <w:t>0</w:t>
                  </w:r>
                  <w:r>
                    <w:rPr>
                      <w:szCs w:val="21"/>
                    </w:rPr>
                    <w:t>.79</w:t>
                  </w:r>
                </w:p>
              </w:tc>
              <w:tc>
                <w:tcPr>
                  <w:tcW w:w="619" w:type="pct"/>
                  <w:vAlign w:val="center"/>
                </w:tcPr>
                <w:p>
                  <w:pPr>
                    <w:adjustRightInd w:val="0"/>
                    <w:snapToGrid w:val="0"/>
                    <w:jc w:val="center"/>
                    <w:rPr>
                      <w:szCs w:val="21"/>
                    </w:rPr>
                  </w:pPr>
                  <w:r>
                    <w:rPr>
                      <w:rFonts w:hint="eastAsia"/>
                      <w:szCs w:val="21"/>
                    </w:rPr>
                    <w:t>0.702</w:t>
                  </w:r>
                </w:p>
              </w:tc>
              <w:tc>
                <w:tcPr>
                  <w:tcW w:w="890" w:type="pct"/>
                  <w:vAlign w:val="center"/>
                </w:tcPr>
                <w:p>
                  <w:pPr>
                    <w:widowControl/>
                    <w:jc w:val="center"/>
                    <w:textAlignment w:val="center"/>
                    <w:rPr>
                      <w:szCs w:val="21"/>
                    </w:rPr>
                  </w:pPr>
                  <w:r>
                    <w:rPr>
                      <w:rFonts w:hint="eastAsia"/>
                      <w:szCs w:val="21"/>
                    </w:rPr>
                    <w:t>0.2925</w:t>
                  </w:r>
                </w:p>
              </w:tc>
              <w:tc>
                <w:tcPr>
                  <w:tcW w:w="760" w:type="pct"/>
                  <w:vAlign w:val="center"/>
                </w:tcPr>
                <w:p>
                  <w:pPr>
                    <w:adjustRightInd w:val="0"/>
                    <w:snapToGrid w:val="0"/>
                    <w:jc w:val="center"/>
                    <w:rPr>
                      <w:szCs w:val="21"/>
                    </w:rPr>
                  </w:pPr>
                  <w:r>
                    <w:rPr>
                      <w:rFonts w:hint="eastAsia"/>
                      <w:szCs w:val="21"/>
                    </w:rPr>
                    <w:t>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9" w:type="pct"/>
                  <w:vMerge w:val="restart"/>
                  <w:vAlign w:val="center"/>
                </w:tcPr>
                <w:p>
                  <w:pPr>
                    <w:adjustRightInd w:val="0"/>
                    <w:snapToGrid w:val="0"/>
                    <w:jc w:val="center"/>
                    <w:rPr>
                      <w:b/>
                      <w:bCs/>
                      <w:szCs w:val="21"/>
                    </w:rPr>
                  </w:pPr>
                  <w:r>
                    <w:rPr>
                      <w:rFonts w:hint="eastAsia"/>
                      <w:b/>
                      <w:bCs/>
                      <w:szCs w:val="21"/>
                    </w:rPr>
                    <w:t>排气筒</w:t>
                  </w:r>
                </w:p>
              </w:tc>
              <w:tc>
                <w:tcPr>
                  <w:tcW w:w="906" w:type="pct"/>
                  <w:vMerge w:val="restart"/>
                  <w:vAlign w:val="center"/>
                </w:tcPr>
                <w:p>
                  <w:pPr>
                    <w:adjustRightInd w:val="0"/>
                    <w:snapToGrid w:val="0"/>
                    <w:jc w:val="center"/>
                    <w:rPr>
                      <w:b/>
                      <w:bCs/>
                      <w:szCs w:val="21"/>
                    </w:rPr>
                  </w:pPr>
                  <w:r>
                    <w:rPr>
                      <w:rFonts w:hint="eastAsia"/>
                      <w:b/>
                      <w:bCs/>
                      <w:szCs w:val="21"/>
                    </w:rPr>
                    <w:t>污染物</w:t>
                  </w:r>
                </w:p>
              </w:tc>
              <w:tc>
                <w:tcPr>
                  <w:tcW w:w="1306" w:type="pct"/>
                  <w:gridSpan w:val="2"/>
                  <w:vAlign w:val="center"/>
                </w:tcPr>
                <w:p>
                  <w:pPr>
                    <w:adjustRightInd w:val="0"/>
                    <w:snapToGrid w:val="0"/>
                    <w:jc w:val="center"/>
                    <w:rPr>
                      <w:b/>
                      <w:bCs/>
                      <w:szCs w:val="21"/>
                    </w:rPr>
                  </w:pPr>
                  <w:r>
                    <w:rPr>
                      <w:rFonts w:hint="eastAsia"/>
                      <w:b/>
                      <w:bCs/>
                      <w:szCs w:val="21"/>
                    </w:rPr>
                    <w:t>无组织排放情况</w:t>
                  </w:r>
                </w:p>
              </w:tc>
              <w:tc>
                <w:tcPr>
                  <w:tcW w:w="2269" w:type="pct"/>
                  <w:gridSpan w:val="3"/>
                  <w:vAlign w:val="center"/>
                </w:tcPr>
                <w:p>
                  <w:pPr>
                    <w:adjustRightInd w:val="0"/>
                    <w:snapToGrid w:val="0"/>
                    <w:jc w:val="center"/>
                    <w:rPr>
                      <w:b/>
                      <w:bCs/>
                      <w:szCs w:val="21"/>
                    </w:rPr>
                  </w:pPr>
                  <w:r>
                    <w:rPr>
                      <w:rFonts w:hint="eastAsia"/>
                      <w:b/>
                      <w:bCs/>
                      <w:szCs w:val="21"/>
                    </w:rPr>
                    <w:t>有组织排放情况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 w:type="pct"/>
                  <w:vMerge w:val="continue"/>
                  <w:vAlign w:val="center"/>
                </w:tcPr>
                <w:p>
                  <w:pPr>
                    <w:adjustRightInd w:val="0"/>
                    <w:snapToGrid w:val="0"/>
                    <w:jc w:val="center"/>
                    <w:rPr>
                      <w:b/>
                      <w:bCs/>
                      <w:szCs w:val="21"/>
                    </w:rPr>
                  </w:pPr>
                </w:p>
              </w:tc>
              <w:tc>
                <w:tcPr>
                  <w:tcW w:w="906" w:type="pct"/>
                  <w:vMerge w:val="continue"/>
                  <w:vAlign w:val="center"/>
                </w:tcPr>
                <w:p>
                  <w:pPr>
                    <w:adjustRightInd w:val="0"/>
                    <w:snapToGrid w:val="0"/>
                    <w:jc w:val="center"/>
                    <w:rPr>
                      <w:b/>
                      <w:bCs/>
                      <w:szCs w:val="21"/>
                    </w:rPr>
                  </w:pPr>
                </w:p>
              </w:tc>
              <w:tc>
                <w:tcPr>
                  <w:tcW w:w="596" w:type="pct"/>
                  <w:vAlign w:val="center"/>
                </w:tcPr>
                <w:p>
                  <w:pPr>
                    <w:adjustRightInd w:val="0"/>
                    <w:snapToGrid w:val="0"/>
                    <w:jc w:val="center"/>
                    <w:rPr>
                      <w:b/>
                      <w:bCs/>
                      <w:szCs w:val="21"/>
                    </w:rPr>
                  </w:pPr>
                  <w:r>
                    <w:rPr>
                      <w:rFonts w:hint="eastAsia"/>
                      <w:b/>
                      <w:bCs/>
                      <w:szCs w:val="21"/>
                    </w:rPr>
                    <w:t>排放</w:t>
                  </w:r>
                  <w:r>
                    <w:rPr>
                      <w:b/>
                      <w:bCs/>
                      <w:szCs w:val="21"/>
                    </w:rPr>
                    <w:t>量</w:t>
                  </w:r>
                </w:p>
                <w:p>
                  <w:pPr>
                    <w:adjustRightInd w:val="0"/>
                    <w:snapToGrid w:val="0"/>
                    <w:jc w:val="center"/>
                    <w:rPr>
                      <w:b/>
                      <w:bCs/>
                      <w:szCs w:val="21"/>
                    </w:rPr>
                  </w:pPr>
                  <w:r>
                    <w:rPr>
                      <w:b/>
                      <w:bCs/>
                      <w:szCs w:val="21"/>
                    </w:rPr>
                    <w:t>t</w:t>
                  </w:r>
                  <w:r>
                    <w:rPr>
                      <w:rFonts w:hint="eastAsia"/>
                      <w:b/>
                      <w:bCs/>
                      <w:szCs w:val="21"/>
                    </w:rPr>
                    <w:t>/</w:t>
                  </w:r>
                  <w:r>
                    <w:rPr>
                      <w:b/>
                      <w:bCs/>
                      <w:szCs w:val="21"/>
                    </w:rPr>
                    <w:t>a</w:t>
                  </w:r>
                </w:p>
              </w:tc>
              <w:tc>
                <w:tcPr>
                  <w:tcW w:w="710" w:type="pct"/>
                  <w:vAlign w:val="center"/>
                </w:tcPr>
                <w:p>
                  <w:pPr>
                    <w:adjustRightInd w:val="0"/>
                    <w:snapToGrid w:val="0"/>
                    <w:jc w:val="center"/>
                    <w:rPr>
                      <w:b/>
                      <w:bCs/>
                      <w:szCs w:val="21"/>
                    </w:rPr>
                  </w:pPr>
                  <w:r>
                    <w:rPr>
                      <w:rFonts w:hint="eastAsia"/>
                      <w:b/>
                      <w:bCs/>
                      <w:szCs w:val="21"/>
                    </w:rPr>
                    <w:t>排放</w:t>
                  </w:r>
                  <w:r>
                    <w:rPr>
                      <w:b/>
                      <w:bCs/>
                      <w:szCs w:val="21"/>
                    </w:rPr>
                    <w:t>速率</w:t>
                  </w:r>
                </w:p>
                <w:p>
                  <w:pPr>
                    <w:adjustRightInd w:val="0"/>
                    <w:snapToGrid w:val="0"/>
                    <w:jc w:val="center"/>
                    <w:rPr>
                      <w:b/>
                      <w:bCs/>
                      <w:szCs w:val="21"/>
                    </w:rPr>
                  </w:pPr>
                  <w:r>
                    <w:rPr>
                      <w:rFonts w:hint="eastAsia"/>
                      <w:b/>
                      <w:bCs/>
                      <w:szCs w:val="21"/>
                    </w:rPr>
                    <w:t>k</w:t>
                  </w:r>
                  <w:r>
                    <w:rPr>
                      <w:b/>
                      <w:bCs/>
                      <w:szCs w:val="21"/>
                    </w:rPr>
                    <w:t>g</w:t>
                  </w:r>
                  <w:r>
                    <w:rPr>
                      <w:rFonts w:hint="eastAsia"/>
                      <w:b/>
                      <w:bCs/>
                      <w:szCs w:val="21"/>
                    </w:rPr>
                    <w:t>/</w:t>
                  </w:r>
                  <w:r>
                    <w:rPr>
                      <w:b/>
                      <w:bCs/>
                      <w:szCs w:val="21"/>
                    </w:rPr>
                    <w:t>h</w:t>
                  </w:r>
                </w:p>
              </w:tc>
              <w:tc>
                <w:tcPr>
                  <w:tcW w:w="619" w:type="pct"/>
                  <w:vAlign w:val="center"/>
                </w:tcPr>
                <w:p>
                  <w:pPr>
                    <w:adjustRightInd w:val="0"/>
                    <w:snapToGrid w:val="0"/>
                    <w:jc w:val="center"/>
                    <w:rPr>
                      <w:b/>
                      <w:bCs/>
                      <w:szCs w:val="21"/>
                    </w:rPr>
                  </w:pPr>
                  <w:r>
                    <w:rPr>
                      <w:rFonts w:hint="eastAsia"/>
                      <w:b/>
                      <w:bCs/>
                      <w:szCs w:val="21"/>
                    </w:rPr>
                    <w:t>排放</w:t>
                  </w:r>
                  <w:r>
                    <w:rPr>
                      <w:b/>
                      <w:bCs/>
                      <w:szCs w:val="21"/>
                    </w:rPr>
                    <w:t>量</w:t>
                  </w:r>
                </w:p>
                <w:p>
                  <w:pPr>
                    <w:adjustRightInd w:val="0"/>
                    <w:snapToGrid w:val="0"/>
                    <w:jc w:val="center"/>
                    <w:rPr>
                      <w:b/>
                      <w:bCs/>
                      <w:szCs w:val="21"/>
                    </w:rPr>
                  </w:pPr>
                  <w:r>
                    <w:rPr>
                      <w:b/>
                      <w:bCs/>
                      <w:szCs w:val="21"/>
                    </w:rPr>
                    <w:t>t/a</w:t>
                  </w:r>
                </w:p>
              </w:tc>
              <w:tc>
                <w:tcPr>
                  <w:tcW w:w="890" w:type="pct"/>
                  <w:vAlign w:val="center"/>
                </w:tcPr>
                <w:p>
                  <w:pPr>
                    <w:adjustRightInd w:val="0"/>
                    <w:snapToGrid w:val="0"/>
                    <w:jc w:val="center"/>
                    <w:rPr>
                      <w:b/>
                      <w:bCs/>
                      <w:szCs w:val="21"/>
                    </w:rPr>
                  </w:pPr>
                  <w:r>
                    <w:rPr>
                      <w:rFonts w:hint="eastAsia"/>
                      <w:b/>
                      <w:bCs/>
                      <w:szCs w:val="21"/>
                    </w:rPr>
                    <w:t>排放速率kg/h</w:t>
                  </w:r>
                </w:p>
              </w:tc>
              <w:tc>
                <w:tcPr>
                  <w:tcW w:w="760" w:type="pct"/>
                  <w:vAlign w:val="center"/>
                </w:tcPr>
                <w:p>
                  <w:pPr>
                    <w:adjustRightInd w:val="0"/>
                    <w:snapToGrid w:val="0"/>
                    <w:jc w:val="center"/>
                    <w:rPr>
                      <w:b/>
                      <w:bCs/>
                      <w:szCs w:val="21"/>
                    </w:rPr>
                  </w:pPr>
                  <w:r>
                    <w:rPr>
                      <w:rFonts w:hint="eastAsia"/>
                      <w:b/>
                      <w:bCs/>
                      <w:szCs w:val="21"/>
                    </w:rPr>
                    <w:t>排放浓度</w:t>
                  </w:r>
                </w:p>
                <w:p>
                  <w:pPr>
                    <w:adjustRightInd w:val="0"/>
                    <w:snapToGrid w:val="0"/>
                    <w:jc w:val="center"/>
                    <w:rPr>
                      <w:b/>
                      <w:bCs/>
                      <w:szCs w:val="21"/>
                    </w:rPr>
                  </w:pPr>
                  <w:r>
                    <w:rPr>
                      <w:b/>
                      <w:bCs/>
                      <w:szCs w:val="21"/>
                    </w:rPr>
                    <w:t>mg/m</w:t>
                  </w:r>
                  <w:r>
                    <w:rPr>
                      <w:b/>
                      <w:bCs/>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9" w:type="pct"/>
                  <w:vMerge w:val="restart"/>
                  <w:vAlign w:val="center"/>
                </w:tcPr>
                <w:p>
                  <w:pPr>
                    <w:adjustRightInd w:val="0"/>
                    <w:snapToGrid w:val="0"/>
                    <w:jc w:val="center"/>
                    <w:rPr>
                      <w:szCs w:val="21"/>
                    </w:rPr>
                  </w:pPr>
                  <w:r>
                    <w:rPr>
                      <w:rFonts w:hint="eastAsia"/>
                      <w:szCs w:val="21"/>
                    </w:rPr>
                    <w:t>DA00</w:t>
                  </w:r>
                  <w:r>
                    <w:rPr>
                      <w:szCs w:val="21"/>
                    </w:rPr>
                    <w:t>1</w:t>
                  </w:r>
                </w:p>
              </w:tc>
              <w:tc>
                <w:tcPr>
                  <w:tcW w:w="906" w:type="pct"/>
                  <w:vAlign w:val="center"/>
                </w:tcPr>
                <w:p>
                  <w:pPr>
                    <w:adjustRightInd w:val="0"/>
                    <w:snapToGrid w:val="0"/>
                    <w:jc w:val="center"/>
                    <w:rPr>
                      <w:szCs w:val="21"/>
                    </w:rPr>
                  </w:pPr>
                  <w:r>
                    <w:rPr>
                      <w:rFonts w:hint="eastAsia"/>
                      <w:szCs w:val="21"/>
                    </w:rPr>
                    <w:t>颗粒物</w:t>
                  </w:r>
                </w:p>
              </w:tc>
              <w:tc>
                <w:tcPr>
                  <w:tcW w:w="596" w:type="pct"/>
                  <w:vAlign w:val="center"/>
                </w:tcPr>
                <w:p>
                  <w:pPr>
                    <w:widowControl/>
                    <w:jc w:val="center"/>
                    <w:rPr>
                      <w:kern w:val="0"/>
                      <w:szCs w:val="21"/>
                    </w:rPr>
                  </w:pPr>
                  <w:r>
                    <w:rPr>
                      <w:szCs w:val="21"/>
                    </w:rPr>
                    <w:t>0.00024</w:t>
                  </w:r>
                </w:p>
              </w:tc>
              <w:tc>
                <w:tcPr>
                  <w:tcW w:w="710" w:type="pct"/>
                  <w:vAlign w:val="center"/>
                </w:tcPr>
                <w:p>
                  <w:pPr>
                    <w:widowControl/>
                    <w:jc w:val="center"/>
                    <w:rPr>
                      <w:kern w:val="0"/>
                      <w:szCs w:val="21"/>
                    </w:rPr>
                  </w:pPr>
                  <w:r>
                    <w:rPr>
                      <w:szCs w:val="21"/>
                    </w:rPr>
                    <w:t>0.0001</w:t>
                  </w:r>
                </w:p>
              </w:tc>
              <w:tc>
                <w:tcPr>
                  <w:tcW w:w="619" w:type="pct"/>
                  <w:vAlign w:val="center"/>
                </w:tcPr>
                <w:p>
                  <w:pPr>
                    <w:widowControl/>
                    <w:jc w:val="center"/>
                    <w:rPr>
                      <w:kern w:val="0"/>
                      <w:szCs w:val="21"/>
                    </w:rPr>
                  </w:pPr>
                  <w:r>
                    <w:rPr>
                      <w:szCs w:val="21"/>
                    </w:rPr>
                    <w:t>0.000216</w:t>
                  </w:r>
                </w:p>
              </w:tc>
              <w:tc>
                <w:tcPr>
                  <w:tcW w:w="890" w:type="pct"/>
                  <w:vAlign w:val="center"/>
                </w:tcPr>
                <w:p>
                  <w:pPr>
                    <w:jc w:val="center"/>
                    <w:rPr>
                      <w:szCs w:val="21"/>
                    </w:rPr>
                  </w:pPr>
                  <w:r>
                    <w:rPr>
                      <w:szCs w:val="21"/>
                    </w:rPr>
                    <w:t>0.00009</w:t>
                  </w:r>
                </w:p>
              </w:tc>
              <w:tc>
                <w:tcPr>
                  <w:tcW w:w="760" w:type="pct"/>
                  <w:vAlign w:val="center"/>
                </w:tcPr>
                <w:p>
                  <w:pPr>
                    <w:jc w:val="center"/>
                    <w:rPr>
                      <w:szCs w:val="21"/>
                    </w:rPr>
                  </w:pPr>
                  <w:r>
                    <w:rPr>
                      <w:szCs w:val="21"/>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9" w:type="pct"/>
                  <w:vMerge w:val="continue"/>
                  <w:vAlign w:val="center"/>
                </w:tcPr>
                <w:p>
                  <w:pPr>
                    <w:adjustRightInd w:val="0"/>
                    <w:snapToGrid w:val="0"/>
                    <w:jc w:val="center"/>
                    <w:rPr>
                      <w:szCs w:val="21"/>
                    </w:rPr>
                  </w:pPr>
                </w:p>
              </w:tc>
              <w:tc>
                <w:tcPr>
                  <w:tcW w:w="906" w:type="pct"/>
                  <w:vAlign w:val="center"/>
                </w:tcPr>
                <w:p>
                  <w:pPr>
                    <w:adjustRightInd w:val="0"/>
                    <w:snapToGrid w:val="0"/>
                    <w:jc w:val="center"/>
                    <w:rPr>
                      <w:szCs w:val="21"/>
                    </w:rPr>
                  </w:pPr>
                  <w:r>
                    <w:rPr>
                      <w:rFonts w:hint="eastAsia"/>
                      <w:szCs w:val="21"/>
                    </w:rPr>
                    <w:t>锡及其</w:t>
                  </w:r>
                  <w:r>
                    <w:rPr>
                      <w:szCs w:val="21"/>
                    </w:rPr>
                    <w:t>化合物</w:t>
                  </w:r>
                </w:p>
              </w:tc>
              <w:tc>
                <w:tcPr>
                  <w:tcW w:w="596" w:type="pct"/>
                  <w:vAlign w:val="center"/>
                </w:tcPr>
                <w:p>
                  <w:pPr>
                    <w:jc w:val="center"/>
                    <w:rPr>
                      <w:szCs w:val="21"/>
                    </w:rPr>
                  </w:pPr>
                  <w:r>
                    <w:rPr>
                      <w:szCs w:val="21"/>
                    </w:rPr>
                    <w:t>0.00022</w:t>
                  </w:r>
                </w:p>
              </w:tc>
              <w:tc>
                <w:tcPr>
                  <w:tcW w:w="710" w:type="pct"/>
                  <w:vAlign w:val="center"/>
                </w:tcPr>
                <w:p>
                  <w:pPr>
                    <w:jc w:val="center"/>
                    <w:rPr>
                      <w:szCs w:val="21"/>
                    </w:rPr>
                  </w:pPr>
                  <w:r>
                    <w:rPr>
                      <w:szCs w:val="21"/>
                    </w:rPr>
                    <w:t>0.00009</w:t>
                  </w:r>
                </w:p>
              </w:tc>
              <w:tc>
                <w:tcPr>
                  <w:tcW w:w="619" w:type="pct"/>
                  <w:vAlign w:val="center"/>
                </w:tcPr>
                <w:p>
                  <w:pPr>
                    <w:jc w:val="center"/>
                    <w:rPr>
                      <w:szCs w:val="21"/>
                    </w:rPr>
                  </w:pPr>
                  <w:r>
                    <w:rPr>
                      <w:szCs w:val="21"/>
                    </w:rPr>
                    <w:t>0.000198</w:t>
                  </w:r>
                </w:p>
              </w:tc>
              <w:tc>
                <w:tcPr>
                  <w:tcW w:w="890" w:type="pct"/>
                  <w:vAlign w:val="center"/>
                </w:tcPr>
                <w:p>
                  <w:pPr>
                    <w:jc w:val="center"/>
                    <w:rPr>
                      <w:szCs w:val="21"/>
                    </w:rPr>
                  </w:pPr>
                  <w:r>
                    <w:rPr>
                      <w:szCs w:val="21"/>
                    </w:rPr>
                    <w:t>0.000084</w:t>
                  </w:r>
                </w:p>
              </w:tc>
              <w:tc>
                <w:tcPr>
                  <w:tcW w:w="760" w:type="pct"/>
                  <w:vAlign w:val="center"/>
                </w:tcPr>
                <w:p>
                  <w:pPr>
                    <w:jc w:val="center"/>
                    <w:rPr>
                      <w:szCs w:val="21"/>
                    </w:rPr>
                  </w:pPr>
                  <w:r>
                    <w:rPr>
                      <w:szCs w:val="21"/>
                    </w:rPr>
                    <w:t>0.00282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9" w:type="pct"/>
                  <w:vMerge w:val="continue"/>
                  <w:vAlign w:val="center"/>
                </w:tcPr>
                <w:p>
                  <w:pPr>
                    <w:adjustRightInd w:val="0"/>
                    <w:snapToGrid w:val="0"/>
                    <w:jc w:val="center"/>
                    <w:rPr>
                      <w:szCs w:val="21"/>
                    </w:rPr>
                  </w:pPr>
                </w:p>
              </w:tc>
              <w:tc>
                <w:tcPr>
                  <w:tcW w:w="906" w:type="pct"/>
                  <w:vAlign w:val="center"/>
                </w:tcPr>
                <w:p>
                  <w:pPr>
                    <w:adjustRightInd w:val="0"/>
                    <w:snapToGrid w:val="0"/>
                    <w:jc w:val="center"/>
                    <w:rPr>
                      <w:szCs w:val="21"/>
                    </w:rPr>
                  </w:pPr>
                  <w:r>
                    <w:rPr>
                      <w:rFonts w:hint="eastAsia"/>
                      <w:szCs w:val="21"/>
                    </w:rPr>
                    <w:t>TVOC</w:t>
                  </w:r>
                </w:p>
              </w:tc>
              <w:tc>
                <w:tcPr>
                  <w:tcW w:w="596" w:type="pct"/>
                  <w:vAlign w:val="center"/>
                </w:tcPr>
                <w:p>
                  <w:pPr>
                    <w:jc w:val="center"/>
                    <w:rPr>
                      <w:szCs w:val="21"/>
                    </w:rPr>
                  </w:pPr>
                  <w:r>
                    <w:rPr>
                      <w:szCs w:val="21"/>
                    </w:rPr>
                    <w:t>0.088024</w:t>
                  </w:r>
                </w:p>
              </w:tc>
              <w:tc>
                <w:tcPr>
                  <w:tcW w:w="710" w:type="pct"/>
                  <w:vAlign w:val="center"/>
                </w:tcPr>
                <w:p>
                  <w:pPr>
                    <w:jc w:val="center"/>
                    <w:rPr>
                      <w:szCs w:val="21"/>
                    </w:rPr>
                  </w:pPr>
                  <w:r>
                    <w:rPr>
                      <w:szCs w:val="21"/>
                    </w:rPr>
                    <w:t>0.036707</w:t>
                  </w:r>
                </w:p>
              </w:tc>
              <w:tc>
                <w:tcPr>
                  <w:tcW w:w="619" w:type="pct"/>
                  <w:vAlign w:val="center"/>
                </w:tcPr>
                <w:p>
                  <w:pPr>
                    <w:jc w:val="center"/>
                    <w:rPr>
                      <w:szCs w:val="21"/>
                    </w:rPr>
                  </w:pPr>
                  <w:r>
                    <w:rPr>
                      <w:szCs w:val="21"/>
                    </w:rPr>
                    <w:t>0.210611</w:t>
                  </w:r>
                </w:p>
              </w:tc>
              <w:tc>
                <w:tcPr>
                  <w:tcW w:w="890" w:type="pct"/>
                  <w:vAlign w:val="center"/>
                </w:tcPr>
                <w:p>
                  <w:pPr>
                    <w:jc w:val="center"/>
                    <w:rPr>
                      <w:szCs w:val="21"/>
                    </w:rPr>
                  </w:pPr>
                  <w:r>
                    <w:rPr>
                      <w:szCs w:val="21"/>
                    </w:rPr>
                    <w:t>0.08777</w:t>
                  </w:r>
                </w:p>
              </w:tc>
              <w:tc>
                <w:tcPr>
                  <w:tcW w:w="760" w:type="pct"/>
                  <w:vAlign w:val="center"/>
                </w:tcPr>
                <w:p>
                  <w:pPr>
                    <w:jc w:val="center"/>
                    <w:rPr>
                      <w:szCs w:val="21"/>
                    </w:rPr>
                  </w:pPr>
                  <w:r>
                    <w:rPr>
                      <w:szCs w:val="21"/>
                    </w:rPr>
                    <w:t>2.9256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9" w:type="pct"/>
                  <w:vMerge w:val="restart"/>
                  <w:vAlign w:val="center"/>
                </w:tcPr>
                <w:p>
                  <w:pPr>
                    <w:adjustRightInd w:val="0"/>
                    <w:snapToGrid w:val="0"/>
                    <w:jc w:val="center"/>
                    <w:rPr>
                      <w:szCs w:val="21"/>
                    </w:rPr>
                  </w:pPr>
                  <w:r>
                    <w:rPr>
                      <w:rFonts w:hint="eastAsia"/>
                      <w:szCs w:val="21"/>
                    </w:rPr>
                    <w:t>DA002</w:t>
                  </w:r>
                </w:p>
              </w:tc>
              <w:tc>
                <w:tcPr>
                  <w:tcW w:w="906" w:type="pct"/>
                  <w:vAlign w:val="center"/>
                </w:tcPr>
                <w:p>
                  <w:pPr>
                    <w:adjustRightInd w:val="0"/>
                    <w:snapToGrid w:val="0"/>
                    <w:jc w:val="center"/>
                    <w:rPr>
                      <w:szCs w:val="21"/>
                    </w:rPr>
                  </w:pPr>
                  <w:r>
                    <w:rPr>
                      <w:rFonts w:hint="eastAsia"/>
                      <w:szCs w:val="21"/>
                    </w:rPr>
                    <w:t>颗粒物</w:t>
                  </w:r>
                </w:p>
              </w:tc>
              <w:tc>
                <w:tcPr>
                  <w:tcW w:w="596" w:type="pct"/>
                  <w:vAlign w:val="center"/>
                </w:tcPr>
                <w:p>
                  <w:pPr>
                    <w:jc w:val="center"/>
                    <w:rPr>
                      <w:szCs w:val="21"/>
                    </w:rPr>
                  </w:pPr>
                  <w:r>
                    <w:rPr>
                      <w:szCs w:val="21"/>
                    </w:rPr>
                    <w:t>0.00024</w:t>
                  </w:r>
                </w:p>
              </w:tc>
              <w:tc>
                <w:tcPr>
                  <w:tcW w:w="710" w:type="pct"/>
                  <w:vAlign w:val="center"/>
                </w:tcPr>
                <w:p>
                  <w:pPr>
                    <w:jc w:val="center"/>
                    <w:rPr>
                      <w:szCs w:val="21"/>
                    </w:rPr>
                  </w:pPr>
                  <w:r>
                    <w:rPr>
                      <w:szCs w:val="21"/>
                    </w:rPr>
                    <w:t>0.0001</w:t>
                  </w:r>
                </w:p>
              </w:tc>
              <w:tc>
                <w:tcPr>
                  <w:tcW w:w="619" w:type="pct"/>
                  <w:vAlign w:val="center"/>
                </w:tcPr>
                <w:p>
                  <w:pPr>
                    <w:jc w:val="center"/>
                    <w:rPr>
                      <w:szCs w:val="21"/>
                    </w:rPr>
                  </w:pPr>
                  <w:r>
                    <w:rPr>
                      <w:szCs w:val="21"/>
                    </w:rPr>
                    <w:t>0.000216</w:t>
                  </w:r>
                </w:p>
              </w:tc>
              <w:tc>
                <w:tcPr>
                  <w:tcW w:w="890" w:type="pct"/>
                  <w:vAlign w:val="center"/>
                </w:tcPr>
                <w:p>
                  <w:pPr>
                    <w:jc w:val="center"/>
                    <w:rPr>
                      <w:szCs w:val="21"/>
                    </w:rPr>
                  </w:pPr>
                  <w:r>
                    <w:rPr>
                      <w:szCs w:val="21"/>
                    </w:rPr>
                    <w:t>0.00009</w:t>
                  </w:r>
                </w:p>
              </w:tc>
              <w:tc>
                <w:tcPr>
                  <w:tcW w:w="760" w:type="pct"/>
                  <w:vAlign w:val="center"/>
                </w:tcPr>
                <w:p>
                  <w:pPr>
                    <w:jc w:val="center"/>
                    <w:rPr>
                      <w:szCs w:val="21"/>
                    </w:rPr>
                  </w:pPr>
                  <w:r>
                    <w:rPr>
                      <w:szCs w:val="21"/>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9" w:type="pct"/>
                  <w:vMerge w:val="continue"/>
                  <w:vAlign w:val="center"/>
                </w:tcPr>
                <w:p>
                  <w:pPr>
                    <w:adjustRightInd w:val="0"/>
                    <w:snapToGrid w:val="0"/>
                    <w:jc w:val="center"/>
                    <w:rPr>
                      <w:szCs w:val="21"/>
                    </w:rPr>
                  </w:pPr>
                </w:p>
              </w:tc>
              <w:tc>
                <w:tcPr>
                  <w:tcW w:w="906" w:type="pct"/>
                  <w:vAlign w:val="center"/>
                </w:tcPr>
                <w:p>
                  <w:pPr>
                    <w:adjustRightInd w:val="0"/>
                    <w:snapToGrid w:val="0"/>
                    <w:jc w:val="center"/>
                    <w:rPr>
                      <w:szCs w:val="21"/>
                    </w:rPr>
                  </w:pPr>
                  <w:r>
                    <w:rPr>
                      <w:rFonts w:hint="eastAsia"/>
                      <w:szCs w:val="21"/>
                    </w:rPr>
                    <w:t>锡及其</w:t>
                  </w:r>
                  <w:r>
                    <w:rPr>
                      <w:szCs w:val="21"/>
                    </w:rPr>
                    <w:t>化合物</w:t>
                  </w:r>
                </w:p>
              </w:tc>
              <w:tc>
                <w:tcPr>
                  <w:tcW w:w="596" w:type="pct"/>
                  <w:vAlign w:val="center"/>
                </w:tcPr>
                <w:p>
                  <w:pPr>
                    <w:jc w:val="center"/>
                    <w:rPr>
                      <w:szCs w:val="21"/>
                    </w:rPr>
                  </w:pPr>
                  <w:r>
                    <w:rPr>
                      <w:szCs w:val="21"/>
                    </w:rPr>
                    <w:t>0.00022</w:t>
                  </w:r>
                </w:p>
              </w:tc>
              <w:tc>
                <w:tcPr>
                  <w:tcW w:w="710" w:type="pct"/>
                  <w:vAlign w:val="center"/>
                </w:tcPr>
                <w:p>
                  <w:pPr>
                    <w:jc w:val="center"/>
                    <w:rPr>
                      <w:szCs w:val="21"/>
                    </w:rPr>
                  </w:pPr>
                  <w:r>
                    <w:rPr>
                      <w:szCs w:val="21"/>
                    </w:rPr>
                    <w:t>0.0009</w:t>
                  </w:r>
                </w:p>
              </w:tc>
              <w:tc>
                <w:tcPr>
                  <w:tcW w:w="619" w:type="pct"/>
                  <w:vAlign w:val="center"/>
                </w:tcPr>
                <w:p>
                  <w:pPr>
                    <w:jc w:val="center"/>
                    <w:rPr>
                      <w:szCs w:val="21"/>
                    </w:rPr>
                  </w:pPr>
                  <w:r>
                    <w:rPr>
                      <w:szCs w:val="21"/>
                    </w:rPr>
                    <w:t>0.000198</w:t>
                  </w:r>
                </w:p>
              </w:tc>
              <w:tc>
                <w:tcPr>
                  <w:tcW w:w="890" w:type="pct"/>
                  <w:vAlign w:val="center"/>
                </w:tcPr>
                <w:p>
                  <w:pPr>
                    <w:jc w:val="center"/>
                    <w:rPr>
                      <w:szCs w:val="21"/>
                    </w:rPr>
                  </w:pPr>
                  <w:r>
                    <w:rPr>
                      <w:szCs w:val="21"/>
                    </w:rPr>
                    <w:t>0.000084</w:t>
                  </w:r>
                </w:p>
              </w:tc>
              <w:tc>
                <w:tcPr>
                  <w:tcW w:w="760" w:type="pct"/>
                  <w:vAlign w:val="center"/>
                </w:tcPr>
                <w:p>
                  <w:pPr>
                    <w:jc w:val="center"/>
                    <w:rPr>
                      <w:szCs w:val="21"/>
                    </w:rPr>
                  </w:pPr>
                  <w:r>
                    <w:rPr>
                      <w:szCs w:val="21"/>
                    </w:rPr>
                    <w:t>0.00282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9" w:type="pct"/>
                  <w:vMerge w:val="continue"/>
                  <w:vAlign w:val="center"/>
                </w:tcPr>
                <w:p>
                  <w:pPr>
                    <w:adjustRightInd w:val="0"/>
                    <w:snapToGrid w:val="0"/>
                    <w:jc w:val="center"/>
                    <w:rPr>
                      <w:szCs w:val="21"/>
                    </w:rPr>
                  </w:pPr>
                </w:p>
              </w:tc>
              <w:tc>
                <w:tcPr>
                  <w:tcW w:w="906" w:type="pct"/>
                  <w:vAlign w:val="center"/>
                </w:tcPr>
                <w:p>
                  <w:pPr>
                    <w:adjustRightInd w:val="0"/>
                    <w:snapToGrid w:val="0"/>
                    <w:jc w:val="center"/>
                    <w:rPr>
                      <w:szCs w:val="21"/>
                    </w:rPr>
                  </w:pPr>
                  <w:r>
                    <w:rPr>
                      <w:rFonts w:hint="eastAsia"/>
                      <w:szCs w:val="21"/>
                    </w:rPr>
                    <w:t>TVOC</w:t>
                  </w:r>
                </w:p>
              </w:tc>
              <w:tc>
                <w:tcPr>
                  <w:tcW w:w="596" w:type="pct"/>
                  <w:vAlign w:val="center"/>
                </w:tcPr>
                <w:p>
                  <w:pPr>
                    <w:jc w:val="center"/>
                    <w:rPr>
                      <w:szCs w:val="21"/>
                    </w:rPr>
                  </w:pPr>
                  <w:r>
                    <w:rPr>
                      <w:szCs w:val="21"/>
                    </w:rPr>
                    <w:t>0.088</w:t>
                  </w:r>
                </w:p>
              </w:tc>
              <w:tc>
                <w:tcPr>
                  <w:tcW w:w="710" w:type="pct"/>
                  <w:vAlign w:val="center"/>
                </w:tcPr>
                <w:p>
                  <w:pPr>
                    <w:jc w:val="center"/>
                    <w:rPr>
                      <w:szCs w:val="21"/>
                    </w:rPr>
                  </w:pPr>
                  <w:r>
                    <w:rPr>
                      <w:szCs w:val="21"/>
                    </w:rPr>
                    <w:t>0.0367</w:t>
                  </w:r>
                </w:p>
              </w:tc>
              <w:tc>
                <w:tcPr>
                  <w:tcW w:w="619" w:type="pct"/>
                  <w:vAlign w:val="center"/>
                </w:tcPr>
                <w:p>
                  <w:pPr>
                    <w:jc w:val="center"/>
                    <w:rPr>
                      <w:szCs w:val="21"/>
                    </w:rPr>
                  </w:pPr>
                  <w:r>
                    <w:rPr>
                      <w:szCs w:val="21"/>
                    </w:rPr>
                    <w:t>0.2106</w:t>
                  </w:r>
                </w:p>
              </w:tc>
              <w:tc>
                <w:tcPr>
                  <w:tcW w:w="890" w:type="pct"/>
                  <w:vAlign w:val="center"/>
                </w:tcPr>
                <w:p>
                  <w:pPr>
                    <w:jc w:val="center"/>
                    <w:rPr>
                      <w:szCs w:val="21"/>
                    </w:rPr>
                  </w:pPr>
                  <w:r>
                    <w:rPr>
                      <w:szCs w:val="21"/>
                    </w:rPr>
                    <w:t>0.08775</w:t>
                  </w:r>
                </w:p>
              </w:tc>
              <w:tc>
                <w:tcPr>
                  <w:tcW w:w="760" w:type="pct"/>
                  <w:vAlign w:val="center"/>
                </w:tcPr>
                <w:p>
                  <w:pPr>
                    <w:jc w:val="center"/>
                    <w:rPr>
                      <w:szCs w:val="21"/>
                    </w:rPr>
                  </w:pPr>
                  <w:r>
                    <w:rPr>
                      <w:szCs w:val="21"/>
                    </w:rPr>
                    <w:t>2.925</w:t>
                  </w:r>
                </w:p>
              </w:tc>
            </w:tr>
          </w:tbl>
          <w:p>
            <w:pPr>
              <w:adjustRightInd w:val="0"/>
              <w:snapToGrid w:val="0"/>
              <w:spacing w:line="360" w:lineRule="auto"/>
              <w:ind w:firstLine="422" w:firstLineChars="200"/>
              <w:rPr>
                <w:b/>
                <w:szCs w:val="21"/>
              </w:rPr>
            </w:pPr>
            <w:r>
              <w:rPr>
                <w:rFonts w:hint="eastAsia"/>
                <w:b/>
                <w:szCs w:val="21"/>
              </w:rPr>
              <w:t>（2）</w:t>
            </w:r>
            <w:r>
              <w:rPr>
                <w:b/>
                <w:szCs w:val="21"/>
              </w:rPr>
              <w:t>排放口情况</w:t>
            </w:r>
          </w:p>
          <w:p>
            <w:pPr>
              <w:numPr>
                <w:ilvl w:val="0"/>
                <w:numId w:val="5"/>
              </w:numPr>
              <w:adjustRightInd w:val="0"/>
              <w:snapToGrid w:val="0"/>
              <w:spacing w:line="360" w:lineRule="auto"/>
              <w:ind w:left="0"/>
              <w:jc w:val="center"/>
              <w:rPr>
                <w:b/>
                <w:szCs w:val="21"/>
              </w:rPr>
            </w:pPr>
            <w:r>
              <w:rPr>
                <w:b/>
                <w:szCs w:val="21"/>
              </w:rPr>
              <w:t>项目排气筒基本情况一览表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
              <w:gridCol w:w="912"/>
              <w:gridCol w:w="1115"/>
              <w:gridCol w:w="1249"/>
              <w:gridCol w:w="1179"/>
              <w:gridCol w:w="765"/>
              <w:gridCol w:w="765"/>
              <w:gridCol w:w="848"/>
              <w:gridCol w:w="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9" w:type="pct"/>
                  <w:vMerge w:val="restart"/>
                  <w:vAlign w:val="center"/>
                </w:tcPr>
                <w:p>
                  <w:pPr>
                    <w:jc w:val="center"/>
                    <w:rPr>
                      <w:b/>
                      <w:bCs/>
                      <w:sz w:val="18"/>
                      <w:szCs w:val="18"/>
                    </w:rPr>
                  </w:pPr>
                  <w:r>
                    <w:rPr>
                      <w:b/>
                      <w:bCs/>
                      <w:sz w:val="18"/>
                      <w:szCs w:val="18"/>
                    </w:rPr>
                    <w:t>排放口编号</w:t>
                  </w:r>
                </w:p>
              </w:tc>
              <w:tc>
                <w:tcPr>
                  <w:tcW w:w="544" w:type="pct"/>
                  <w:vMerge w:val="restart"/>
                  <w:vAlign w:val="center"/>
                </w:tcPr>
                <w:p>
                  <w:pPr>
                    <w:jc w:val="center"/>
                    <w:rPr>
                      <w:b/>
                      <w:bCs/>
                      <w:sz w:val="18"/>
                      <w:szCs w:val="18"/>
                    </w:rPr>
                  </w:pPr>
                  <w:r>
                    <w:rPr>
                      <w:b/>
                      <w:bCs/>
                      <w:sz w:val="18"/>
                      <w:szCs w:val="18"/>
                    </w:rPr>
                    <w:t>排放口名称</w:t>
                  </w:r>
                </w:p>
              </w:tc>
              <w:tc>
                <w:tcPr>
                  <w:tcW w:w="665" w:type="pct"/>
                  <w:vMerge w:val="restart"/>
                  <w:vAlign w:val="center"/>
                </w:tcPr>
                <w:p>
                  <w:pPr>
                    <w:jc w:val="center"/>
                    <w:rPr>
                      <w:b/>
                      <w:bCs/>
                      <w:sz w:val="18"/>
                      <w:szCs w:val="18"/>
                    </w:rPr>
                  </w:pPr>
                  <w:r>
                    <w:rPr>
                      <w:b/>
                      <w:bCs/>
                      <w:sz w:val="18"/>
                      <w:szCs w:val="18"/>
                    </w:rPr>
                    <w:t>污染物种类</w:t>
                  </w:r>
                </w:p>
              </w:tc>
              <w:tc>
                <w:tcPr>
                  <w:tcW w:w="1446" w:type="pct"/>
                  <w:gridSpan w:val="2"/>
                  <w:vAlign w:val="center"/>
                </w:tcPr>
                <w:p>
                  <w:pPr>
                    <w:jc w:val="center"/>
                    <w:rPr>
                      <w:b/>
                      <w:bCs/>
                      <w:sz w:val="18"/>
                      <w:szCs w:val="18"/>
                    </w:rPr>
                  </w:pPr>
                  <w:r>
                    <w:rPr>
                      <w:b/>
                      <w:bCs/>
                      <w:sz w:val="18"/>
                      <w:szCs w:val="18"/>
                    </w:rPr>
                    <w:t>排放口地理坐标</w:t>
                  </w:r>
                </w:p>
              </w:tc>
              <w:tc>
                <w:tcPr>
                  <w:tcW w:w="456" w:type="pct"/>
                  <w:vMerge w:val="restart"/>
                  <w:vAlign w:val="center"/>
                </w:tcPr>
                <w:p>
                  <w:pPr>
                    <w:jc w:val="center"/>
                    <w:rPr>
                      <w:sz w:val="18"/>
                      <w:szCs w:val="18"/>
                    </w:rPr>
                  </w:pPr>
                  <w:r>
                    <w:rPr>
                      <w:b/>
                      <w:bCs/>
                      <w:sz w:val="18"/>
                      <w:szCs w:val="18"/>
                    </w:rPr>
                    <w:t>排气筒高度（m）</w:t>
                  </w:r>
                </w:p>
              </w:tc>
              <w:tc>
                <w:tcPr>
                  <w:tcW w:w="456" w:type="pct"/>
                  <w:vMerge w:val="restart"/>
                  <w:vAlign w:val="center"/>
                </w:tcPr>
                <w:p>
                  <w:pPr>
                    <w:jc w:val="center"/>
                    <w:rPr>
                      <w:b/>
                      <w:bCs/>
                      <w:sz w:val="18"/>
                      <w:szCs w:val="18"/>
                    </w:rPr>
                  </w:pPr>
                  <w:r>
                    <w:rPr>
                      <w:b/>
                      <w:bCs/>
                      <w:sz w:val="18"/>
                      <w:szCs w:val="18"/>
                    </w:rPr>
                    <w:t>排气筒出口内径（m）</w:t>
                  </w:r>
                </w:p>
              </w:tc>
              <w:tc>
                <w:tcPr>
                  <w:tcW w:w="488" w:type="pct"/>
                  <w:vMerge w:val="restart"/>
                  <w:vAlign w:val="center"/>
                </w:tcPr>
                <w:p>
                  <w:pPr>
                    <w:jc w:val="center"/>
                    <w:rPr>
                      <w:b/>
                      <w:bCs/>
                      <w:sz w:val="18"/>
                      <w:szCs w:val="18"/>
                    </w:rPr>
                  </w:pPr>
                  <w:r>
                    <w:rPr>
                      <w:rFonts w:hint="eastAsia"/>
                      <w:b/>
                      <w:bCs/>
                      <w:sz w:val="18"/>
                      <w:szCs w:val="18"/>
                    </w:rPr>
                    <w:t>烟气流速（m/s）</w:t>
                  </w:r>
                </w:p>
              </w:tc>
              <w:tc>
                <w:tcPr>
                  <w:tcW w:w="477" w:type="pct"/>
                  <w:vMerge w:val="restart"/>
                  <w:vAlign w:val="center"/>
                </w:tcPr>
                <w:p>
                  <w:pPr>
                    <w:jc w:val="center"/>
                    <w:rPr>
                      <w:b/>
                      <w:bCs/>
                      <w:sz w:val="18"/>
                      <w:szCs w:val="18"/>
                    </w:rPr>
                  </w:pPr>
                  <w:r>
                    <w:rPr>
                      <w:b/>
                      <w:bCs/>
                      <w:sz w:val="18"/>
                      <w:szCs w:val="18"/>
                    </w:rPr>
                    <w:t>排气温度（</w:t>
                  </w:r>
                  <w:r>
                    <w:rPr>
                      <w:rFonts w:hint="eastAsia" w:ascii="宋体" w:hAnsi="宋体" w:cs="宋体"/>
                      <w:b/>
                      <w:bCs/>
                      <w:sz w:val="18"/>
                      <w:szCs w:val="18"/>
                    </w:rPr>
                    <w:t>℃</w:t>
                  </w:r>
                  <w:r>
                    <w:rPr>
                      <w:b/>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9" w:type="pct"/>
                  <w:vMerge w:val="continue"/>
                  <w:vAlign w:val="center"/>
                </w:tcPr>
                <w:p>
                  <w:pPr>
                    <w:widowControl/>
                    <w:jc w:val="center"/>
                    <w:rPr>
                      <w:sz w:val="18"/>
                      <w:szCs w:val="18"/>
                    </w:rPr>
                  </w:pPr>
                </w:p>
              </w:tc>
              <w:tc>
                <w:tcPr>
                  <w:tcW w:w="544" w:type="pct"/>
                  <w:vMerge w:val="continue"/>
                  <w:vAlign w:val="center"/>
                </w:tcPr>
                <w:p>
                  <w:pPr>
                    <w:widowControl/>
                    <w:jc w:val="center"/>
                    <w:rPr>
                      <w:sz w:val="18"/>
                      <w:szCs w:val="18"/>
                    </w:rPr>
                  </w:pPr>
                </w:p>
              </w:tc>
              <w:tc>
                <w:tcPr>
                  <w:tcW w:w="665" w:type="pct"/>
                  <w:vMerge w:val="continue"/>
                  <w:vAlign w:val="center"/>
                </w:tcPr>
                <w:p>
                  <w:pPr>
                    <w:widowControl/>
                    <w:jc w:val="center"/>
                    <w:rPr>
                      <w:sz w:val="18"/>
                      <w:szCs w:val="18"/>
                    </w:rPr>
                  </w:pPr>
                </w:p>
              </w:tc>
              <w:tc>
                <w:tcPr>
                  <w:tcW w:w="744" w:type="pct"/>
                  <w:vAlign w:val="center"/>
                </w:tcPr>
                <w:p>
                  <w:pPr>
                    <w:jc w:val="center"/>
                    <w:rPr>
                      <w:b/>
                      <w:bCs/>
                      <w:sz w:val="18"/>
                      <w:szCs w:val="18"/>
                    </w:rPr>
                  </w:pPr>
                  <w:r>
                    <w:rPr>
                      <w:b/>
                      <w:bCs/>
                      <w:sz w:val="18"/>
                      <w:szCs w:val="18"/>
                    </w:rPr>
                    <w:t>经度</w:t>
                  </w:r>
                </w:p>
              </w:tc>
              <w:tc>
                <w:tcPr>
                  <w:tcW w:w="702" w:type="pct"/>
                  <w:vAlign w:val="center"/>
                </w:tcPr>
                <w:p>
                  <w:pPr>
                    <w:jc w:val="center"/>
                    <w:rPr>
                      <w:b/>
                      <w:bCs/>
                      <w:sz w:val="18"/>
                      <w:szCs w:val="18"/>
                    </w:rPr>
                  </w:pPr>
                  <w:r>
                    <w:rPr>
                      <w:b/>
                      <w:bCs/>
                      <w:sz w:val="18"/>
                      <w:szCs w:val="18"/>
                    </w:rPr>
                    <w:t>纬度</w:t>
                  </w:r>
                </w:p>
              </w:tc>
              <w:tc>
                <w:tcPr>
                  <w:tcW w:w="456" w:type="pct"/>
                  <w:vMerge w:val="continue"/>
                  <w:vAlign w:val="center"/>
                </w:tcPr>
                <w:p>
                  <w:pPr>
                    <w:jc w:val="center"/>
                    <w:rPr>
                      <w:sz w:val="18"/>
                      <w:szCs w:val="18"/>
                    </w:rPr>
                  </w:pPr>
                </w:p>
              </w:tc>
              <w:tc>
                <w:tcPr>
                  <w:tcW w:w="456" w:type="pct"/>
                  <w:vMerge w:val="continue"/>
                  <w:vAlign w:val="center"/>
                </w:tcPr>
                <w:p>
                  <w:pPr>
                    <w:widowControl/>
                    <w:jc w:val="center"/>
                    <w:rPr>
                      <w:sz w:val="18"/>
                      <w:szCs w:val="18"/>
                    </w:rPr>
                  </w:pPr>
                </w:p>
              </w:tc>
              <w:tc>
                <w:tcPr>
                  <w:tcW w:w="488" w:type="pct"/>
                  <w:vMerge w:val="continue"/>
                  <w:vAlign w:val="center"/>
                </w:tcPr>
                <w:p>
                  <w:pPr>
                    <w:widowControl/>
                    <w:jc w:val="center"/>
                    <w:rPr>
                      <w:sz w:val="18"/>
                      <w:szCs w:val="18"/>
                    </w:rPr>
                  </w:pPr>
                </w:p>
              </w:tc>
              <w:tc>
                <w:tcPr>
                  <w:tcW w:w="477" w:type="pct"/>
                  <w:vMerge w:val="continue"/>
                  <w:vAlign w:val="center"/>
                </w:tcPr>
                <w:p>
                  <w:pPr>
                    <w:widowControl/>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9" w:type="pct"/>
                  <w:vAlign w:val="center"/>
                </w:tcPr>
                <w:p>
                  <w:pPr>
                    <w:jc w:val="center"/>
                    <w:rPr>
                      <w:sz w:val="18"/>
                      <w:szCs w:val="18"/>
                    </w:rPr>
                  </w:pPr>
                  <w:r>
                    <w:rPr>
                      <w:sz w:val="18"/>
                      <w:szCs w:val="18"/>
                    </w:rPr>
                    <w:t>DA001</w:t>
                  </w:r>
                </w:p>
              </w:tc>
              <w:tc>
                <w:tcPr>
                  <w:tcW w:w="544" w:type="pct"/>
                  <w:vAlign w:val="center"/>
                </w:tcPr>
                <w:p>
                  <w:pPr>
                    <w:adjustRightInd w:val="0"/>
                    <w:snapToGrid w:val="0"/>
                    <w:jc w:val="center"/>
                    <w:rPr>
                      <w:sz w:val="18"/>
                      <w:szCs w:val="18"/>
                    </w:rPr>
                  </w:pPr>
                  <w:r>
                    <w:rPr>
                      <w:rFonts w:hint="eastAsia"/>
                      <w:sz w:val="18"/>
                      <w:szCs w:val="18"/>
                    </w:rPr>
                    <w:t>厂房A废气</w:t>
                  </w:r>
                  <w:r>
                    <w:rPr>
                      <w:sz w:val="18"/>
                      <w:szCs w:val="18"/>
                    </w:rPr>
                    <w:t>排放口</w:t>
                  </w:r>
                </w:p>
              </w:tc>
              <w:tc>
                <w:tcPr>
                  <w:tcW w:w="665" w:type="pct"/>
                  <w:vAlign w:val="center"/>
                </w:tcPr>
                <w:p>
                  <w:pPr>
                    <w:adjustRightInd w:val="0"/>
                    <w:snapToGrid w:val="0"/>
                    <w:jc w:val="center"/>
                    <w:rPr>
                      <w:sz w:val="18"/>
                      <w:szCs w:val="18"/>
                    </w:rPr>
                  </w:pPr>
                  <w:r>
                    <w:rPr>
                      <w:sz w:val="18"/>
                      <w:szCs w:val="18"/>
                    </w:rPr>
                    <w:t>颗粒物</w:t>
                  </w:r>
                  <w:r>
                    <w:rPr>
                      <w:rFonts w:hint="eastAsia"/>
                      <w:sz w:val="18"/>
                      <w:szCs w:val="18"/>
                    </w:rPr>
                    <w:t>、</w:t>
                  </w:r>
                  <w:r>
                    <w:rPr>
                      <w:sz w:val="18"/>
                      <w:szCs w:val="18"/>
                    </w:rPr>
                    <w:t>锡及其化合物、</w:t>
                  </w:r>
                  <w:r>
                    <w:rPr>
                      <w:rFonts w:hint="eastAsia"/>
                      <w:sz w:val="18"/>
                      <w:szCs w:val="18"/>
                    </w:rPr>
                    <w:t>TVOC</w:t>
                  </w:r>
                </w:p>
              </w:tc>
              <w:tc>
                <w:tcPr>
                  <w:tcW w:w="744" w:type="pct"/>
                  <w:vAlign w:val="center"/>
                </w:tcPr>
                <w:p>
                  <w:pPr>
                    <w:jc w:val="center"/>
                    <w:rPr>
                      <w:sz w:val="18"/>
                      <w:szCs w:val="18"/>
                    </w:rPr>
                  </w:pPr>
                  <w:r>
                    <w:rPr>
                      <w:sz w:val="18"/>
                      <w:szCs w:val="18"/>
                    </w:rPr>
                    <w:t>E</w:t>
                  </w:r>
                  <w:r>
                    <w:t xml:space="preserve"> </w:t>
                  </w:r>
                  <w:r>
                    <w:rPr>
                      <w:sz w:val="18"/>
                      <w:szCs w:val="18"/>
                    </w:rPr>
                    <w:t>113.98394°</w:t>
                  </w:r>
                </w:p>
              </w:tc>
              <w:tc>
                <w:tcPr>
                  <w:tcW w:w="702" w:type="pct"/>
                  <w:vAlign w:val="center"/>
                </w:tcPr>
                <w:p>
                  <w:pPr>
                    <w:adjustRightInd w:val="0"/>
                    <w:snapToGrid w:val="0"/>
                    <w:jc w:val="center"/>
                    <w:rPr>
                      <w:sz w:val="18"/>
                      <w:szCs w:val="18"/>
                    </w:rPr>
                  </w:pPr>
                  <w:r>
                    <w:rPr>
                      <w:sz w:val="18"/>
                      <w:szCs w:val="18"/>
                    </w:rPr>
                    <w:t>N</w:t>
                  </w:r>
                  <w:r>
                    <w:t xml:space="preserve"> </w:t>
                  </w:r>
                  <w:r>
                    <w:rPr>
                      <w:sz w:val="18"/>
                      <w:szCs w:val="18"/>
                    </w:rPr>
                    <w:t>23.16557°</w:t>
                  </w:r>
                </w:p>
              </w:tc>
              <w:tc>
                <w:tcPr>
                  <w:tcW w:w="456" w:type="pct"/>
                  <w:vAlign w:val="center"/>
                </w:tcPr>
                <w:p>
                  <w:pPr>
                    <w:jc w:val="center"/>
                    <w:rPr>
                      <w:sz w:val="18"/>
                      <w:szCs w:val="18"/>
                    </w:rPr>
                  </w:pPr>
                  <w:r>
                    <w:rPr>
                      <w:sz w:val="18"/>
                      <w:szCs w:val="18"/>
                    </w:rPr>
                    <w:t>25</w:t>
                  </w:r>
                </w:p>
              </w:tc>
              <w:tc>
                <w:tcPr>
                  <w:tcW w:w="456" w:type="pct"/>
                  <w:vAlign w:val="center"/>
                </w:tcPr>
                <w:p>
                  <w:pPr>
                    <w:jc w:val="center"/>
                    <w:rPr>
                      <w:sz w:val="18"/>
                      <w:szCs w:val="18"/>
                    </w:rPr>
                  </w:pPr>
                  <w:r>
                    <w:rPr>
                      <w:sz w:val="18"/>
                      <w:szCs w:val="18"/>
                    </w:rPr>
                    <w:t>0.8</w:t>
                  </w:r>
                </w:p>
              </w:tc>
              <w:tc>
                <w:tcPr>
                  <w:tcW w:w="488" w:type="pct"/>
                  <w:vAlign w:val="center"/>
                </w:tcPr>
                <w:p>
                  <w:pPr>
                    <w:jc w:val="center"/>
                    <w:rPr>
                      <w:sz w:val="18"/>
                      <w:szCs w:val="18"/>
                    </w:rPr>
                  </w:pPr>
                  <w:r>
                    <w:rPr>
                      <w:sz w:val="18"/>
                      <w:szCs w:val="18"/>
                    </w:rPr>
                    <w:t>16.6</w:t>
                  </w:r>
                </w:p>
              </w:tc>
              <w:tc>
                <w:tcPr>
                  <w:tcW w:w="477" w:type="pct"/>
                  <w:vAlign w:val="center"/>
                </w:tcPr>
                <w:p>
                  <w:pPr>
                    <w:jc w:val="center"/>
                    <w:rPr>
                      <w:sz w:val="18"/>
                      <w:szCs w:val="18"/>
                    </w:rPr>
                  </w:pPr>
                  <w:r>
                    <w:rPr>
                      <w:sz w:val="18"/>
                      <w:szCs w:val="18"/>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69" w:type="pct"/>
                  <w:vAlign w:val="center"/>
                </w:tcPr>
                <w:p>
                  <w:pPr>
                    <w:jc w:val="center"/>
                    <w:rPr>
                      <w:sz w:val="18"/>
                      <w:szCs w:val="18"/>
                    </w:rPr>
                  </w:pPr>
                  <w:r>
                    <w:rPr>
                      <w:rFonts w:hint="eastAsia"/>
                      <w:sz w:val="18"/>
                      <w:szCs w:val="18"/>
                    </w:rPr>
                    <w:t>DA002</w:t>
                  </w:r>
                </w:p>
              </w:tc>
              <w:tc>
                <w:tcPr>
                  <w:tcW w:w="544" w:type="pct"/>
                  <w:vAlign w:val="center"/>
                </w:tcPr>
                <w:p>
                  <w:pPr>
                    <w:adjustRightInd w:val="0"/>
                    <w:snapToGrid w:val="0"/>
                    <w:jc w:val="center"/>
                    <w:rPr>
                      <w:sz w:val="18"/>
                      <w:szCs w:val="18"/>
                    </w:rPr>
                  </w:pPr>
                  <w:r>
                    <w:rPr>
                      <w:rFonts w:hint="eastAsia"/>
                      <w:sz w:val="18"/>
                      <w:szCs w:val="18"/>
                    </w:rPr>
                    <w:t>厂房B废气</w:t>
                  </w:r>
                  <w:r>
                    <w:rPr>
                      <w:sz w:val="18"/>
                      <w:szCs w:val="18"/>
                    </w:rPr>
                    <w:t>排放口</w:t>
                  </w:r>
                </w:p>
              </w:tc>
              <w:tc>
                <w:tcPr>
                  <w:tcW w:w="665" w:type="pct"/>
                  <w:vAlign w:val="center"/>
                </w:tcPr>
                <w:p>
                  <w:pPr>
                    <w:adjustRightInd w:val="0"/>
                    <w:snapToGrid w:val="0"/>
                    <w:jc w:val="center"/>
                    <w:rPr>
                      <w:sz w:val="18"/>
                      <w:szCs w:val="18"/>
                    </w:rPr>
                  </w:pPr>
                  <w:r>
                    <w:rPr>
                      <w:sz w:val="18"/>
                      <w:szCs w:val="18"/>
                    </w:rPr>
                    <w:t>颗粒物</w:t>
                  </w:r>
                  <w:r>
                    <w:rPr>
                      <w:rFonts w:hint="eastAsia"/>
                      <w:sz w:val="18"/>
                      <w:szCs w:val="18"/>
                    </w:rPr>
                    <w:t>、</w:t>
                  </w:r>
                  <w:r>
                    <w:rPr>
                      <w:sz w:val="18"/>
                      <w:szCs w:val="18"/>
                    </w:rPr>
                    <w:t>锡及其化合物、</w:t>
                  </w:r>
                  <w:r>
                    <w:rPr>
                      <w:rFonts w:hint="eastAsia"/>
                      <w:sz w:val="18"/>
                      <w:szCs w:val="18"/>
                    </w:rPr>
                    <w:t>TVOC</w:t>
                  </w:r>
                </w:p>
              </w:tc>
              <w:tc>
                <w:tcPr>
                  <w:tcW w:w="744" w:type="pct"/>
                  <w:vAlign w:val="center"/>
                </w:tcPr>
                <w:p>
                  <w:pPr>
                    <w:jc w:val="center"/>
                    <w:rPr>
                      <w:sz w:val="18"/>
                      <w:szCs w:val="18"/>
                    </w:rPr>
                  </w:pPr>
                  <w:r>
                    <w:rPr>
                      <w:sz w:val="18"/>
                      <w:szCs w:val="18"/>
                    </w:rPr>
                    <w:t>E</w:t>
                  </w:r>
                  <w:r>
                    <w:t xml:space="preserve"> </w:t>
                  </w:r>
                  <w:r>
                    <w:rPr>
                      <w:sz w:val="18"/>
                      <w:szCs w:val="18"/>
                    </w:rPr>
                    <w:t>113.98374°</w:t>
                  </w:r>
                </w:p>
              </w:tc>
              <w:tc>
                <w:tcPr>
                  <w:tcW w:w="702" w:type="pct"/>
                  <w:vAlign w:val="center"/>
                </w:tcPr>
                <w:p>
                  <w:pPr>
                    <w:adjustRightInd w:val="0"/>
                    <w:snapToGrid w:val="0"/>
                    <w:jc w:val="center"/>
                    <w:rPr>
                      <w:sz w:val="18"/>
                      <w:szCs w:val="18"/>
                    </w:rPr>
                  </w:pPr>
                  <w:r>
                    <w:rPr>
                      <w:sz w:val="18"/>
                      <w:szCs w:val="18"/>
                    </w:rPr>
                    <w:t>N</w:t>
                  </w:r>
                  <w:r>
                    <w:t xml:space="preserve"> </w:t>
                  </w:r>
                  <w:r>
                    <w:rPr>
                      <w:sz w:val="18"/>
                      <w:szCs w:val="18"/>
                    </w:rPr>
                    <w:t>23.16604°</w:t>
                  </w:r>
                </w:p>
              </w:tc>
              <w:tc>
                <w:tcPr>
                  <w:tcW w:w="456" w:type="pct"/>
                  <w:vAlign w:val="center"/>
                </w:tcPr>
                <w:p>
                  <w:pPr>
                    <w:jc w:val="center"/>
                    <w:rPr>
                      <w:sz w:val="18"/>
                      <w:szCs w:val="18"/>
                    </w:rPr>
                  </w:pPr>
                  <w:r>
                    <w:rPr>
                      <w:rFonts w:hint="eastAsia"/>
                      <w:sz w:val="18"/>
                      <w:szCs w:val="18"/>
                    </w:rPr>
                    <w:t>15</w:t>
                  </w:r>
                </w:p>
              </w:tc>
              <w:tc>
                <w:tcPr>
                  <w:tcW w:w="456" w:type="pct"/>
                  <w:vAlign w:val="center"/>
                </w:tcPr>
                <w:p>
                  <w:pPr>
                    <w:jc w:val="center"/>
                    <w:rPr>
                      <w:sz w:val="18"/>
                      <w:szCs w:val="18"/>
                    </w:rPr>
                  </w:pPr>
                  <w:r>
                    <w:rPr>
                      <w:rFonts w:hint="eastAsia"/>
                      <w:sz w:val="18"/>
                      <w:szCs w:val="18"/>
                    </w:rPr>
                    <w:t>0.</w:t>
                  </w:r>
                  <w:r>
                    <w:rPr>
                      <w:sz w:val="18"/>
                      <w:szCs w:val="18"/>
                    </w:rPr>
                    <w:t>8</w:t>
                  </w:r>
                </w:p>
              </w:tc>
              <w:tc>
                <w:tcPr>
                  <w:tcW w:w="488" w:type="pct"/>
                  <w:vAlign w:val="center"/>
                </w:tcPr>
                <w:p>
                  <w:pPr>
                    <w:jc w:val="center"/>
                    <w:rPr>
                      <w:sz w:val="18"/>
                      <w:szCs w:val="18"/>
                    </w:rPr>
                  </w:pPr>
                  <w:r>
                    <w:rPr>
                      <w:sz w:val="18"/>
                      <w:szCs w:val="18"/>
                    </w:rPr>
                    <w:t>16.6</w:t>
                  </w:r>
                </w:p>
              </w:tc>
              <w:tc>
                <w:tcPr>
                  <w:tcW w:w="477" w:type="pct"/>
                  <w:vAlign w:val="center"/>
                </w:tcPr>
                <w:p>
                  <w:pPr>
                    <w:jc w:val="center"/>
                    <w:rPr>
                      <w:sz w:val="18"/>
                      <w:szCs w:val="18"/>
                    </w:rPr>
                  </w:pPr>
                  <w:r>
                    <w:rPr>
                      <w:sz w:val="18"/>
                      <w:szCs w:val="18"/>
                    </w:rPr>
                    <w:t>25</w:t>
                  </w:r>
                </w:p>
              </w:tc>
            </w:tr>
          </w:tbl>
          <w:p>
            <w:pPr>
              <w:spacing w:line="360" w:lineRule="auto"/>
              <w:ind w:firstLine="422" w:firstLineChars="200"/>
              <w:rPr>
                <w:b/>
                <w:szCs w:val="21"/>
              </w:rPr>
            </w:pPr>
            <w:r>
              <w:rPr>
                <w:rFonts w:hint="eastAsia"/>
                <w:b/>
                <w:szCs w:val="21"/>
              </w:rPr>
              <w:t>（3）</w:t>
            </w:r>
            <w:r>
              <w:rPr>
                <w:b/>
                <w:szCs w:val="21"/>
              </w:rPr>
              <w:t>监测要求</w:t>
            </w:r>
          </w:p>
          <w:p>
            <w:pPr>
              <w:adjustRightInd w:val="0"/>
              <w:snapToGrid w:val="0"/>
              <w:spacing w:line="360" w:lineRule="auto"/>
              <w:ind w:firstLine="420" w:firstLineChars="200"/>
              <w:rPr>
                <w:szCs w:val="21"/>
              </w:rPr>
            </w:pPr>
            <w:r>
              <w:rPr>
                <w:szCs w:val="21"/>
              </w:rPr>
              <w:t>根据</w:t>
            </w:r>
            <w:r>
              <w:rPr>
                <w:bCs/>
                <w:szCs w:val="21"/>
              </w:rPr>
              <w:t>《固定污染源排污许可分类管理名录（2019年版）》（部令第11号），本项目属于登记管理类排污单位，</w:t>
            </w:r>
            <w:r>
              <w:rPr>
                <w:rFonts w:hint="eastAsia"/>
                <w:szCs w:val="21"/>
              </w:rPr>
              <w:t>参照</w:t>
            </w:r>
            <w:r>
              <w:rPr>
                <w:rFonts w:hint="eastAsia"/>
                <w:bCs/>
                <w:szCs w:val="21"/>
              </w:rPr>
              <w:t>《排污许可证申请与核发技术规范 电子工业》（HJ1031-2019）、</w:t>
            </w:r>
            <w:r>
              <w:rPr>
                <w:szCs w:val="21"/>
              </w:rPr>
              <w:t xml:space="preserve">《排污单位自行监测技术指南 </w:t>
            </w:r>
            <w:r>
              <w:rPr>
                <w:rFonts w:hint="eastAsia"/>
                <w:szCs w:val="21"/>
              </w:rPr>
              <w:t>总则</w:t>
            </w:r>
            <w:r>
              <w:rPr>
                <w:szCs w:val="21"/>
              </w:rPr>
              <w:t>》</w:t>
            </w:r>
            <w:r>
              <w:rPr>
                <w:rFonts w:hint="eastAsia"/>
                <w:szCs w:val="21"/>
              </w:rPr>
              <w:t>（</w:t>
            </w:r>
            <w:r>
              <w:rPr>
                <w:szCs w:val="21"/>
              </w:rPr>
              <w:t>HJ 819-2017</w:t>
            </w:r>
            <w:r>
              <w:rPr>
                <w:rFonts w:hint="eastAsia"/>
                <w:szCs w:val="21"/>
              </w:rPr>
              <w:t>）和《广东省涉挥发性有机物（VOCs）重点行业治理指引》（粤环办[2021]43号），</w:t>
            </w:r>
            <w:r>
              <w:rPr>
                <w:szCs w:val="21"/>
              </w:rPr>
              <w:t>项目</w:t>
            </w:r>
            <w:r>
              <w:rPr>
                <w:rFonts w:hint="eastAsia"/>
                <w:szCs w:val="21"/>
              </w:rPr>
              <w:t>运营期废气</w:t>
            </w:r>
            <w:r>
              <w:rPr>
                <w:szCs w:val="21"/>
              </w:rPr>
              <w:t>监测要求如下</w:t>
            </w:r>
          </w:p>
          <w:p>
            <w:pPr>
              <w:numPr>
                <w:ilvl w:val="0"/>
                <w:numId w:val="5"/>
              </w:numPr>
              <w:adjustRightInd w:val="0"/>
              <w:snapToGrid w:val="0"/>
              <w:spacing w:line="360" w:lineRule="auto"/>
              <w:ind w:left="0"/>
              <w:jc w:val="center"/>
              <w:rPr>
                <w:szCs w:val="21"/>
              </w:rPr>
            </w:pPr>
            <w:r>
              <w:rPr>
                <w:b/>
                <w:bCs/>
                <w:szCs w:val="21"/>
              </w:rPr>
              <w:t>废气污染物监测一览表</w:t>
            </w:r>
          </w:p>
          <w:tbl>
            <w:tblPr>
              <w:tblStyle w:val="29"/>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8"/>
              <w:gridCol w:w="1417"/>
              <w:gridCol w:w="1560"/>
              <w:gridCol w:w="2267"/>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2" w:type="pct"/>
                  <w:vAlign w:val="center"/>
                </w:tcPr>
                <w:p>
                  <w:pPr>
                    <w:adjustRightInd w:val="0"/>
                    <w:snapToGrid w:val="0"/>
                    <w:jc w:val="center"/>
                    <w:rPr>
                      <w:b/>
                      <w:bCs/>
                      <w:spacing w:val="-10"/>
                      <w:szCs w:val="21"/>
                    </w:rPr>
                  </w:pPr>
                  <w:r>
                    <w:rPr>
                      <w:b/>
                      <w:bCs/>
                      <w:spacing w:val="-10"/>
                      <w:szCs w:val="21"/>
                    </w:rPr>
                    <w:t>监测点位</w:t>
                  </w:r>
                </w:p>
              </w:tc>
              <w:tc>
                <w:tcPr>
                  <w:tcW w:w="844" w:type="pct"/>
                  <w:vAlign w:val="center"/>
                </w:tcPr>
                <w:p>
                  <w:pPr>
                    <w:jc w:val="center"/>
                    <w:rPr>
                      <w:b/>
                      <w:bCs/>
                      <w:spacing w:val="-10"/>
                      <w:szCs w:val="21"/>
                    </w:rPr>
                  </w:pPr>
                  <w:r>
                    <w:rPr>
                      <w:b/>
                      <w:bCs/>
                      <w:szCs w:val="21"/>
                    </w:rPr>
                    <w:t>监测因子</w:t>
                  </w:r>
                </w:p>
              </w:tc>
              <w:tc>
                <w:tcPr>
                  <w:tcW w:w="929" w:type="pct"/>
                  <w:vAlign w:val="center"/>
                </w:tcPr>
                <w:p>
                  <w:pPr>
                    <w:jc w:val="center"/>
                    <w:rPr>
                      <w:b/>
                      <w:bCs/>
                      <w:spacing w:val="-10"/>
                      <w:szCs w:val="21"/>
                    </w:rPr>
                  </w:pPr>
                  <w:r>
                    <w:rPr>
                      <w:b/>
                      <w:bCs/>
                      <w:szCs w:val="21"/>
                    </w:rPr>
                    <w:t>监测频次</w:t>
                  </w:r>
                </w:p>
              </w:tc>
              <w:tc>
                <w:tcPr>
                  <w:tcW w:w="1350" w:type="pct"/>
                  <w:vAlign w:val="center"/>
                </w:tcPr>
                <w:p>
                  <w:pPr>
                    <w:jc w:val="center"/>
                    <w:rPr>
                      <w:b/>
                      <w:bCs/>
                      <w:spacing w:val="-10"/>
                      <w:szCs w:val="21"/>
                    </w:rPr>
                  </w:pPr>
                  <w:r>
                    <w:rPr>
                      <w:b/>
                      <w:bCs/>
                      <w:szCs w:val="21"/>
                    </w:rPr>
                    <w:t>执行排放标准名称</w:t>
                  </w:r>
                </w:p>
              </w:tc>
              <w:tc>
                <w:tcPr>
                  <w:tcW w:w="1015" w:type="pct"/>
                  <w:vAlign w:val="center"/>
                </w:tcPr>
                <w:p>
                  <w:pPr>
                    <w:jc w:val="center"/>
                    <w:rPr>
                      <w:b/>
                      <w:bCs/>
                      <w:szCs w:val="21"/>
                    </w:rPr>
                  </w:pPr>
                  <w:r>
                    <w:rPr>
                      <w:b/>
                      <w:bCs/>
                      <w:szCs w:val="21"/>
                    </w:rPr>
                    <w:t>排放限值mg/m</w:t>
                  </w:r>
                  <w:r>
                    <w:rPr>
                      <w:b/>
                      <w:bCs/>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2" w:type="pct"/>
                  <w:vMerge w:val="restart"/>
                  <w:vAlign w:val="center"/>
                </w:tcPr>
                <w:p>
                  <w:pPr>
                    <w:widowControl/>
                    <w:jc w:val="center"/>
                    <w:rPr>
                      <w:szCs w:val="21"/>
                    </w:rPr>
                  </w:pPr>
                  <w:r>
                    <w:rPr>
                      <w:szCs w:val="21"/>
                    </w:rPr>
                    <w:t>DA001排气筒</w:t>
                  </w:r>
                </w:p>
              </w:tc>
              <w:tc>
                <w:tcPr>
                  <w:tcW w:w="844" w:type="pct"/>
                  <w:vAlign w:val="center"/>
                </w:tcPr>
                <w:p>
                  <w:pPr>
                    <w:widowControl/>
                    <w:jc w:val="center"/>
                    <w:rPr>
                      <w:szCs w:val="21"/>
                    </w:rPr>
                  </w:pPr>
                  <w:r>
                    <w:rPr>
                      <w:rFonts w:hint="eastAsia"/>
                      <w:szCs w:val="21"/>
                    </w:rPr>
                    <w:t>颗粒物</w:t>
                  </w:r>
                </w:p>
              </w:tc>
              <w:tc>
                <w:tcPr>
                  <w:tcW w:w="929" w:type="pct"/>
                  <w:vAlign w:val="center"/>
                </w:tcPr>
                <w:p>
                  <w:pPr>
                    <w:widowControl/>
                    <w:jc w:val="center"/>
                    <w:rPr>
                      <w:szCs w:val="21"/>
                    </w:rPr>
                  </w:pPr>
                  <w:r>
                    <w:rPr>
                      <w:szCs w:val="21"/>
                    </w:rPr>
                    <w:t>1次/年</w:t>
                  </w:r>
                </w:p>
              </w:tc>
              <w:tc>
                <w:tcPr>
                  <w:tcW w:w="1350" w:type="pct"/>
                  <w:vMerge w:val="restart"/>
                </w:tcPr>
                <w:p>
                  <w:pPr>
                    <w:jc w:val="center"/>
                  </w:pPr>
                  <w:r>
                    <w:rPr>
                      <w:bCs/>
                      <w:kern w:val="0"/>
                      <w:szCs w:val="21"/>
                    </w:rPr>
                    <w:t>《大气污染物排放限值》（DB44/27-2001）中的第二时段二级标准</w:t>
                  </w:r>
                </w:p>
              </w:tc>
              <w:tc>
                <w:tcPr>
                  <w:tcW w:w="1015" w:type="pct"/>
                  <w:vAlign w:val="center"/>
                </w:tcPr>
                <w:p>
                  <w:pPr>
                    <w:widowControl/>
                    <w:jc w:val="center"/>
                    <w:rPr>
                      <w:szCs w:val="21"/>
                    </w:rPr>
                  </w:pPr>
                  <w:r>
                    <w:rPr>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2" w:type="pct"/>
                  <w:vMerge w:val="continue"/>
                  <w:vAlign w:val="center"/>
                </w:tcPr>
                <w:p>
                  <w:pPr>
                    <w:widowControl/>
                    <w:jc w:val="center"/>
                    <w:rPr>
                      <w:szCs w:val="21"/>
                    </w:rPr>
                  </w:pPr>
                </w:p>
              </w:tc>
              <w:tc>
                <w:tcPr>
                  <w:tcW w:w="844" w:type="pct"/>
                  <w:vAlign w:val="center"/>
                </w:tcPr>
                <w:p>
                  <w:pPr>
                    <w:widowControl/>
                    <w:adjustRightInd w:val="0"/>
                    <w:snapToGrid w:val="0"/>
                    <w:jc w:val="center"/>
                    <w:rPr>
                      <w:kern w:val="0"/>
                      <w:szCs w:val="21"/>
                    </w:rPr>
                  </w:pPr>
                  <w:r>
                    <w:rPr>
                      <w:rFonts w:hint="eastAsia"/>
                      <w:spacing w:val="-14"/>
                      <w:kern w:val="0"/>
                      <w:szCs w:val="21"/>
                    </w:rPr>
                    <w:t>锡及其化合物</w:t>
                  </w:r>
                </w:p>
              </w:tc>
              <w:tc>
                <w:tcPr>
                  <w:tcW w:w="929" w:type="pct"/>
                  <w:vAlign w:val="center"/>
                </w:tcPr>
                <w:p>
                  <w:pPr>
                    <w:widowControl/>
                    <w:jc w:val="center"/>
                    <w:rPr>
                      <w:szCs w:val="21"/>
                    </w:rPr>
                  </w:pPr>
                  <w:r>
                    <w:rPr>
                      <w:szCs w:val="21"/>
                    </w:rPr>
                    <w:t>1次/年</w:t>
                  </w:r>
                </w:p>
              </w:tc>
              <w:tc>
                <w:tcPr>
                  <w:tcW w:w="1350" w:type="pct"/>
                  <w:vMerge w:val="continue"/>
                </w:tcPr>
                <w:p>
                  <w:pPr>
                    <w:jc w:val="center"/>
                  </w:pPr>
                </w:p>
              </w:tc>
              <w:tc>
                <w:tcPr>
                  <w:tcW w:w="1015" w:type="pct"/>
                  <w:vAlign w:val="center"/>
                </w:tcPr>
                <w:p>
                  <w:pPr>
                    <w:widowControl/>
                    <w:adjustRightInd w:val="0"/>
                    <w:snapToGrid w:val="0"/>
                    <w:jc w:val="center"/>
                    <w:rPr>
                      <w:bCs/>
                      <w:kern w:val="0"/>
                      <w:szCs w:val="21"/>
                    </w:rPr>
                  </w:pPr>
                  <w:r>
                    <w:rPr>
                      <w:bCs/>
                      <w:kern w:val="0"/>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2" w:type="pct"/>
                  <w:vMerge w:val="continue"/>
                  <w:vAlign w:val="center"/>
                </w:tcPr>
                <w:p>
                  <w:pPr>
                    <w:widowControl/>
                    <w:jc w:val="center"/>
                    <w:rPr>
                      <w:szCs w:val="21"/>
                    </w:rPr>
                  </w:pPr>
                </w:p>
              </w:tc>
              <w:tc>
                <w:tcPr>
                  <w:tcW w:w="844" w:type="pct"/>
                  <w:vAlign w:val="center"/>
                </w:tcPr>
                <w:p>
                  <w:pPr>
                    <w:widowControl/>
                    <w:adjustRightInd w:val="0"/>
                    <w:snapToGrid w:val="0"/>
                    <w:jc w:val="center"/>
                    <w:rPr>
                      <w:kern w:val="0"/>
                      <w:szCs w:val="21"/>
                    </w:rPr>
                  </w:pPr>
                  <w:r>
                    <w:rPr>
                      <w:rFonts w:hint="eastAsia"/>
                      <w:kern w:val="0"/>
                      <w:szCs w:val="21"/>
                    </w:rPr>
                    <w:t>T</w:t>
                  </w:r>
                  <w:r>
                    <w:rPr>
                      <w:kern w:val="0"/>
                      <w:szCs w:val="21"/>
                    </w:rPr>
                    <w:t>VOC</w:t>
                  </w:r>
                </w:p>
              </w:tc>
              <w:tc>
                <w:tcPr>
                  <w:tcW w:w="929" w:type="pct"/>
                  <w:vAlign w:val="center"/>
                </w:tcPr>
                <w:p>
                  <w:pPr>
                    <w:widowControl/>
                    <w:jc w:val="center"/>
                    <w:rPr>
                      <w:szCs w:val="21"/>
                    </w:rPr>
                  </w:pPr>
                  <w:r>
                    <w:rPr>
                      <w:szCs w:val="21"/>
                    </w:rPr>
                    <w:t>1次/年</w:t>
                  </w:r>
                </w:p>
              </w:tc>
              <w:tc>
                <w:tcPr>
                  <w:tcW w:w="1350" w:type="pct"/>
                  <w:vMerge w:val="restart"/>
                  <w:vAlign w:val="center"/>
                </w:tcPr>
                <w:p>
                  <w:pPr>
                    <w:widowControl/>
                    <w:jc w:val="center"/>
                    <w:rPr>
                      <w:bCs/>
                      <w:szCs w:val="21"/>
                    </w:rPr>
                  </w:pPr>
                  <w:r>
                    <w:rPr>
                      <w:rFonts w:hint="eastAsia"/>
                      <w:szCs w:val="21"/>
                    </w:rPr>
                    <w:t>《固定污染源挥发性有机物综合排放标准》（DB44/2367-2022）表1</w:t>
                  </w:r>
                </w:p>
              </w:tc>
              <w:tc>
                <w:tcPr>
                  <w:tcW w:w="1015" w:type="pct"/>
                  <w:vAlign w:val="center"/>
                </w:tcPr>
                <w:p>
                  <w:pPr>
                    <w:widowControl/>
                    <w:adjustRightInd w:val="0"/>
                    <w:snapToGrid w:val="0"/>
                    <w:jc w:val="center"/>
                    <w:rPr>
                      <w:bCs/>
                      <w:kern w:val="0"/>
                      <w:szCs w:val="21"/>
                    </w:rPr>
                  </w:pPr>
                  <w:r>
                    <w:rPr>
                      <w:bCs/>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2" w:type="pct"/>
                  <w:vMerge w:val="continue"/>
                  <w:vAlign w:val="center"/>
                </w:tcPr>
                <w:p>
                  <w:pPr>
                    <w:widowControl/>
                    <w:jc w:val="center"/>
                    <w:rPr>
                      <w:szCs w:val="21"/>
                    </w:rPr>
                  </w:pPr>
                </w:p>
              </w:tc>
              <w:tc>
                <w:tcPr>
                  <w:tcW w:w="844" w:type="pct"/>
                  <w:vAlign w:val="center"/>
                </w:tcPr>
                <w:p>
                  <w:pPr>
                    <w:widowControl/>
                    <w:adjustRightInd w:val="0"/>
                    <w:snapToGrid w:val="0"/>
                    <w:jc w:val="center"/>
                    <w:rPr>
                      <w:kern w:val="0"/>
                      <w:szCs w:val="21"/>
                    </w:rPr>
                  </w:pPr>
                  <w:r>
                    <w:rPr>
                      <w:kern w:val="0"/>
                      <w:szCs w:val="21"/>
                    </w:rPr>
                    <w:t>NMHC</w:t>
                  </w:r>
                </w:p>
              </w:tc>
              <w:tc>
                <w:tcPr>
                  <w:tcW w:w="929" w:type="pct"/>
                  <w:vAlign w:val="center"/>
                </w:tcPr>
                <w:p>
                  <w:pPr>
                    <w:widowControl/>
                    <w:jc w:val="center"/>
                    <w:rPr>
                      <w:szCs w:val="21"/>
                    </w:rPr>
                  </w:pPr>
                  <w:r>
                    <w:rPr>
                      <w:szCs w:val="21"/>
                    </w:rPr>
                    <w:t>1次/年</w:t>
                  </w:r>
                </w:p>
              </w:tc>
              <w:tc>
                <w:tcPr>
                  <w:tcW w:w="1350" w:type="pct"/>
                  <w:vMerge w:val="continue"/>
                  <w:vAlign w:val="center"/>
                </w:tcPr>
                <w:p>
                  <w:pPr>
                    <w:widowControl/>
                    <w:jc w:val="center"/>
                    <w:rPr>
                      <w:bCs/>
                      <w:szCs w:val="21"/>
                    </w:rPr>
                  </w:pPr>
                </w:p>
              </w:tc>
              <w:tc>
                <w:tcPr>
                  <w:tcW w:w="1015" w:type="pct"/>
                  <w:vAlign w:val="center"/>
                </w:tcPr>
                <w:p>
                  <w:pPr>
                    <w:widowControl/>
                    <w:adjustRightInd w:val="0"/>
                    <w:snapToGrid w:val="0"/>
                    <w:jc w:val="center"/>
                    <w:rPr>
                      <w:bCs/>
                      <w:kern w:val="0"/>
                      <w:szCs w:val="21"/>
                    </w:rPr>
                  </w:pPr>
                  <w:r>
                    <w:rPr>
                      <w:bCs/>
                      <w:kern w:val="0"/>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2" w:type="pct"/>
                  <w:vMerge w:val="restart"/>
                  <w:vAlign w:val="center"/>
                </w:tcPr>
                <w:p>
                  <w:pPr>
                    <w:widowControl/>
                    <w:jc w:val="center"/>
                    <w:rPr>
                      <w:szCs w:val="21"/>
                    </w:rPr>
                  </w:pPr>
                  <w:r>
                    <w:rPr>
                      <w:rFonts w:hint="eastAsia"/>
                      <w:szCs w:val="21"/>
                    </w:rPr>
                    <w:t>DA002排气筒</w:t>
                  </w:r>
                </w:p>
              </w:tc>
              <w:tc>
                <w:tcPr>
                  <w:tcW w:w="844" w:type="pct"/>
                  <w:vAlign w:val="center"/>
                </w:tcPr>
                <w:p>
                  <w:pPr>
                    <w:widowControl/>
                    <w:jc w:val="center"/>
                    <w:rPr>
                      <w:szCs w:val="21"/>
                    </w:rPr>
                  </w:pPr>
                  <w:r>
                    <w:rPr>
                      <w:rFonts w:hint="eastAsia"/>
                      <w:szCs w:val="21"/>
                    </w:rPr>
                    <w:t>颗粒物</w:t>
                  </w:r>
                </w:p>
              </w:tc>
              <w:tc>
                <w:tcPr>
                  <w:tcW w:w="929" w:type="pct"/>
                  <w:vAlign w:val="center"/>
                </w:tcPr>
                <w:p>
                  <w:pPr>
                    <w:widowControl/>
                    <w:jc w:val="center"/>
                    <w:rPr>
                      <w:szCs w:val="21"/>
                    </w:rPr>
                  </w:pPr>
                  <w:r>
                    <w:rPr>
                      <w:szCs w:val="21"/>
                    </w:rPr>
                    <w:t>1次/年</w:t>
                  </w:r>
                </w:p>
              </w:tc>
              <w:tc>
                <w:tcPr>
                  <w:tcW w:w="1350" w:type="pct"/>
                  <w:vMerge w:val="restart"/>
                  <w:vAlign w:val="center"/>
                </w:tcPr>
                <w:p>
                  <w:pPr>
                    <w:widowControl/>
                    <w:jc w:val="center"/>
                    <w:rPr>
                      <w:szCs w:val="21"/>
                    </w:rPr>
                  </w:pPr>
                  <w:r>
                    <w:rPr>
                      <w:bCs/>
                      <w:kern w:val="0"/>
                      <w:szCs w:val="21"/>
                    </w:rPr>
                    <w:t>《大气污染物排放限值》（DB44/27-2001）中的第二时段二级标准</w:t>
                  </w:r>
                </w:p>
              </w:tc>
              <w:tc>
                <w:tcPr>
                  <w:tcW w:w="1015" w:type="pct"/>
                  <w:vAlign w:val="center"/>
                </w:tcPr>
                <w:p>
                  <w:pPr>
                    <w:widowControl/>
                    <w:jc w:val="center"/>
                    <w:rPr>
                      <w:szCs w:val="21"/>
                    </w:rPr>
                  </w:pPr>
                  <w:r>
                    <w:rPr>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2" w:type="pct"/>
                  <w:vMerge w:val="continue"/>
                  <w:vAlign w:val="center"/>
                </w:tcPr>
                <w:p>
                  <w:pPr>
                    <w:widowControl/>
                    <w:jc w:val="center"/>
                    <w:rPr>
                      <w:szCs w:val="21"/>
                    </w:rPr>
                  </w:pPr>
                </w:p>
              </w:tc>
              <w:tc>
                <w:tcPr>
                  <w:tcW w:w="844" w:type="pct"/>
                  <w:vAlign w:val="center"/>
                </w:tcPr>
                <w:p>
                  <w:pPr>
                    <w:widowControl/>
                    <w:adjustRightInd w:val="0"/>
                    <w:snapToGrid w:val="0"/>
                    <w:jc w:val="center"/>
                    <w:rPr>
                      <w:kern w:val="0"/>
                      <w:szCs w:val="21"/>
                    </w:rPr>
                  </w:pPr>
                  <w:r>
                    <w:rPr>
                      <w:rFonts w:hint="eastAsia"/>
                      <w:spacing w:val="-14"/>
                      <w:kern w:val="0"/>
                      <w:szCs w:val="21"/>
                    </w:rPr>
                    <w:t>锡及其化合物</w:t>
                  </w:r>
                </w:p>
              </w:tc>
              <w:tc>
                <w:tcPr>
                  <w:tcW w:w="929" w:type="pct"/>
                  <w:vAlign w:val="center"/>
                </w:tcPr>
                <w:p>
                  <w:pPr>
                    <w:widowControl/>
                    <w:jc w:val="center"/>
                    <w:rPr>
                      <w:szCs w:val="21"/>
                    </w:rPr>
                  </w:pPr>
                  <w:r>
                    <w:rPr>
                      <w:szCs w:val="21"/>
                    </w:rPr>
                    <w:t>1次/年</w:t>
                  </w:r>
                </w:p>
              </w:tc>
              <w:tc>
                <w:tcPr>
                  <w:tcW w:w="1350" w:type="pct"/>
                  <w:vMerge w:val="continue"/>
                  <w:vAlign w:val="center"/>
                </w:tcPr>
                <w:p>
                  <w:pPr>
                    <w:widowControl/>
                    <w:jc w:val="center"/>
                    <w:rPr>
                      <w:bCs/>
                      <w:kern w:val="0"/>
                      <w:szCs w:val="21"/>
                    </w:rPr>
                  </w:pPr>
                </w:p>
              </w:tc>
              <w:tc>
                <w:tcPr>
                  <w:tcW w:w="1015" w:type="pct"/>
                  <w:vAlign w:val="center"/>
                </w:tcPr>
                <w:p>
                  <w:pPr>
                    <w:widowControl/>
                    <w:adjustRightInd w:val="0"/>
                    <w:snapToGrid w:val="0"/>
                    <w:jc w:val="center"/>
                    <w:rPr>
                      <w:bCs/>
                      <w:kern w:val="0"/>
                      <w:szCs w:val="21"/>
                    </w:rPr>
                  </w:pPr>
                  <w:r>
                    <w:rPr>
                      <w:bCs/>
                      <w:kern w:val="0"/>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2" w:type="pct"/>
                  <w:vMerge w:val="continue"/>
                  <w:vAlign w:val="center"/>
                </w:tcPr>
                <w:p>
                  <w:pPr>
                    <w:widowControl/>
                    <w:jc w:val="center"/>
                    <w:rPr>
                      <w:szCs w:val="21"/>
                    </w:rPr>
                  </w:pPr>
                </w:p>
              </w:tc>
              <w:tc>
                <w:tcPr>
                  <w:tcW w:w="844" w:type="pct"/>
                  <w:vAlign w:val="center"/>
                </w:tcPr>
                <w:p>
                  <w:pPr>
                    <w:widowControl/>
                    <w:adjustRightInd w:val="0"/>
                    <w:snapToGrid w:val="0"/>
                    <w:jc w:val="center"/>
                    <w:rPr>
                      <w:kern w:val="0"/>
                      <w:szCs w:val="21"/>
                    </w:rPr>
                  </w:pPr>
                  <w:r>
                    <w:rPr>
                      <w:rFonts w:hint="eastAsia"/>
                      <w:kern w:val="0"/>
                      <w:szCs w:val="21"/>
                    </w:rPr>
                    <w:t>T</w:t>
                  </w:r>
                  <w:r>
                    <w:rPr>
                      <w:kern w:val="0"/>
                      <w:szCs w:val="21"/>
                    </w:rPr>
                    <w:t>VOC</w:t>
                  </w:r>
                </w:p>
              </w:tc>
              <w:tc>
                <w:tcPr>
                  <w:tcW w:w="929" w:type="pct"/>
                  <w:vAlign w:val="center"/>
                </w:tcPr>
                <w:p>
                  <w:pPr>
                    <w:widowControl/>
                    <w:jc w:val="center"/>
                    <w:rPr>
                      <w:szCs w:val="21"/>
                    </w:rPr>
                  </w:pPr>
                  <w:r>
                    <w:rPr>
                      <w:szCs w:val="21"/>
                    </w:rPr>
                    <w:t>1次/年</w:t>
                  </w:r>
                </w:p>
              </w:tc>
              <w:tc>
                <w:tcPr>
                  <w:tcW w:w="1350" w:type="pct"/>
                  <w:vMerge w:val="restart"/>
                  <w:vAlign w:val="center"/>
                </w:tcPr>
                <w:p>
                  <w:pPr>
                    <w:widowControl/>
                    <w:jc w:val="center"/>
                    <w:rPr>
                      <w:bCs/>
                      <w:kern w:val="0"/>
                      <w:szCs w:val="21"/>
                    </w:rPr>
                  </w:pPr>
                  <w:r>
                    <w:rPr>
                      <w:rFonts w:hint="eastAsia"/>
                      <w:szCs w:val="21"/>
                    </w:rPr>
                    <w:t>《固定污染源挥发性有机物综合排放标准》（DB44/2367-2022）表1</w:t>
                  </w:r>
                </w:p>
              </w:tc>
              <w:tc>
                <w:tcPr>
                  <w:tcW w:w="1015" w:type="pct"/>
                  <w:vAlign w:val="center"/>
                </w:tcPr>
                <w:p>
                  <w:pPr>
                    <w:widowControl/>
                    <w:adjustRightInd w:val="0"/>
                    <w:snapToGrid w:val="0"/>
                    <w:jc w:val="center"/>
                    <w:rPr>
                      <w:bCs/>
                      <w:kern w:val="0"/>
                      <w:szCs w:val="21"/>
                    </w:rPr>
                  </w:pPr>
                  <w:r>
                    <w:rPr>
                      <w:bCs/>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2" w:type="pct"/>
                  <w:vMerge w:val="continue"/>
                  <w:vAlign w:val="center"/>
                </w:tcPr>
                <w:p>
                  <w:pPr>
                    <w:widowControl/>
                    <w:jc w:val="center"/>
                    <w:rPr>
                      <w:szCs w:val="21"/>
                    </w:rPr>
                  </w:pPr>
                </w:p>
              </w:tc>
              <w:tc>
                <w:tcPr>
                  <w:tcW w:w="844" w:type="pct"/>
                  <w:vAlign w:val="center"/>
                </w:tcPr>
                <w:p>
                  <w:pPr>
                    <w:widowControl/>
                    <w:adjustRightInd w:val="0"/>
                    <w:snapToGrid w:val="0"/>
                    <w:jc w:val="center"/>
                    <w:rPr>
                      <w:kern w:val="0"/>
                      <w:szCs w:val="21"/>
                    </w:rPr>
                  </w:pPr>
                  <w:r>
                    <w:rPr>
                      <w:kern w:val="0"/>
                      <w:szCs w:val="21"/>
                    </w:rPr>
                    <w:t>NMHC</w:t>
                  </w:r>
                </w:p>
              </w:tc>
              <w:tc>
                <w:tcPr>
                  <w:tcW w:w="929" w:type="pct"/>
                  <w:vAlign w:val="center"/>
                </w:tcPr>
                <w:p>
                  <w:pPr>
                    <w:widowControl/>
                    <w:jc w:val="center"/>
                    <w:rPr>
                      <w:szCs w:val="21"/>
                    </w:rPr>
                  </w:pPr>
                  <w:r>
                    <w:rPr>
                      <w:szCs w:val="21"/>
                    </w:rPr>
                    <w:t>1次/年</w:t>
                  </w:r>
                </w:p>
              </w:tc>
              <w:tc>
                <w:tcPr>
                  <w:tcW w:w="1350" w:type="pct"/>
                  <w:vMerge w:val="continue"/>
                  <w:vAlign w:val="center"/>
                </w:tcPr>
                <w:p>
                  <w:pPr>
                    <w:widowControl/>
                    <w:jc w:val="center"/>
                    <w:rPr>
                      <w:bCs/>
                      <w:kern w:val="0"/>
                      <w:szCs w:val="21"/>
                    </w:rPr>
                  </w:pPr>
                </w:p>
              </w:tc>
              <w:tc>
                <w:tcPr>
                  <w:tcW w:w="1015" w:type="pct"/>
                  <w:vAlign w:val="center"/>
                </w:tcPr>
                <w:p>
                  <w:pPr>
                    <w:widowControl/>
                    <w:adjustRightInd w:val="0"/>
                    <w:snapToGrid w:val="0"/>
                    <w:jc w:val="center"/>
                    <w:rPr>
                      <w:bCs/>
                      <w:kern w:val="0"/>
                      <w:szCs w:val="21"/>
                    </w:rPr>
                  </w:pPr>
                  <w:r>
                    <w:rPr>
                      <w:bCs/>
                      <w:kern w:val="0"/>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2" w:type="pct"/>
                  <w:vMerge w:val="restart"/>
                  <w:vAlign w:val="center"/>
                </w:tcPr>
                <w:p>
                  <w:pPr>
                    <w:widowControl/>
                    <w:jc w:val="center"/>
                    <w:rPr>
                      <w:szCs w:val="21"/>
                    </w:rPr>
                  </w:pPr>
                  <w:r>
                    <w:rPr>
                      <w:szCs w:val="21"/>
                    </w:rPr>
                    <w:t>项目厂界上风向1个点，下风向三个点，风向根据监测当天风向而定</w:t>
                  </w:r>
                </w:p>
              </w:tc>
              <w:tc>
                <w:tcPr>
                  <w:tcW w:w="844" w:type="pct"/>
                  <w:vAlign w:val="center"/>
                </w:tcPr>
                <w:p>
                  <w:pPr>
                    <w:widowControl/>
                    <w:jc w:val="center"/>
                    <w:rPr>
                      <w:szCs w:val="21"/>
                    </w:rPr>
                  </w:pPr>
                  <w:r>
                    <w:rPr>
                      <w:rFonts w:hint="eastAsia"/>
                      <w:szCs w:val="21"/>
                    </w:rPr>
                    <w:t>V</w:t>
                  </w:r>
                  <w:r>
                    <w:rPr>
                      <w:szCs w:val="21"/>
                    </w:rPr>
                    <w:t>OCs</w:t>
                  </w:r>
                </w:p>
              </w:tc>
              <w:tc>
                <w:tcPr>
                  <w:tcW w:w="929" w:type="pct"/>
                  <w:vAlign w:val="center"/>
                </w:tcPr>
                <w:p>
                  <w:pPr>
                    <w:widowControl/>
                    <w:jc w:val="center"/>
                    <w:rPr>
                      <w:szCs w:val="21"/>
                    </w:rPr>
                  </w:pPr>
                  <w:r>
                    <w:rPr>
                      <w:szCs w:val="21"/>
                    </w:rPr>
                    <w:t>1次/年</w:t>
                  </w:r>
                </w:p>
              </w:tc>
              <w:tc>
                <w:tcPr>
                  <w:tcW w:w="1350" w:type="pct"/>
                  <w:vAlign w:val="center"/>
                </w:tcPr>
                <w:p>
                  <w:pPr>
                    <w:widowControl/>
                    <w:jc w:val="center"/>
                    <w:rPr>
                      <w:szCs w:val="21"/>
                    </w:rPr>
                  </w:pPr>
                  <w:r>
                    <w:rPr>
                      <w:rFonts w:hint="eastAsia"/>
                      <w:szCs w:val="21"/>
                    </w:rPr>
                    <w:t>《家具制造行业挥发性有机化合物排放标准》（DB44/814-2010）无组织排放监控点浓度限值</w:t>
                  </w:r>
                </w:p>
              </w:tc>
              <w:tc>
                <w:tcPr>
                  <w:tcW w:w="1015" w:type="pct"/>
                  <w:vAlign w:val="center"/>
                </w:tcPr>
                <w:p>
                  <w:pPr>
                    <w:widowControl/>
                    <w:jc w:val="center"/>
                    <w:rPr>
                      <w:szCs w:val="21"/>
                    </w:rPr>
                  </w:pPr>
                  <w:r>
                    <w:rPr>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2" w:type="pct"/>
                  <w:vMerge w:val="continue"/>
                  <w:vAlign w:val="center"/>
                </w:tcPr>
                <w:p>
                  <w:pPr>
                    <w:widowControl/>
                    <w:jc w:val="center"/>
                    <w:rPr>
                      <w:szCs w:val="21"/>
                    </w:rPr>
                  </w:pPr>
                </w:p>
              </w:tc>
              <w:tc>
                <w:tcPr>
                  <w:tcW w:w="844" w:type="pct"/>
                  <w:vAlign w:val="center"/>
                </w:tcPr>
                <w:p>
                  <w:pPr>
                    <w:widowControl/>
                    <w:jc w:val="center"/>
                    <w:rPr>
                      <w:szCs w:val="21"/>
                    </w:rPr>
                  </w:pPr>
                  <w:r>
                    <w:rPr>
                      <w:rFonts w:hint="eastAsia"/>
                      <w:szCs w:val="21"/>
                    </w:rPr>
                    <w:t>锡及其</w:t>
                  </w:r>
                  <w:r>
                    <w:rPr>
                      <w:szCs w:val="21"/>
                    </w:rPr>
                    <w:t>化合物</w:t>
                  </w:r>
                </w:p>
              </w:tc>
              <w:tc>
                <w:tcPr>
                  <w:tcW w:w="929" w:type="pct"/>
                  <w:vAlign w:val="center"/>
                </w:tcPr>
                <w:p>
                  <w:pPr>
                    <w:widowControl/>
                    <w:jc w:val="center"/>
                    <w:rPr>
                      <w:szCs w:val="21"/>
                    </w:rPr>
                  </w:pPr>
                  <w:r>
                    <w:rPr>
                      <w:szCs w:val="21"/>
                    </w:rPr>
                    <w:t>1次/年</w:t>
                  </w:r>
                </w:p>
              </w:tc>
              <w:tc>
                <w:tcPr>
                  <w:tcW w:w="1350" w:type="pct"/>
                  <w:vMerge w:val="restart"/>
                  <w:vAlign w:val="center"/>
                </w:tcPr>
                <w:p>
                  <w:pPr>
                    <w:jc w:val="center"/>
                    <w:rPr>
                      <w:szCs w:val="21"/>
                    </w:rPr>
                  </w:pPr>
                  <w:r>
                    <w:rPr>
                      <w:bCs/>
                      <w:kern w:val="0"/>
                      <w:szCs w:val="21"/>
                    </w:rPr>
                    <w:t>《大气污染物排放限值》（DB44/27-2001）中的第二时段无组织排放监控浓度限值</w:t>
                  </w:r>
                </w:p>
              </w:tc>
              <w:tc>
                <w:tcPr>
                  <w:tcW w:w="1015" w:type="pct"/>
                  <w:vAlign w:val="center"/>
                </w:tcPr>
                <w:p>
                  <w:pPr>
                    <w:widowControl/>
                    <w:jc w:val="center"/>
                    <w:rPr>
                      <w:szCs w:val="21"/>
                    </w:rPr>
                  </w:pPr>
                  <w:r>
                    <w:rPr>
                      <w:szCs w:val="21"/>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2" w:type="pct"/>
                  <w:vMerge w:val="continue"/>
                  <w:vAlign w:val="center"/>
                </w:tcPr>
                <w:p>
                  <w:pPr>
                    <w:widowControl/>
                    <w:jc w:val="center"/>
                    <w:rPr>
                      <w:szCs w:val="21"/>
                    </w:rPr>
                  </w:pPr>
                </w:p>
              </w:tc>
              <w:tc>
                <w:tcPr>
                  <w:tcW w:w="844" w:type="pct"/>
                  <w:vAlign w:val="center"/>
                </w:tcPr>
                <w:p>
                  <w:pPr>
                    <w:widowControl/>
                    <w:jc w:val="center"/>
                    <w:rPr>
                      <w:szCs w:val="21"/>
                    </w:rPr>
                  </w:pPr>
                  <w:r>
                    <w:rPr>
                      <w:szCs w:val="21"/>
                    </w:rPr>
                    <w:t>颗粒物</w:t>
                  </w:r>
                </w:p>
              </w:tc>
              <w:tc>
                <w:tcPr>
                  <w:tcW w:w="929" w:type="pct"/>
                  <w:vAlign w:val="center"/>
                </w:tcPr>
                <w:p>
                  <w:pPr>
                    <w:widowControl/>
                    <w:jc w:val="center"/>
                    <w:rPr>
                      <w:szCs w:val="21"/>
                    </w:rPr>
                  </w:pPr>
                  <w:r>
                    <w:rPr>
                      <w:szCs w:val="21"/>
                    </w:rPr>
                    <w:t>1次/年</w:t>
                  </w:r>
                </w:p>
              </w:tc>
              <w:tc>
                <w:tcPr>
                  <w:tcW w:w="1350" w:type="pct"/>
                  <w:vMerge w:val="continue"/>
                  <w:vAlign w:val="center"/>
                </w:tcPr>
                <w:p>
                  <w:pPr>
                    <w:widowControl/>
                    <w:jc w:val="center"/>
                    <w:rPr>
                      <w:szCs w:val="21"/>
                    </w:rPr>
                  </w:pPr>
                </w:p>
              </w:tc>
              <w:tc>
                <w:tcPr>
                  <w:tcW w:w="1015" w:type="pct"/>
                  <w:vAlign w:val="center"/>
                </w:tcPr>
                <w:p>
                  <w:pPr>
                    <w:widowControl/>
                    <w:jc w:val="center"/>
                    <w:rPr>
                      <w:szCs w:val="21"/>
                    </w:rPr>
                  </w:pPr>
                  <w:r>
                    <w:rPr>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2" w:type="pct"/>
                  <w:vAlign w:val="center"/>
                </w:tcPr>
                <w:p>
                  <w:pPr>
                    <w:widowControl/>
                    <w:jc w:val="center"/>
                    <w:rPr>
                      <w:szCs w:val="21"/>
                    </w:rPr>
                  </w:pPr>
                  <w:r>
                    <w:t>厂内</w:t>
                  </w:r>
                </w:p>
              </w:tc>
              <w:tc>
                <w:tcPr>
                  <w:tcW w:w="844" w:type="pct"/>
                  <w:vAlign w:val="center"/>
                </w:tcPr>
                <w:p>
                  <w:pPr>
                    <w:widowControl/>
                    <w:jc w:val="center"/>
                    <w:rPr>
                      <w:szCs w:val="21"/>
                    </w:rPr>
                  </w:pPr>
                  <w:r>
                    <w:rPr>
                      <w:rFonts w:hint="eastAsia"/>
                    </w:rPr>
                    <w:t>N</w:t>
                  </w:r>
                  <w:r>
                    <w:t>MHC</w:t>
                  </w:r>
                </w:p>
              </w:tc>
              <w:tc>
                <w:tcPr>
                  <w:tcW w:w="929" w:type="pct"/>
                  <w:vAlign w:val="center"/>
                </w:tcPr>
                <w:p>
                  <w:pPr>
                    <w:widowControl/>
                    <w:jc w:val="center"/>
                    <w:rPr>
                      <w:szCs w:val="21"/>
                    </w:rPr>
                  </w:pPr>
                  <w:r>
                    <w:t>1次/年</w:t>
                  </w:r>
                </w:p>
              </w:tc>
              <w:tc>
                <w:tcPr>
                  <w:tcW w:w="1350" w:type="pct"/>
                  <w:vAlign w:val="center"/>
                </w:tcPr>
                <w:p>
                  <w:pPr>
                    <w:widowControl/>
                    <w:jc w:val="center"/>
                    <w:rPr>
                      <w:bCs/>
                      <w:szCs w:val="21"/>
                    </w:rPr>
                  </w:pPr>
                  <w:r>
                    <w:rPr>
                      <w:rFonts w:hint="eastAsia"/>
                      <w:szCs w:val="21"/>
                    </w:rPr>
                    <w:t>《固定污染源挥发性有机物综合排放标准》（DB44/2367-2022）表</w:t>
                  </w:r>
                  <w:r>
                    <w:rPr>
                      <w:szCs w:val="21"/>
                    </w:rPr>
                    <w:t>3</w:t>
                  </w:r>
                </w:p>
              </w:tc>
              <w:tc>
                <w:tcPr>
                  <w:tcW w:w="1015" w:type="pct"/>
                  <w:vAlign w:val="center"/>
                </w:tcPr>
                <w:p>
                  <w:pPr>
                    <w:widowControl/>
                    <w:jc w:val="center"/>
                    <w:rPr>
                      <w:szCs w:val="21"/>
                    </w:rPr>
                  </w:pPr>
                  <w:r>
                    <w:rPr>
                      <w:bCs/>
                      <w:spacing w:val="10"/>
                    </w:rPr>
                    <w:t>6（1h平均浓度值）；20（一次浓度值）</w:t>
                  </w:r>
                </w:p>
              </w:tc>
            </w:tr>
          </w:tbl>
          <w:p>
            <w:pPr>
              <w:snapToGrid w:val="0"/>
              <w:spacing w:line="360" w:lineRule="auto"/>
              <w:ind w:firstLine="422" w:firstLineChars="200"/>
              <w:rPr>
                <w:b/>
                <w:szCs w:val="21"/>
              </w:rPr>
            </w:pPr>
            <w:r>
              <w:rPr>
                <w:rFonts w:hint="eastAsia"/>
                <w:b/>
                <w:szCs w:val="21"/>
              </w:rPr>
              <w:t>（4）</w:t>
            </w:r>
            <w:r>
              <w:rPr>
                <w:b/>
                <w:szCs w:val="21"/>
              </w:rPr>
              <w:t>非正常工况分析</w:t>
            </w:r>
          </w:p>
          <w:p>
            <w:pPr>
              <w:snapToGrid w:val="0"/>
              <w:spacing w:line="360" w:lineRule="auto"/>
              <w:ind w:firstLine="412" w:firstLineChars="200"/>
              <w:rPr>
                <w:spacing w:val="-2"/>
                <w:kern w:val="0"/>
                <w:szCs w:val="21"/>
              </w:rPr>
            </w:pPr>
            <w:r>
              <w:rPr>
                <w:rFonts w:hint="eastAsia"/>
                <w:spacing w:val="-2"/>
                <w:kern w:val="0"/>
                <w:szCs w:val="21"/>
              </w:rPr>
              <w:t>根据</w:t>
            </w:r>
            <w:r>
              <w:rPr>
                <w:spacing w:val="-2"/>
                <w:kern w:val="0"/>
                <w:szCs w:val="21"/>
              </w:rPr>
              <w:t>建设单位提供的信息，项目</w:t>
            </w:r>
            <w:r>
              <w:rPr>
                <w:rFonts w:hint="eastAsia"/>
                <w:spacing w:val="-2"/>
                <w:kern w:val="0"/>
                <w:szCs w:val="21"/>
              </w:rPr>
              <w:t>设备</w:t>
            </w:r>
            <w:r>
              <w:rPr>
                <w:spacing w:val="-2"/>
                <w:kern w:val="0"/>
                <w:szCs w:val="21"/>
              </w:rPr>
              <w:t>开车时同步开启配套污染治理设施，</w:t>
            </w:r>
            <w:r>
              <w:rPr>
                <w:rFonts w:hint="eastAsia"/>
                <w:spacing w:val="-2"/>
                <w:kern w:val="0"/>
                <w:szCs w:val="21"/>
              </w:rPr>
              <w:t>因此</w:t>
            </w:r>
            <w:r>
              <w:rPr>
                <w:spacing w:val="-2"/>
                <w:kern w:val="0"/>
                <w:szCs w:val="21"/>
              </w:rPr>
              <w:t>，项目开车、停车时不</w:t>
            </w:r>
            <w:r>
              <w:rPr>
                <w:rFonts w:hint="eastAsia"/>
                <w:spacing w:val="-2"/>
                <w:kern w:val="0"/>
                <w:szCs w:val="21"/>
              </w:rPr>
              <w:t>涉及</w:t>
            </w:r>
            <w:r>
              <w:rPr>
                <w:spacing w:val="-2"/>
                <w:kern w:val="0"/>
                <w:szCs w:val="21"/>
              </w:rPr>
              <w:t>废气非正常排放，建设项目废气涉及到的</w:t>
            </w:r>
            <w:r>
              <w:rPr>
                <w:rFonts w:hint="eastAsia"/>
                <w:spacing w:val="-2"/>
                <w:kern w:val="0"/>
                <w:szCs w:val="21"/>
              </w:rPr>
              <w:t>非正常</w:t>
            </w:r>
            <w:r>
              <w:rPr>
                <w:spacing w:val="-2"/>
                <w:kern w:val="0"/>
                <w:szCs w:val="21"/>
              </w:rPr>
              <w:t>排放主要是废气处理设施发生故障，考虑下列情况：</w:t>
            </w:r>
          </w:p>
          <w:p>
            <w:pPr>
              <w:snapToGrid w:val="0"/>
              <w:spacing w:line="360" w:lineRule="auto"/>
              <w:ind w:firstLine="412" w:firstLineChars="200"/>
              <w:rPr>
                <w:spacing w:val="-2"/>
                <w:kern w:val="0"/>
                <w:szCs w:val="21"/>
              </w:rPr>
            </w:pPr>
            <w:r>
              <w:rPr>
                <w:rFonts w:hint="eastAsia" w:ascii="宋体" w:hAnsi="宋体" w:cs="宋体"/>
                <w:spacing w:val="-2"/>
                <w:kern w:val="0"/>
                <w:szCs w:val="21"/>
              </w:rPr>
              <w:t>①</w:t>
            </w:r>
            <w:r>
              <w:rPr>
                <w:rFonts w:hint="eastAsia"/>
                <w:szCs w:val="21"/>
              </w:rPr>
              <w:t>DA001</w:t>
            </w:r>
            <w:r>
              <w:rPr>
                <w:spacing w:val="-2"/>
                <w:kern w:val="0"/>
                <w:szCs w:val="21"/>
              </w:rPr>
              <w:t>排气筒考虑</w:t>
            </w:r>
            <w:r>
              <w:rPr>
                <w:rFonts w:hint="eastAsia"/>
                <w:spacing w:val="-2"/>
                <w:kern w:val="0"/>
                <w:szCs w:val="21"/>
              </w:rPr>
              <w:t>处理设施故障</w:t>
            </w:r>
            <w:r>
              <w:rPr>
                <w:spacing w:val="-2"/>
                <w:kern w:val="0"/>
                <w:szCs w:val="21"/>
              </w:rPr>
              <w:t>，达不到设计的去除效率，项目考虑非正常排放是对废气的去除效率下降为20%。</w:t>
            </w:r>
          </w:p>
          <w:p>
            <w:pPr>
              <w:snapToGrid w:val="0"/>
              <w:spacing w:line="360" w:lineRule="auto"/>
              <w:ind w:firstLine="412" w:firstLineChars="200"/>
              <w:rPr>
                <w:spacing w:val="-2"/>
                <w:kern w:val="0"/>
                <w:szCs w:val="21"/>
              </w:rPr>
            </w:pPr>
            <w:r>
              <w:rPr>
                <w:rFonts w:hint="eastAsia" w:ascii="宋体" w:hAnsi="宋体" w:cs="宋体"/>
                <w:spacing w:val="-2"/>
                <w:kern w:val="0"/>
                <w:szCs w:val="21"/>
              </w:rPr>
              <w:t>②</w:t>
            </w:r>
            <w:r>
              <w:rPr>
                <w:rFonts w:hint="eastAsia"/>
                <w:szCs w:val="21"/>
              </w:rPr>
              <w:t>DA00</w:t>
            </w:r>
            <w:r>
              <w:rPr>
                <w:szCs w:val="21"/>
              </w:rPr>
              <w:t>2</w:t>
            </w:r>
            <w:r>
              <w:rPr>
                <w:spacing w:val="-2"/>
                <w:kern w:val="0"/>
                <w:szCs w:val="21"/>
              </w:rPr>
              <w:t>排气筒考虑</w:t>
            </w:r>
            <w:r>
              <w:rPr>
                <w:rFonts w:hint="eastAsia"/>
                <w:spacing w:val="-2"/>
                <w:kern w:val="0"/>
                <w:szCs w:val="21"/>
              </w:rPr>
              <w:t>处理设施故障</w:t>
            </w:r>
            <w:r>
              <w:rPr>
                <w:spacing w:val="-2"/>
                <w:kern w:val="0"/>
                <w:szCs w:val="21"/>
              </w:rPr>
              <w:t>，达不到设计的去除效率，项目考虑非正常排放是对废气的去除效率下降为20%。</w:t>
            </w:r>
          </w:p>
          <w:p>
            <w:pPr>
              <w:snapToGrid w:val="0"/>
              <w:spacing w:line="360" w:lineRule="auto"/>
              <w:ind w:firstLine="412" w:firstLineChars="200"/>
              <w:rPr>
                <w:spacing w:val="-2"/>
                <w:kern w:val="0"/>
                <w:szCs w:val="21"/>
              </w:rPr>
            </w:pPr>
            <w:r>
              <w:rPr>
                <w:spacing w:val="-2"/>
                <w:kern w:val="0"/>
                <w:szCs w:val="21"/>
              </w:rPr>
              <w:t>出现以上事故后，企业通过采取及时、有效的应对措施，一般可控制在1h 内恢复正常，因此按 1h 进行事故排放源强估算，建设项目非正常排放源强见</w:t>
            </w:r>
            <w:r>
              <w:rPr>
                <w:rFonts w:hint="eastAsia"/>
                <w:spacing w:val="-2"/>
                <w:kern w:val="0"/>
                <w:szCs w:val="21"/>
              </w:rPr>
              <w:t>下表</w:t>
            </w:r>
            <w:r>
              <w:rPr>
                <w:spacing w:val="-2"/>
                <w:kern w:val="0"/>
                <w:szCs w:val="21"/>
              </w:rPr>
              <w:t>。</w:t>
            </w:r>
          </w:p>
          <w:p>
            <w:pPr>
              <w:numPr>
                <w:ilvl w:val="0"/>
                <w:numId w:val="5"/>
              </w:numPr>
              <w:adjustRightInd w:val="0"/>
              <w:snapToGrid w:val="0"/>
              <w:spacing w:line="360" w:lineRule="auto"/>
              <w:ind w:left="0"/>
              <w:jc w:val="center"/>
              <w:rPr>
                <w:b/>
                <w:szCs w:val="21"/>
              </w:rPr>
            </w:pPr>
            <w:r>
              <w:rPr>
                <w:b/>
                <w:szCs w:val="21"/>
              </w:rPr>
              <w:t>项目污染源（有组织）排放一览表（非正常工况）</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747"/>
              <w:gridCol w:w="1005"/>
              <w:gridCol w:w="747"/>
              <w:gridCol w:w="1264"/>
              <w:gridCol w:w="1153"/>
              <w:gridCol w:w="906"/>
              <w:gridCol w:w="902"/>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70" w:type="pct"/>
                  <w:vAlign w:val="center"/>
                </w:tcPr>
                <w:p>
                  <w:pPr>
                    <w:widowControl/>
                    <w:jc w:val="center"/>
                    <w:rPr>
                      <w:b/>
                      <w:sz w:val="18"/>
                      <w:szCs w:val="18"/>
                    </w:rPr>
                  </w:pPr>
                  <w:r>
                    <w:rPr>
                      <w:b/>
                      <w:sz w:val="18"/>
                      <w:szCs w:val="18"/>
                    </w:rPr>
                    <w:t>排气筒编号</w:t>
                  </w:r>
                </w:p>
              </w:tc>
              <w:tc>
                <w:tcPr>
                  <w:tcW w:w="444" w:type="pct"/>
                  <w:vAlign w:val="center"/>
                </w:tcPr>
                <w:p>
                  <w:pPr>
                    <w:widowControl/>
                    <w:jc w:val="center"/>
                    <w:rPr>
                      <w:b/>
                      <w:sz w:val="18"/>
                      <w:szCs w:val="18"/>
                      <w:lang w:eastAsia="zh-TW"/>
                    </w:rPr>
                  </w:pPr>
                  <w:r>
                    <w:rPr>
                      <w:b/>
                      <w:sz w:val="18"/>
                      <w:szCs w:val="18"/>
                      <w:lang w:eastAsia="zh-TW"/>
                    </w:rPr>
                    <w:t>污染源</w:t>
                  </w:r>
                </w:p>
              </w:tc>
              <w:tc>
                <w:tcPr>
                  <w:tcW w:w="597" w:type="pct"/>
                  <w:vAlign w:val="center"/>
                </w:tcPr>
                <w:p>
                  <w:pPr>
                    <w:widowControl/>
                    <w:jc w:val="center"/>
                    <w:rPr>
                      <w:b/>
                      <w:sz w:val="18"/>
                      <w:szCs w:val="18"/>
                      <w:lang w:eastAsia="zh-TW"/>
                    </w:rPr>
                  </w:pPr>
                  <w:r>
                    <w:rPr>
                      <w:b/>
                      <w:sz w:val="18"/>
                      <w:szCs w:val="18"/>
                      <w:lang w:eastAsia="zh-TW"/>
                    </w:rPr>
                    <w:t>非正常排放原因</w:t>
                  </w:r>
                </w:p>
              </w:tc>
              <w:tc>
                <w:tcPr>
                  <w:tcW w:w="444" w:type="pct"/>
                  <w:vAlign w:val="center"/>
                </w:tcPr>
                <w:p>
                  <w:pPr>
                    <w:widowControl/>
                    <w:jc w:val="center"/>
                    <w:rPr>
                      <w:b/>
                      <w:sz w:val="18"/>
                      <w:szCs w:val="18"/>
                      <w:lang w:eastAsia="zh-TW"/>
                    </w:rPr>
                  </w:pPr>
                  <w:r>
                    <w:rPr>
                      <w:b/>
                      <w:sz w:val="18"/>
                      <w:szCs w:val="18"/>
                      <w:lang w:eastAsia="zh-TW"/>
                    </w:rPr>
                    <w:t>污染物</w:t>
                  </w:r>
                </w:p>
              </w:tc>
              <w:tc>
                <w:tcPr>
                  <w:tcW w:w="751" w:type="pct"/>
                  <w:vAlign w:val="center"/>
                </w:tcPr>
                <w:p>
                  <w:pPr>
                    <w:widowControl/>
                    <w:jc w:val="center"/>
                    <w:rPr>
                      <w:b/>
                      <w:sz w:val="18"/>
                      <w:szCs w:val="18"/>
                      <w:lang w:eastAsia="zh-TW"/>
                    </w:rPr>
                  </w:pPr>
                  <w:r>
                    <w:rPr>
                      <w:b/>
                      <w:sz w:val="18"/>
                      <w:szCs w:val="18"/>
                      <w:lang w:eastAsia="zh-TW"/>
                    </w:rPr>
                    <w:t>非正常排放速率/(kg/h)</w:t>
                  </w:r>
                </w:p>
              </w:tc>
              <w:tc>
                <w:tcPr>
                  <w:tcW w:w="685" w:type="pct"/>
                  <w:vAlign w:val="center"/>
                </w:tcPr>
                <w:p>
                  <w:pPr>
                    <w:widowControl/>
                    <w:jc w:val="center"/>
                    <w:rPr>
                      <w:b/>
                      <w:sz w:val="18"/>
                      <w:szCs w:val="18"/>
                      <w:lang w:eastAsia="zh-TW"/>
                    </w:rPr>
                  </w:pPr>
                  <w:r>
                    <w:rPr>
                      <w:b/>
                      <w:sz w:val="18"/>
                      <w:szCs w:val="18"/>
                      <w:lang w:eastAsia="zh-TW"/>
                    </w:rPr>
                    <w:t>非正常排放浓度/(</w:t>
                  </w:r>
                  <w:r>
                    <w:rPr>
                      <w:b/>
                      <w:sz w:val="18"/>
                      <w:szCs w:val="18"/>
                    </w:rPr>
                    <w:t>m</w:t>
                  </w:r>
                  <w:r>
                    <w:rPr>
                      <w:b/>
                      <w:sz w:val="18"/>
                      <w:szCs w:val="18"/>
                      <w:lang w:eastAsia="zh-TW"/>
                    </w:rPr>
                    <w:t>g/m</w:t>
                  </w:r>
                  <w:r>
                    <w:rPr>
                      <w:b/>
                      <w:sz w:val="18"/>
                      <w:szCs w:val="18"/>
                      <w:vertAlign w:val="superscript"/>
                      <w:lang w:eastAsia="zh-TW"/>
                    </w:rPr>
                    <w:t>3</w:t>
                  </w:r>
                  <w:r>
                    <w:rPr>
                      <w:b/>
                      <w:sz w:val="18"/>
                      <w:szCs w:val="18"/>
                      <w:lang w:eastAsia="zh-TW"/>
                    </w:rPr>
                    <w:t>)</w:t>
                  </w:r>
                </w:p>
              </w:tc>
              <w:tc>
                <w:tcPr>
                  <w:tcW w:w="538" w:type="pct"/>
                  <w:vAlign w:val="center"/>
                </w:tcPr>
                <w:p>
                  <w:pPr>
                    <w:widowControl/>
                    <w:jc w:val="center"/>
                    <w:rPr>
                      <w:b/>
                      <w:sz w:val="18"/>
                      <w:szCs w:val="18"/>
                      <w:lang w:eastAsia="zh-TW"/>
                    </w:rPr>
                  </w:pPr>
                  <w:r>
                    <w:rPr>
                      <w:b/>
                      <w:sz w:val="18"/>
                      <w:szCs w:val="18"/>
                      <w:lang w:eastAsia="zh-TW"/>
                    </w:rPr>
                    <w:t>单次持续时间/h</w:t>
                  </w:r>
                </w:p>
              </w:tc>
              <w:tc>
                <w:tcPr>
                  <w:tcW w:w="536" w:type="pct"/>
                  <w:vAlign w:val="center"/>
                </w:tcPr>
                <w:p>
                  <w:pPr>
                    <w:widowControl/>
                    <w:jc w:val="center"/>
                    <w:rPr>
                      <w:b/>
                      <w:sz w:val="18"/>
                      <w:szCs w:val="18"/>
                      <w:lang w:eastAsia="zh-TW"/>
                    </w:rPr>
                  </w:pPr>
                  <w:r>
                    <w:rPr>
                      <w:b/>
                      <w:sz w:val="18"/>
                      <w:szCs w:val="18"/>
                      <w:lang w:eastAsia="zh-TW"/>
                    </w:rPr>
                    <w:t>年发生频次/次</w:t>
                  </w:r>
                </w:p>
              </w:tc>
              <w:tc>
                <w:tcPr>
                  <w:tcW w:w="535" w:type="pct"/>
                  <w:vAlign w:val="center"/>
                </w:tcPr>
                <w:p>
                  <w:pPr>
                    <w:widowControl/>
                    <w:jc w:val="center"/>
                    <w:rPr>
                      <w:b/>
                      <w:sz w:val="18"/>
                      <w:szCs w:val="18"/>
                      <w:lang w:eastAsia="zh-TW"/>
                    </w:rPr>
                  </w:pPr>
                  <w:r>
                    <w:rPr>
                      <w:b/>
                      <w:sz w:val="18"/>
                      <w:szCs w:val="18"/>
                      <w:lang w:eastAsia="zh-TW"/>
                    </w:rPr>
                    <w:t>应对措施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470" w:type="pct"/>
                  <w:vMerge w:val="restart"/>
                  <w:vAlign w:val="center"/>
                </w:tcPr>
                <w:p>
                  <w:pPr>
                    <w:widowControl/>
                    <w:jc w:val="center"/>
                    <w:rPr>
                      <w:sz w:val="18"/>
                      <w:szCs w:val="18"/>
                    </w:rPr>
                  </w:pPr>
                  <w:r>
                    <w:rPr>
                      <w:sz w:val="18"/>
                      <w:szCs w:val="18"/>
                    </w:rPr>
                    <w:t>DA001</w:t>
                  </w:r>
                </w:p>
              </w:tc>
              <w:tc>
                <w:tcPr>
                  <w:tcW w:w="444" w:type="pct"/>
                  <w:vMerge w:val="restart"/>
                  <w:vAlign w:val="center"/>
                </w:tcPr>
                <w:p>
                  <w:pPr>
                    <w:jc w:val="center"/>
                    <w:rPr>
                      <w:sz w:val="18"/>
                      <w:szCs w:val="18"/>
                    </w:rPr>
                  </w:pPr>
                  <w:r>
                    <w:rPr>
                      <w:rFonts w:hint="eastAsia" w:hAnsi="Calibri"/>
                      <w:bCs/>
                      <w:sz w:val="18"/>
                      <w:szCs w:val="18"/>
                    </w:rPr>
                    <w:t>粘片、</w:t>
                  </w:r>
                  <w:r>
                    <w:rPr>
                      <w:rFonts w:hAnsi="Calibri"/>
                      <w:bCs/>
                      <w:sz w:val="18"/>
                      <w:szCs w:val="18"/>
                    </w:rPr>
                    <w:t>塑封固化、点胶</w:t>
                  </w:r>
                </w:p>
              </w:tc>
              <w:tc>
                <w:tcPr>
                  <w:tcW w:w="597" w:type="pct"/>
                  <w:vMerge w:val="restart"/>
                  <w:vAlign w:val="center"/>
                </w:tcPr>
                <w:p>
                  <w:pPr>
                    <w:widowControl/>
                    <w:jc w:val="center"/>
                    <w:rPr>
                      <w:sz w:val="18"/>
                      <w:szCs w:val="18"/>
                    </w:rPr>
                  </w:pPr>
                  <w:r>
                    <w:rPr>
                      <w:sz w:val="18"/>
                      <w:szCs w:val="18"/>
                      <w:lang w:eastAsia="zh-TW"/>
                    </w:rPr>
                    <w:t>废气治理设施失效</w:t>
                  </w:r>
                  <w:r>
                    <w:rPr>
                      <w:rFonts w:hint="eastAsia"/>
                      <w:sz w:val="18"/>
                      <w:szCs w:val="18"/>
                    </w:rPr>
                    <w:t>，</w:t>
                  </w:r>
                  <w:r>
                    <w:rPr>
                      <w:sz w:val="18"/>
                      <w:szCs w:val="18"/>
                    </w:rPr>
                    <w:t>处理效率下降为2</w:t>
                  </w:r>
                  <w:r>
                    <w:rPr>
                      <w:rFonts w:hint="eastAsia"/>
                      <w:sz w:val="18"/>
                      <w:szCs w:val="18"/>
                    </w:rPr>
                    <w:t>0</w:t>
                  </w:r>
                  <w:r>
                    <w:rPr>
                      <w:sz w:val="18"/>
                      <w:szCs w:val="18"/>
                    </w:rPr>
                    <w:t>%</w:t>
                  </w:r>
                </w:p>
              </w:tc>
              <w:tc>
                <w:tcPr>
                  <w:tcW w:w="444" w:type="pct"/>
                  <w:vAlign w:val="center"/>
                </w:tcPr>
                <w:p>
                  <w:pPr>
                    <w:widowControl/>
                    <w:jc w:val="center"/>
                    <w:rPr>
                      <w:sz w:val="18"/>
                      <w:szCs w:val="18"/>
                    </w:rPr>
                  </w:pPr>
                  <w:r>
                    <w:rPr>
                      <w:sz w:val="18"/>
                      <w:szCs w:val="18"/>
                    </w:rPr>
                    <w:t>颗粒物</w:t>
                  </w:r>
                </w:p>
              </w:tc>
              <w:tc>
                <w:tcPr>
                  <w:tcW w:w="751" w:type="pct"/>
                  <w:vAlign w:val="center"/>
                </w:tcPr>
                <w:p>
                  <w:pPr>
                    <w:autoSpaceDE w:val="0"/>
                    <w:autoSpaceDN w:val="0"/>
                    <w:adjustRightInd w:val="0"/>
                    <w:snapToGrid w:val="0"/>
                    <w:jc w:val="center"/>
                    <w:rPr>
                      <w:sz w:val="18"/>
                      <w:szCs w:val="18"/>
                    </w:rPr>
                  </w:pPr>
                  <w:r>
                    <w:rPr>
                      <w:sz w:val="18"/>
                      <w:szCs w:val="18"/>
                    </w:rPr>
                    <w:t>0.00012</w:t>
                  </w:r>
                </w:p>
              </w:tc>
              <w:tc>
                <w:tcPr>
                  <w:tcW w:w="685" w:type="pct"/>
                  <w:vAlign w:val="center"/>
                </w:tcPr>
                <w:p>
                  <w:pPr>
                    <w:autoSpaceDE w:val="0"/>
                    <w:autoSpaceDN w:val="0"/>
                    <w:adjustRightInd w:val="0"/>
                    <w:snapToGrid w:val="0"/>
                    <w:jc w:val="center"/>
                    <w:rPr>
                      <w:sz w:val="18"/>
                      <w:szCs w:val="18"/>
                    </w:rPr>
                  </w:pPr>
                  <w:r>
                    <w:rPr>
                      <w:sz w:val="18"/>
                      <w:szCs w:val="18"/>
                    </w:rPr>
                    <w:t>0.004</w:t>
                  </w:r>
                </w:p>
              </w:tc>
              <w:tc>
                <w:tcPr>
                  <w:tcW w:w="538" w:type="pct"/>
                  <w:vAlign w:val="center"/>
                </w:tcPr>
                <w:p>
                  <w:pPr>
                    <w:widowControl/>
                    <w:jc w:val="center"/>
                    <w:rPr>
                      <w:sz w:val="18"/>
                      <w:szCs w:val="18"/>
                      <w:lang w:eastAsia="zh-TW"/>
                    </w:rPr>
                  </w:pPr>
                  <w:r>
                    <w:rPr>
                      <w:sz w:val="18"/>
                      <w:szCs w:val="18"/>
                      <w:lang w:eastAsia="zh-TW"/>
                    </w:rPr>
                    <w:t>1</w:t>
                  </w:r>
                </w:p>
              </w:tc>
              <w:tc>
                <w:tcPr>
                  <w:tcW w:w="536" w:type="pct"/>
                  <w:vAlign w:val="center"/>
                </w:tcPr>
                <w:p>
                  <w:pPr>
                    <w:widowControl/>
                    <w:jc w:val="center"/>
                    <w:rPr>
                      <w:sz w:val="18"/>
                      <w:szCs w:val="18"/>
                      <w:lang w:eastAsia="zh-TW"/>
                    </w:rPr>
                  </w:pPr>
                  <w:r>
                    <w:rPr>
                      <w:sz w:val="18"/>
                      <w:szCs w:val="18"/>
                      <w:lang w:eastAsia="zh-TW"/>
                    </w:rPr>
                    <w:t>1</w:t>
                  </w:r>
                </w:p>
              </w:tc>
              <w:tc>
                <w:tcPr>
                  <w:tcW w:w="535" w:type="pct"/>
                  <w:vAlign w:val="center"/>
                </w:tcPr>
                <w:p>
                  <w:pPr>
                    <w:widowControl/>
                    <w:jc w:val="center"/>
                    <w:rPr>
                      <w:sz w:val="18"/>
                      <w:szCs w:val="18"/>
                      <w:lang w:eastAsia="zh-TW"/>
                    </w:rPr>
                  </w:pPr>
                  <w:r>
                    <w:rPr>
                      <w:sz w:val="18"/>
                      <w:szCs w:val="18"/>
                      <w:lang w:eastAsia="zh-TW"/>
                    </w:rPr>
                    <w:t>停机检修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470" w:type="pct"/>
                  <w:vMerge w:val="continue"/>
                  <w:vAlign w:val="center"/>
                </w:tcPr>
                <w:p>
                  <w:pPr>
                    <w:widowControl/>
                    <w:jc w:val="center"/>
                    <w:rPr>
                      <w:sz w:val="18"/>
                      <w:szCs w:val="18"/>
                    </w:rPr>
                  </w:pPr>
                </w:p>
              </w:tc>
              <w:tc>
                <w:tcPr>
                  <w:tcW w:w="444" w:type="pct"/>
                  <w:vMerge w:val="continue"/>
                  <w:vAlign w:val="center"/>
                </w:tcPr>
                <w:p>
                  <w:pPr>
                    <w:jc w:val="center"/>
                    <w:rPr>
                      <w:rFonts w:hAnsi="Calibri"/>
                      <w:bCs/>
                      <w:sz w:val="18"/>
                      <w:szCs w:val="18"/>
                    </w:rPr>
                  </w:pPr>
                </w:p>
              </w:tc>
              <w:tc>
                <w:tcPr>
                  <w:tcW w:w="597" w:type="pct"/>
                  <w:vMerge w:val="continue"/>
                  <w:vAlign w:val="center"/>
                </w:tcPr>
                <w:p>
                  <w:pPr>
                    <w:widowControl/>
                    <w:jc w:val="center"/>
                    <w:rPr>
                      <w:sz w:val="18"/>
                      <w:szCs w:val="18"/>
                      <w:lang w:eastAsia="zh-TW"/>
                    </w:rPr>
                  </w:pPr>
                </w:p>
              </w:tc>
              <w:tc>
                <w:tcPr>
                  <w:tcW w:w="444" w:type="pct"/>
                  <w:vAlign w:val="center"/>
                </w:tcPr>
                <w:p>
                  <w:pPr>
                    <w:widowControl/>
                    <w:jc w:val="center"/>
                    <w:rPr>
                      <w:sz w:val="18"/>
                      <w:szCs w:val="18"/>
                    </w:rPr>
                  </w:pPr>
                  <w:r>
                    <w:rPr>
                      <w:rFonts w:hint="eastAsia"/>
                      <w:sz w:val="18"/>
                      <w:szCs w:val="18"/>
                    </w:rPr>
                    <w:t>锡及其</w:t>
                  </w:r>
                  <w:r>
                    <w:rPr>
                      <w:sz w:val="18"/>
                      <w:szCs w:val="18"/>
                    </w:rPr>
                    <w:t>化合物</w:t>
                  </w:r>
                </w:p>
              </w:tc>
              <w:tc>
                <w:tcPr>
                  <w:tcW w:w="751" w:type="pct"/>
                  <w:vAlign w:val="center"/>
                </w:tcPr>
                <w:p>
                  <w:pPr>
                    <w:autoSpaceDE w:val="0"/>
                    <w:autoSpaceDN w:val="0"/>
                    <w:adjustRightInd w:val="0"/>
                    <w:snapToGrid w:val="0"/>
                    <w:jc w:val="center"/>
                    <w:rPr>
                      <w:sz w:val="18"/>
                      <w:szCs w:val="18"/>
                    </w:rPr>
                  </w:pPr>
                  <w:r>
                    <w:rPr>
                      <w:rFonts w:hint="eastAsia"/>
                      <w:sz w:val="18"/>
                      <w:szCs w:val="18"/>
                    </w:rPr>
                    <w:t>0.000</w:t>
                  </w:r>
                  <w:r>
                    <w:rPr>
                      <w:sz w:val="18"/>
                      <w:szCs w:val="18"/>
                    </w:rPr>
                    <w:t>11</w:t>
                  </w:r>
                </w:p>
              </w:tc>
              <w:tc>
                <w:tcPr>
                  <w:tcW w:w="685" w:type="pct"/>
                  <w:vAlign w:val="center"/>
                </w:tcPr>
                <w:p>
                  <w:pPr>
                    <w:autoSpaceDE w:val="0"/>
                    <w:autoSpaceDN w:val="0"/>
                    <w:adjustRightInd w:val="0"/>
                    <w:snapToGrid w:val="0"/>
                    <w:jc w:val="center"/>
                    <w:rPr>
                      <w:sz w:val="18"/>
                      <w:szCs w:val="18"/>
                    </w:rPr>
                  </w:pPr>
                  <w:r>
                    <w:rPr>
                      <w:rFonts w:hint="eastAsia"/>
                      <w:sz w:val="18"/>
                      <w:szCs w:val="18"/>
                    </w:rPr>
                    <w:t>0.0038</w:t>
                  </w:r>
                </w:p>
              </w:tc>
              <w:tc>
                <w:tcPr>
                  <w:tcW w:w="538" w:type="pct"/>
                  <w:vAlign w:val="center"/>
                </w:tcPr>
                <w:p>
                  <w:pPr>
                    <w:widowControl/>
                    <w:jc w:val="center"/>
                    <w:rPr>
                      <w:sz w:val="18"/>
                      <w:szCs w:val="18"/>
                    </w:rPr>
                  </w:pPr>
                  <w:r>
                    <w:rPr>
                      <w:rFonts w:hint="eastAsia"/>
                      <w:sz w:val="18"/>
                      <w:szCs w:val="18"/>
                    </w:rPr>
                    <w:t>1</w:t>
                  </w:r>
                </w:p>
              </w:tc>
              <w:tc>
                <w:tcPr>
                  <w:tcW w:w="536" w:type="pct"/>
                  <w:vAlign w:val="center"/>
                </w:tcPr>
                <w:p>
                  <w:pPr>
                    <w:widowControl/>
                    <w:jc w:val="center"/>
                    <w:rPr>
                      <w:sz w:val="18"/>
                      <w:szCs w:val="18"/>
                    </w:rPr>
                  </w:pPr>
                  <w:r>
                    <w:rPr>
                      <w:rFonts w:hint="eastAsia"/>
                      <w:sz w:val="18"/>
                      <w:szCs w:val="18"/>
                    </w:rPr>
                    <w:t>1</w:t>
                  </w:r>
                </w:p>
              </w:tc>
              <w:tc>
                <w:tcPr>
                  <w:tcW w:w="535" w:type="pct"/>
                  <w:vAlign w:val="center"/>
                </w:tcPr>
                <w:p>
                  <w:pPr>
                    <w:widowControl/>
                    <w:jc w:val="center"/>
                    <w:rPr>
                      <w:sz w:val="18"/>
                      <w:szCs w:val="18"/>
                      <w:lang w:eastAsia="zh-TW"/>
                    </w:rPr>
                  </w:pPr>
                  <w:r>
                    <w:rPr>
                      <w:sz w:val="18"/>
                      <w:szCs w:val="18"/>
                      <w:lang w:eastAsia="zh-TW"/>
                    </w:rPr>
                    <w:t>停机检修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470" w:type="pct"/>
                  <w:vMerge w:val="continue"/>
                  <w:vAlign w:val="center"/>
                </w:tcPr>
                <w:p>
                  <w:pPr>
                    <w:widowControl/>
                    <w:jc w:val="center"/>
                    <w:rPr>
                      <w:sz w:val="18"/>
                      <w:szCs w:val="18"/>
                    </w:rPr>
                  </w:pPr>
                </w:p>
              </w:tc>
              <w:tc>
                <w:tcPr>
                  <w:tcW w:w="444" w:type="pct"/>
                  <w:vMerge w:val="continue"/>
                  <w:vAlign w:val="center"/>
                </w:tcPr>
                <w:p>
                  <w:pPr>
                    <w:jc w:val="center"/>
                    <w:rPr>
                      <w:rFonts w:hAnsi="Calibri"/>
                      <w:bCs/>
                      <w:sz w:val="18"/>
                      <w:szCs w:val="18"/>
                    </w:rPr>
                  </w:pPr>
                </w:p>
              </w:tc>
              <w:tc>
                <w:tcPr>
                  <w:tcW w:w="597" w:type="pct"/>
                  <w:vMerge w:val="continue"/>
                  <w:vAlign w:val="center"/>
                </w:tcPr>
                <w:p>
                  <w:pPr>
                    <w:widowControl/>
                    <w:jc w:val="center"/>
                    <w:rPr>
                      <w:sz w:val="18"/>
                      <w:szCs w:val="18"/>
                      <w:lang w:eastAsia="zh-TW"/>
                    </w:rPr>
                  </w:pPr>
                </w:p>
              </w:tc>
              <w:tc>
                <w:tcPr>
                  <w:tcW w:w="444" w:type="pct"/>
                  <w:vAlign w:val="center"/>
                </w:tcPr>
                <w:p>
                  <w:pPr>
                    <w:widowControl/>
                    <w:jc w:val="center"/>
                    <w:rPr>
                      <w:sz w:val="18"/>
                      <w:szCs w:val="18"/>
                    </w:rPr>
                  </w:pPr>
                  <w:r>
                    <w:rPr>
                      <w:rFonts w:hint="eastAsia"/>
                      <w:sz w:val="18"/>
                      <w:szCs w:val="18"/>
                    </w:rPr>
                    <w:t>TVOC</w:t>
                  </w:r>
                </w:p>
              </w:tc>
              <w:tc>
                <w:tcPr>
                  <w:tcW w:w="751" w:type="pct"/>
                  <w:vAlign w:val="center"/>
                </w:tcPr>
                <w:p>
                  <w:pPr>
                    <w:autoSpaceDE w:val="0"/>
                    <w:autoSpaceDN w:val="0"/>
                    <w:adjustRightInd w:val="0"/>
                    <w:snapToGrid w:val="0"/>
                    <w:jc w:val="center"/>
                    <w:rPr>
                      <w:sz w:val="18"/>
                      <w:szCs w:val="18"/>
                    </w:rPr>
                  </w:pPr>
                  <w:r>
                    <w:rPr>
                      <w:rFonts w:hint="eastAsia"/>
                      <w:sz w:val="18"/>
                      <w:szCs w:val="18"/>
                    </w:rPr>
                    <w:t>0.2340</w:t>
                  </w:r>
                </w:p>
              </w:tc>
              <w:tc>
                <w:tcPr>
                  <w:tcW w:w="685" w:type="pct"/>
                  <w:vAlign w:val="center"/>
                </w:tcPr>
                <w:p>
                  <w:pPr>
                    <w:autoSpaceDE w:val="0"/>
                    <w:autoSpaceDN w:val="0"/>
                    <w:adjustRightInd w:val="0"/>
                    <w:snapToGrid w:val="0"/>
                    <w:jc w:val="center"/>
                    <w:rPr>
                      <w:sz w:val="18"/>
                      <w:szCs w:val="18"/>
                    </w:rPr>
                  </w:pPr>
                  <w:r>
                    <w:rPr>
                      <w:rFonts w:hint="eastAsia"/>
                      <w:sz w:val="18"/>
                      <w:szCs w:val="18"/>
                    </w:rPr>
                    <w:t>7.801</w:t>
                  </w:r>
                </w:p>
              </w:tc>
              <w:tc>
                <w:tcPr>
                  <w:tcW w:w="538" w:type="pct"/>
                  <w:vAlign w:val="center"/>
                </w:tcPr>
                <w:p>
                  <w:pPr>
                    <w:widowControl/>
                    <w:jc w:val="center"/>
                    <w:rPr>
                      <w:sz w:val="18"/>
                      <w:szCs w:val="18"/>
                    </w:rPr>
                  </w:pPr>
                  <w:r>
                    <w:rPr>
                      <w:rFonts w:hint="eastAsia"/>
                      <w:sz w:val="18"/>
                      <w:szCs w:val="18"/>
                    </w:rPr>
                    <w:t>1</w:t>
                  </w:r>
                </w:p>
              </w:tc>
              <w:tc>
                <w:tcPr>
                  <w:tcW w:w="536" w:type="pct"/>
                  <w:vAlign w:val="center"/>
                </w:tcPr>
                <w:p>
                  <w:pPr>
                    <w:widowControl/>
                    <w:jc w:val="center"/>
                    <w:rPr>
                      <w:sz w:val="18"/>
                      <w:szCs w:val="18"/>
                    </w:rPr>
                  </w:pPr>
                  <w:r>
                    <w:rPr>
                      <w:rFonts w:hint="eastAsia"/>
                      <w:sz w:val="18"/>
                      <w:szCs w:val="18"/>
                    </w:rPr>
                    <w:t>1</w:t>
                  </w:r>
                </w:p>
              </w:tc>
              <w:tc>
                <w:tcPr>
                  <w:tcW w:w="535" w:type="pct"/>
                  <w:vAlign w:val="center"/>
                </w:tcPr>
                <w:p>
                  <w:pPr>
                    <w:widowControl/>
                    <w:jc w:val="center"/>
                    <w:rPr>
                      <w:sz w:val="18"/>
                      <w:szCs w:val="18"/>
                      <w:lang w:eastAsia="zh-TW"/>
                    </w:rPr>
                  </w:pPr>
                  <w:r>
                    <w:rPr>
                      <w:sz w:val="18"/>
                      <w:szCs w:val="18"/>
                      <w:lang w:eastAsia="zh-TW"/>
                    </w:rPr>
                    <w:t>停机检修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470" w:type="pct"/>
                  <w:vMerge w:val="restart"/>
                  <w:vAlign w:val="center"/>
                </w:tcPr>
                <w:p>
                  <w:pPr>
                    <w:jc w:val="center"/>
                    <w:rPr>
                      <w:sz w:val="18"/>
                      <w:szCs w:val="18"/>
                    </w:rPr>
                  </w:pPr>
                  <w:r>
                    <w:rPr>
                      <w:rFonts w:hint="eastAsia"/>
                      <w:sz w:val="18"/>
                      <w:szCs w:val="18"/>
                    </w:rPr>
                    <w:t>DA002</w:t>
                  </w:r>
                </w:p>
              </w:tc>
              <w:tc>
                <w:tcPr>
                  <w:tcW w:w="444" w:type="pct"/>
                  <w:vMerge w:val="restart"/>
                  <w:vAlign w:val="center"/>
                </w:tcPr>
                <w:p>
                  <w:pPr>
                    <w:jc w:val="center"/>
                    <w:rPr>
                      <w:rFonts w:hAnsi="Calibri"/>
                      <w:bCs/>
                      <w:sz w:val="18"/>
                      <w:szCs w:val="18"/>
                    </w:rPr>
                  </w:pPr>
                  <w:r>
                    <w:rPr>
                      <w:rFonts w:hint="eastAsia" w:hAnsi="Calibri"/>
                      <w:bCs/>
                      <w:sz w:val="18"/>
                      <w:szCs w:val="18"/>
                    </w:rPr>
                    <w:t>粘片、</w:t>
                  </w:r>
                  <w:r>
                    <w:rPr>
                      <w:rFonts w:hAnsi="Calibri"/>
                      <w:bCs/>
                      <w:sz w:val="18"/>
                      <w:szCs w:val="18"/>
                    </w:rPr>
                    <w:t>塑封固化</w:t>
                  </w:r>
                </w:p>
              </w:tc>
              <w:tc>
                <w:tcPr>
                  <w:tcW w:w="597" w:type="pct"/>
                  <w:vMerge w:val="restart"/>
                  <w:vAlign w:val="center"/>
                </w:tcPr>
                <w:p>
                  <w:pPr>
                    <w:jc w:val="center"/>
                    <w:rPr>
                      <w:sz w:val="18"/>
                      <w:szCs w:val="18"/>
                      <w:lang w:eastAsia="zh-TW"/>
                    </w:rPr>
                  </w:pPr>
                  <w:r>
                    <w:rPr>
                      <w:sz w:val="18"/>
                      <w:szCs w:val="18"/>
                      <w:lang w:eastAsia="zh-TW"/>
                    </w:rPr>
                    <w:t>废气治理设施失效</w:t>
                  </w:r>
                  <w:r>
                    <w:rPr>
                      <w:rFonts w:hint="eastAsia"/>
                      <w:sz w:val="18"/>
                      <w:szCs w:val="18"/>
                    </w:rPr>
                    <w:t>，</w:t>
                  </w:r>
                  <w:r>
                    <w:rPr>
                      <w:sz w:val="18"/>
                      <w:szCs w:val="18"/>
                    </w:rPr>
                    <w:t>处理效率下降为2</w:t>
                  </w:r>
                  <w:r>
                    <w:rPr>
                      <w:rFonts w:hint="eastAsia"/>
                      <w:sz w:val="18"/>
                      <w:szCs w:val="18"/>
                    </w:rPr>
                    <w:t>0</w:t>
                  </w:r>
                  <w:r>
                    <w:rPr>
                      <w:sz w:val="18"/>
                      <w:szCs w:val="18"/>
                    </w:rPr>
                    <w:t>%</w:t>
                  </w:r>
                </w:p>
              </w:tc>
              <w:tc>
                <w:tcPr>
                  <w:tcW w:w="444" w:type="pct"/>
                  <w:vAlign w:val="center"/>
                </w:tcPr>
                <w:p>
                  <w:pPr>
                    <w:widowControl/>
                    <w:jc w:val="center"/>
                    <w:rPr>
                      <w:sz w:val="18"/>
                      <w:szCs w:val="18"/>
                    </w:rPr>
                  </w:pPr>
                  <w:r>
                    <w:rPr>
                      <w:sz w:val="18"/>
                      <w:szCs w:val="18"/>
                    </w:rPr>
                    <w:t>颗粒物</w:t>
                  </w:r>
                </w:p>
              </w:tc>
              <w:tc>
                <w:tcPr>
                  <w:tcW w:w="751" w:type="pct"/>
                  <w:vAlign w:val="center"/>
                </w:tcPr>
                <w:p>
                  <w:pPr>
                    <w:autoSpaceDE w:val="0"/>
                    <w:autoSpaceDN w:val="0"/>
                    <w:adjustRightInd w:val="0"/>
                    <w:snapToGrid w:val="0"/>
                    <w:jc w:val="center"/>
                    <w:rPr>
                      <w:sz w:val="18"/>
                      <w:szCs w:val="18"/>
                    </w:rPr>
                  </w:pPr>
                  <w:r>
                    <w:rPr>
                      <w:sz w:val="18"/>
                      <w:szCs w:val="18"/>
                    </w:rPr>
                    <w:t>0.00012</w:t>
                  </w:r>
                </w:p>
              </w:tc>
              <w:tc>
                <w:tcPr>
                  <w:tcW w:w="685" w:type="pct"/>
                  <w:vAlign w:val="center"/>
                </w:tcPr>
                <w:p>
                  <w:pPr>
                    <w:autoSpaceDE w:val="0"/>
                    <w:autoSpaceDN w:val="0"/>
                    <w:adjustRightInd w:val="0"/>
                    <w:snapToGrid w:val="0"/>
                    <w:jc w:val="center"/>
                    <w:rPr>
                      <w:sz w:val="18"/>
                      <w:szCs w:val="18"/>
                    </w:rPr>
                  </w:pPr>
                  <w:r>
                    <w:rPr>
                      <w:sz w:val="18"/>
                      <w:szCs w:val="18"/>
                    </w:rPr>
                    <w:t>0.004</w:t>
                  </w:r>
                </w:p>
              </w:tc>
              <w:tc>
                <w:tcPr>
                  <w:tcW w:w="538" w:type="pct"/>
                  <w:vAlign w:val="center"/>
                </w:tcPr>
                <w:p>
                  <w:pPr>
                    <w:widowControl/>
                    <w:jc w:val="center"/>
                    <w:rPr>
                      <w:sz w:val="18"/>
                      <w:szCs w:val="18"/>
                    </w:rPr>
                  </w:pPr>
                  <w:r>
                    <w:rPr>
                      <w:rFonts w:hint="eastAsia"/>
                      <w:sz w:val="18"/>
                      <w:szCs w:val="18"/>
                    </w:rPr>
                    <w:t>1</w:t>
                  </w:r>
                </w:p>
              </w:tc>
              <w:tc>
                <w:tcPr>
                  <w:tcW w:w="536" w:type="pct"/>
                  <w:vAlign w:val="center"/>
                </w:tcPr>
                <w:p>
                  <w:pPr>
                    <w:widowControl/>
                    <w:jc w:val="center"/>
                    <w:rPr>
                      <w:sz w:val="18"/>
                      <w:szCs w:val="18"/>
                    </w:rPr>
                  </w:pPr>
                  <w:r>
                    <w:rPr>
                      <w:rFonts w:hint="eastAsia"/>
                      <w:sz w:val="18"/>
                      <w:szCs w:val="18"/>
                    </w:rPr>
                    <w:t>1</w:t>
                  </w:r>
                </w:p>
              </w:tc>
              <w:tc>
                <w:tcPr>
                  <w:tcW w:w="535" w:type="pct"/>
                  <w:vAlign w:val="center"/>
                </w:tcPr>
                <w:p>
                  <w:pPr>
                    <w:widowControl/>
                    <w:jc w:val="center"/>
                    <w:rPr>
                      <w:sz w:val="18"/>
                      <w:szCs w:val="18"/>
                      <w:lang w:eastAsia="zh-TW"/>
                    </w:rPr>
                  </w:pPr>
                  <w:r>
                    <w:rPr>
                      <w:sz w:val="18"/>
                      <w:szCs w:val="18"/>
                      <w:lang w:eastAsia="zh-TW"/>
                    </w:rPr>
                    <w:t>停机检修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470" w:type="pct"/>
                  <w:vMerge w:val="continue"/>
                  <w:vAlign w:val="center"/>
                </w:tcPr>
                <w:p>
                  <w:pPr>
                    <w:jc w:val="center"/>
                    <w:rPr>
                      <w:sz w:val="18"/>
                      <w:szCs w:val="18"/>
                    </w:rPr>
                  </w:pPr>
                </w:p>
              </w:tc>
              <w:tc>
                <w:tcPr>
                  <w:tcW w:w="444" w:type="pct"/>
                  <w:vMerge w:val="continue"/>
                  <w:vAlign w:val="center"/>
                </w:tcPr>
                <w:p>
                  <w:pPr>
                    <w:jc w:val="center"/>
                    <w:rPr>
                      <w:rFonts w:hAnsi="Calibri"/>
                      <w:bCs/>
                      <w:sz w:val="18"/>
                      <w:szCs w:val="18"/>
                    </w:rPr>
                  </w:pPr>
                </w:p>
              </w:tc>
              <w:tc>
                <w:tcPr>
                  <w:tcW w:w="597" w:type="pct"/>
                  <w:vMerge w:val="continue"/>
                  <w:vAlign w:val="center"/>
                </w:tcPr>
                <w:p>
                  <w:pPr>
                    <w:jc w:val="center"/>
                    <w:rPr>
                      <w:sz w:val="18"/>
                      <w:szCs w:val="18"/>
                      <w:lang w:eastAsia="zh-TW"/>
                    </w:rPr>
                  </w:pPr>
                </w:p>
              </w:tc>
              <w:tc>
                <w:tcPr>
                  <w:tcW w:w="444" w:type="pct"/>
                  <w:vAlign w:val="center"/>
                </w:tcPr>
                <w:p>
                  <w:pPr>
                    <w:widowControl/>
                    <w:jc w:val="center"/>
                    <w:rPr>
                      <w:sz w:val="18"/>
                      <w:szCs w:val="18"/>
                    </w:rPr>
                  </w:pPr>
                  <w:r>
                    <w:rPr>
                      <w:rFonts w:hint="eastAsia"/>
                      <w:sz w:val="18"/>
                      <w:szCs w:val="18"/>
                    </w:rPr>
                    <w:t>锡及其</w:t>
                  </w:r>
                  <w:r>
                    <w:rPr>
                      <w:sz w:val="18"/>
                      <w:szCs w:val="18"/>
                    </w:rPr>
                    <w:t>化合物</w:t>
                  </w:r>
                </w:p>
              </w:tc>
              <w:tc>
                <w:tcPr>
                  <w:tcW w:w="751" w:type="pct"/>
                  <w:vAlign w:val="center"/>
                </w:tcPr>
                <w:p>
                  <w:pPr>
                    <w:autoSpaceDE w:val="0"/>
                    <w:autoSpaceDN w:val="0"/>
                    <w:adjustRightInd w:val="0"/>
                    <w:snapToGrid w:val="0"/>
                    <w:jc w:val="center"/>
                    <w:rPr>
                      <w:sz w:val="18"/>
                      <w:szCs w:val="18"/>
                    </w:rPr>
                  </w:pPr>
                  <w:r>
                    <w:rPr>
                      <w:rFonts w:hint="eastAsia"/>
                      <w:sz w:val="18"/>
                      <w:szCs w:val="18"/>
                    </w:rPr>
                    <w:t>0.000</w:t>
                  </w:r>
                  <w:r>
                    <w:rPr>
                      <w:sz w:val="18"/>
                      <w:szCs w:val="18"/>
                    </w:rPr>
                    <w:t>11</w:t>
                  </w:r>
                </w:p>
              </w:tc>
              <w:tc>
                <w:tcPr>
                  <w:tcW w:w="685" w:type="pct"/>
                  <w:vAlign w:val="center"/>
                </w:tcPr>
                <w:p>
                  <w:pPr>
                    <w:autoSpaceDE w:val="0"/>
                    <w:autoSpaceDN w:val="0"/>
                    <w:adjustRightInd w:val="0"/>
                    <w:snapToGrid w:val="0"/>
                    <w:jc w:val="center"/>
                    <w:rPr>
                      <w:sz w:val="18"/>
                      <w:szCs w:val="18"/>
                    </w:rPr>
                  </w:pPr>
                  <w:r>
                    <w:rPr>
                      <w:rFonts w:hint="eastAsia"/>
                      <w:sz w:val="18"/>
                      <w:szCs w:val="18"/>
                    </w:rPr>
                    <w:t>0.0038</w:t>
                  </w:r>
                </w:p>
              </w:tc>
              <w:tc>
                <w:tcPr>
                  <w:tcW w:w="538" w:type="pct"/>
                  <w:vAlign w:val="center"/>
                </w:tcPr>
                <w:p>
                  <w:pPr>
                    <w:widowControl/>
                    <w:jc w:val="center"/>
                    <w:rPr>
                      <w:sz w:val="18"/>
                      <w:szCs w:val="18"/>
                    </w:rPr>
                  </w:pPr>
                  <w:r>
                    <w:rPr>
                      <w:rFonts w:hint="eastAsia"/>
                      <w:sz w:val="18"/>
                      <w:szCs w:val="18"/>
                    </w:rPr>
                    <w:t>1</w:t>
                  </w:r>
                </w:p>
              </w:tc>
              <w:tc>
                <w:tcPr>
                  <w:tcW w:w="536" w:type="pct"/>
                  <w:vAlign w:val="center"/>
                </w:tcPr>
                <w:p>
                  <w:pPr>
                    <w:widowControl/>
                    <w:jc w:val="center"/>
                    <w:rPr>
                      <w:sz w:val="18"/>
                      <w:szCs w:val="18"/>
                    </w:rPr>
                  </w:pPr>
                  <w:r>
                    <w:rPr>
                      <w:rFonts w:hint="eastAsia"/>
                      <w:sz w:val="18"/>
                      <w:szCs w:val="18"/>
                    </w:rPr>
                    <w:t>1</w:t>
                  </w:r>
                </w:p>
              </w:tc>
              <w:tc>
                <w:tcPr>
                  <w:tcW w:w="535" w:type="pct"/>
                  <w:vAlign w:val="center"/>
                </w:tcPr>
                <w:p>
                  <w:pPr>
                    <w:widowControl/>
                    <w:jc w:val="center"/>
                    <w:rPr>
                      <w:sz w:val="18"/>
                      <w:szCs w:val="18"/>
                      <w:lang w:eastAsia="zh-TW"/>
                    </w:rPr>
                  </w:pPr>
                  <w:r>
                    <w:rPr>
                      <w:sz w:val="18"/>
                      <w:szCs w:val="18"/>
                      <w:lang w:eastAsia="zh-TW"/>
                    </w:rPr>
                    <w:t>停机检修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vMerge w:val="continue"/>
                  <w:vAlign w:val="center"/>
                </w:tcPr>
                <w:p>
                  <w:pPr>
                    <w:jc w:val="center"/>
                    <w:rPr>
                      <w:sz w:val="18"/>
                      <w:szCs w:val="18"/>
                    </w:rPr>
                  </w:pPr>
                </w:p>
              </w:tc>
              <w:tc>
                <w:tcPr>
                  <w:tcW w:w="444" w:type="pct"/>
                  <w:vMerge w:val="continue"/>
                  <w:vAlign w:val="center"/>
                </w:tcPr>
                <w:p>
                  <w:pPr>
                    <w:jc w:val="center"/>
                    <w:rPr>
                      <w:rFonts w:hAnsi="Calibri"/>
                      <w:bCs/>
                      <w:sz w:val="18"/>
                      <w:szCs w:val="18"/>
                    </w:rPr>
                  </w:pPr>
                </w:p>
              </w:tc>
              <w:tc>
                <w:tcPr>
                  <w:tcW w:w="597" w:type="pct"/>
                  <w:vMerge w:val="continue"/>
                  <w:vAlign w:val="center"/>
                </w:tcPr>
                <w:p>
                  <w:pPr>
                    <w:jc w:val="center"/>
                    <w:rPr>
                      <w:sz w:val="18"/>
                      <w:szCs w:val="18"/>
                      <w:lang w:eastAsia="zh-TW"/>
                    </w:rPr>
                  </w:pPr>
                </w:p>
              </w:tc>
              <w:tc>
                <w:tcPr>
                  <w:tcW w:w="444" w:type="pct"/>
                  <w:vAlign w:val="center"/>
                </w:tcPr>
                <w:p>
                  <w:pPr>
                    <w:widowControl/>
                    <w:jc w:val="center"/>
                    <w:rPr>
                      <w:sz w:val="18"/>
                      <w:szCs w:val="18"/>
                    </w:rPr>
                  </w:pPr>
                  <w:r>
                    <w:rPr>
                      <w:rFonts w:hint="eastAsia"/>
                      <w:sz w:val="18"/>
                      <w:szCs w:val="18"/>
                    </w:rPr>
                    <w:t>TVOC</w:t>
                  </w:r>
                </w:p>
              </w:tc>
              <w:tc>
                <w:tcPr>
                  <w:tcW w:w="751" w:type="pct"/>
                  <w:vAlign w:val="center"/>
                </w:tcPr>
                <w:p>
                  <w:pPr>
                    <w:autoSpaceDE w:val="0"/>
                    <w:autoSpaceDN w:val="0"/>
                    <w:adjustRightInd w:val="0"/>
                    <w:snapToGrid w:val="0"/>
                    <w:jc w:val="center"/>
                    <w:rPr>
                      <w:sz w:val="18"/>
                      <w:szCs w:val="18"/>
                    </w:rPr>
                  </w:pPr>
                  <w:r>
                    <w:rPr>
                      <w:sz w:val="18"/>
                      <w:szCs w:val="18"/>
                    </w:rPr>
                    <w:t>0.234</w:t>
                  </w:r>
                </w:p>
              </w:tc>
              <w:tc>
                <w:tcPr>
                  <w:tcW w:w="685" w:type="pct"/>
                  <w:vAlign w:val="center"/>
                </w:tcPr>
                <w:p>
                  <w:pPr>
                    <w:autoSpaceDE w:val="0"/>
                    <w:autoSpaceDN w:val="0"/>
                    <w:adjustRightInd w:val="0"/>
                    <w:snapToGrid w:val="0"/>
                    <w:jc w:val="center"/>
                    <w:rPr>
                      <w:sz w:val="18"/>
                      <w:szCs w:val="18"/>
                    </w:rPr>
                  </w:pPr>
                  <w:r>
                    <w:rPr>
                      <w:sz w:val="18"/>
                      <w:szCs w:val="18"/>
                    </w:rPr>
                    <w:t>7.8</w:t>
                  </w:r>
                </w:p>
              </w:tc>
              <w:tc>
                <w:tcPr>
                  <w:tcW w:w="538" w:type="pct"/>
                  <w:vAlign w:val="center"/>
                </w:tcPr>
                <w:p>
                  <w:pPr>
                    <w:widowControl/>
                    <w:jc w:val="center"/>
                    <w:rPr>
                      <w:sz w:val="18"/>
                      <w:szCs w:val="18"/>
                    </w:rPr>
                  </w:pPr>
                  <w:r>
                    <w:rPr>
                      <w:sz w:val="18"/>
                      <w:szCs w:val="18"/>
                    </w:rPr>
                    <w:t>1</w:t>
                  </w:r>
                </w:p>
              </w:tc>
              <w:tc>
                <w:tcPr>
                  <w:tcW w:w="536" w:type="pct"/>
                  <w:vAlign w:val="center"/>
                </w:tcPr>
                <w:p>
                  <w:pPr>
                    <w:widowControl/>
                    <w:jc w:val="center"/>
                    <w:rPr>
                      <w:sz w:val="18"/>
                      <w:szCs w:val="18"/>
                    </w:rPr>
                  </w:pPr>
                  <w:r>
                    <w:rPr>
                      <w:sz w:val="18"/>
                      <w:szCs w:val="18"/>
                    </w:rPr>
                    <w:t>1</w:t>
                  </w:r>
                </w:p>
              </w:tc>
              <w:tc>
                <w:tcPr>
                  <w:tcW w:w="535" w:type="pct"/>
                  <w:vAlign w:val="center"/>
                </w:tcPr>
                <w:p>
                  <w:pPr>
                    <w:jc w:val="center"/>
                    <w:rPr>
                      <w:sz w:val="18"/>
                      <w:szCs w:val="18"/>
                      <w:lang w:eastAsia="zh-TW"/>
                    </w:rPr>
                  </w:pPr>
                  <w:r>
                    <w:rPr>
                      <w:sz w:val="18"/>
                      <w:szCs w:val="18"/>
                      <w:lang w:eastAsia="zh-TW"/>
                    </w:rPr>
                    <w:t>停机检修</w:t>
                  </w:r>
                </w:p>
              </w:tc>
            </w:tr>
          </w:tbl>
          <w:p>
            <w:pPr>
              <w:widowControl/>
              <w:snapToGrid w:val="0"/>
              <w:spacing w:line="360" w:lineRule="auto"/>
              <w:ind w:firstLine="420" w:firstLineChars="200"/>
              <w:rPr>
                <w:b/>
                <w:bCs/>
                <w:szCs w:val="21"/>
              </w:rPr>
            </w:pPr>
            <w:r>
              <w:rPr>
                <w:kern w:val="0"/>
                <w:szCs w:val="21"/>
                <w:lang w:bidi="ar"/>
              </w:rPr>
              <w:t>由上表可知，非正常工况下，</w:t>
            </w:r>
            <w:r>
              <w:rPr>
                <w:szCs w:val="21"/>
              </w:rPr>
              <w:t>DA001</w:t>
            </w:r>
            <w:r>
              <w:rPr>
                <w:kern w:val="0"/>
                <w:szCs w:val="21"/>
                <w:lang w:bidi="ar"/>
              </w:rPr>
              <w:t>排气筒颗粒物</w:t>
            </w:r>
            <w:r>
              <w:rPr>
                <w:rFonts w:hint="eastAsia"/>
                <w:kern w:val="0"/>
                <w:szCs w:val="21"/>
                <w:lang w:bidi="ar"/>
              </w:rPr>
              <w:t>、锡及其</w:t>
            </w:r>
            <w:r>
              <w:rPr>
                <w:kern w:val="0"/>
                <w:szCs w:val="21"/>
                <w:lang w:bidi="ar"/>
              </w:rPr>
              <w:t>化合物和</w:t>
            </w:r>
            <w:r>
              <w:rPr>
                <w:rFonts w:hint="eastAsia"/>
                <w:kern w:val="0"/>
                <w:szCs w:val="21"/>
                <w:lang w:bidi="ar"/>
              </w:rPr>
              <w:t>TVOC</w:t>
            </w:r>
            <w:r>
              <w:rPr>
                <w:kern w:val="0"/>
                <w:szCs w:val="21"/>
                <w:lang w:bidi="ar"/>
              </w:rPr>
              <w:t>的排放浓度</w:t>
            </w:r>
            <w:r>
              <w:rPr>
                <w:rFonts w:hint="eastAsia"/>
                <w:kern w:val="0"/>
                <w:szCs w:val="21"/>
                <w:lang w:bidi="ar"/>
              </w:rPr>
              <w:t>均</w:t>
            </w:r>
            <w:r>
              <w:rPr>
                <w:kern w:val="0"/>
                <w:szCs w:val="21"/>
                <w:lang w:bidi="ar"/>
              </w:rPr>
              <w:t>未超标</w:t>
            </w:r>
            <w:r>
              <w:rPr>
                <w:rFonts w:hint="eastAsia"/>
                <w:kern w:val="0"/>
                <w:szCs w:val="21"/>
                <w:lang w:bidi="ar"/>
              </w:rPr>
              <w:t>，</w:t>
            </w:r>
            <w:r>
              <w:rPr>
                <w:szCs w:val="21"/>
              </w:rPr>
              <w:t>DA002</w:t>
            </w:r>
            <w:r>
              <w:rPr>
                <w:kern w:val="0"/>
                <w:szCs w:val="21"/>
                <w:lang w:bidi="ar"/>
              </w:rPr>
              <w:t>排气筒颗粒物</w:t>
            </w:r>
            <w:r>
              <w:rPr>
                <w:rFonts w:hint="eastAsia"/>
                <w:kern w:val="0"/>
                <w:szCs w:val="21"/>
                <w:lang w:bidi="ar"/>
              </w:rPr>
              <w:t>、锡及其</w:t>
            </w:r>
            <w:r>
              <w:rPr>
                <w:kern w:val="0"/>
                <w:szCs w:val="21"/>
                <w:lang w:bidi="ar"/>
              </w:rPr>
              <w:t>化合物和</w:t>
            </w:r>
            <w:r>
              <w:rPr>
                <w:rFonts w:hint="eastAsia"/>
                <w:kern w:val="0"/>
                <w:szCs w:val="21"/>
                <w:lang w:bidi="ar"/>
              </w:rPr>
              <w:t>TVOC</w:t>
            </w:r>
            <w:r>
              <w:rPr>
                <w:kern w:val="0"/>
                <w:szCs w:val="21"/>
                <w:lang w:bidi="ar"/>
              </w:rPr>
              <w:t>的排放浓度</w:t>
            </w:r>
            <w:r>
              <w:rPr>
                <w:rFonts w:hint="eastAsia"/>
                <w:kern w:val="0"/>
                <w:szCs w:val="21"/>
                <w:lang w:bidi="ar"/>
              </w:rPr>
              <w:t>均</w:t>
            </w:r>
            <w:r>
              <w:rPr>
                <w:kern w:val="0"/>
                <w:szCs w:val="21"/>
                <w:lang w:bidi="ar"/>
              </w:rPr>
              <w:t>未超标</w:t>
            </w:r>
            <w:r>
              <w:rPr>
                <w:rFonts w:hint="eastAsia"/>
                <w:kern w:val="0"/>
                <w:szCs w:val="21"/>
                <w:lang w:bidi="ar"/>
              </w:rPr>
              <w:t>，</w:t>
            </w:r>
            <w:r>
              <w:rPr>
                <w:kern w:val="0"/>
                <w:szCs w:val="21"/>
                <w:lang w:bidi="ar"/>
              </w:rPr>
              <w:t>但较正常工况显著增大。为防止生产废气非正常工况排放，企业必须加强废气处理设施的管理，定期检修，确保废气处理设施正常运行，在废气处理设备停止运行或出现故障时，产生废气的各工序也必须相应停止生产。</w:t>
            </w:r>
          </w:p>
          <w:p>
            <w:pPr>
              <w:snapToGrid w:val="0"/>
              <w:spacing w:line="360" w:lineRule="auto"/>
              <w:ind w:firstLine="422" w:firstLineChars="200"/>
              <w:rPr>
                <w:b/>
                <w:szCs w:val="21"/>
              </w:rPr>
            </w:pPr>
            <w:r>
              <w:rPr>
                <w:rFonts w:hint="eastAsia"/>
                <w:b/>
                <w:szCs w:val="21"/>
              </w:rPr>
              <w:t>（5）</w:t>
            </w:r>
            <w:r>
              <w:rPr>
                <w:b/>
                <w:szCs w:val="21"/>
              </w:rPr>
              <w:t>废气污染防治技术可行性分析</w:t>
            </w:r>
          </w:p>
          <w:p>
            <w:pPr>
              <w:widowControl/>
              <w:adjustRightInd w:val="0"/>
              <w:snapToGrid w:val="0"/>
              <w:spacing w:line="360" w:lineRule="auto"/>
              <w:ind w:firstLine="420" w:firstLineChars="200"/>
              <w:rPr>
                <w:rFonts w:hAnsi="宋体"/>
                <w:bCs/>
                <w:szCs w:val="21"/>
              </w:rPr>
            </w:pPr>
            <w:r>
              <w:rPr>
                <w:rFonts w:hint="eastAsia" w:hAnsi="宋体"/>
                <w:bCs/>
                <w:szCs w:val="21"/>
              </w:rPr>
              <w:t>本项目</w:t>
            </w:r>
            <w:r>
              <w:rPr>
                <w:rFonts w:hAnsi="宋体"/>
                <w:bCs/>
                <w:szCs w:val="21"/>
              </w:rPr>
              <w:t>产生的</w:t>
            </w:r>
            <w:r>
              <w:rPr>
                <w:rFonts w:hint="eastAsia" w:hAnsi="宋体"/>
                <w:bCs/>
                <w:szCs w:val="21"/>
              </w:rPr>
              <w:t>有机</w:t>
            </w:r>
            <w:r>
              <w:rPr>
                <w:rFonts w:hAnsi="宋体"/>
                <w:bCs/>
                <w:szCs w:val="21"/>
              </w:rPr>
              <w:t>废气（</w:t>
            </w:r>
            <w:r>
              <w:rPr>
                <w:rFonts w:hint="eastAsia" w:hAnsi="宋体"/>
                <w:bCs/>
                <w:szCs w:val="21"/>
              </w:rPr>
              <w:t>TV</w:t>
            </w:r>
            <w:r>
              <w:rPr>
                <w:rFonts w:hAnsi="宋体"/>
                <w:bCs/>
                <w:szCs w:val="21"/>
              </w:rPr>
              <w:t>OC）</w:t>
            </w:r>
            <w:r>
              <w:rPr>
                <w:rFonts w:hint="eastAsia" w:hAnsi="宋体"/>
                <w:bCs/>
                <w:szCs w:val="21"/>
              </w:rPr>
              <w:t>采用</w:t>
            </w:r>
            <w:r>
              <w:rPr>
                <w:rFonts w:hAnsi="宋体"/>
                <w:bCs/>
                <w:szCs w:val="21"/>
              </w:rPr>
              <w:t>两级活性炭吸附设施处理，</w:t>
            </w:r>
            <w:r>
              <w:rPr>
                <w:rFonts w:hint="eastAsia" w:hAnsi="宋体"/>
                <w:bCs/>
                <w:szCs w:val="21"/>
              </w:rPr>
              <w:t>根据《排污许可证申请与核发技术规范 电子工业》（HJ1031-2019）表B.</w:t>
            </w:r>
            <w:r>
              <w:rPr>
                <w:rFonts w:hAnsi="宋体"/>
                <w:bCs/>
                <w:szCs w:val="21"/>
              </w:rPr>
              <w:t>1</w:t>
            </w:r>
            <w:r>
              <w:rPr>
                <w:rFonts w:hint="eastAsia" w:hAnsi="宋体"/>
                <w:bCs/>
                <w:szCs w:val="21"/>
              </w:rPr>
              <w:t>电子工业排污单位废气防治可行技术参考表，挥发性</w:t>
            </w:r>
            <w:r>
              <w:rPr>
                <w:rFonts w:hAnsi="宋体"/>
                <w:bCs/>
                <w:szCs w:val="21"/>
              </w:rPr>
              <w:t>有机物</w:t>
            </w:r>
            <w:r>
              <w:rPr>
                <w:rFonts w:hint="eastAsia" w:hAnsi="宋体"/>
                <w:bCs/>
                <w:szCs w:val="21"/>
              </w:rPr>
              <w:t>采用活性炭吸附法为可行技术。</w:t>
            </w:r>
          </w:p>
          <w:p>
            <w:pPr>
              <w:adjustRightInd w:val="0"/>
              <w:snapToGrid w:val="0"/>
              <w:spacing w:before="120" w:beforeLines="50" w:line="360" w:lineRule="auto"/>
              <w:ind w:firstLine="420" w:firstLineChars="200"/>
            </w:pPr>
            <w:r>
              <w:t>项目</w:t>
            </w:r>
            <w:r>
              <w:rPr>
                <w:rFonts w:hint="eastAsia"/>
              </w:rPr>
              <w:t>颗粒物</w:t>
            </w:r>
            <w:r>
              <w:t>采用</w:t>
            </w:r>
            <w:r>
              <w:rPr>
                <w:rFonts w:hint="eastAsia"/>
              </w:rPr>
              <w:t>喷淋塔</w:t>
            </w:r>
            <w:r>
              <w:t>处理，</w:t>
            </w:r>
            <w:r>
              <w:rPr>
                <w:rFonts w:hint="eastAsia"/>
                <w:bCs/>
                <w:szCs w:val="21"/>
              </w:rPr>
              <w:t>喷淋塔除尘装置原理：它是使含尘气体与水密切接触，利用水滴和颗粒的惯性碰撞或者利用水和粉尘的充分混合作用及其他作用捕集颗粒或使颗粒增大或留于固定容器内达到水和粉尘分离效果的装置。</w:t>
            </w:r>
            <w:r>
              <w:rPr>
                <w:bCs/>
              </w:rPr>
              <w:t>本项目颗粒物产生量</w:t>
            </w:r>
            <w:r>
              <w:rPr>
                <w:rFonts w:hint="eastAsia"/>
                <w:bCs/>
              </w:rPr>
              <w:t>很</w:t>
            </w:r>
            <w:r>
              <w:rPr>
                <w:bCs/>
              </w:rPr>
              <w:t>小，通过喷淋塔塔处理后均可达标排放，因此该废气污染防治技术可行。</w:t>
            </w:r>
          </w:p>
          <w:p>
            <w:pPr>
              <w:pStyle w:val="44"/>
              <w:rPr>
                <w:rFonts w:ascii="Times New Roman" w:hAnsi="Times New Roman"/>
                <w:color w:val="auto"/>
              </w:rPr>
            </w:pPr>
            <w:r>
              <w:rPr>
                <w:rFonts w:hint="eastAsia" w:ascii="Times New Roman" w:hAnsi="Times New Roman"/>
                <w:color w:val="auto"/>
              </w:rPr>
              <w:drawing>
                <wp:inline distT="0" distB="0" distL="114300" distR="114300">
                  <wp:extent cx="3173095" cy="2929890"/>
                  <wp:effectExtent l="0" t="0" r="8255" b="3810"/>
                  <wp:docPr id="25" name="图片 25" descr="喷淋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喷淋塔"/>
                          <pic:cNvPicPr>
                            <a:picLocks noChangeAspect="1"/>
                          </pic:cNvPicPr>
                        </pic:nvPicPr>
                        <pic:blipFill>
                          <a:blip r:embed="rId13"/>
                          <a:stretch>
                            <a:fillRect/>
                          </a:stretch>
                        </pic:blipFill>
                        <pic:spPr>
                          <a:xfrm>
                            <a:off x="0" y="0"/>
                            <a:ext cx="3176161" cy="2933243"/>
                          </a:xfrm>
                          <a:prstGeom prst="rect">
                            <a:avLst/>
                          </a:prstGeom>
                        </pic:spPr>
                      </pic:pic>
                    </a:graphicData>
                  </a:graphic>
                </wp:inline>
              </w:drawing>
            </w:r>
          </w:p>
          <w:p>
            <w:pPr>
              <w:widowControl/>
              <w:spacing w:line="360" w:lineRule="auto"/>
              <w:jc w:val="center"/>
              <w:rPr>
                <w:b/>
              </w:rPr>
            </w:pPr>
            <w:r>
              <w:rPr>
                <w:b/>
              </w:rPr>
              <w:t>图5 喷淋塔塔结构示意图</w:t>
            </w:r>
          </w:p>
          <w:p>
            <w:pPr>
              <w:snapToGrid w:val="0"/>
              <w:spacing w:line="360" w:lineRule="auto"/>
              <w:ind w:firstLine="422" w:firstLineChars="200"/>
              <w:rPr>
                <w:b/>
              </w:rPr>
            </w:pPr>
            <w:r>
              <w:rPr>
                <w:rFonts w:hint="eastAsia"/>
                <w:b/>
                <w:szCs w:val="21"/>
              </w:rPr>
              <w:t>（6）废气</w:t>
            </w:r>
            <w:r>
              <w:rPr>
                <w:b/>
                <w:szCs w:val="21"/>
              </w:rPr>
              <w:t>排放</w:t>
            </w:r>
            <w:r>
              <w:rPr>
                <w:b/>
              </w:rPr>
              <w:t>环境影响分析</w:t>
            </w:r>
          </w:p>
          <w:p>
            <w:pPr>
              <w:pStyle w:val="80"/>
              <w:snapToGrid w:val="0"/>
              <w:spacing w:line="360" w:lineRule="auto"/>
              <w:ind w:firstLine="420"/>
              <w:rPr>
                <w:bCs/>
                <w:kern w:val="2"/>
                <w:sz w:val="21"/>
              </w:rPr>
            </w:pPr>
            <w:r>
              <w:rPr>
                <w:bCs/>
                <w:kern w:val="2"/>
                <w:sz w:val="21"/>
              </w:rPr>
              <w:t>本项目评价区域环境质量现状良好，各</w:t>
            </w:r>
            <w:r>
              <w:rPr>
                <w:rFonts w:hint="eastAsia"/>
                <w:bCs/>
                <w:kern w:val="2"/>
                <w:sz w:val="21"/>
              </w:rPr>
              <w:t>六项</w:t>
            </w:r>
            <w:r>
              <w:rPr>
                <w:bCs/>
                <w:kern w:val="2"/>
                <w:sz w:val="21"/>
              </w:rPr>
              <w:t>基本污染物和</w:t>
            </w:r>
            <w:r>
              <w:rPr>
                <w:rFonts w:hint="eastAsia"/>
                <w:bCs/>
                <w:kern w:val="2"/>
                <w:sz w:val="21"/>
              </w:rPr>
              <w:t>特征</w:t>
            </w:r>
            <w:r>
              <w:rPr>
                <w:bCs/>
                <w:kern w:val="2"/>
                <w:sz w:val="21"/>
              </w:rPr>
              <w:t>污染物</w:t>
            </w:r>
            <w:r>
              <w:rPr>
                <w:rFonts w:hint="eastAsia"/>
                <w:bCs/>
                <w:kern w:val="2"/>
                <w:sz w:val="21"/>
              </w:rPr>
              <w:t>TSP的</w:t>
            </w:r>
            <w:r>
              <w:rPr>
                <w:bCs/>
                <w:kern w:val="2"/>
                <w:sz w:val="21"/>
              </w:rPr>
              <w:t>环境质量现状均可达到《环境空气质量标准》（GB3095-2012）及</w:t>
            </w:r>
            <w:r>
              <w:rPr>
                <w:rFonts w:hint="eastAsia"/>
                <w:bCs/>
                <w:kern w:val="2"/>
                <w:sz w:val="21"/>
              </w:rPr>
              <w:t>2018年</w:t>
            </w:r>
            <w:r>
              <w:rPr>
                <w:bCs/>
                <w:kern w:val="2"/>
                <w:sz w:val="21"/>
              </w:rPr>
              <w:t>修改单</w:t>
            </w:r>
            <w:r>
              <w:rPr>
                <w:rFonts w:hint="eastAsia"/>
                <w:bCs/>
                <w:kern w:val="2"/>
                <w:sz w:val="21"/>
              </w:rPr>
              <w:t>中</w:t>
            </w:r>
            <w:r>
              <w:rPr>
                <w:bCs/>
                <w:kern w:val="2"/>
                <w:sz w:val="21"/>
              </w:rPr>
              <w:t>的二级标准，区域内大气环境质量</w:t>
            </w:r>
            <w:r>
              <w:rPr>
                <w:rFonts w:hint="eastAsia"/>
                <w:bCs/>
                <w:kern w:val="2"/>
                <w:sz w:val="21"/>
              </w:rPr>
              <w:t>良好</w:t>
            </w:r>
            <w:r>
              <w:rPr>
                <w:bCs/>
                <w:kern w:val="2"/>
                <w:sz w:val="21"/>
              </w:rPr>
              <w:t>。</w:t>
            </w:r>
          </w:p>
          <w:p>
            <w:pPr>
              <w:spacing w:line="360" w:lineRule="auto"/>
              <w:ind w:firstLine="420" w:firstLineChars="200"/>
              <w:rPr>
                <w:szCs w:val="21"/>
              </w:rPr>
            </w:pPr>
            <w:r>
              <w:rPr>
                <w:rFonts w:hint="eastAsia"/>
                <w:szCs w:val="21"/>
              </w:rPr>
              <w:t>厂房A废气：</w:t>
            </w:r>
            <w:r>
              <w:rPr>
                <w:szCs w:val="21"/>
              </w:rPr>
              <w:t>建设单位拟在</w:t>
            </w:r>
            <w:r>
              <w:rPr>
                <w:rFonts w:hint="eastAsia"/>
                <w:szCs w:val="21"/>
              </w:rPr>
              <w:t>粘片、点胶</w:t>
            </w:r>
            <w:r>
              <w:rPr>
                <w:szCs w:val="21"/>
              </w:rPr>
              <w:t>工位设置集气罩，将</w:t>
            </w:r>
            <w:r>
              <w:rPr>
                <w:rFonts w:hint="eastAsia"/>
                <w:szCs w:val="21"/>
              </w:rPr>
              <w:t>粘片、</w:t>
            </w:r>
            <w:r>
              <w:rPr>
                <w:szCs w:val="21"/>
              </w:rPr>
              <w:t>点胶废气收集后与</w:t>
            </w:r>
            <w:r>
              <w:rPr>
                <w:rFonts w:hint="eastAsia"/>
                <w:szCs w:val="21"/>
              </w:rPr>
              <w:t>集气管</w:t>
            </w:r>
            <w:r>
              <w:rPr>
                <w:szCs w:val="21"/>
              </w:rPr>
              <w:t>收集的</w:t>
            </w:r>
            <w:r>
              <w:rPr>
                <w:rFonts w:hint="eastAsia"/>
                <w:szCs w:val="21"/>
              </w:rPr>
              <w:t>塑封固化</w:t>
            </w:r>
            <w:r>
              <w:rPr>
                <w:szCs w:val="21"/>
              </w:rPr>
              <w:t>废气一起引至“</w:t>
            </w:r>
            <w:r>
              <w:rPr>
                <w:rFonts w:hint="eastAsia"/>
                <w:szCs w:val="21"/>
              </w:rPr>
              <w:t>喷淋塔+干式</w:t>
            </w:r>
            <w:r>
              <w:rPr>
                <w:szCs w:val="21"/>
              </w:rPr>
              <w:t>除雾器</w:t>
            </w:r>
            <w:r>
              <w:rPr>
                <w:rFonts w:hint="eastAsia"/>
                <w:szCs w:val="21"/>
              </w:rPr>
              <w:t>+两级活性炭</w:t>
            </w:r>
            <w:r>
              <w:rPr>
                <w:szCs w:val="21"/>
              </w:rPr>
              <w:t>吸附装置”处理后引至楼顶经DA001排气筒高空排放，</w:t>
            </w:r>
            <w:r>
              <w:rPr>
                <w:rFonts w:hint="eastAsia"/>
                <w:szCs w:val="21"/>
              </w:rPr>
              <w:t>排放</w:t>
            </w:r>
            <w:r>
              <w:rPr>
                <w:szCs w:val="21"/>
              </w:rPr>
              <w:t>高度</w:t>
            </w:r>
            <w:r>
              <w:rPr>
                <w:rFonts w:hint="eastAsia"/>
                <w:szCs w:val="21"/>
              </w:rPr>
              <w:t>约</w:t>
            </w:r>
            <w:r>
              <w:rPr>
                <w:szCs w:val="21"/>
              </w:rPr>
              <w:t>25</w:t>
            </w:r>
            <w:r>
              <w:rPr>
                <w:rFonts w:hint="eastAsia"/>
                <w:szCs w:val="21"/>
              </w:rPr>
              <w:t>米。</w:t>
            </w:r>
            <w:r>
              <w:rPr>
                <w:rFonts w:hint="eastAsia"/>
              </w:rPr>
              <w:t>经</w:t>
            </w:r>
            <w:r>
              <w:t>处理后，项目</w:t>
            </w:r>
            <w:r>
              <w:rPr>
                <w:rFonts w:hint="eastAsia"/>
              </w:rPr>
              <w:t>DA001排气筒</w:t>
            </w:r>
            <w:r>
              <w:rPr>
                <w:bCs/>
              </w:rPr>
              <w:t>颗粒物排放量为0.000216t/a，排放速率为0.00009kg/h，排放浓度为0.003mg/m</w:t>
            </w:r>
            <w:r>
              <w:rPr>
                <w:bCs/>
                <w:vertAlign w:val="superscript"/>
              </w:rPr>
              <w:t>3</w:t>
            </w:r>
            <w:r>
              <w:rPr>
                <w:rFonts w:hint="eastAsia"/>
                <w:bCs/>
                <w:szCs w:val="21"/>
              </w:rPr>
              <w:t>，锡及其</w:t>
            </w:r>
            <w:r>
              <w:rPr>
                <w:bCs/>
                <w:szCs w:val="21"/>
              </w:rPr>
              <w:t>化合物排放量为</w:t>
            </w:r>
            <w:r>
              <w:rPr>
                <w:bCs/>
              </w:rPr>
              <w:t>0.000198t/a，排放速率为0.000084kg/h，排放浓度为0.00284mg/m</w:t>
            </w:r>
            <w:r>
              <w:rPr>
                <w:bCs/>
                <w:vertAlign w:val="superscript"/>
              </w:rPr>
              <w:t>3</w:t>
            </w:r>
            <w:r>
              <w:rPr>
                <w:rFonts w:hint="eastAsia"/>
                <w:bCs/>
                <w:szCs w:val="21"/>
              </w:rPr>
              <w:t>，可达到广东省</w:t>
            </w:r>
            <w:r>
              <w:rPr>
                <w:bCs/>
                <w:szCs w:val="21"/>
              </w:rPr>
              <w:t>《大气污染物排放限值》（DB44/27-2001）中的第二时段二级标准</w:t>
            </w:r>
            <w:r>
              <w:rPr>
                <w:rFonts w:hint="eastAsia"/>
                <w:bCs/>
                <w:szCs w:val="21"/>
              </w:rPr>
              <w:t>的</w:t>
            </w:r>
            <w:r>
              <w:rPr>
                <w:bCs/>
                <w:szCs w:val="21"/>
              </w:rPr>
              <w:t>要求</w:t>
            </w:r>
            <w:r>
              <w:rPr>
                <w:rFonts w:hint="eastAsia"/>
                <w:bCs/>
                <w:szCs w:val="21"/>
              </w:rPr>
              <w:t>，</w:t>
            </w:r>
            <w:r>
              <w:rPr>
                <w:rFonts w:hint="eastAsia" w:hAnsi="宋体"/>
                <w:bCs/>
                <w:szCs w:val="21"/>
              </w:rPr>
              <w:t>对周边大气环境影响不大；T</w:t>
            </w:r>
            <w:r>
              <w:rPr>
                <w:rFonts w:hAnsi="宋体"/>
                <w:bCs/>
                <w:szCs w:val="21"/>
              </w:rPr>
              <w:t>VOC排放量为0.210611t/a，排放速率为0.08777kg/h，排放浓度为2.926mg/m</w:t>
            </w:r>
            <w:r>
              <w:rPr>
                <w:rFonts w:hAnsi="宋体"/>
                <w:bCs/>
                <w:szCs w:val="21"/>
                <w:vertAlign w:val="superscript"/>
              </w:rPr>
              <w:t>3</w:t>
            </w:r>
            <w:r>
              <w:rPr>
                <w:rFonts w:hint="eastAsia" w:hAnsi="宋体"/>
                <w:bCs/>
                <w:szCs w:val="21"/>
              </w:rPr>
              <w:t>，可达到广东省《固定污染源挥发性有机物综合排放标准》（DB44/2367-2022）表1的</w:t>
            </w:r>
            <w:r>
              <w:rPr>
                <w:rFonts w:hAnsi="宋体"/>
                <w:bCs/>
                <w:szCs w:val="21"/>
              </w:rPr>
              <w:t>要求</w:t>
            </w:r>
            <w:r>
              <w:rPr>
                <w:rFonts w:hint="eastAsia" w:hAnsi="宋体"/>
                <w:bCs/>
                <w:szCs w:val="21"/>
              </w:rPr>
              <w:t>，对周边大气环境影响不大。</w:t>
            </w:r>
            <w:r>
              <w:rPr>
                <w:rFonts w:hint="eastAsia"/>
                <w:szCs w:val="21"/>
              </w:rPr>
              <w:t>未收集</w:t>
            </w:r>
            <w:r>
              <w:rPr>
                <w:szCs w:val="21"/>
              </w:rPr>
              <w:t>的</w:t>
            </w:r>
            <w:r>
              <w:rPr>
                <w:rFonts w:hint="eastAsia"/>
                <w:bCs/>
              </w:rPr>
              <w:t>颗粒物无组织</w:t>
            </w:r>
            <w:r>
              <w:rPr>
                <w:bCs/>
              </w:rPr>
              <w:t>排放量为0.00024t/a，排放速率为0.0001kg/h</w:t>
            </w:r>
            <w:r>
              <w:rPr>
                <w:rFonts w:hint="eastAsia"/>
                <w:bCs/>
              </w:rPr>
              <w:t>，锡及其</w:t>
            </w:r>
            <w:r>
              <w:rPr>
                <w:bCs/>
              </w:rPr>
              <w:t>化合物</w:t>
            </w:r>
            <w:r>
              <w:rPr>
                <w:rFonts w:hint="eastAsia"/>
                <w:bCs/>
              </w:rPr>
              <w:t>物无组织</w:t>
            </w:r>
            <w:r>
              <w:rPr>
                <w:bCs/>
              </w:rPr>
              <w:t>排放量为0.00022t/a，排放速率为0.00009kg/h</w:t>
            </w:r>
            <w:r>
              <w:rPr>
                <w:rFonts w:hint="eastAsia"/>
                <w:bCs/>
              </w:rPr>
              <w:t>，</w:t>
            </w:r>
            <w:r>
              <w:rPr>
                <w:rFonts w:hAnsi="宋体"/>
                <w:bCs/>
                <w:szCs w:val="21"/>
              </w:rPr>
              <w:t>通过加强车间通风，可达到</w:t>
            </w:r>
            <w:r>
              <w:rPr>
                <w:rFonts w:hint="eastAsia"/>
                <w:bCs/>
                <w:szCs w:val="21"/>
              </w:rPr>
              <w:t>广东省</w:t>
            </w:r>
            <w:r>
              <w:rPr>
                <w:bCs/>
                <w:szCs w:val="21"/>
              </w:rPr>
              <w:t>《大气污染物排放限值》（DB44/27-2001）中的第二时段无组织排放监控浓度限值</w:t>
            </w:r>
            <w:r>
              <w:rPr>
                <w:rFonts w:hint="eastAsia"/>
                <w:bCs/>
                <w:szCs w:val="21"/>
              </w:rPr>
              <w:t>的要求</w:t>
            </w:r>
            <w:r>
              <w:rPr>
                <w:rFonts w:hAnsi="宋体"/>
                <w:bCs/>
                <w:szCs w:val="21"/>
              </w:rPr>
              <w:t>，不会对周围空气环境产生明显影响。</w:t>
            </w:r>
            <w:r>
              <w:rPr>
                <w:rFonts w:hint="eastAsia"/>
                <w:szCs w:val="21"/>
              </w:rPr>
              <w:t>未收集</w:t>
            </w:r>
            <w:r>
              <w:rPr>
                <w:szCs w:val="21"/>
              </w:rPr>
              <w:t>的</w:t>
            </w:r>
            <w:r>
              <w:rPr>
                <w:rFonts w:hint="eastAsia"/>
                <w:bCs/>
              </w:rPr>
              <w:t>T</w:t>
            </w:r>
            <w:r>
              <w:rPr>
                <w:bCs/>
              </w:rPr>
              <w:t>VOC</w:t>
            </w:r>
            <w:r>
              <w:rPr>
                <w:rFonts w:hint="eastAsia"/>
                <w:bCs/>
              </w:rPr>
              <w:t>无组织</w:t>
            </w:r>
            <w:r>
              <w:rPr>
                <w:bCs/>
              </w:rPr>
              <w:t>排放量为0.088024t/a，排放速率为0.03671kg/h</w:t>
            </w:r>
            <w:r>
              <w:rPr>
                <w:rFonts w:hint="eastAsia"/>
                <w:bCs/>
              </w:rPr>
              <w:t>，</w:t>
            </w:r>
            <w:r>
              <w:rPr>
                <w:rFonts w:hAnsi="宋体"/>
                <w:bCs/>
                <w:szCs w:val="21"/>
              </w:rPr>
              <w:t>通过加强车间通风，可达到</w:t>
            </w:r>
            <w:r>
              <w:rPr>
                <w:rFonts w:hint="eastAsia"/>
                <w:bCs/>
                <w:szCs w:val="21"/>
              </w:rPr>
              <w:t>广东省</w:t>
            </w:r>
            <w:r>
              <w:rPr>
                <w:rFonts w:hint="eastAsia"/>
                <w:szCs w:val="21"/>
              </w:rPr>
              <w:t>《家具制造行业挥发性有机化合物排放标准》（DB44/814-2010）无组织排放监控点浓度限值和《固定污染源挥发性有机物综合排放标准》（DB44/2367-2022）表</w:t>
            </w:r>
            <w:r>
              <w:rPr>
                <w:szCs w:val="21"/>
              </w:rPr>
              <w:t>3</w:t>
            </w:r>
            <w:r>
              <w:rPr>
                <w:rFonts w:hint="eastAsia"/>
                <w:bCs/>
                <w:szCs w:val="21"/>
              </w:rPr>
              <w:t>的要求</w:t>
            </w:r>
            <w:r>
              <w:rPr>
                <w:rFonts w:hAnsi="宋体"/>
                <w:bCs/>
                <w:szCs w:val="21"/>
              </w:rPr>
              <w:t>，不会对周围空气环境产生明显影响</w:t>
            </w:r>
            <w:r>
              <w:rPr>
                <w:rFonts w:hint="eastAsia" w:hAnsi="宋体"/>
                <w:bCs/>
                <w:szCs w:val="21"/>
              </w:rPr>
              <w:t>。</w:t>
            </w:r>
          </w:p>
          <w:p>
            <w:pPr>
              <w:spacing w:line="360" w:lineRule="auto"/>
              <w:ind w:firstLine="420" w:firstLineChars="200"/>
              <w:rPr>
                <w:szCs w:val="21"/>
              </w:rPr>
            </w:pPr>
            <w:r>
              <w:rPr>
                <w:rFonts w:hint="eastAsia"/>
                <w:szCs w:val="21"/>
              </w:rPr>
              <w:t>厂房</w:t>
            </w:r>
            <w:r>
              <w:rPr>
                <w:szCs w:val="21"/>
              </w:rPr>
              <w:t>B</w:t>
            </w:r>
            <w:r>
              <w:rPr>
                <w:rFonts w:hint="eastAsia"/>
                <w:szCs w:val="21"/>
              </w:rPr>
              <w:t>废气：</w:t>
            </w:r>
            <w:r>
              <w:rPr>
                <w:szCs w:val="21"/>
              </w:rPr>
              <w:t>建设单位拟在</w:t>
            </w:r>
            <w:r>
              <w:rPr>
                <w:rFonts w:hint="eastAsia"/>
                <w:szCs w:val="21"/>
              </w:rPr>
              <w:t>粘片</w:t>
            </w:r>
            <w:r>
              <w:rPr>
                <w:szCs w:val="21"/>
              </w:rPr>
              <w:t>工位设置集气罩，将</w:t>
            </w:r>
            <w:r>
              <w:rPr>
                <w:rFonts w:hint="eastAsia"/>
                <w:szCs w:val="21"/>
              </w:rPr>
              <w:t>粘片</w:t>
            </w:r>
            <w:r>
              <w:rPr>
                <w:szCs w:val="21"/>
              </w:rPr>
              <w:t>废气收集后与</w:t>
            </w:r>
            <w:r>
              <w:rPr>
                <w:rFonts w:hint="eastAsia"/>
                <w:szCs w:val="21"/>
              </w:rPr>
              <w:t>集气管</w:t>
            </w:r>
            <w:r>
              <w:rPr>
                <w:szCs w:val="21"/>
              </w:rPr>
              <w:t>收集的</w:t>
            </w:r>
            <w:r>
              <w:rPr>
                <w:rFonts w:hint="eastAsia"/>
                <w:szCs w:val="21"/>
              </w:rPr>
              <w:t>塑封固化</w:t>
            </w:r>
            <w:r>
              <w:rPr>
                <w:szCs w:val="21"/>
              </w:rPr>
              <w:t>废气一起引至“</w:t>
            </w:r>
            <w:r>
              <w:rPr>
                <w:rFonts w:hint="eastAsia"/>
                <w:szCs w:val="21"/>
              </w:rPr>
              <w:t>喷淋塔+干式</w:t>
            </w:r>
            <w:r>
              <w:rPr>
                <w:szCs w:val="21"/>
              </w:rPr>
              <w:t>除雾器</w:t>
            </w:r>
            <w:r>
              <w:rPr>
                <w:rFonts w:hint="eastAsia"/>
                <w:szCs w:val="21"/>
              </w:rPr>
              <w:t>+两级活性炭</w:t>
            </w:r>
            <w:r>
              <w:rPr>
                <w:szCs w:val="21"/>
              </w:rPr>
              <w:t>吸附装置”处理后引至楼顶经DA002排气筒高空排放，</w:t>
            </w:r>
            <w:r>
              <w:rPr>
                <w:rFonts w:hint="eastAsia"/>
                <w:szCs w:val="21"/>
              </w:rPr>
              <w:t>排放</w:t>
            </w:r>
            <w:r>
              <w:rPr>
                <w:szCs w:val="21"/>
              </w:rPr>
              <w:t>高度</w:t>
            </w:r>
            <w:r>
              <w:rPr>
                <w:rFonts w:hint="eastAsia"/>
                <w:szCs w:val="21"/>
              </w:rPr>
              <w:t>约</w:t>
            </w:r>
            <w:r>
              <w:rPr>
                <w:szCs w:val="21"/>
              </w:rPr>
              <w:t>15</w:t>
            </w:r>
            <w:r>
              <w:rPr>
                <w:rFonts w:hint="eastAsia"/>
                <w:szCs w:val="21"/>
              </w:rPr>
              <w:t>米。</w:t>
            </w:r>
            <w:r>
              <w:rPr>
                <w:rFonts w:hint="eastAsia"/>
              </w:rPr>
              <w:t>经</w:t>
            </w:r>
            <w:r>
              <w:t>处理后，项目</w:t>
            </w:r>
            <w:r>
              <w:rPr>
                <w:rFonts w:hint="eastAsia"/>
              </w:rPr>
              <w:t>DA00</w:t>
            </w:r>
            <w:r>
              <w:t>2</w:t>
            </w:r>
            <w:r>
              <w:rPr>
                <w:rFonts w:hint="eastAsia"/>
              </w:rPr>
              <w:t>排气筒</w:t>
            </w:r>
            <w:r>
              <w:rPr>
                <w:bCs/>
              </w:rPr>
              <w:t>颗粒物排放量为0.000216t/a，排放速率为0.00009kg/h，排放浓度为0.003mg/m</w:t>
            </w:r>
            <w:r>
              <w:rPr>
                <w:bCs/>
                <w:vertAlign w:val="superscript"/>
              </w:rPr>
              <w:t>3</w:t>
            </w:r>
            <w:r>
              <w:rPr>
                <w:rFonts w:hint="eastAsia"/>
                <w:bCs/>
                <w:szCs w:val="21"/>
              </w:rPr>
              <w:t>，锡及其</w:t>
            </w:r>
            <w:r>
              <w:rPr>
                <w:bCs/>
                <w:szCs w:val="21"/>
              </w:rPr>
              <w:t>化合物排放量为</w:t>
            </w:r>
            <w:r>
              <w:rPr>
                <w:bCs/>
              </w:rPr>
              <w:t>0.000198t/a，排放速率为0.000084kg/h，排放浓度为0.00284mg/m</w:t>
            </w:r>
            <w:r>
              <w:rPr>
                <w:bCs/>
                <w:vertAlign w:val="superscript"/>
              </w:rPr>
              <w:t>3</w:t>
            </w:r>
            <w:r>
              <w:rPr>
                <w:rFonts w:hint="eastAsia"/>
                <w:bCs/>
                <w:szCs w:val="21"/>
              </w:rPr>
              <w:t>，可达到广东省</w:t>
            </w:r>
            <w:r>
              <w:rPr>
                <w:bCs/>
                <w:szCs w:val="21"/>
              </w:rPr>
              <w:t>《大气污染物排放限值》（DB44/27-2001）中的第二时段二级标准</w:t>
            </w:r>
            <w:r>
              <w:rPr>
                <w:rFonts w:hint="eastAsia"/>
                <w:bCs/>
                <w:szCs w:val="21"/>
              </w:rPr>
              <w:t>的</w:t>
            </w:r>
            <w:r>
              <w:rPr>
                <w:bCs/>
                <w:szCs w:val="21"/>
              </w:rPr>
              <w:t>要求</w:t>
            </w:r>
            <w:r>
              <w:rPr>
                <w:rFonts w:hint="eastAsia"/>
                <w:bCs/>
                <w:szCs w:val="21"/>
              </w:rPr>
              <w:t>，</w:t>
            </w:r>
            <w:r>
              <w:rPr>
                <w:rFonts w:hint="eastAsia" w:hAnsi="宋体"/>
                <w:bCs/>
                <w:szCs w:val="21"/>
              </w:rPr>
              <w:t>对周边大气环境影响不大；T</w:t>
            </w:r>
            <w:r>
              <w:rPr>
                <w:rFonts w:hAnsi="宋体"/>
                <w:bCs/>
                <w:szCs w:val="21"/>
              </w:rPr>
              <w:t>VOC排放量为0.2106t/a，排放速率为0.08775kg/h，排放浓度为2.925mg/m</w:t>
            </w:r>
            <w:r>
              <w:rPr>
                <w:rFonts w:hAnsi="宋体"/>
                <w:bCs/>
                <w:szCs w:val="21"/>
                <w:vertAlign w:val="superscript"/>
              </w:rPr>
              <w:t>3</w:t>
            </w:r>
            <w:r>
              <w:rPr>
                <w:rFonts w:hint="eastAsia" w:hAnsi="宋体"/>
                <w:bCs/>
                <w:szCs w:val="21"/>
              </w:rPr>
              <w:t>，可达到广东省《固定污染源挥发性有机物综合排放标准》（DB44/2367-2022）表1的</w:t>
            </w:r>
            <w:r>
              <w:rPr>
                <w:rFonts w:hAnsi="宋体"/>
                <w:bCs/>
                <w:szCs w:val="21"/>
              </w:rPr>
              <w:t>要求</w:t>
            </w:r>
            <w:r>
              <w:rPr>
                <w:rFonts w:hint="eastAsia" w:hAnsi="宋体"/>
                <w:bCs/>
                <w:szCs w:val="21"/>
              </w:rPr>
              <w:t>，对周边大气环境影响不大。</w:t>
            </w:r>
            <w:r>
              <w:rPr>
                <w:rFonts w:hint="eastAsia"/>
                <w:szCs w:val="21"/>
              </w:rPr>
              <w:t>未收集</w:t>
            </w:r>
            <w:r>
              <w:rPr>
                <w:szCs w:val="21"/>
              </w:rPr>
              <w:t>的</w:t>
            </w:r>
            <w:r>
              <w:rPr>
                <w:rFonts w:hint="eastAsia"/>
                <w:bCs/>
              </w:rPr>
              <w:t>颗粒物无组织</w:t>
            </w:r>
            <w:r>
              <w:rPr>
                <w:bCs/>
              </w:rPr>
              <w:t>排放量为0.00024t/a，排放速率为0.0001kg/h</w:t>
            </w:r>
            <w:r>
              <w:rPr>
                <w:rFonts w:hint="eastAsia"/>
                <w:bCs/>
              </w:rPr>
              <w:t>，锡及其</w:t>
            </w:r>
            <w:r>
              <w:rPr>
                <w:bCs/>
              </w:rPr>
              <w:t>化合物</w:t>
            </w:r>
            <w:r>
              <w:rPr>
                <w:rFonts w:hint="eastAsia"/>
                <w:bCs/>
              </w:rPr>
              <w:t>物无组织</w:t>
            </w:r>
            <w:r>
              <w:rPr>
                <w:bCs/>
              </w:rPr>
              <w:t>排放量为0.00022t/a，排放速率为0.00009kg/h</w:t>
            </w:r>
            <w:r>
              <w:rPr>
                <w:rFonts w:hint="eastAsia"/>
                <w:bCs/>
              </w:rPr>
              <w:t>，</w:t>
            </w:r>
            <w:r>
              <w:rPr>
                <w:rFonts w:hAnsi="宋体"/>
                <w:bCs/>
                <w:szCs w:val="21"/>
              </w:rPr>
              <w:t>通过加强车间通风，可达到</w:t>
            </w:r>
            <w:r>
              <w:rPr>
                <w:rFonts w:hint="eastAsia"/>
                <w:bCs/>
                <w:szCs w:val="21"/>
              </w:rPr>
              <w:t>广东省</w:t>
            </w:r>
            <w:r>
              <w:rPr>
                <w:bCs/>
                <w:szCs w:val="21"/>
              </w:rPr>
              <w:t>《大气污染物排放限值》（DB44/27-2001）中的第二时段无组织排放监控浓度限值</w:t>
            </w:r>
            <w:r>
              <w:rPr>
                <w:rFonts w:hint="eastAsia"/>
                <w:bCs/>
                <w:szCs w:val="21"/>
              </w:rPr>
              <w:t>的要求</w:t>
            </w:r>
            <w:r>
              <w:rPr>
                <w:rFonts w:hAnsi="宋体"/>
                <w:bCs/>
                <w:szCs w:val="21"/>
              </w:rPr>
              <w:t>，不会对周围空气环境产生明显影响。</w:t>
            </w:r>
            <w:r>
              <w:rPr>
                <w:rFonts w:hint="eastAsia"/>
                <w:szCs w:val="21"/>
              </w:rPr>
              <w:t>未收集</w:t>
            </w:r>
            <w:r>
              <w:rPr>
                <w:szCs w:val="21"/>
              </w:rPr>
              <w:t>的</w:t>
            </w:r>
            <w:r>
              <w:rPr>
                <w:rFonts w:hint="eastAsia"/>
                <w:bCs/>
              </w:rPr>
              <w:t>T</w:t>
            </w:r>
            <w:r>
              <w:rPr>
                <w:bCs/>
              </w:rPr>
              <w:t>VOC</w:t>
            </w:r>
            <w:r>
              <w:rPr>
                <w:rFonts w:hint="eastAsia"/>
                <w:bCs/>
              </w:rPr>
              <w:t>无组织</w:t>
            </w:r>
            <w:r>
              <w:rPr>
                <w:bCs/>
              </w:rPr>
              <w:t>排放量为0.088t/a，排放速率为0.0367kg/h</w:t>
            </w:r>
            <w:r>
              <w:rPr>
                <w:rFonts w:hint="eastAsia"/>
                <w:bCs/>
              </w:rPr>
              <w:t>，</w:t>
            </w:r>
            <w:r>
              <w:rPr>
                <w:rFonts w:hAnsi="宋体"/>
                <w:bCs/>
                <w:szCs w:val="21"/>
              </w:rPr>
              <w:t>通过加强车间通风，可达到</w:t>
            </w:r>
            <w:r>
              <w:rPr>
                <w:rFonts w:hint="eastAsia"/>
                <w:bCs/>
                <w:szCs w:val="21"/>
              </w:rPr>
              <w:t>广东省</w:t>
            </w:r>
            <w:r>
              <w:rPr>
                <w:rFonts w:hint="eastAsia"/>
                <w:szCs w:val="21"/>
              </w:rPr>
              <w:t>《家具制造行业挥发性有机化合物排放标准》（DB44/814-2010）无组织排放监控点浓度限值和《固定污染源挥发性有机物综合排放标准》（DB44/2367-2022）表</w:t>
            </w:r>
            <w:r>
              <w:rPr>
                <w:szCs w:val="21"/>
              </w:rPr>
              <w:t>3</w:t>
            </w:r>
            <w:r>
              <w:rPr>
                <w:rFonts w:hint="eastAsia"/>
                <w:bCs/>
                <w:szCs w:val="21"/>
              </w:rPr>
              <w:t>的要求</w:t>
            </w:r>
            <w:r>
              <w:rPr>
                <w:rFonts w:hAnsi="宋体"/>
                <w:bCs/>
                <w:szCs w:val="21"/>
              </w:rPr>
              <w:t>，不会对周围空气环境产生明显影响</w:t>
            </w:r>
            <w:r>
              <w:rPr>
                <w:rFonts w:hint="eastAsia" w:hAnsi="宋体"/>
                <w:bCs/>
                <w:szCs w:val="21"/>
              </w:rPr>
              <w:t>。</w:t>
            </w:r>
          </w:p>
          <w:p>
            <w:pPr>
              <w:pStyle w:val="80"/>
              <w:snapToGrid w:val="0"/>
              <w:spacing w:line="360" w:lineRule="auto"/>
              <w:ind w:firstLine="420"/>
              <w:rPr>
                <w:sz w:val="21"/>
                <w:szCs w:val="21"/>
              </w:rPr>
            </w:pPr>
            <w:r>
              <w:rPr>
                <w:rFonts w:hint="eastAsia"/>
                <w:bCs/>
                <w:kern w:val="2"/>
                <w:sz w:val="21"/>
              </w:rPr>
              <w:t>综上</w:t>
            </w:r>
            <w:r>
              <w:rPr>
                <w:bCs/>
                <w:kern w:val="2"/>
                <w:sz w:val="21"/>
              </w:rPr>
              <w:t>所述，项目位于环境空气质量达标区，采取的</w:t>
            </w:r>
            <w:r>
              <w:rPr>
                <w:rFonts w:hint="eastAsia"/>
                <w:bCs/>
                <w:kern w:val="2"/>
                <w:sz w:val="21"/>
              </w:rPr>
              <w:t>废气</w:t>
            </w:r>
            <w:r>
              <w:rPr>
                <w:bCs/>
                <w:kern w:val="2"/>
                <w:sz w:val="21"/>
              </w:rPr>
              <w:t>污染防治措施可行，大气污染物排放满足相关排放标准要求，</w:t>
            </w:r>
            <w:r>
              <w:rPr>
                <w:sz w:val="21"/>
                <w:szCs w:val="21"/>
              </w:rPr>
              <w:t>对</w:t>
            </w:r>
            <w:r>
              <w:rPr>
                <w:rFonts w:hint="eastAsia"/>
                <w:sz w:val="21"/>
                <w:szCs w:val="21"/>
              </w:rPr>
              <w:t>周边</w:t>
            </w:r>
            <w:r>
              <w:rPr>
                <w:sz w:val="21"/>
                <w:szCs w:val="21"/>
              </w:rPr>
              <w:t>大气环境影响不大。</w:t>
            </w:r>
          </w:p>
          <w:p>
            <w:pPr>
              <w:snapToGrid w:val="0"/>
              <w:spacing w:line="360" w:lineRule="auto"/>
              <w:ind w:firstLine="422" w:firstLineChars="200"/>
              <w:rPr>
                <w:b/>
                <w:szCs w:val="21"/>
              </w:rPr>
            </w:pPr>
            <w:r>
              <w:rPr>
                <w:rFonts w:hint="eastAsia"/>
                <w:b/>
                <w:szCs w:val="21"/>
              </w:rPr>
              <w:t>（7）</w:t>
            </w:r>
            <w:r>
              <w:rPr>
                <w:b/>
                <w:szCs w:val="21"/>
              </w:rPr>
              <w:t>卫生防护距离</w:t>
            </w:r>
          </w:p>
          <w:p>
            <w:pPr>
              <w:autoSpaceDE w:val="0"/>
              <w:autoSpaceDN w:val="0"/>
              <w:snapToGrid w:val="0"/>
              <w:spacing w:line="360" w:lineRule="auto"/>
              <w:ind w:firstLine="422" w:firstLineChars="200"/>
              <w:rPr>
                <w:b/>
                <w:bCs/>
                <w:szCs w:val="21"/>
              </w:rPr>
            </w:pPr>
            <w:r>
              <w:rPr>
                <w:rFonts w:hint="eastAsia"/>
                <w:b/>
                <w:bCs/>
                <w:szCs w:val="21"/>
              </w:rPr>
              <w:t>①</w:t>
            </w:r>
            <w:r>
              <w:rPr>
                <w:b/>
                <w:bCs/>
                <w:szCs w:val="21"/>
              </w:rPr>
              <w:t>主要特征大气有害物质</w:t>
            </w:r>
          </w:p>
          <w:p>
            <w:pPr>
              <w:adjustRightInd w:val="0"/>
              <w:snapToGrid w:val="0"/>
              <w:spacing w:line="360" w:lineRule="auto"/>
              <w:ind w:firstLine="420" w:firstLineChars="200"/>
              <w:textAlignment w:val="baseline"/>
              <w:rPr>
                <w:bCs/>
                <w:szCs w:val="21"/>
              </w:rPr>
            </w:pPr>
            <w:r>
              <w:t>根据《大气有害物质无组织排放卫生防护距离推导技术导则》（GB/T 39499-2020），根据目标行业企业的产品产量及其原辅材料、工艺特征、中间产物、产排污特点等具体情况，考虑对人体健康损害的毒性特点，选取特征大气有害物质，本</w:t>
            </w:r>
            <w:r>
              <w:rPr>
                <w:szCs w:val="21"/>
              </w:rPr>
              <w:t>项目无组织排放的废气主要有颗粒物和</w:t>
            </w:r>
            <w:r>
              <w:rPr>
                <w:rFonts w:hint="eastAsia"/>
                <w:szCs w:val="21"/>
              </w:rPr>
              <w:t>T</w:t>
            </w:r>
            <w:r>
              <w:rPr>
                <w:szCs w:val="21"/>
              </w:rPr>
              <w:t>VOC，</w:t>
            </w:r>
            <w:r>
              <w:rPr>
                <w:rFonts w:hint="eastAsia"/>
                <w:szCs w:val="21"/>
              </w:rPr>
              <w:t>T</w:t>
            </w:r>
            <w:r>
              <w:rPr>
                <w:szCs w:val="21"/>
              </w:rPr>
              <w:t>VOC</w:t>
            </w:r>
            <w:r>
              <w:rPr>
                <w:bCs/>
                <w:szCs w:val="21"/>
              </w:rPr>
              <w:t>的环境标准限值参照执行</w:t>
            </w:r>
            <w:r>
              <w:t>《环境影响评价技术导则－大气环境》（HJ2.2-2018）附录D“表D.1其他污染物空气质量浓度参考限值”</w:t>
            </w:r>
            <w:r>
              <w:rPr>
                <w:rFonts w:hint="eastAsia"/>
              </w:rPr>
              <w:t>中</w:t>
            </w:r>
            <w:r>
              <w:t>8</w:t>
            </w:r>
            <w:r>
              <w:rPr>
                <w:rFonts w:hint="eastAsia"/>
              </w:rPr>
              <w:t>小时</w:t>
            </w:r>
            <w:r>
              <w:t>均值的</w:t>
            </w:r>
            <w:r>
              <w:rPr>
                <w:rFonts w:hint="eastAsia"/>
              </w:rPr>
              <w:t>2倍</w:t>
            </w:r>
            <w:r>
              <w:rPr>
                <w:rFonts w:hint="eastAsia"/>
                <w:bCs/>
                <w:szCs w:val="21"/>
              </w:rPr>
              <w:t>：1.2</w:t>
            </w:r>
            <w:r>
              <w:rPr>
                <w:bCs/>
                <w:szCs w:val="21"/>
              </w:rPr>
              <w:t xml:space="preserve"> </w:t>
            </w:r>
            <w:r>
              <w:rPr>
                <w:rFonts w:hint="eastAsia"/>
                <w:bCs/>
                <w:szCs w:val="21"/>
              </w:rPr>
              <w:t>mg/</w:t>
            </w:r>
            <w:r>
              <w:rPr>
                <w:bCs/>
                <w:szCs w:val="21"/>
              </w:rPr>
              <w:t>m</w:t>
            </w:r>
            <w:r>
              <w:rPr>
                <w:bCs/>
                <w:szCs w:val="21"/>
                <w:vertAlign w:val="superscript"/>
              </w:rPr>
              <w:t>3</w:t>
            </w:r>
            <w:r>
              <w:rPr>
                <w:bCs/>
                <w:szCs w:val="21"/>
              </w:rPr>
              <w:t>，TSP的环境标准限值取《环境空气质量标准》（GB3095-2012）及其2018年修改单的二级标准中TSP 24小时均值的3倍</w:t>
            </w:r>
            <w:r>
              <w:rPr>
                <w:rFonts w:hint="eastAsia"/>
                <w:bCs/>
                <w:szCs w:val="21"/>
              </w:rPr>
              <w:t>：0.9 mg/</w:t>
            </w:r>
            <w:r>
              <w:rPr>
                <w:bCs/>
                <w:szCs w:val="21"/>
              </w:rPr>
              <w:t>m</w:t>
            </w:r>
            <w:r>
              <w:rPr>
                <w:bCs/>
                <w:szCs w:val="21"/>
                <w:vertAlign w:val="superscript"/>
              </w:rPr>
              <w:t>3</w:t>
            </w:r>
            <w:r>
              <w:rPr>
                <w:rFonts w:hint="eastAsia"/>
                <w:bCs/>
                <w:szCs w:val="21"/>
              </w:rPr>
              <w:t>，</w:t>
            </w:r>
            <w:r>
              <w:rPr>
                <w:bCs/>
                <w:szCs w:val="21"/>
              </w:rPr>
              <w:t>本项目</w:t>
            </w:r>
            <w:r>
              <w:rPr>
                <w:rFonts w:hint="eastAsia"/>
                <w:bCs/>
                <w:szCs w:val="21"/>
              </w:rPr>
              <w:t>共有</w:t>
            </w:r>
            <w:r>
              <w:rPr>
                <w:bCs/>
                <w:szCs w:val="21"/>
              </w:rPr>
              <w:t>厂房</w:t>
            </w:r>
            <w:r>
              <w:rPr>
                <w:rFonts w:hint="eastAsia"/>
                <w:bCs/>
                <w:szCs w:val="21"/>
              </w:rPr>
              <w:t>A和</w:t>
            </w:r>
            <w:r>
              <w:rPr>
                <w:bCs/>
                <w:szCs w:val="21"/>
              </w:rPr>
              <w:t>厂房</w:t>
            </w:r>
            <w:r>
              <w:rPr>
                <w:rFonts w:hint="eastAsia"/>
                <w:bCs/>
                <w:szCs w:val="21"/>
              </w:rPr>
              <w:t>B两个</w:t>
            </w:r>
            <w:r>
              <w:rPr>
                <w:bCs/>
                <w:szCs w:val="21"/>
              </w:rPr>
              <w:t>无组织排放</w:t>
            </w:r>
            <w:r>
              <w:rPr>
                <w:rFonts w:hint="eastAsia"/>
                <w:bCs/>
                <w:szCs w:val="21"/>
              </w:rPr>
              <w:t>单元</w:t>
            </w:r>
            <w:r>
              <w:rPr>
                <w:bCs/>
                <w:szCs w:val="21"/>
              </w:rPr>
              <w:t>，各污染物等标排放量如下表所示。</w:t>
            </w:r>
          </w:p>
          <w:p>
            <w:pPr>
              <w:numPr>
                <w:ilvl w:val="0"/>
                <w:numId w:val="5"/>
              </w:numPr>
              <w:adjustRightInd w:val="0"/>
              <w:snapToGrid w:val="0"/>
              <w:spacing w:line="360" w:lineRule="auto"/>
              <w:ind w:left="0"/>
              <w:jc w:val="center"/>
              <w:rPr>
                <w:b/>
                <w:bCs/>
                <w:szCs w:val="21"/>
              </w:rPr>
            </w:pPr>
            <w:r>
              <w:rPr>
                <w:b/>
                <w:bCs/>
                <w:szCs w:val="21"/>
              </w:rPr>
              <w:t>项目主要污染物等标排放量表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7"/>
              <w:gridCol w:w="1197"/>
              <w:gridCol w:w="1035"/>
              <w:gridCol w:w="1252"/>
              <w:gridCol w:w="1242"/>
              <w:gridCol w:w="1015"/>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1" w:type="pct"/>
                  <w:vAlign w:val="center"/>
                </w:tcPr>
                <w:p>
                  <w:pPr>
                    <w:pStyle w:val="100"/>
                    <w:adjustRightInd w:val="0"/>
                    <w:snapToGrid w:val="0"/>
                    <w:jc w:val="center"/>
                    <w:rPr>
                      <w:rFonts w:ascii="Times New Roman" w:hAnsi="Times New Roman" w:cs="Times New Roman"/>
                      <w:b/>
                      <w:bCs/>
                      <w:lang w:val="en-US"/>
                    </w:rPr>
                  </w:pPr>
                  <w:r>
                    <w:rPr>
                      <w:rFonts w:hint="eastAsia" w:ascii="Times New Roman" w:hAnsi="Times New Roman" w:cs="Times New Roman"/>
                      <w:b/>
                      <w:bCs/>
                      <w:lang w:val="en-US"/>
                    </w:rPr>
                    <w:t>无组织</w:t>
                  </w:r>
                  <w:r>
                    <w:rPr>
                      <w:rFonts w:ascii="Times New Roman" w:hAnsi="Times New Roman" w:cs="Times New Roman"/>
                      <w:b/>
                      <w:bCs/>
                      <w:lang w:val="en-US"/>
                    </w:rPr>
                    <w:t>排放单元</w:t>
                  </w:r>
                </w:p>
              </w:tc>
              <w:tc>
                <w:tcPr>
                  <w:tcW w:w="711" w:type="pct"/>
                  <w:vAlign w:val="center"/>
                </w:tcPr>
                <w:p>
                  <w:pPr>
                    <w:pStyle w:val="100"/>
                    <w:adjustRightInd w:val="0"/>
                    <w:snapToGrid w:val="0"/>
                    <w:jc w:val="center"/>
                    <w:rPr>
                      <w:rFonts w:ascii="Times New Roman" w:hAnsi="Times New Roman" w:cs="Times New Roman"/>
                      <w:b/>
                      <w:bCs/>
                    </w:rPr>
                  </w:pPr>
                  <w:r>
                    <w:rPr>
                      <w:rFonts w:ascii="Times New Roman" w:hAnsi="Times New Roman" w:cs="Times New Roman"/>
                      <w:b/>
                      <w:bCs/>
                      <w:lang w:val="en-US"/>
                    </w:rPr>
                    <w:t>污染物</w:t>
                  </w:r>
                </w:p>
              </w:tc>
              <w:tc>
                <w:tcPr>
                  <w:tcW w:w="615" w:type="pct"/>
                  <w:vAlign w:val="center"/>
                </w:tcPr>
                <w:p>
                  <w:pPr>
                    <w:pStyle w:val="100"/>
                    <w:adjustRightInd w:val="0"/>
                    <w:snapToGrid w:val="0"/>
                    <w:jc w:val="center"/>
                    <w:rPr>
                      <w:rFonts w:ascii="Times New Roman" w:hAnsi="Times New Roman" w:cs="Times New Roman"/>
                      <w:b/>
                      <w:bCs/>
                    </w:rPr>
                  </w:pPr>
                  <w:r>
                    <w:rPr>
                      <w:rFonts w:ascii="Times New Roman" w:hAnsi="Times New Roman" w:cs="Times New Roman"/>
                      <w:b/>
                      <w:bCs/>
                      <w:lang w:val="en-US"/>
                    </w:rPr>
                    <w:t>无组织排放量</w:t>
                  </w:r>
                  <w:r>
                    <w:rPr>
                      <w:rFonts w:ascii="Times New Roman" w:hAnsi="Times New Roman" w:cs="Times New Roman"/>
                      <w:b/>
                      <w:bCs/>
                    </w:rPr>
                    <w:t>Qc（kg/h）</w:t>
                  </w:r>
                </w:p>
              </w:tc>
              <w:tc>
                <w:tcPr>
                  <w:tcW w:w="744" w:type="pct"/>
                  <w:vAlign w:val="center"/>
                </w:tcPr>
                <w:p>
                  <w:pPr>
                    <w:pStyle w:val="100"/>
                    <w:adjustRightInd w:val="0"/>
                    <w:snapToGrid w:val="0"/>
                    <w:jc w:val="center"/>
                    <w:rPr>
                      <w:rFonts w:ascii="Times New Roman" w:hAnsi="Times New Roman" w:cs="Times New Roman"/>
                      <w:b/>
                      <w:bCs/>
                    </w:rPr>
                  </w:pPr>
                  <w:r>
                    <w:rPr>
                      <w:rFonts w:ascii="Times New Roman" w:hAnsi="Times New Roman" w:cs="Times New Roman"/>
                      <w:b/>
                      <w:bCs/>
                      <w:lang w:val="en-US"/>
                    </w:rPr>
                    <w:t>标准限值</w:t>
                  </w:r>
                  <w:r>
                    <w:rPr>
                      <w:rFonts w:ascii="Times New Roman" w:hAnsi="Times New Roman" w:cs="Times New Roman"/>
                      <w:b/>
                      <w:bCs/>
                    </w:rPr>
                    <w:t>Cm</w:t>
                  </w:r>
                </w:p>
                <w:p>
                  <w:pPr>
                    <w:pStyle w:val="100"/>
                    <w:adjustRightInd w:val="0"/>
                    <w:snapToGrid w:val="0"/>
                    <w:jc w:val="center"/>
                    <w:rPr>
                      <w:rFonts w:ascii="Times New Roman" w:hAnsi="Times New Roman" w:cs="Times New Roman"/>
                      <w:b/>
                      <w:bCs/>
                      <w:lang w:val="en-US"/>
                    </w:rPr>
                  </w:pPr>
                  <w:r>
                    <w:rPr>
                      <w:rFonts w:ascii="Times New Roman" w:hAnsi="Times New Roman" w:cs="Times New Roman"/>
                      <w:b/>
                      <w:bCs/>
                    </w:rPr>
                    <w:t>（mg/m³）</w:t>
                  </w:r>
                </w:p>
              </w:tc>
              <w:tc>
                <w:tcPr>
                  <w:tcW w:w="738" w:type="pct"/>
                  <w:vAlign w:val="center"/>
                </w:tcPr>
                <w:p>
                  <w:pPr>
                    <w:pStyle w:val="100"/>
                    <w:adjustRightInd w:val="0"/>
                    <w:snapToGrid w:val="0"/>
                    <w:jc w:val="center"/>
                    <w:rPr>
                      <w:rFonts w:ascii="Times New Roman" w:hAnsi="Times New Roman" w:cs="Times New Roman"/>
                      <w:b/>
                      <w:bCs/>
                    </w:rPr>
                  </w:pPr>
                  <w:r>
                    <w:rPr>
                      <w:rFonts w:ascii="Times New Roman" w:hAnsi="Times New Roman" w:cs="Times New Roman"/>
                      <w:b/>
                      <w:bCs/>
                      <w:lang w:val="en-US"/>
                    </w:rPr>
                    <w:t>等标排放量</w:t>
                  </w:r>
                  <w:r>
                    <w:rPr>
                      <w:rFonts w:ascii="Times New Roman" w:hAnsi="Times New Roman" w:cs="Times New Roman"/>
                      <w:b/>
                      <w:bCs/>
                    </w:rPr>
                    <w:t>Qc</w:t>
                  </w:r>
                  <w:r>
                    <w:rPr>
                      <w:rFonts w:ascii="Times New Roman" w:hAnsi="Times New Roman" w:cs="Times New Roman"/>
                      <w:b/>
                      <w:bCs/>
                      <w:lang w:val="en-US"/>
                    </w:rPr>
                    <w:t>/</w:t>
                  </w:r>
                  <w:r>
                    <w:rPr>
                      <w:rFonts w:ascii="Times New Roman" w:hAnsi="Times New Roman" w:cs="Times New Roman"/>
                      <w:b/>
                      <w:bCs/>
                    </w:rPr>
                    <w:t>Cm</w:t>
                  </w:r>
                </w:p>
                <w:p>
                  <w:pPr>
                    <w:pStyle w:val="100"/>
                    <w:adjustRightInd w:val="0"/>
                    <w:snapToGrid w:val="0"/>
                    <w:jc w:val="center"/>
                    <w:rPr>
                      <w:rFonts w:ascii="Times New Roman" w:hAnsi="Times New Roman" w:cs="Times New Roman"/>
                      <w:b/>
                      <w:bCs/>
                    </w:rPr>
                  </w:pPr>
                  <w:r>
                    <w:rPr>
                      <w:rFonts w:ascii="Times New Roman" w:hAnsi="Times New Roman" w:cs="Times New Roman"/>
                      <w:b/>
                      <w:bCs/>
                    </w:rPr>
                    <w:t>（m³/ h）</w:t>
                  </w:r>
                </w:p>
              </w:tc>
              <w:tc>
                <w:tcPr>
                  <w:tcW w:w="603" w:type="pct"/>
                  <w:vAlign w:val="center"/>
                </w:tcPr>
                <w:p>
                  <w:pPr>
                    <w:pStyle w:val="100"/>
                    <w:adjustRightInd w:val="0"/>
                    <w:snapToGrid w:val="0"/>
                    <w:jc w:val="center"/>
                    <w:rPr>
                      <w:rFonts w:ascii="Times New Roman" w:hAnsi="Times New Roman" w:cs="Times New Roman"/>
                      <w:b/>
                      <w:bCs/>
                      <w:lang w:val="en-US"/>
                    </w:rPr>
                  </w:pPr>
                  <w:r>
                    <w:rPr>
                      <w:rFonts w:ascii="Times New Roman" w:hAnsi="Times New Roman" w:cs="Times New Roman"/>
                      <w:b/>
                      <w:bCs/>
                      <w:lang w:val="en-US"/>
                    </w:rPr>
                    <w:t>等标排</w:t>
                  </w:r>
                  <w:r>
                    <w:rPr>
                      <w:rFonts w:hint="eastAsia" w:ascii="Times New Roman" w:hAnsi="Times New Roman" w:cs="Times New Roman"/>
                      <w:b/>
                      <w:bCs/>
                      <w:lang w:val="en-US"/>
                    </w:rPr>
                    <w:t xml:space="preserve"> </w:t>
                  </w:r>
                  <w:r>
                    <w:rPr>
                      <w:rFonts w:ascii="Times New Roman" w:hAnsi="Times New Roman" w:cs="Times New Roman"/>
                      <w:b/>
                      <w:bCs/>
                      <w:lang w:val="en-US"/>
                    </w:rPr>
                    <w:t xml:space="preserve">                          放量差值</w:t>
                  </w:r>
                </w:p>
              </w:tc>
              <w:tc>
                <w:tcPr>
                  <w:tcW w:w="878" w:type="pct"/>
                  <w:vAlign w:val="center"/>
                </w:tcPr>
                <w:p>
                  <w:pPr>
                    <w:pStyle w:val="100"/>
                    <w:adjustRightInd w:val="0"/>
                    <w:snapToGrid w:val="0"/>
                    <w:jc w:val="center"/>
                    <w:rPr>
                      <w:rFonts w:ascii="Times New Roman" w:hAnsi="Times New Roman" w:cs="Times New Roman"/>
                      <w:b/>
                      <w:bCs/>
                      <w:lang w:val="en-US"/>
                    </w:rPr>
                  </w:pPr>
                  <w:r>
                    <w:rPr>
                      <w:rFonts w:ascii="Times New Roman" w:hAnsi="Times New Roman" w:cs="Times New Roman"/>
                      <w:b/>
                      <w:bCs/>
                      <w:lang w:val="en-US"/>
                    </w:rPr>
                    <w:t>主要特征大气有害物质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1" w:type="pct"/>
                  <w:vMerge w:val="restart"/>
                  <w:vAlign w:val="center"/>
                </w:tcPr>
                <w:p>
                  <w:pPr>
                    <w:pStyle w:val="100"/>
                    <w:adjustRightInd w:val="0"/>
                    <w:snapToGrid w:val="0"/>
                    <w:jc w:val="center"/>
                    <w:rPr>
                      <w:rFonts w:ascii="Times New Roman" w:hAnsi="Times New Roman" w:cs="Times New Roman"/>
                      <w:lang w:val="en-US"/>
                    </w:rPr>
                  </w:pPr>
                  <w:r>
                    <w:rPr>
                      <w:rFonts w:hint="eastAsia" w:ascii="Times New Roman" w:hAnsi="Times New Roman" w:cs="Times New Roman"/>
                      <w:lang w:val="en-US"/>
                    </w:rPr>
                    <w:t>厂房A</w:t>
                  </w:r>
                </w:p>
              </w:tc>
              <w:tc>
                <w:tcPr>
                  <w:tcW w:w="711" w:type="pct"/>
                  <w:vAlign w:val="center"/>
                </w:tcPr>
                <w:p>
                  <w:pPr>
                    <w:pStyle w:val="100"/>
                    <w:adjustRightInd w:val="0"/>
                    <w:snapToGrid w:val="0"/>
                    <w:jc w:val="center"/>
                    <w:rPr>
                      <w:rFonts w:ascii="Times New Roman" w:hAnsi="Times New Roman" w:cs="Times New Roman"/>
                      <w:lang w:val="en-US"/>
                    </w:rPr>
                  </w:pPr>
                  <w:r>
                    <w:rPr>
                      <w:rFonts w:hint="eastAsia" w:ascii="Times New Roman" w:hAnsi="Times New Roman" w:cs="Times New Roman"/>
                      <w:lang w:val="en-US"/>
                    </w:rPr>
                    <w:t>T</w:t>
                  </w:r>
                  <w:r>
                    <w:rPr>
                      <w:rFonts w:ascii="Times New Roman" w:hAnsi="Times New Roman" w:cs="Times New Roman"/>
                      <w:lang w:val="en-US"/>
                    </w:rPr>
                    <w:t>VOC</w:t>
                  </w:r>
                </w:p>
              </w:tc>
              <w:tc>
                <w:tcPr>
                  <w:tcW w:w="615" w:type="pct"/>
                  <w:vAlign w:val="center"/>
                </w:tcPr>
                <w:p>
                  <w:pPr>
                    <w:pStyle w:val="100"/>
                    <w:adjustRightInd w:val="0"/>
                    <w:snapToGrid w:val="0"/>
                    <w:jc w:val="center"/>
                    <w:rPr>
                      <w:rFonts w:ascii="Times New Roman" w:hAnsi="Times New Roman" w:cs="Times New Roman"/>
                      <w:lang w:val="en-US"/>
                    </w:rPr>
                  </w:pPr>
                  <w:r>
                    <w:rPr>
                      <w:rFonts w:ascii="Times New Roman" w:hAnsi="Times New Roman" w:cs="Times New Roman"/>
                      <w:lang w:val="en-US"/>
                    </w:rPr>
                    <w:t>0.03671</w:t>
                  </w:r>
                </w:p>
              </w:tc>
              <w:tc>
                <w:tcPr>
                  <w:tcW w:w="744" w:type="pct"/>
                  <w:vAlign w:val="center"/>
                </w:tcPr>
                <w:p>
                  <w:pPr>
                    <w:pStyle w:val="100"/>
                    <w:adjustRightInd w:val="0"/>
                    <w:snapToGrid w:val="0"/>
                    <w:jc w:val="center"/>
                    <w:rPr>
                      <w:rFonts w:ascii="Times New Roman" w:hAnsi="Times New Roman" w:cs="Times New Roman"/>
                      <w:lang w:val="en-US"/>
                    </w:rPr>
                  </w:pPr>
                  <w:r>
                    <w:rPr>
                      <w:rFonts w:ascii="Times New Roman" w:hAnsi="Times New Roman" w:cs="Times New Roman"/>
                      <w:lang w:val="en-US"/>
                    </w:rPr>
                    <w:t>1.2</w:t>
                  </w:r>
                </w:p>
              </w:tc>
              <w:tc>
                <w:tcPr>
                  <w:tcW w:w="738" w:type="pct"/>
                  <w:vAlign w:val="center"/>
                </w:tcPr>
                <w:p>
                  <w:pPr>
                    <w:pStyle w:val="100"/>
                    <w:adjustRightInd w:val="0"/>
                    <w:snapToGrid w:val="0"/>
                    <w:jc w:val="center"/>
                    <w:rPr>
                      <w:rFonts w:ascii="Times New Roman" w:hAnsi="Times New Roman" w:cs="Times New Roman"/>
                      <w:lang w:val="en-US"/>
                    </w:rPr>
                  </w:pPr>
                  <w:r>
                    <w:rPr>
                      <w:rFonts w:ascii="Times New Roman" w:hAnsi="Times New Roman" w:cs="Times New Roman"/>
                      <w:lang w:val="en-US"/>
                    </w:rPr>
                    <w:t>30583.3</w:t>
                  </w:r>
                </w:p>
              </w:tc>
              <w:tc>
                <w:tcPr>
                  <w:tcW w:w="603" w:type="pct"/>
                  <w:vMerge w:val="restart"/>
                  <w:vAlign w:val="center"/>
                </w:tcPr>
                <w:p>
                  <w:pPr>
                    <w:pStyle w:val="100"/>
                    <w:adjustRightInd w:val="0"/>
                    <w:snapToGrid w:val="0"/>
                    <w:jc w:val="center"/>
                    <w:rPr>
                      <w:rFonts w:ascii="Times New Roman" w:hAnsi="Times New Roman" w:cs="Times New Roman"/>
                      <w:lang w:val="en-US"/>
                    </w:rPr>
                  </w:pPr>
                  <w:r>
                    <w:rPr>
                      <w:rFonts w:ascii="Times New Roman" w:hAnsi="Times New Roman" w:cs="Times New Roman"/>
                      <w:lang w:val="en-US"/>
                    </w:rPr>
                    <w:t>&gt;10%</w:t>
                  </w:r>
                </w:p>
              </w:tc>
              <w:tc>
                <w:tcPr>
                  <w:tcW w:w="878" w:type="pct"/>
                  <w:vMerge w:val="restart"/>
                  <w:vAlign w:val="center"/>
                </w:tcPr>
                <w:p>
                  <w:pPr>
                    <w:pStyle w:val="100"/>
                    <w:adjustRightInd w:val="0"/>
                    <w:snapToGrid w:val="0"/>
                    <w:jc w:val="center"/>
                    <w:rPr>
                      <w:rFonts w:ascii="Times New Roman" w:hAnsi="Times New Roman" w:cs="Times New Roman"/>
                      <w:lang w:val="en-US"/>
                    </w:rPr>
                  </w:pPr>
                  <w:r>
                    <w:rPr>
                      <w:rFonts w:hint="eastAsia" w:ascii="Times New Roman" w:hAnsi="Times New Roman" w:cs="Times New Roman"/>
                      <w:lang w:val="en-US"/>
                    </w:rPr>
                    <w:t>T</w:t>
                  </w:r>
                  <w:r>
                    <w:rPr>
                      <w:rFonts w:ascii="Times New Roman" w:hAnsi="Times New Roman" w:cs="Times New Roman"/>
                      <w:lang w:val="en-US"/>
                    </w:rPr>
                    <w:t>VOC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1" w:type="pct"/>
                  <w:vMerge w:val="continue"/>
                  <w:vAlign w:val="center"/>
                </w:tcPr>
                <w:p>
                  <w:pPr>
                    <w:pStyle w:val="100"/>
                    <w:adjustRightInd w:val="0"/>
                    <w:snapToGrid w:val="0"/>
                    <w:jc w:val="center"/>
                    <w:rPr>
                      <w:rFonts w:ascii="Times New Roman" w:hAnsi="Times New Roman" w:cs="Times New Roman"/>
                      <w:lang w:val="en-US"/>
                    </w:rPr>
                  </w:pPr>
                </w:p>
              </w:tc>
              <w:tc>
                <w:tcPr>
                  <w:tcW w:w="711" w:type="pct"/>
                  <w:vAlign w:val="center"/>
                </w:tcPr>
                <w:p>
                  <w:pPr>
                    <w:pStyle w:val="100"/>
                    <w:adjustRightInd w:val="0"/>
                    <w:snapToGrid w:val="0"/>
                    <w:jc w:val="center"/>
                    <w:rPr>
                      <w:rFonts w:ascii="Times New Roman" w:hAnsi="Times New Roman" w:cs="Times New Roman"/>
                      <w:lang w:val="en-US"/>
                    </w:rPr>
                  </w:pPr>
                  <w:r>
                    <w:rPr>
                      <w:rFonts w:ascii="Times New Roman" w:hAnsi="Times New Roman" w:cs="Times New Roman"/>
                      <w:lang w:val="en-US"/>
                    </w:rPr>
                    <w:t>TSP</w:t>
                  </w:r>
                </w:p>
              </w:tc>
              <w:tc>
                <w:tcPr>
                  <w:tcW w:w="615" w:type="pct"/>
                  <w:vAlign w:val="center"/>
                </w:tcPr>
                <w:p>
                  <w:pPr>
                    <w:pStyle w:val="100"/>
                    <w:adjustRightInd w:val="0"/>
                    <w:snapToGrid w:val="0"/>
                    <w:jc w:val="center"/>
                    <w:rPr>
                      <w:rFonts w:ascii="Times New Roman" w:hAnsi="Times New Roman" w:cs="Times New Roman"/>
                      <w:lang w:val="en-US"/>
                    </w:rPr>
                  </w:pPr>
                  <w:r>
                    <w:rPr>
                      <w:rFonts w:ascii="Times New Roman" w:hAnsi="Times New Roman" w:cs="Times New Roman"/>
                      <w:lang w:val="en-US"/>
                    </w:rPr>
                    <w:t>0.0001</w:t>
                  </w:r>
                </w:p>
              </w:tc>
              <w:tc>
                <w:tcPr>
                  <w:tcW w:w="744" w:type="pct"/>
                  <w:vAlign w:val="center"/>
                </w:tcPr>
                <w:p>
                  <w:pPr>
                    <w:pStyle w:val="100"/>
                    <w:adjustRightInd w:val="0"/>
                    <w:snapToGrid w:val="0"/>
                    <w:jc w:val="center"/>
                    <w:rPr>
                      <w:rFonts w:ascii="Times New Roman" w:hAnsi="Times New Roman" w:cs="Times New Roman"/>
                      <w:lang w:val="en-US"/>
                    </w:rPr>
                  </w:pPr>
                  <w:r>
                    <w:rPr>
                      <w:rFonts w:ascii="Times New Roman" w:hAnsi="Times New Roman" w:cs="Times New Roman"/>
                      <w:lang w:val="en-US"/>
                    </w:rPr>
                    <w:t>0.9</w:t>
                  </w:r>
                </w:p>
              </w:tc>
              <w:tc>
                <w:tcPr>
                  <w:tcW w:w="738" w:type="pct"/>
                  <w:vAlign w:val="center"/>
                </w:tcPr>
                <w:p>
                  <w:pPr>
                    <w:pStyle w:val="100"/>
                    <w:adjustRightInd w:val="0"/>
                    <w:snapToGrid w:val="0"/>
                    <w:jc w:val="center"/>
                    <w:rPr>
                      <w:rFonts w:ascii="Times New Roman" w:hAnsi="Times New Roman" w:cs="Times New Roman"/>
                      <w:lang w:val="en-US"/>
                    </w:rPr>
                  </w:pPr>
                  <w:r>
                    <w:rPr>
                      <w:rFonts w:ascii="Times New Roman" w:hAnsi="Times New Roman" w:cs="Times New Roman"/>
                      <w:lang w:val="en-US"/>
                    </w:rPr>
                    <w:t>111.11</w:t>
                  </w:r>
                </w:p>
              </w:tc>
              <w:tc>
                <w:tcPr>
                  <w:tcW w:w="603" w:type="pct"/>
                  <w:vMerge w:val="continue"/>
                  <w:vAlign w:val="center"/>
                </w:tcPr>
                <w:p>
                  <w:pPr>
                    <w:pStyle w:val="100"/>
                    <w:adjustRightInd w:val="0"/>
                    <w:snapToGrid w:val="0"/>
                    <w:jc w:val="center"/>
                    <w:rPr>
                      <w:rFonts w:ascii="Times New Roman" w:hAnsi="Times New Roman" w:cs="Times New Roman"/>
                      <w:lang w:val="en-US"/>
                    </w:rPr>
                  </w:pPr>
                </w:p>
              </w:tc>
              <w:tc>
                <w:tcPr>
                  <w:tcW w:w="878" w:type="pct"/>
                  <w:vMerge w:val="continue"/>
                  <w:vAlign w:val="center"/>
                </w:tcPr>
                <w:p>
                  <w:pPr>
                    <w:pStyle w:val="100"/>
                    <w:adjustRightInd w:val="0"/>
                    <w:snapToGrid w:val="0"/>
                    <w:jc w:val="center"/>
                    <w:rPr>
                      <w:rFonts w:ascii="Times New Roman" w:hAnsi="Times New Roman" w:cs="Times New Roman"/>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1" w:type="pct"/>
                  <w:vMerge w:val="restart"/>
                  <w:vAlign w:val="center"/>
                </w:tcPr>
                <w:p>
                  <w:pPr>
                    <w:pStyle w:val="100"/>
                    <w:adjustRightInd w:val="0"/>
                    <w:snapToGrid w:val="0"/>
                    <w:jc w:val="center"/>
                    <w:rPr>
                      <w:rFonts w:ascii="Times New Roman" w:hAnsi="Times New Roman" w:cs="Times New Roman"/>
                      <w:lang w:val="en-US"/>
                    </w:rPr>
                  </w:pPr>
                  <w:r>
                    <w:rPr>
                      <w:rFonts w:hint="eastAsia" w:ascii="Times New Roman" w:hAnsi="Times New Roman" w:cs="Times New Roman"/>
                      <w:lang w:val="en-US"/>
                    </w:rPr>
                    <w:t>厂房B</w:t>
                  </w:r>
                </w:p>
              </w:tc>
              <w:tc>
                <w:tcPr>
                  <w:tcW w:w="711" w:type="pct"/>
                  <w:vAlign w:val="center"/>
                </w:tcPr>
                <w:p>
                  <w:pPr>
                    <w:pStyle w:val="100"/>
                    <w:adjustRightInd w:val="0"/>
                    <w:snapToGrid w:val="0"/>
                    <w:jc w:val="center"/>
                    <w:rPr>
                      <w:rFonts w:ascii="Times New Roman" w:hAnsi="Times New Roman" w:cs="Times New Roman"/>
                      <w:lang w:val="en-US"/>
                    </w:rPr>
                  </w:pPr>
                  <w:r>
                    <w:rPr>
                      <w:rFonts w:hint="eastAsia" w:ascii="Times New Roman" w:hAnsi="Times New Roman" w:cs="Times New Roman"/>
                      <w:lang w:val="en-US"/>
                    </w:rPr>
                    <w:t>T</w:t>
                  </w:r>
                  <w:r>
                    <w:rPr>
                      <w:rFonts w:ascii="Times New Roman" w:hAnsi="Times New Roman" w:cs="Times New Roman"/>
                      <w:lang w:val="en-US"/>
                    </w:rPr>
                    <w:t>VOC</w:t>
                  </w:r>
                </w:p>
              </w:tc>
              <w:tc>
                <w:tcPr>
                  <w:tcW w:w="615" w:type="pct"/>
                  <w:vAlign w:val="center"/>
                </w:tcPr>
                <w:p>
                  <w:pPr>
                    <w:pStyle w:val="100"/>
                    <w:adjustRightInd w:val="0"/>
                    <w:snapToGrid w:val="0"/>
                    <w:jc w:val="center"/>
                    <w:rPr>
                      <w:rFonts w:ascii="Times New Roman" w:hAnsi="Times New Roman" w:cs="Times New Roman"/>
                      <w:lang w:val="en-US"/>
                    </w:rPr>
                  </w:pPr>
                  <w:r>
                    <w:rPr>
                      <w:rFonts w:hint="eastAsia" w:ascii="Times New Roman" w:hAnsi="Times New Roman" w:cs="Times New Roman"/>
                      <w:lang w:val="en-US"/>
                    </w:rPr>
                    <w:t>0.0367</w:t>
                  </w:r>
                </w:p>
              </w:tc>
              <w:tc>
                <w:tcPr>
                  <w:tcW w:w="744" w:type="pct"/>
                  <w:vAlign w:val="center"/>
                </w:tcPr>
                <w:p>
                  <w:pPr>
                    <w:pStyle w:val="100"/>
                    <w:adjustRightInd w:val="0"/>
                    <w:snapToGrid w:val="0"/>
                    <w:jc w:val="center"/>
                    <w:rPr>
                      <w:rFonts w:ascii="Times New Roman" w:hAnsi="Times New Roman" w:cs="Times New Roman"/>
                      <w:lang w:val="en-US"/>
                    </w:rPr>
                  </w:pPr>
                  <w:r>
                    <w:rPr>
                      <w:rFonts w:hint="eastAsia" w:ascii="Times New Roman" w:hAnsi="Times New Roman" w:cs="Times New Roman"/>
                      <w:lang w:val="en-US"/>
                    </w:rPr>
                    <w:t>1.2</w:t>
                  </w:r>
                </w:p>
              </w:tc>
              <w:tc>
                <w:tcPr>
                  <w:tcW w:w="738" w:type="pct"/>
                  <w:vAlign w:val="center"/>
                </w:tcPr>
                <w:p>
                  <w:pPr>
                    <w:pStyle w:val="100"/>
                    <w:adjustRightInd w:val="0"/>
                    <w:snapToGrid w:val="0"/>
                    <w:jc w:val="center"/>
                    <w:rPr>
                      <w:rFonts w:ascii="Times New Roman" w:hAnsi="Times New Roman" w:cs="Times New Roman"/>
                      <w:lang w:val="en-US"/>
                    </w:rPr>
                  </w:pPr>
                  <w:r>
                    <w:rPr>
                      <w:rFonts w:ascii="Times New Roman" w:hAnsi="Times New Roman" w:cs="Times New Roman"/>
                      <w:lang w:val="en-US"/>
                    </w:rPr>
                    <w:t>30583.3</w:t>
                  </w:r>
                </w:p>
              </w:tc>
              <w:tc>
                <w:tcPr>
                  <w:tcW w:w="603" w:type="pct"/>
                  <w:vMerge w:val="restart"/>
                  <w:vAlign w:val="center"/>
                </w:tcPr>
                <w:p>
                  <w:pPr>
                    <w:pStyle w:val="100"/>
                    <w:adjustRightInd w:val="0"/>
                    <w:snapToGrid w:val="0"/>
                    <w:jc w:val="center"/>
                    <w:rPr>
                      <w:rFonts w:ascii="Times New Roman" w:hAnsi="Times New Roman" w:cs="Times New Roman"/>
                      <w:lang w:val="en-US"/>
                    </w:rPr>
                  </w:pPr>
                  <w:r>
                    <w:rPr>
                      <w:rFonts w:ascii="Times New Roman" w:hAnsi="Times New Roman" w:cs="Times New Roman"/>
                      <w:lang w:val="en-US"/>
                    </w:rPr>
                    <w:t>&gt;10%</w:t>
                  </w:r>
                </w:p>
              </w:tc>
              <w:tc>
                <w:tcPr>
                  <w:tcW w:w="878" w:type="pct"/>
                  <w:vMerge w:val="restart"/>
                  <w:vAlign w:val="center"/>
                </w:tcPr>
                <w:p>
                  <w:pPr>
                    <w:pStyle w:val="100"/>
                    <w:adjustRightInd w:val="0"/>
                    <w:snapToGrid w:val="0"/>
                    <w:jc w:val="center"/>
                    <w:rPr>
                      <w:rFonts w:ascii="Times New Roman" w:hAnsi="Times New Roman" w:cs="Times New Roman"/>
                      <w:lang w:val="en-US"/>
                    </w:rPr>
                  </w:pPr>
                  <w:r>
                    <w:rPr>
                      <w:rFonts w:hint="eastAsia" w:ascii="Times New Roman" w:hAnsi="Times New Roman" w:cs="Times New Roman"/>
                      <w:lang w:val="en-US"/>
                    </w:rPr>
                    <w:t>T</w:t>
                  </w:r>
                  <w:r>
                    <w:rPr>
                      <w:rFonts w:ascii="Times New Roman" w:hAnsi="Times New Roman" w:cs="Times New Roman"/>
                      <w:lang w:val="en-US"/>
                    </w:rPr>
                    <w:t>VOC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1" w:type="pct"/>
                  <w:vMerge w:val="continue"/>
                  <w:vAlign w:val="center"/>
                </w:tcPr>
                <w:p>
                  <w:pPr>
                    <w:pStyle w:val="100"/>
                    <w:adjustRightInd w:val="0"/>
                    <w:snapToGrid w:val="0"/>
                    <w:jc w:val="center"/>
                    <w:rPr>
                      <w:rFonts w:ascii="Times New Roman" w:hAnsi="Times New Roman" w:cs="Times New Roman"/>
                      <w:lang w:val="en-US"/>
                    </w:rPr>
                  </w:pPr>
                </w:p>
              </w:tc>
              <w:tc>
                <w:tcPr>
                  <w:tcW w:w="711" w:type="pct"/>
                  <w:vAlign w:val="center"/>
                </w:tcPr>
                <w:p>
                  <w:pPr>
                    <w:pStyle w:val="100"/>
                    <w:adjustRightInd w:val="0"/>
                    <w:snapToGrid w:val="0"/>
                    <w:jc w:val="center"/>
                    <w:rPr>
                      <w:rFonts w:ascii="Times New Roman" w:hAnsi="Times New Roman" w:cs="Times New Roman"/>
                      <w:lang w:val="en-US"/>
                    </w:rPr>
                  </w:pPr>
                  <w:r>
                    <w:rPr>
                      <w:rFonts w:ascii="Times New Roman" w:hAnsi="Times New Roman" w:cs="Times New Roman"/>
                      <w:lang w:val="en-US"/>
                    </w:rPr>
                    <w:t>TSP</w:t>
                  </w:r>
                </w:p>
              </w:tc>
              <w:tc>
                <w:tcPr>
                  <w:tcW w:w="615" w:type="pct"/>
                  <w:vAlign w:val="center"/>
                </w:tcPr>
                <w:p>
                  <w:pPr>
                    <w:pStyle w:val="100"/>
                    <w:adjustRightInd w:val="0"/>
                    <w:snapToGrid w:val="0"/>
                    <w:jc w:val="center"/>
                    <w:rPr>
                      <w:rFonts w:ascii="Times New Roman" w:hAnsi="Times New Roman" w:cs="Times New Roman"/>
                      <w:lang w:val="en-US"/>
                    </w:rPr>
                  </w:pPr>
                  <w:r>
                    <w:rPr>
                      <w:rFonts w:hint="eastAsia" w:ascii="Times New Roman" w:hAnsi="Times New Roman" w:cs="Times New Roman"/>
                      <w:lang w:val="en-US"/>
                    </w:rPr>
                    <w:t>0.0001</w:t>
                  </w:r>
                </w:p>
              </w:tc>
              <w:tc>
                <w:tcPr>
                  <w:tcW w:w="744" w:type="pct"/>
                  <w:vAlign w:val="center"/>
                </w:tcPr>
                <w:p>
                  <w:pPr>
                    <w:pStyle w:val="100"/>
                    <w:adjustRightInd w:val="0"/>
                    <w:snapToGrid w:val="0"/>
                    <w:jc w:val="center"/>
                    <w:rPr>
                      <w:rFonts w:ascii="Times New Roman" w:hAnsi="Times New Roman" w:cs="Times New Roman"/>
                      <w:lang w:val="en-US"/>
                    </w:rPr>
                  </w:pPr>
                  <w:r>
                    <w:rPr>
                      <w:rFonts w:hint="eastAsia" w:ascii="Times New Roman" w:hAnsi="Times New Roman" w:cs="Times New Roman"/>
                      <w:lang w:val="en-US"/>
                    </w:rPr>
                    <w:t>0.9</w:t>
                  </w:r>
                </w:p>
              </w:tc>
              <w:tc>
                <w:tcPr>
                  <w:tcW w:w="738" w:type="pct"/>
                  <w:vAlign w:val="center"/>
                </w:tcPr>
                <w:p>
                  <w:pPr>
                    <w:pStyle w:val="100"/>
                    <w:adjustRightInd w:val="0"/>
                    <w:snapToGrid w:val="0"/>
                    <w:jc w:val="center"/>
                    <w:rPr>
                      <w:rFonts w:ascii="Times New Roman" w:hAnsi="Times New Roman" w:cs="Times New Roman"/>
                      <w:lang w:val="en-US"/>
                    </w:rPr>
                  </w:pPr>
                  <w:r>
                    <w:rPr>
                      <w:rFonts w:hint="eastAsia" w:ascii="Times New Roman" w:hAnsi="Times New Roman" w:cs="Times New Roman"/>
                      <w:lang w:val="en-US"/>
                    </w:rPr>
                    <w:t>111.1</w:t>
                  </w:r>
                </w:p>
              </w:tc>
              <w:tc>
                <w:tcPr>
                  <w:tcW w:w="603" w:type="pct"/>
                  <w:vMerge w:val="continue"/>
                  <w:vAlign w:val="center"/>
                </w:tcPr>
                <w:p>
                  <w:pPr>
                    <w:pStyle w:val="100"/>
                    <w:adjustRightInd w:val="0"/>
                    <w:snapToGrid w:val="0"/>
                    <w:jc w:val="center"/>
                    <w:rPr>
                      <w:rFonts w:ascii="Times New Roman" w:hAnsi="Times New Roman" w:cs="Times New Roman"/>
                      <w:lang w:val="en-US"/>
                    </w:rPr>
                  </w:pPr>
                </w:p>
              </w:tc>
              <w:tc>
                <w:tcPr>
                  <w:tcW w:w="878" w:type="pct"/>
                  <w:vMerge w:val="continue"/>
                  <w:vAlign w:val="center"/>
                </w:tcPr>
                <w:p>
                  <w:pPr>
                    <w:pStyle w:val="100"/>
                    <w:adjustRightInd w:val="0"/>
                    <w:snapToGrid w:val="0"/>
                    <w:jc w:val="center"/>
                    <w:rPr>
                      <w:rFonts w:ascii="Times New Roman" w:hAnsi="Times New Roman" w:cs="Times New Roman"/>
                      <w:lang w:val="en-US"/>
                    </w:rPr>
                  </w:pPr>
                </w:p>
              </w:tc>
            </w:tr>
          </w:tbl>
          <w:p>
            <w:pPr>
              <w:adjustRightInd w:val="0"/>
              <w:snapToGrid w:val="0"/>
              <w:spacing w:line="360" w:lineRule="auto"/>
              <w:ind w:firstLine="420" w:firstLineChars="200"/>
              <w:textAlignment w:val="baseline"/>
            </w:pPr>
            <w:r>
              <w:t>本项目</w:t>
            </w:r>
            <w:r>
              <w:rPr>
                <w:rFonts w:hint="eastAsia"/>
              </w:rPr>
              <w:t>厂房A</w:t>
            </w:r>
            <w:r>
              <w:t>无组织排放存在两种污染物（</w:t>
            </w:r>
            <w:r>
              <w:rPr>
                <w:rFonts w:hint="eastAsia"/>
              </w:rPr>
              <w:t>T</w:t>
            </w:r>
            <w:r>
              <w:t>VOC、TSP），基于单个污染物的等标排放量计算结果，项目有毒有害污染物的等标排放量相差大于10%，优先选择等标排放量最大的污染物作为企业无组织排放的主要特征大气有害物质。经计算，本项目</w:t>
            </w:r>
            <w:r>
              <w:rPr>
                <w:rFonts w:hint="eastAsia"/>
              </w:rPr>
              <w:t>厂房A</w:t>
            </w:r>
            <w:r>
              <w:t>主要特征大气有害物质为</w:t>
            </w:r>
            <w:r>
              <w:rPr>
                <w:rFonts w:hint="eastAsia"/>
              </w:rPr>
              <w:t>T</w:t>
            </w:r>
            <w:r>
              <w:t>VOC</w:t>
            </w:r>
            <w:r>
              <w:rPr>
                <w:rFonts w:hint="eastAsia"/>
              </w:rPr>
              <w:t>；</w:t>
            </w:r>
            <w:r>
              <w:t>本项目</w:t>
            </w:r>
            <w:r>
              <w:rPr>
                <w:rFonts w:hint="eastAsia"/>
              </w:rPr>
              <w:t>厂房</w:t>
            </w:r>
            <w:r>
              <w:t>B无组织排放存在两种污染物（</w:t>
            </w:r>
            <w:r>
              <w:rPr>
                <w:rFonts w:hint="eastAsia"/>
              </w:rPr>
              <w:t>T</w:t>
            </w:r>
            <w:r>
              <w:t>VOC、TSP），基于单个污染物的等标排放量计算结果，项目有毒有害污染物的等标排放量相差大于10%，优先选择等标排放量最大的污染物作为企业无组织排放的主要特征大气有害物质。经计算，本项目</w:t>
            </w:r>
            <w:r>
              <w:rPr>
                <w:rFonts w:hint="eastAsia"/>
              </w:rPr>
              <w:t>厂房</w:t>
            </w:r>
            <w:r>
              <w:t>B主要特征大气有害物质为</w:t>
            </w:r>
            <w:r>
              <w:rPr>
                <w:rFonts w:hint="eastAsia"/>
              </w:rPr>
              <w:t>T</w:t>
            </w:r>
            <w:r>
              <w:t>VOC。</w:t>
            </w:r>
          </w:p>
          <w:p>
            <w:pPr>
              <w:adjustRightInd w:val="0"/>
              <w:snapToGrid w:val="0"/>
              <w:spacing w:line="360" w:lineRule="auto"/>
              <w:ind w:firstLine="422" w:firstLineChars="200"/>
              <w:textAlignment w:val="baseline"/>
              <w:rPr>
                <w:b/>
              </w:rPr>
            </w:pPr>
            <w:r>
              <w:rPr>
                <w:b/>
              </w:rPr>
              <w:t>（2）卫生防护距离初值计算</w:t>
            </w:r>
          </w:p>
          <w:p>
            <w:pPr>
              <w:autoSpaceDE w:val="0"/>
              <w:autoSpaceDN w:val="0"/>
              <w:adjustRightInd w:val="0"/>
              <w:spacing w:line="360" w:lineRule="auto"/>
              <w:ind w:firstLine="420" w:firstLineChars="200"/>
              <w:rPr>
                <w:szCs w:val="21"/>
              </w:rPr>
            </w:pPr>
            <w:r>
              <w:rPr>
                <w:szCs w:val="21"/>
              </w:rPr>
              <w:t>采用</w:t>
            </w:r>
            <w:r>
              <w:t>GB/T39499-2020</w:t>
            </w:r>
            <w:r>
              <w:rPr>
                <w:szCs w:val="21"/>
              </w:rPr>
              <w:t>推荐的估算方法进行计算，具体计算公式如下：</w:t>
            </w:r>
          </w:p>
          <w:p>
            <w:pPr>
              <w:pStyle w:val="86"/>
              <w:spacing w:line="360" w:lineRule="auto"/>
              <w:ind w:firstLine="200"/>
              <w:jc w:val="center"/>
              <w:rPr>
                <w:szCs w:val="21"/>
              </w:rPr>
            </w:pPr>
            <w:r>
              <w:drawing>
                <wp:inline distT="0" distB="0" distL="0" distR="0">
                  <wp:extent cx="2118360" cy="673735"/>
                  <wp:effectExtent l="0" t="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24"/>
                          <pic:cNvPicPr>
                            <a:picLocks noChangeAspect="1"/>
                          </pic:cNvPicPr>
                        </pic:nvPicPr>
                        <pic:blipFill>
                          <a:blip r:embed="rId14"/>
                          <a:stretch>
                            <a:fillRect/>
                          </a:stretch>
                        </pic:blipFill>
                        <pic:spPr>
                          <a:xfrm>
                            <a:off x="0" y="0"/>
                            <a:ext cx="2121913" cy="675154"/>
                          </a:xfrm>
                          <a:prstGeom prst="rect">
                            <a:avLst/>
                          </a:prstGeom>
                        </pic:spPr>
                      </pic:pic>
                    </a:graphicData>
                  </a:graphic>
                </wp:inline>
              </w:drawing>
            </w:r>
          </w:p>
          <w:p>
            <w:pPr>
              <w:adjustRightInd w:val="0"/>
              <w:snapToGrid w:val="0"/>
              <w:spacing w:line="360" w:lineRule="auto"/>
              <w:ind w:firstLine="200"/>
              <w:rPr>
                <w:szCs w:val="21"/>
              </w:rPr>
            </w:pPr>
            <w:r>
              <w:rPr>
                <w:szCs w:val="21"/>
              </w:rPr>
              <w:t xml:space="preserve">    式中：</w:t>
            </w:r>
          </w:p>
          <w:p>
            <w:pPr>
              <w:adjustRightInd w:val="0"/>
              <w:snapToGrid w:val="0"/>
              <w:spacing w:line="360" w:lineRule="auto"/>
              <w:ind w:firstLine="420" w:firstLineChars="200"/>
              <w:rPr>
                <w:szCs w:val="21"/>
              </w:rPr>
            </w:pPr>
            <w:r>
              <w:rPr>
                <w:szCs w:val="21"/>
              </w:rPr>
              <w:t>Q</w:t>
            </w:r>
            <w:r>
              <w:rPr>
                <w:szCs w:val="21"/>
                <w:vertAlign w:val="subscript"/>
              </w:rPr>
              <w:t>c</w:t>
            </w:r>
            <w:r>
              <w:rPr>
                <w:szCs w:val="21"/>
              </w:rPr>
              <w:sym w:font="Symbol" w:char="F0BE"/>
            </w:r>
            <w:r>
              <w:rPr>
                <w:szCs w:val="21"/>
              </w:rPr>
              <w:sym w:font="Symbol" w:char="F0BE"/>
            </w:r>
            <w:r>
              <w:rPr>
                <w:szCs w:val="21"/>
              </w:rPr>
              <w:t>大气有害物质的无组织排放量，单位为千克每小时(kg/h)；</w:t>
            </w:r>
          </w:p>
          <w:p>
            <w:pPr>
              <w:adjustRightInd w:val="0"/>
              <w:snapToGrid w:val="0"/>
              <w:spacing w:line="360" w:lineRule="auto"/>
              <w:ind w:firstLine="420" w:firstLineChars="200"/>
              <w:rPr>
                <w:szCs w:val="21"/>
              </w:rPr>
            </w:pPr>
            <w:r>
              <w:rPr>
                <w:szCs w:val="21"/>
              </w:rPr>
              <w:t>C</w:t>
            </w:r>
            <w:r>
              <w:rPr>
                <w:szCs w:val="21"/>
                <w:vertAlign w:val="subscript"/>
              </w:rPr>
              <w:t>m</w:t>
            </w:r>
            <w:r>
              <w:rPr>
                <w:szCs w:val="21"/>
              </w:rPr>
              <w:sym w:font="Symbol" w:char="F0BE"/>
            </w:r>
            <w:r>
              <w:rPr>
                <w:szCs w:val="21"/>
              </w:rPr>
              <w:sym w:font="Symbol" w:char="F0BE"/>
            </w:r>
            <w:r>
              <w:rPr>
                <w:szCs w:val="21"/>
              </w:rPr>
              <w:t>大气有害物质环境空气质量的标准限值，单位为毫克每立方米(mg/m</w:t>
            </w:r>
            <w:r>
              <w:rPr>
                <w:szCs w:val="21"/>
                <w:vertAlign w:val="superscript"/>
              </w:rPr>
              <w:t>3</w:t>
            </w:r>
            <w:r>
              <w:rPr>
                <w:szCs w:val="21"/>
              </w:rPr>
              <w:t>)；</w:t>
            </w:r>
          </w:p>
          <w:p>
            <w:pPr>
              <w:adjustRightInd w:val="0"/>
              <w:snapToGrid w:val="0"/>
              <w:spacing w:line="360" w:lineRule="auto"/>
              <w:ind w:firstLine="420" w:firstLineChars="200"/>
              <w:rPr>
                <w:szCs w:val="21"/>
              </w:rPr>
            </w:pPr>
            <w:r>
              <w:rPr>
                <w:szCs w:val="21"/>
              </w:rPr>
              <w:t>L</w:t>
            </w:r>
            <w:r>
              <w:rPr>
                <w:szCs w:val="21"/>
              </w:rPr>
              <w:sym w:font="Symbol" w:char="F0BE"/>
            </w:r>
            <w:r>
              <w:rPr>
                <w:szCs w:val="21"/>
              </w:rPr>
              <w:sym w:font="Symbol" w:char="F0BE"/>
            </w:r>
            <w:r>
              <w:rPr>
                <w:szCs w:val="21"/>
              </w:rPr>
              <w:t>大气有害物质卫生防护距离初值，单位为米(m)；</w:t>
            </w:r>
          </w:p>
          <w:p>
            <w:pPr>
              <w:adjustRightInd w:val="0"/>
              <w:snapToGrid w:val="0"/>
              <w:spacing w:line="360" w:lineRule="auto"/>
              <w:ind w:firstLine="420" w:firstLineChars="200"/>
              <w:rPr>
                <w:szCs w:val="21"/>
              </w:rPr>
            </w:pPr>
            <w:r>
              <w:rPr>
                <w:szCs w:val="21"/>
              </w:rPr>
              <w:t>r</w:t>
            </w:r>
            <w:r>
              <w:rPr>
                <w:szCs w:val="21"/>
              </w:rPr>
              <w:sym w:font="Symbol" w:char="F0BE"/>
            </w:r>
            <w:r>
              <w:rPr>
                <w:szCs w:val="21"/>
              </w:rPr>
              <w:sym w:font="Symbol" w:char="F0BE"/>
            </w:r>
            <w:r>
              <w:rPr>
                <w:szCs w:val="21"/>
              </w:rPr>
              <w:t>大气有害物质无组织排放源所在生产单元的等效半径，单位为米(m)；</w:t>
            </w:r>
          </w:p>
          <w:p>
            <w:pPr>
              <w:adjustRightInd w:val="0"/>
              <w:snapToGrid w:val="0"/>
              <w:spacing w:line="360" w:lineRule="auto"/>
              <w:ind w:firstLine="420" w:firstLineChars="200"/>
              <w:rPr>
                <w:szCs w:val="21"/>
              </w:rPr>
            </w:pPr>
            <w:r>
              <w:rPr>
                <w:szCs w:val="21"/>
              </w:rPr>
              <w:t>A、B、C、D</w:t>
            </w:r>
            <w:r>
              <w:rPr>
                <w:szCs w:val="21"/>
              </w:rPr>
              <w:sym w:font="Symbol" w:char="F0BE"/>
            </w:r>
            <w:r>
              <w:rPr>
                <w:szCs w:val="21"/>
              </w:rPr>
              <w:sym w:font="Symbol" w:char="F0BE"/>
            </w:r>
            <w:r>
              <w:rPr>
                <w:szCs w:val="21"/>
              </w:rPr>
              <w:t>卫生防护距离初值计算系数，无因次，根据工业企业所在地区近5年平均风速及大气污染源构成类别从下表查取。</w:t>
            </w:r>
          </w:p>
          <w:p>
            <w:pPr>
              <w:numPr>
                <w:ilvl w:val="0"/>
                <w:numId w:val="5"/>
              </w:numPr>
              <w:adjustRightInd w:val="0"/>
              <w:snapToGrid w:val="0"/>
              <w:spacing w:line="360" w:lineRule="auto"/>
              <w:ind w:left="0"/>
              <w:jc w:val="center"/>
              <w:rPr>
                <w:b/>
                <w:szCs w:val="21"/>
              </w:rPr>
            </w:pPr>
            <w:r>
              <w:rPr>
                <w:b/>
                <w:szCs w:val="21"/>
              </w:rPr>
              <w:t>卫生防护距离初值计算系数</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1148"/>
              <w:gridCol w:w="723"/>
              <w:gridCol w:w="724"/>
              <w:gridCol w:w="734"/>
              <w:gridCol w:w="724"/>
              <w:gridCol w:w="724"/>
              <w:gridCol w:w="734"/>
              <w:gridCol w:w="724"/>
              <w:gridCol w:w="725"/>
              <w:gridCol w:w="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pStyle w:val="19"/>
                    <w:jc w:val="center"/>
                    <w:rPr>
                      <w:rFonts w:ascii="Times New Roman" w:hAnsi="Times New Roman"/>
                      <w:b/>
                      <w:bCs/>
                    </w:rPr>
                  </w:pPr>
                  <w:r>
                    <w:rPr>
                      <w:rStyle w:val="48"/>
                      <w:rFonts w:ascii="Times New Roman" w:hAnsi="Times New Roman"/>
                      <w:b/>
                      <w:bCs/>
                      <w:color w:val="auto"/>
                    </w:rPr>
                    <w:t>卫生防护距离初值计算系数</w:t>
                  </w:r>
                </w:p>
              </w:tc>
              <w:tc>
                <w:tcPr>
                  <w:tcW w:w="683" w:type="pct"/>
                  <w:vMerge w:val="restart"/>
                  <w:vAlign w:val="center"/>
                </w:tcPr>
                <w:p>
                  <w:pPr>
                    <w:pStyle w:val="19"/>
                    <w:jc w:val="center"/>
                    <w:rPr>
                      <w:rStyle w:val="48"/>
                      <w:rFonts w:ascii="Times New Roman" w:hAnsi="Times New Roman"/>
                      <w:b/>
                      <w:bCs/>
                      <w:color w:val="auto"/>
                    </w:rPr>
                  </w:pPr>
                  <w:r>
                    <w:rPr>
                      <w:rStyle w:val="48"/>
                      <w:rFonts w:ascii="Times New Roman" w:hAnsi="Times New Roman"/>
                      <w:b/>
                      <w:bCs/>
                      <w:color w:val="auto"/>
                    </w:rPr>
                    <w:t>工业企业</w:t>
                  </w:r>
                </w:p>
                <w:p>
                  <w:pPr>
                    <w:pStyle w:val="19"/>
                    <w:jc w:val="center"/>
                    <w:rPr>
                      <w:rStyle w:val="48"/>
                      <w:rFonts w:ascii="Times New Roman" w:hAnsi="Times New Roman"/>
                      <w:b/>
                      <w:bCs/>
                      <w:color w:val="auto"/>
                    </w:rPr>
                  </w:pPr>
                  <w:r>
                    <w:rPr>
                      <w:rStyle w:val="48"/>
                      <w:rFonts w:ascii="Times New Roman" w:hAnsi="Times New Roman"/>
                      <w:b/>
                      <w:bCs/>
                      <w:color w:val="auto"/>
                    </w:rPr>
                    <w:t>所在地区</w:t>
                  </w:r>
                </w:p>
                <w:p>
                  <w:pPr>
                    <w:pStyle w:val="19"/>
                    <w:jc w:val="center"/>
                    <w:rPr>
                      <w:rStyle w:val="48"/>
                      <w:rFonts w:ascii="Times New Roman" w:hAnsi="Times New Roman"/>
                      <w:b/>
                      <w:bCs/>
                      <w:color w:val="auto"/>
                    </w:rPr>
                  </w:pPr>
                  <w:r>
                    <w:rPr>
                      <w:rStyle w:val="48"/>
                      <w:rFonts w:ascii="Times New Roman" w:hAnsi="Times New Roman"/>
                      <w:b/>
                      <w:bCs/>
                      <w:color w:val="auto"/>
                    </w:rPr>
                    <w:t>近5年平</w:t>
                  </w:r>
                </w:p>
                <w:p>
                  <w:pPr>
                    <w:pStyle w:val="19"/>
                    <w:jc w:val="center"/>
                    <w:rPr>
                      <w:rFonts w:ascii="Times New Roman" w:hAnsi="Times New Roman"/>
                      <w:b/>
                      <w:bCs/>
                    </w:rPr>
                  </w:pPr>
                  <w:r>
                    <w:rPr>
                      <w:rStyle w:val="48"/>
                      <w:rFonts w:ascii="Times New Roman" w:hAnsi="Times New Roman"/>
                      <w:b/>
                      <w:bCs/>
                      <w:color w:val="auto"/>
                    </w:rPr>
                    <w:t>均风速m/s</w:t>
                  </w:r>
                </w:p>
              </w:tc>
              <w:tc>
                <w:tcPr>
                  <w:tcW w:w="3891" w:type="pct"/>
                  <w:gridSpan w:val="9"/>
                  <w:vAlign w:val="center"/>
                </w:tcPr>
                <w:p>
                  <w:pPr>
                    <w:pStyle w:val="19"/>
                    <w:jc w:val="center"/>
                    <w:rPr>
                      <w:rFonts w:ascii="Times New Roman" w:hAnsi="Times New Roman"/>
                      <w:b/>
                      <w:bCs/>
                    </w:rPr>
                  </w:pPr>
                  <w:r>
                    <w:rPr>
                      <w:rStyle w:val="48"/>
                      <w:rFonts w:ascii="Times New Roman" w:hAnsi="Times New Roman"/>
                      <w:b/>
                      <w:bCs/>
                      <w:color w:val="auto"/>
                    </w:rPr>
                    <w:t>卫生防护距离L,m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rPr>
                  </w:pPr>
                </w:p>
              </w:tc>
              <w:tc>
                <w:tcPr>
                  <w:tcW w:w="683" w:type="pct"/>
                  <w:vMerge w:val="continue"/>
                  <w:vAlign w:val="center"/>
                </w:tcPr>
                <w:p>
                  <w:pPr>
                    <w:pStyle w:val="19"/>
                    <w:jc w:val="center"/>
                    <w:rPr>
                      <w:rFonts w:ascii="Times New Roman" w:hAnsi="Times New Roman"/>
                    </w:rPr>
                  </w:pPr>
                </w:p>
              </w:tc>
              <w:tc>
                <w:tcPr>
                  <w:tcW w:w="1296" w:type="pct"/>
                  <w:gridSpan w:val="3"/>
                  <w:vAlign w:val="center"/>
                </w:tcPr>
                <w:p>
                  <w:pPr>
                    <w:pStyle w:val="19"/>
                    <w:jc w:val="center"/>
                    <w:rPr>
                      <w:rFonts w:ascii="Times New Roman" w:hAnsi="Times New Roman"/>
                    </w:rPr>
                  </w:pPr>
                  <w:r>
                    <w:rPr>
                      <w:rStyle w:val="48"/>
                      <w:rFonts w:ascii="Times New Roman" w:hAnsi="Times New Roman"/>
                      <w:color w:val="auto"/>
                    </w:rPr>
                    <w:t>L≤1000</w:t>
                  </w:r>
                </w:p>
              </w:tc>
              <w:tc>
                <w:tcPr>
                  <w:tcW w:w="1296" w:type="pct"/>
                  <w:gridSpan w:val="3"/>
                  <w:vAlign w:val="center"/>
                </w:tcPr>
                <w:p>
                  <w:pPr>
                    <w:pStyle w:val="19"/>
                    <w:jc w:val="center"/>
                    <w:rPr>
                      <w:rFonts w:ascii="Times New Roman" w:hAnsi="Times New Roman"/>
                    </w:rPr>
                  </w:pPr>
                  <w:r>
                    <w:rPr>
                      <w:rStyle w:val="48"/>
                      <w:rFonts w:ascii="Times New Roman" w:hAnsi="Times New Roman"/>
                      <w:color w:val="auto"/>
                    </w:rPr>
                    <w:t>1000＜L≤2000</w:t>
                  </w:r>
                </w:p>
              </w:tc>
              <w:tc>
                <w:tcPr>
                  <w:tcW w:w="1297" w:type="pct"/>
                  <w:gridSpan w:val="3"/>
                  <w:vAlign w:val="center"/>
                </w:tcPr>
                <w:p>
                  <w:pPr>
                    <w:pStyle w:val="19"/>
                    <w:jc w:val="center"/>
                    <w:rPr>
                      <w:rFonts w:ascii="Times New Roman" w:hAnsi="Times New Roman"/>
                    </w:rPr>
                  </w:pPr>
                  <w:r>
                    <w:rPr>
                      <w:rStyle w:val="48"/>
                      <w:rFonts w:ascii="Times New Roman" w:hAnsi="Times New Roman"/>
                      <w:color w:val="auto"/>
                    </w:rPr>
                    <w:t>L＞2000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rPr>
                  </w:pPr>
                </w:p>
              </w:tc>
              <w:tc>
                <w:tcPr>
                  <w:tcW w:w="683" w:type="pct"/>
                  <w:vMerge w:val="continue"/>
                  <w:vAlign w:val="center"/>
                </w:tcPr>
                <w:p>
                  <w:pPr>
                    <w:pStyle w:val="19"/>
                    <w:jc w:val="center"/>
                    <w:rPr>
                      <w:rFonts w:ascii="Times New Roman" w:hAnsi="Times New Roman"/>
                    </w:rPr>
                  </w:pPr>
                </w:p>
              </w:tc>
              <w:tc>
                <w:tcPr>
                  <w:tcW w:w="3891" w:type="pct"/>
                  <w:gridSpan w:val="9"/>
                  <w:vAlign w:val="center"/>
                </w:tcPr>
                <w:p>
                  <w:pPr>
                    <w:pStyle w:val="19"/>
                    <w:jc w:val="center"/>
                    <w:rPr>
                      <w:rFonts w:ascii="Times New Roman" w:hAnsi="Times New Roman"/>
                    </w:rPr>
                  </w:pPr>
                  <w:r>
                    <w:rPr>
                      <w:rStyle w:val="48"/>
                      <w:rFonts w:ascii="Times New Roman" w:hAnsi="Times New Roman"/>
                      <w:color w:val="auto"/>
                    </w:rPr>
                    <w:t>工业企业大气污染源构成类型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jc w:val="center"/>
              </w:trPr>
              <w:tc>
                <w:tcPr>
                  <w:tcW w:w="425" w:type="pct"/>
                  <w:vMerge w:val="continue"/>
                  <w:vAlign w:val="center"/>
                </w:tcPr>
                <w:p>
                  <w:pPr>
                    <w:pStyle w:val="19"/>
                    <w:jc w:val="center"/>
                    <w:rPr>
                      <w:rFonts w:ascii="Times New Roman" w:hAnsi="Times New Roman"/>
                    </w:rPr>
                  </w:pPr>
                </w:p>
              </w:tc>
              <w:tc>
                <w:tcPr>
                  <w:tcW w:w="683" w:type="pct"/>
                  <w:vMerge w:val="continue"/>
                  <w:vAlign w:val="center"/>
                </w:tcPr>
                <w:p>
                  <w:pPr>
                    <w:pStyle w:val="19"/>
                    <w:jc w:val="center"/>
                    <w:rPr>
                      <w:rFonts w:ascii="Times New Roman" w:hAnsi="Times New Roman"/>
                    </w:rPr>
                  </w:pPr>
                </w:p>
              </w:tc>
              <w:tc>
                <w:tcPr>
                  <w:tcW w:w="430" w:type="pct"/>
                  <w:vAlign w:val="center"/>
                </w:tcPr>
                <w:p>
                  <w:pPr>
                    <w:pStyle w:val="19"/>
                    <w:jc w:val="center"/>
                    <w:rPr>
                      <w:rFonts w:ascii="Times New Roman" w:hAnsi="Times New Roman"/>
                    </w:rPr>
                  </w:pPr>
                  <w:r>
                    <w:rPr>
                      <w:rStyle w:val="48"/>
                      <w:rFonts w:hint="eastAsia" w:hAnsi="宋体" w:cs="宋体"/>
                      <w:color w:val="auto"/>
                    </w:rPr>
                    <w:t>Ⅰ</w:t>
                  </w:r>
                </w:p>
              </w:tc>
              <w:tc>
                <w:tcPr>
                  <w:tcW w:w="430" w:type="pct"/>
                  <w:vAlign w:val="center"/>
                </w:tcPr>
                <w:p>
                  <w:pPr>
                    <w:pStyle w:val="19"/>
                    <w:jc w:val="center"/>
                    <w:rPr>
                      <w:rFonts w:ascii="Times New Roman" w:hAnsi="Times New Roman"/>
                    </w:rPr>
                  </w:pPr>
                  <w:r>
                    <w:rPr>
                      <w:rStyle w:val="48"/>
                      <w:rFonts w:hint="eastAsia" w:hAnsi="宋体" w:cs="宋体"/>
                      <w:color w:val="auto"/>
                    </w:rPr>
                    <w:t>Ⅱ</w:t>
                  </w:r>
                </w:p>
              </w:tc>
              <w:tc>
                <w:tcPr>
                  <w:tcW w:w="435" w:type="pct"/>
                  <w:vAlign w:val="center"/>
                </w:tcPr>
                <w:p>
                  <w:pPr>
                    <w:pStyle w:val="19"/>
                    <w:jc w:val="center"/>
                    <w:rPr>
                      <w:rFonts w:ascii="Times New Roman" w:hAnsi="Times New Roman"/>
                    </w:rPr>
                  </w:pPr>
                  <w:r>
                    <w:rPr>
                      <w:rStyle w:val="48"/>
                      <w:rFonts w:hint="eastAsia" w:hAnsi="宋体" w:cs="宋体"/>
                      <w:color w:val="auto"/>
                    </w:rPr>
                    <w:t>Ⅲ</w:t>
                  </w:r>
                </w:p>
              </w:tc>
              <w:tc>
                <w:tcPr>
                  <w:tcW w:w="430" w:type="pct"/>
                  <w:vAlign w:val="center"/>
                </w:tcPr>
                <w:p>
                  <w:pPr>
                    <w:pStyle w:val="19"/>
                    <w:jc w:val="center"/>
                    <w:rPr>
                      <w:rFonts w:ascii="Times New Roman" w:hAnsi="Times New Roman"/>
                    </w:rPr>
                  </w:pPr>
                  <w:r>
                    <w:rPr>
                      <w:rStyle w:val="48"/>
                      <w:rFonts w:hint="eastAsia" w:hAnsi="宋体" w:cs="宋体"/>
                      <w:color w:val="auto"/>
                    </w:rPr>
                    <w:t>Ⅰ</w:t>
                  </w:r>
                </w:p>
              </w:tc>
              <w:tc>
                <w:tcPr>
                  <w:tcW w:w="430" w:type="pct"/>
                  <w:vAlign w:val="center"/>
                </w:tcPr>
                <w:p>
                  <w:pPr>
                    <w:pStyle w:val="19"/>
                    <w:jc w:val="center"/>
                    <w:rPr>
                      <w:rFonts w:ascii="Times New Roman" w:hAnsi="Times New Roman"/>
                    </w:rPr>
                  </w:pPr>
                  <w:r>
                    <w:rPr>
                      <w:rStyle w:val="48"/>
                      <w:rFonts w:hint="eastAsia" w:hAnsi="宋体" w:cs="宋体"/>
                      <w:color w:val="auto"/>
                    </w:rPr>
                    <w:t>Ⅱ</w:t>
                  </w:r>
                </w:p>
              </w:tc>
              <w:tc>
                <w:tcPr>
                  <w:tcW w:w="435" w:type="pct"/>
                  <w:vAlign w:val="center"/>
                </w:tcPr>
                <w:p>
                  <w:pPr>
                    <w:pStyle w:val="19"/>
                    <w:jc w:val="center"/>
                    <w:rPr>
                      <w:rFonts w:ascii="Times New Roman" w:hAnsi="Times New Roman"/>
                    </w:rPr>
                  </w:pPr>
                  <w:r>
                    <w:rPr>
                      <w:rStyle w:val="48"/>
                      <w:rFonts w:hint="eastAsia" w:hAnsi="宋体" w:cs="宋体"/>
                      <w:color w:val="auto"/>
                    </w:rPr>
                    <w:t>Ⅲ</w:t>
                  </w:r>
                </w:p>
              </w:tc>
              <w:tc>
                <w:tcPr>
                  <w:tcW w:w="430" w:type="pct"/>
                  <w:vAlign w:val="center"/>
                </w:tcPr>
                <w:p>
                  <w:pPr>
                    <w:pStyle w:val="19"/>
                    <w:jc w:val="center"/>
                    <w:rPr>
                      <w:rFonts w:ascii="Times New Roman" w:hAnsi="Times New Roman"/>
                    </w:rPr>
                  </w:pPr>
                  <w:r>
                    <w:rPr>
                      <w:rStyle w:val="48"/>
                      <w:rFonts w:hint="eastAsia" w:hAnsi="宋体" w:cs="宋体"/>
                      <w:color w:val="auto"/>
                    </w:rPr>
                    <w:t>Ⅰ</w:t>
                  </w:r>
                </w:p>
              </w:tc>
              <w:tc>
                <w:tcPr>
                  <w:tcW w:w="431" w:type="pct"/>
                  <w:vAlign w:val="center"/>
                </w:tcPr>
                <w:p>
                  <w:pPr>
                    <w:pStyle w:val="19"/>
                    <w:jc w:val="center"/>
                    <w:rPr>
                      <w:rFonts w:ascii="Times New Roman" w:hAnsi="Times New Roman"/>
                    </w:rPr>
                  </w:pPr>
                  <w:r>
                    <w:rPr>
                      <w:rStyle w:val="48"/>
                      <w:rFonts w:hint="eastAsia" w:hAnsi="宋体" w:cs="宋体"/>
                      <w:color w:val="auto"/>
                    </w:rPr>
                    <w:t>Ⅱ</w:t>
                  </w:r>
                </w:p>
              </w:tc>
              <w:tc>
                <w:tcPr>
                  <w:tcW w:w="435" w:type="pct"/>
                  <w:vAlign w:val="center"/>
                </w:tcPr>
                <w:p>
                  <w:pPr>
                    <w:pStyle w:val="19"/>
                    <w:jc w:val="center"/>
                    <w:rPr>
                      <w:rFonts w:ascii="Times New Roman" w:hAnsi="Times New Roman"/>
                    </w:rPr>
                  </w:pPr>
                  <w:r>
                    <w:rPr>
                      <w:rStyle w:val="48"/>
                      <w:rFonts w:hint="eastAsia" w:hAnsi="宋体" w:cs="宋体"/>
                      <w:color w:val="auto"/>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pStyle w:val="19"/>
                    <w:jc w:val="center"/>
                    <w:rPr>
                      <w:rFonts w:ascii="Times New Roman" w:hAnsi="Times New Roman"/>
                    </w:rPr>
                  </w:pPr>
                  <w:r>
                    <w:rPr>
                      <w:rFonts w:ascii="Times New Roman" w:hAnsi="Times New Roman"/>
                    </w:rPr>
                    <w:t>A</w:t>
                  </w:r>
                </w:p>
              </w:tc>
              <w:tc>
                <w:tcPr>
                  <w:tcW w:w="683" w:type="pct"/>
                  <w:vAlign w:val="center"/>
                </w:tcPr>
                <w:p>
                  <w:pPr>
                    <w:pStyle w:val="19"/>
                    <w:jc w:val="center"/>
                    <w:rPr>
                      <w:rFonts w:ascii="Times New Roman" w:hAnsi="Times New Roman"/>
                    </w:rPr>
                  </w:pPr>
                  <w:r>
                    <w:rPr>
                      <w:rStyle w:val="48"/>
                      <w:rFonts w:ascii="Times New Roman" w:hAnsi="Times New Roman"/>
                      <w:color w:val="auto"/>
                    </w:rPr>
                    <w:t>&lt;2</w:t>
                  </w:r>
                </w:p>
              </w:tc>
              <w:tc>
                <w:tcPr>
                  <w:tcW w:w="430" w:type="pct"/>
                  <w:vAlign w:val="center"/>
                </w:tcPr>
                <w:p>
                  <w:pPr>
                    <w:pStyle w:val="19"/>
                    <w:jc w:val="center"/>
                    <w:rPr>
                      <w:rFonts w:ascii="Times New Roman" w:hAnsi="Times New Roman"/>
                    </w:rPr>
                  </w:pPr>
                  <w:r>
                    <w:rPr>
                      <w:rFonts w:ascii="Times New Roman" w:hAnsi="Times New Roman"/>
                    </w:rPr>
                    <w:t>400</w:t>
                  </w:r>
                </w:p>
              </w:tc>
              <w:tc>
                <w:tcPr>
                  <w:tcW w:w="430" w:type="pct"/>
                  <w:vAlign w:val="center"/>
                </w:tcPr>
                <w:p>
                  <w:pPr>
                    <w:pStyle w:val="19"/>
                    <w:jc w:val="center"/>
                    <w:rPr>
                      <w:rFonts w:ascii="Times New Roman" w:hAnsi="Times New Roman"/>
                    </w:rPr>
                  </w:pPr>
                  <w:r>
                    <w:rPr>
                      <w:rFonts w:ascii="Times New Roman" w:hAnsi="Times New Roman"/>
                    </w:rPr>
                    <w:t>400</w:t>
                  </w:r>
                </w:p>
              </w:tc>
              <w:tc>
                <w:tcPr>
                  <w:tcW w:w="435" w:type="pct"/>
                  <w:vAlign w:val="center"/>
                </w:tcPr>
                <w:p>
                  <w:pPr>
                    <w:pStyle w:val="19"/>
                    <w:jc w:val="center"/>
                    <w:rPr>
                      <w:rFonts w:ascii="Times New Roman" w:hAnsi="Times New Roman"/>
                    </w:rPr>
                  </w:pPr>
                  <w:r>
                    <w:rPr>
                      <w:rFonts w:ascii="Times New Roman" w:hAnsi="Times New Roman"/>
                    </w:rPr>
                    <w:t>400</w:t>
                  </w:r>
                </w:p>
              </w:tc>
              <w:tc>
                <w:tcPr>
                  <w:tcW w:w="430" w:type="pct"/>
                  <w:vAlign w:val="center"/>
                </w:tcPr>
                <w:p>
                  <w:pPr>
                    <w:pStyle w:val="19"/>
                    <w:jc w:val="center"/>
                    <w:rPr>
                      <w:rFonts w:ascii="Times New Roman" w:hAnsi="Times New Roman"/>
                    </w:rPr>
                  </w:pPr>
                  <w:r>
                    <w:rPr>
                      <w:rFonts w:ascii="Times New Roman" w:hAnsi="Times New Roman"/>
                    </w:rPr>
                    <w:t>400</w:t>
                  </w:r>
                </w:p>
              </w:tc>
              <w:tc>
                <w:tcPr>
                  <w:tcW w:w="430" w:type="pct"/>
                  <w:vAlign w:val="center"/>
                </w:tcPr>
                <w:p>
                  <w:pPr>
                    <w:pStyle w:val="19"/>
                    <w:jc w:val="center"/>
                    <w:rPr>
                      <w:rFonts w:ascii="Times New Roman" w:hAnsi="Times New Roman"/>
                    </w:rPr>
                  </w:pPr>
                  <w:r>
                    <w:rPr>
                      <w:rFonts w:ascii="Times New Roman" w:hAnsi="Times New Roman"/>
                    </w:rPr>
                    <w:t>400</w:t>
                  </w:r>
                </w:p>
              </w:tc>
              <w:tc>
                <w:tcPr>
                  <w:tcW w:w="435" w:type="pct"/>
                  <w:vAlign w:val="center"/>
                </w:tcPr>
                <w:p>
                  <w:pPr>
                    <w:pStyle w:val="19"/>
                    <w:jc w:val="center"/>
                    <w:rPr>
                      <w:rFonts w:ascii="Times New Roman" w:hAnsi="Times New Roman"/>
                    </w:rPr>
                  </w:pPr>
                  <w:r>
                    <w:rPr>
                      <w:rFonts w:ascii="Times New Roman" w:hAnsi="Times New Roman"/>
                    </w:rPr>
                    <w:t>400</w:t>
                  </w:r>
                </w:p>
              </w:tc>
              <w:tc>
                <w:tcPr>
                  <w:tcW w:w="430" w:type="pct"/>
                  <w:vAlign w:val="center"/>
                </w:tcPr>
                <w:p>
                  <w:pPr>
                    <w:pStyle w:val="19"/>
                    <w:jc w:val="center"/>
                    <w:rPr>
                      <w:rFonts w:ascii="Times New Roman" w:hAnsi="Times New Roman"/>
                    </w:rPr>
                  </w:pPr>
                  <w:r>
                    <w:rPr>
                      <w:rFonts w:ascii="Times New Roman" w:hAnsi="Times New Roman"/>
                    </w:rPr>
                    <w:t>80</w:t>
                  </w:r>
                </w:p>
              </w:tc>
              <w:tc>
                <w:tcPr>
                  <w:tcW w:w="431" w:type="pct"/>
                  <w:vAlign w:val="center"/>
                </w:tcPr>
                <w:p>
                  <w:pPr>
                    <w:pStyle w:val="19"/>
                    <w:jc w:val="center"/>
                    <w:rPr>
                      <w:rFonts w:ascii="Times New Roman" w:hAnsi="Times New Roman"/>
                    </w:rPr>
                  </w:pPr>
                  <w:r>
                    <w:rPr>
                      <w:rFonts w:ascii="Times New Roman" w:hAnsi="Times New Roman"/>
                    </w:rPr>
                    <w:t>80</w:t>
                  </w:r>
                </w:p>
              </w:tc>
              <w:tc>
                <w:tcPr>
                  <w:tcW w:w="435" w:type="pct"/>
                  <w:vAlign w:val="center"/>
                </w:tcPr>
                <w:p>
                  <w:pPr>
                    <w:pStyle w:val="19"/>
                    <w:jc w:val="center"/>
                    <w:rPr>
                      <w:rFonts w:ascii="Times New Roman" w:hAnsi="Times New Roman"/>
                    </w:rPr>
                  </w:pPr>
                  <w:r>
                    <w:rPr>
                      <w:rFonts w:ascii="Times New Roman" w:hAnsi="Times New Roma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rPr>
                  </w:pPr>
                </w:p>
              </w:tc>
              <w:tc>
                <w:tcPr>
                  <w:tcW w:w="683" w:type="pct"/>
                  <w:vAlign w:val="center"/>
                </w:tcPr>
                <w:p>
                  <w:pPr>
                    <w:pStyle w:val="19"/>
                    <w:jc w:val="center"/>
                    <w:rPr>
                      <w:rFonts w:ascii="Times New Roman" w:hAnsi="Times New Roman"/>
                    </w:rPr>
                  </w:pPr>
                  <w:r>
                    <w:rPr>
                      <w:rStyle w:val="48"/>
                      <w:rFonts w:ascii="Times New Roman" w:hAnsi="Times New Roman"/>
                      <w:color w:val="auto"/>
                    </w:rPr>
                    <w:t>2～4</w:t>
                  </w:r>
                </w:p>
              </w:tc>
              <w:tc>
                <w:tcPr>
                  <w:tcW w:w="430" w:type="pct"/>
                  <w:vAlign w:val="center"/>
                </w:tcPr>
                <w:p>
                  <w:pPr>
                    <w:pStyle w:val="19"/>
                    <w:jc w:val="center"/>
                    <w:rPr>
                      <w:rFonts w:ascii="Times New Roman" w:hAnsi="Times New Roman"/>
                    </w:rPr>
                  </w:pPr>
                  <w:r>
                    <w:rPr>
                      <w:rFonts w:ascii="Times New Roman" w:hAnsi="Times New Roman"/>
                    </w:rPr>
                    <w:t>700</w:t>
                  </w:r>
                </w:p>
              </w:tc>
              <w:tc>
                <w:tcPr>
                  <w:tcW w:w="430" w:type="pct"/>
                  <w:vAlign w:val="center"/>
                </w:tcPr>
                <w:p>
                  <w:pPr>
                    <w:pStyle w:val="19"/>
                    <w:jc w:val="center"/>
                    <w:rPr>
                      <w:rFonts w:ascii="Times New Roman" w:hAnsi="Times New Roman"/>
                    </w:rPr>
                  </w:pPr>
                  <w:r>
                    <w:rPr>
                      <w:rFonts w:ascii="Times New Roman" w:hAnsi="Times New Roman"/>
                    </w:rPr>
                    <w:t>470</w:t>
                  </w:r>
                </w:p>
              </w:tc>
              <w:tc>
                <w:tcPr>
                  <w:tcW w:w="435" w:type="pct"/>
                  <w:vAlign w:val="center"/>
                </w:tcPr>
                <w:p>
                  <w:pPr>
                    <w:pStyle w:val="19"/>
                    <w:jc w:val="center"/>
                    <w:rPr>
                      <w:rFonts w:ascii="Times New Roman" w:hAnsi="Times New Roman"/>
                    </w:rPr>
                  </w:pPr>
                  <w:r>
                    <w:rPr>
                      <w:rFonts w:ascii="Times New Roman" w:hAnsi="Times New Roman"/>
                    </w:rPr>
                    <w:t>350</w:t>
                  </w:r>
                </w:p>
              </w:tc>
              <w:tc>
                <w:tcPr>
                  <w:tcW w:w="430" w:type="pct"/>
                  <w:vAlign w:val="center"/>
                </w:tcPr>
                <w:p>
                  <w:pPr>
                    <w:pStyle w:val="19"/>
                    <w:jc w:val="center"/>
                    <w:rPr>
                      <w:rFonts w:ascii="Times New Roman" w:hAnsi="Times New Roman"/>
                    </w:rPr>
                  </w:pPr>
                  <w:r>
                    <w:rPr>
                      <w:rFonts w:ascii="Times New Roman" w:hAnsi="Times New Roman"/>
                    </w:rPr>
                    <w:t>700</w:t>
                  </w:r>
                </w:p>
              </w:tc>
              <w:tc>
                <w:tcPr>
                  <w:tcW w:w="430" w:type="pct"/>
                  <w:vAlign w:val="center"/>
                </w:tcPr>
                <w:p>
                  <w:pPr>
                    <w:pStyle w:val="19"/>
                    <w:jc w:val="center"/>
                    <w:rPr>
                      <w:rFonts w:ascii="Times New Roman" w:hAnsi="Times New Roman"/>
                    </w:rPr>
                  </w:pPr>
                  <w:r>
                    <w:rPr>
                      <w:rFonts w:ascii="Times New Roman" w:hAnsi="Times New Roman"/>
                    </w:rPr>
                    <w:t>470</w:t>
                  </w:r>
                </w:p>
              </w:tc>
              <w:tc>
                <w:tcPr>
                  <w:tcW w:w="435" w:type="pct"/>
                  <w:vAlign w:val="center"/>
                </w:tcPr>
                <w:p>
                  <w:pPr>
                    <w:pStyle w:val="19"/>
                    <w:jc w:val="center"/>
                    <w:rPr>
                      <w:rFonts w:ascii="Times New Roman" w:hAnsi="Times New Roman"/>
                    </w:rPr>
                  </w:pPr>
                  <w:r>
                    <w:rPr>
                      <w:rFonts w:ascii="Times New Roman" w:hAnsi="Times New Roman"/>
                    </w:rPr>
                    <w:t>350</w:t>
                  </w:r>
                </w:p>
              </w:tc>
              <w:tc>
                <w:tcPr>
                  <w:tcW w:w="430" w:type="pct"/>
                  <w:vAlign w:val="center"/>
                </w:tcPr>
                <w:p>
                  <w:pPr>
                    <w:pStyle w:val="19"/>
                    <w:jc w:val="center"/>
                    <w:rPr>
                      <w:rFonts w:ascii="Times New Roman" w:hAnsi="Times New Roman"/>
                    </w:rPr>
                  </w:pPr>
                  <w:r>
                    <w:rPr>
                      <w:rFonts w:ascii="Times New Roman" w:hAnsi="Times New Roman"/>
                    </w:rPr>
                    <w:t>380</w:t>
                  </w:r>
                </w:p>
              </w:tc>
              <w:tc>
                <w:tcPr>
                  <w:tcW w:w="431" w:type="pct"/>
                  <w:vAlign w:val="center"/>
                </w:tcPr>
                <w:p>
                  <w:pPr>
                    <w:pStyle w:val="19"/>
                    <w:jc w:val="center"/>
                    <w:rPr>
                      <w:rFonts w:ascii="Times New Roman" w:hAnsi="Times New Roman"/>
                    </w:rPr>
                  </w:pPr>
                  <w:r>
                    <w:rPr>
                      <w:rFonts w:ascii="Times New Roman" w:hAnsi="Times New Roman"/>
                    </w:rPr>
                    <w:t>250</w:t>
                  </w:r>
                </w:p>
              </w:tc>
              <w:tc>
                <w:tcPr>
                  <w:tcW w:w="435" w:type="pct"/>
                  <w:vAlign w:val="center"/>
                </w:tcPr>
                <w:p>
                  <w:pPr>
                    <w:pStyle w:val="19"/>
                    <w:jc w:val="center"/>
                    <w:rPr>
                      <w:rFonts w:ascii="Times New Roman" w:hAnsi="Times New Roman"/>
                    </w:rPr>
                  </w:pPr>
                  <w:r>
                    <w:rPr>
                      <w:rFonts w:ascii="Times New Roman" w:hAnsi="Times New Roman"/>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rPr>
                  </w:pPr>
                </w:p>
              </w:tc>
              <w:tc>
                <w:tcPr>
                  <w:tcW w:w="683" w:type="pct"/>
                  <w:vAlign w:val="center"/>
                </w:tcPr>
                <w:p>
                  <w:pPr>
                    <w:pStyle w:val="19"/>
                    <w:jc w:val="center"/>
                    <w:rPr>
                      <w:rFonts w:ascii="Times New Roman" w:hAnsi="Times New Roman"/>
                    </w:rPr>
                  </w:pPr>
                  <w:r>
                    <w:rPr>
                      <w:rStyle w:val="48"/>
                      <w:rFonts w:ascii="Times New Roman" w:hAnsi="Times New Roman"/>
                      <w:color w:val="auto"/>
                    </w:rPr>
                    <w:t>&gt;4</w:t>
                  </w:r>
                </w:p>
              </w:tc>
              <w:tc>
                <w:tcPr>
                  <w:tcW w:w="430" w:type="pct"/>
                  <w:vAlign w:val="center"/>
                </w:tcPr>
                <w:p>
                  <w:pPr>
                    <w:pStyle w:val="19"/>
                    <w:jc w:val="center"/>
                    <w:rPr>
                      <w:rFonts w:ascii="Times New Roman" w:hAnsi="Times New Roman"/>
                    </w:rPr>
                  </w:pPr>
                  <w:r>
                    <w:rPr>
                      <w:rFonts w:ascii="Times New Roman" w:hAnsi="Times New Roman"/>
                    </w:rPr>
                    <w:t>530</w:t>
                  </w:r>
                </w:p>
              </w:tc>
              <w:tc>
                <w:tcPr>
                  <w:tcW w:w="430" w:type="pct"/>
                  <w:vAlign w:val="center"/>
                </w:tcPr>
                <w:p>
                  <w:pPr>
                    <w:pStyle w:val="19"/>
                    <w:jc w:val="center"/>
                    <w:rPr>
                      <w:rFonts w:ascii="Times New Roman" w:hAnsi="Times New Roman"/>
                    </w:rPr>
                  </w:pPr>
                  <w:r>
                    <w:rPr>
                      <w:rFonts w:ascii="Times New Roman" w:hAnsi="Times New Roman"/>
                    </w:rPr>
                    <w:t>350</w:t>
                  </w:r>
                </w:p>
              </w:tc>
              <w:tc>
                <w:tcPr>
                  <w:tcW w:w="435" w:type="pct"/>
                  <w:vAlign w:val="center"/>
                </w:tcPr>
                <w:p>
                  <w:pPr>
                    <w:pStyle w:val="19"/>
                    <w:jc w:val="center"/>
                    <w:rPr>
                      <w:rFonts w:ascii="Times New Roman" w:hAnsi="Times New Roman"/>
                    </w:rPr>
                  </w:pPr>
                  <w:r>
                    <w:rPr>
                      <w:rFonts w:ascii="Times New Roman" w:hAnsi="Times New Roman"/>
                    </w:rPr>
                    <w:t>260</w:t>
                  </w:r>
                </w:p>
              </w:tc>
              <w:tc>
                <w:tcPr>
                  <w:tcW w:w="430" w:type="pct"/>
                  <w:vAlign w:val="center"/>
                </w:tcPr>
                <w:p>
                  <w:pPr>
                    <w:pStyle w:val="19"/>
                    <w:jc w:val="center"/>
                    <w:rPr>
                      <w:rFonts w:ascii="Times New Roman" w:hAnsi="Times New Roman"/>
                    </w:rPr>
                  </w:pPr>
                  <w:r>
                    <w:rPr>
                      <w:rFonts w:ascii="Times New Roman" w:hAnsi="Times New Roman"/>
                    </w:rPr>
                    <w:t>530</w:t>
                  </w:r>
                </w:p>
              </w:tc>
              <w:tc>
                <w:tcPr>
                  <w:tcW w:w="430" w:type="pct"/>
                  <w:vAlign w:val="center"/>
                </w:tcPr>
                <w:p>
                  <w:pPr>
                    <w:pStyle w:val="19"/>
                    <w:jc w:val="center"/>
                    <w:rPr>
                      <w:rFonts w:ascii="Times New Roman" w:hAnsi="Times New Roman"/>
                    </w:rPr>
                  </w:pPr>
                  <w:r>
                    <w:rPr>
                      <w:rFonts w:ascii="Times New Roman" w:hAnsi="Times New Roman"/>
                    </w:rPr>
                    <w:t>350</w:t>
                  </w:r>
                </w:p>
              </w:tc>
              <w:tc>
                <w:tcPr>
                  <w:tcW w:w="435" w:type="pct"/>
                  <w:vAlign w:val="center"/>
                </w:tcPr>
                <w:p>
                  <w:pPr>
                    <w:pStyle w:val="19"/>
                    <w:jc w:val="center"/>
                    <w:rPr>
                      <w:rFonts w:ascii="Times New Roman" w:hAnsi="Times New Roman"/>
                    </w:rPr>
                  </w:pPr>
                  <w:r>
                    <w:rPr>
                      <w:rFonts w:ascii="Times New Roman" w:hAnsi="Times New Roman"/>
                    </w:rPr>
                    <w:t>260</w:t>
                  </w:r>
                </w:p>
              </w:tc>
              <w:tc>
                <w:tcPr>
                  <w:tcW w:w="430" w:type="pct"/>
                  <w:vAlign w:val="center"/>
                </w:tcPr>
                <w:p>
                  <w:pPr>
                    <w:pStyle w:val="19"/>
                    <w:jc w:val="center"/>
                    <w:rPr>
                      <w:rFonts w:ascii="Times New Roman" w:hAnsi="Times New Roman"/>
                    </w:rPr>
                  </w:pPr>
                  <w:r>
                    <w:rPr>
                      <w:rFonts w:ascii="Times New Roman" w:hAnsi="Times New Roman"/>
                    </w:rPr>
                    <w:t>290</w:t>
                  </w:r>
                </w:p>
              </w:tc>
              <w:tc>
                <w:tcPr>
                  <w:tcW w:w="431" w:type="pct"/>
                  <w:vAlign w:val="center"/>
                </w:tcPr>
                <w:p>
                  <w:pPr>
                    <w:pStyle w:val="19"/>
                    <w:jc w:val="center"/>
                    <w:rPr>
                      <w:rFonts w:ascii="Times New Roman" w:hAnsi="Times New Roman"/>
                    </w:rPr>
                  </w:pPr>
                  <w:r>
                    <w:rPr>
                      <w:rFonts w:ascii="Times New Roman" w:hAnsi="Times New Roman"/>
                    </w:rPr>
                    <w:t>190</w:t>
                  </w:r>
                </w:p>
              </w:tc>
              <w:tc>
                <w:tcPr>
                  <w:tcW w:w="435" w:type="pct"/>
                  <w:vAlign w:val="center"/>
                </w:tcPr>
                <w:p>
                  <w:pPr>
                    <w:pStyle w:val="19"/>
                    <w:jc w:val="center"/>
                    <w:rPr>
                      <w:rFonts w:ascii="Times New Roman" w:hAnsi="Times New Roman"/>
                    </w:rPr>
                  </w:pPr>
                  <w:r>
                    <w:rPr>
                      <w:rFonts w:ascii="Times New Roman" w:hAnsi="Times New Roman"/>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pStyle w:val="19"/>
                    <w:jc w:val="center"/>
                    <w:rPr>
                      <w:rFonts w:ascii="Times New Roman" w:hAnsi="Times New Roman"/>
                    </w:rPr>
                  </w:pPr>
                  <w:r>
                    <w:rPr>
                      <w:rFonts w:ascii="Times New Roman" w:hAnsi="Times New Roman"/>
                    </w:rPr>
                    <w:t>B</w:t>
                  </w:r>
                </w:p>
              </w:tc>
              <w:tc>
                <w:tcPr>
                  <w:tcW w:w="683" w:type="pct"/>
                  <w:vAlign w:val="center"/>
                </w:tcPr>
                <w:p>
                  <w:pPr>
                    <w:pStyle w:val="19"/>
                    <w:jc w:val="center"/>
                    <w:rPr>
                      <w:rFonts w:ascii="Times New Roman" w:hAnsi="Times New Roman"/>
                    </w:rPr>
                  </w:pPr>
                  <w:r>
                    <w:rPr>
                      <w:rStyle w:val="48"/>
                      <w:rFonts w:ascii="Times New Roman" w:hAnsi="Times New Roman"/>
                      <w:color w:val="auto"/>
                    </w:rPr>
                    <w:t>&lt;2</w:t>
                  </w:r>
                </w:p>
              </w:tc>
              <w:tc>
                <w:tcPr>
                  <w:tcW w:w="1296" w:type="pct"/>
                  <w:gridSpan w:val="3"/>
                  <w:vAlign w:val="center"/>
                </w:tcPr>
                <w:p>
                  <w:pPr>
                    <w:pStyle w:val="19"/>
                    <w:jc w:val="center"/>
                    <w:rPr>
                      <w:rFonts w:ascii="Times New Roman" w:hAnsi="Times New Roman"/>
                    </w:rPr>
                  </w:pPr>
                  <w:r>
                    <w:rPr>
                      <w:rFonts w:ascii="Times New Roman" w:hAnsi="Times New Roman"/>
                    </w:rPr>
                    <w:t>0.01</w:t>
                  </w:r>
                </w:p>
              </w:tc>
              <w:tc>
                <w:tcPr>
                  <w:tcW w:w="1296" w:type="pct"/>
                  <w:gridSpan w:val="3"/>
                  <w:vAlign w:val="center"/>
                </w:tcPr>
                <w:p>
                  <w:pPr>
                    <w:pStyle w:val="19"/>
                    <w:jc w:val="center"/>
                    <w:rPr>
                      <w:rFonts w:ascii="Times New Roman" w:hAnsi="Times New Roman"/>
                    </w:rPr>
                  </w:pPr>
                  <w:r>
                    <w:rPr>
                      <w:rFonts w:ascii="Times New Roman" w:hAnsi="Times New Roman"/>
                    </w:rPr>
                    <w:t>0.015</w:t>
                  </w:r>
                </w:p>
              </w:tc>
              <w:tc>
                <w:tcPr>
                  <w:tcW w:w="1297" w:type="pct"/>
                  <w:gridSpan w:val="3"/>
                  <w:vAlign w:val="center"/>
                </w:tcPr>
                <w:p>
                  <w:pPr>
                    <w:pStyle w:val="19"/>
                    <w:jc w:val="center"/>
                    <w:rPr>
                      <w:rFonts w:ascii="Times New Roman" w:hAnsi="Times New Roman"/>
                    </w:rPr>
                  </w:pPr>
                  <w:r>
                    <w:rPr>
                      <w:rFonts w:ascii="Times New Roman" w:hAnsi="Times New Roman"/>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rPr>
                  </w:pPr>
                </w:p>
              </w:tc>
              <w:tc>
                <w:tcPr>
                  <w:tcW w:w="683" w:type="pct"/>
                  <w:vAlign w:val="center"/>
                </w:tcPr>
                <w:p>
                  <w:pPr>
                    <w:pStyle w:val="19"/>
                    <w:jc w:val="center"/>
                    <w:rPr>
                      <w:rFonts w:ascii="Times New Roman" w:hAnsi="Times New Roman"/>
                    </w:rPr>
                  </w:pPr>
                  <w:r>
                    <w:rPr>
                      <w:rStyle w:val="48"/>
                      <w:rFonts w:ascii="Times New Roman" w:hAnsi="Times New Roman"/>
                      <w:color w:val="auto"/>
                    </w:rPr>
                    <w:t>&gt;2</w:t>
                  </w:r>
                </w:p>
              </w:tc>
              <w:tc>
                <w:tcPr>
                  <w:tcW w:w="1296" w:type="pct"/>
                  <w:gridSpan w:val="3"/>
                  <w:vAlign w:val="center"/>
                </w:tcPr>
                <w:p>
                  <w:pPr>
                    <w:pStyle w:val="19"/>
                    <w:jc w:val="center"/>
                    <w:rPr>
                      <w:rFonts w:ascii="Times New Roman" w:hAnsi="Times New Roman"/>
                    </w:rPr>
                  </w:pPr>
                  <w:r>
                    <w:rPr>
                      <w:rFonts w:ascii="Times New Roman" w:hAnsi="Times New Roman"/>
                    </w:rPr>
                    <w:t>0.021</w:t>
                  </w:r>
                </w:p>
              </w:tc>
              <w:tc>
                <w:tcPr>
                  <w:tcW w:w="1296" w:type="pct"/>
                  <w:gridSpan w:val="3"/>
                  <w:vAlign w:val="center"/>
                </w:tcPr>
                <w:p>
                  <w:pPr>
                    <w:pStyle w:val="19"/>
                    <w:jc w:val="center"/>
                    <w:rPr>
                      <w:rFonts w:ascii="Times New Roman" w:hAnsi="Times New Roman"/>
                    </w:rPr>
                  </w:pPr>
                  <w:r>
                    <w:rPr>
                      <w:rFonts w:ascii="Times New Roman" w:hAnsi="Times New Roman"/>
                    </w:rPr>
                    <w:t>0.036</w:t>
                  </w:r>
                </w:p>
              </w:tc>
              <w:tc>
                <w:tcPr>
                  <w:tcW w:w="1297" w:type="pct"/>
                  <w:gridSpan w:val="3"/>
                  <w:vAlign w:val="center"/>
                </w:tcPr>
                <w:p>
                  <w:pPr>
                    <w:pStyle w:val="19"/>
                    <w:jc w:val="center"/>
                    <w:rPr>
                      <w:rFonts w:ascii="Times New Roman" w:hAnsi="Times New Roman"/>
                    </w:rPr>
                  </w:pPr>
                  <w:r>
                    <w:rPr>
                      <w:rFonts w:ascii="Times New Roman" w:hAnsi="Times New Roman"/>
                    </w:rP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pStyle w:val="19"/>
                    <w:jc w:val="center"/>
                    <w:rPr>
                      <w:rFonts w:ascii="Times New Roman" w:hAnsi="Times New Roman"/>
                    </w:rPr>
                  </w:pPr>
                  <w:r>
                    <w:rPr>
                      <w:rFonts w:ascii="Times New Roman" w:hAnsi="Times New Roman"/>
                    </w:rPr>
                    <w:t>C</w:t>
                  </w:r>
                </w:p>
              </w:tc>
              <w:tc>
                <w:tcPr>
                  <w:tcW w:w="683" w:type="pct"/>
                  <w:vAlign w:val="center"/>
                </w:tcPr>
                <w:p>
                  <w:pPr>
                    <w:pStyle w:val="19"/>
                    <w:jc w:val="center"/>
                    <w:rPr>
                      <w:rFonts w:ascii="Times New Roman" w:hAnsi="Times New Roman"/>
                    </w:rPr>
                  </w:pPr>
                  <w:r>
                    <w:rPr>
                      <w:rStyle w:val="48"/>
                      <w:rFonts w:ascii="Times New Roman" w:hAnsi="Times New Roman"/>
                      <w:color w:val="auto"/>
                    </w:rPr>
                    <w:t>&lt;2</w:t>
                  </w:r>
                </w:p>
              </w:tc>
              <w:tc>
                <w:tcPr>
                  <w:tcW w:w="1296" w:type="pct"/>
                  <w:gridSpan w:val="3"/>
                  <w:vAlign w:val="center"/>
                </w:tcPr>
                <w:p>
                  <w:pPr>
                    <w:pStyle w:val="19"/>
                    <w:jc w:val="center"/>
                    <w:rPr>
                      <w:rFonts w:ascii="Times New Roman" w:hAnsi="Times New Roman"/>
                    </w:rPr>
                  </w:pPr>
                  <w:r>
                    <w:rPr>
                      <w:rFonts w:ascii="Times New Roman" w:hAnsi="Times New Roman"/>
                    </w:rPr>
                    <w:t>1.85</w:t>
                  </w:r>
                </w:p>
              </w:tc>
              <w:tc>
                <w:tcPr>
                  <w:tcW w:w="1296" w:type="pct"/>
                  <w:gridSpan w:val="3"/>
                  <w:vAlign w:val="center"/>
                </w:tcPr>
                <w:p>
                  <w:pPr>
                    <w:pStyle w:val="19"/>
                    <w:jc w:val="center"/>
                    <w:rPr>
                      <w:rFonts w:ascii="Times New Roman" w:hAnsi="Times New Roman"/>
                    </w:rPr>
                  </w:pPr>
                  <w:r>
                    <w:rPr>
                      <w:rFonts w:ascii="Times New Roman" w:hAnsi="Times New Roman"/>
                    </w:rPr>
                    <w:t>1.79</w:t>
                  </w:r>
                </w:p>
              </w:tc>
              <w:tc>
                <w:tcPr>
                  <w:tcW w:w="1297" w:type="pct"/>
                  <w:gridSpan w:val="3"/>
                  <w:vAlign w:val="center"/>
                </w:tcPr>
                <w:p>
                  <w:pPr>
                    <w:pStyle w:val="19"/>
                    <w:jc w:val="center"/>
                    <w:rPr>
                      <w:rFonts w:ascii="Times New Roman" w:hAnsi="Times New Roman"/>
                    </w:rPr>
                  </w:pPr>
                  <w:r>
                    <w:rPr>
                      <w:rFonts w:ascii="Times New Roman" w:hAnsi="Times New Roman"/>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rPr>
                  </w:pPr>
                </w:p>
              </w:tc>
              <w:tc>
                <w:tcPr>
                  <w:tcW w:w="683" w:type="pct"/>
                  <w:vAlign w:val="center"/>
                </w:tcPr>
                <w:p>
                  <w:pPr>
                    <w:pStyle w:val="19"/>
                    <w:jc w:val="center"/>
                    <w:rPr>
                      <w:rFonts w:ascii="Times New Roman" w:hAnsi="Times New Roman"/>
                    </w:rPr>
                  </w:pPr>
                  <w:r>
                    <w:rPr>
                      <w:rStyle w:val="48"/>
                      <w:rFonts w:ascii="Times New Roman" w:hAnsi="Times New Roman"/>
                      <w:color w:val="auto"/>
                    </w:rPr>
                    <w:t>&gt;2</w:t>
                  </w:r>
                </w:p>
              </w:tc>
              <w:tc>
                <w:tcPr>
                  <w:tcW w:w="1296" w:type="pct"/>
                  <w:gridSpan w:val="3"/>
                  <w:vAlign w:val="center"/>
                </w:tcPr>
                <w:p>
                  <w:pPr>
                    <w:pStyle w:val="19"/>
                    <w:jc w:val="center"/>
                    <w:rPr>
                      <w:rFonts w:ascii="Times New Roman" w:hAnsi="Times New Roman"/>
                    </w:rPr>
                  </w:pPr>
                  <w:r>
                    <w:rPr>
                      <w:rFonts w:ascii="Times New Roman" w:hAnsi="Times New Roman"/>
                    </w:rPr>
                    <w:t>1.85</w:t>
                  </w:r>
                </w:p>
              </w:tc>
              <w:tc>
                <w:tcPr>
                  <w:tcW w:w="1296" w:type="pct"/>
                  <w:gridSpan w:val="3"/>
                  <w:vAlign w:val="center"/>
                </w:tcPr>
                <w:p>
                  <w:pPr>
                    <w:pStyle w:val="19"/>
                    <w:jc w:val="center"/>
                    <w:rPr>
                      <w:rFonts w:ascii="Times New Roman" w:hAnsi="Times New Roman"/>
                    </w:rPr>
                  </w:pPr>
                  <w:r>
                    <w:rPr>
                      <w:rFonts w:ascii="Times New Roman" w:hAnsi="Times New Roman"/>
                    </w:rPr>
                    <w:t>1.77</w:t>
                  </w:r>
                </w:p>
              </w:tc>
              <w:tc>
                <w:tcPr>
                  <w:tcW w:w="1297" w:type="pct"/>
                  <w:gridSpan w:val="3"/>
                  <w:vAlign w:val="center"/>
                </w:tcPr>
                <w:p>
                  <w:pPr>
                    <w:pStyle w:val="19"/>
                    <w:jc w:val="center"/>
                    <w:rPr>
                      <w:rFonts w:ascii="Times New Roman" w:hAnsi="Times New Roman"/>
                    </w:rPr>
                  </w:pPr>
                  <w:r>
                    <w:rPr>
                      <w:rFonts w:ascii="Times New Roman" w:hAnsi="Times New Roman"/>
                    </w:rPr>
                    <w:t>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pStyle w:val="19"/>
                    <w:jc w:val="center"/>
                    <w:rPr>
                      <w:rFonts w:ascii="Times New Roman" w:hAnsi="Times New Roman"/>
                    </w:rPr>
                  </w:pPr>
                  <w:r>
                    <w:rPr>
                      <w:rFonts w:ascii="Times New Roman" w:hAnsi="Times New Roman"/>
                    </w:rPr>
                    <w:t>D</w:t>
                  </w:r>
                </w:p>
              </w:tc>
              <w:tc>
                <w:tcPr>
                  <w:tcW w:w="683" w:type="pct"/>
                  <w:vAlign w:val="center"/>
                </w:tcPr>
                <w:p>
                  <w:pPr>
                    <w:pStyle w:val="19"/>
                    <w:jc w:val="center"/>
                    <w:rPr>
                      <w:rFonts w:ascii="Times New Roman" w:hAnsi="Times New Roman"/>
                    </w:rPr>
                  </w:pPr>
                  <w:r>
                    <w:rPr>
                      <w:rStyle w:val="48"/>
                      <w:rFonts w:ascii="Times New Roman" w:hAnsi="Times New Roman"/>
                      <w:color w:val="auto"/>
                    </w:rPr>
                    <w:t>&lt;2</w:t>
                  </w:r>
                </w:p>
              </w:tc>
              <w:tc>
                <w:tcPr>
                  <w:tcW w:w="1296" w:type="pct"/>
                  <w:gridSpan w:val="3"/>
                  <w:vAlign w:val="center"/>
                </w:tcPr>
                <w:p>
                  <w:pPr>
                    <w:pStyle w:val="19"/>
                    <w:jc w:val="center"/>
                    <w:rPr>
                      <w:rFonts w:ascii="Times New Roman" w:hAnsi="Times New Roman"/>
                    </w:rPr>
                  </w:pPr>
                  <w:r>
                    <w:rPr>
                      <w:rFonts w:ascii="Times New Roman" w:hAnsi="Times New Roman"/>
                    </w:rPr>
                    <w:t>0.78</w:t>
                  </w:r>
                </w:p>
              </w:tc>
              <w:tc>
                <w:tcPr>
                  <w:tcW w:w="1296" w:type="pct"/>
                  <w:gridSpan w:val="3"/>
                  <w:vAlign w:val="center"/>
                </w:tcPr>
                <w:p>
                  <w:pPr>
                    <w:pStyle w:val="19"/>
                    <w:jc w:val="center"/>
                    <w:rPr>
                      <w:rFonts w:ascii="Times New Roman" w:hAnsi="Times New Roman"/>
                    </w:rPr>
                  </w:pPr>
                  <w:r>
                    <w:rPr>
                      <w:rFonts w:ascii="Times New Roman" w:hAnsi="Times New Roman"/>
                    </w:rPr>
                    <w:t>0.78</w:t>
                  </w:r>
                </w:p>
              </w:tc>
              <w:tc>
                <w:tcPr>
                  <w:tcW w:w="1297" w:type="pct"/>
                  <w:gridSpan w:val="3"/>
                  <w:vAlign w:val="center"/>
                </w:tcPr>
                <w:p>
                  <w:pPr>
                    <w:pStyle w:val="19"/>
                    <w:jc w:val="center"/>
                    <w:rPr>
                      <w:rFonts w:ascii="Times New Roman" w:hAnsi="Times New Roman"/>
                    </w:rPr>
                  </w:pPr>
                  <w:r>
                    <w:rPr>
                      <w:rFonts w:ascii="Times New Roman" w:hAnsi="Times New Roman"/>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rPr>
                  </w:pPr>
                </w:p>
              </w:tc>
              <w:tc>
                <w:tcPr>
                  <w:tcW w:w="683" w:type="pct"/>
                  <w:vAlign w:val="center"/>
                </w:tcPr>
                <w:p>
                  <w:pPr>
                    <w:pStyle w:val="19"/>
                    <w:jc w:val="center"/>
                    <w:rPr>
                      <w:rFonts w:ascii="Times New Roman" w:hAnsi="Times New Roman"/>
                    </w:rPr>
                  </w:pPr>
                  <w:r>
                    <w:rPr>
                      <w:rStyle w:val="48"/>
                      <w:rFonts w:ascii="Times New Roman" w:hAnsi="Times New Roman"/>
                      <w:color w:val="auto"/>
                    </w:rPr>
                    <w:t>&gt;2</w:t>
                  </w:r>
                </w:p>
              </w:tc>
              <w:tc>
                <w:tcPr>
                  <w:tcW w:w="1296" w:type="pct"/>
                  <w:gridSpan w:val="3"/>
                  <w:vAlign w:val="center"/>
                </w:tcPr>
                <w:p>
                  <w:pPr>
                    <w:pStyle w:val="19"/>
                    <w:jc w:val="center"/>
                    <w:rPr>
                      <w:rFonts w:ascii="Times New Roman" w:hAnsi="Times New Roman"/>
                    </w:rPr>
                  </w:pPr>
                  <w:r>
                    <w:rPr>
                      <w:rFonts w:ascii="Times New Roman" w:hAnsi="Times New Roman"/>
                    </w:rPr>
                    <w:t>0.84</w:t>
                  </w:r>
                </w:p>
              </w:tc>
              <w:tc>
                <w:tcPr>
                  <w:tcW w:w="1296" w:type="pct"/>
                  <w:gridSpan w:val="3"/>
                  <w:vAlign w:val="center"/>
                </w:tcPr>
                <w:p>
                  <w:pPr>
                    <w:pStyle w:val="19"/>
                    <w:jc w:val="center"/>
                    <w:rPr>
                      <w:rFonts w:ascii="Times New Roman" w:hAnsi="Times New Roman"/>
                    </w:rPr>
                  </w:pPr>
                  <w:r>
                    <w:rPr>
                      <w:rFonts w:ascii="Times New Roman" w:hAnsi="Times New Roman"/>
                    </w:rPr>
                    <w:t>0.84</w:t>
                  </w:r>
                </w:p>
              </w:tc>
              <w:tc>
                <w:tcPr>
                  <w:tcW w:w="1297" w:type="pct"/>
                  <w:gridSpan w:val="3"/>
                  <w:vAlign w:val="center"/>
                </w:tcPr>
                <w:p>
                  <w:pPr>
                    <w:pStyle w:val="19"/>
                    <w:jc w:val="center"/>
                    <w:rPr>
                      <w:rFonts w:ascii="Times New Roman" w:hAnsi="Times New Roman"/>
                    </w:rPr>
                  </w:pPr>
                  <w:r>
                    <w:rPr>
                      <w:rFonts w:ascii="Times New Roman" w:hAnsi="Times New Roman"/>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11"/>
                  <w:vAlign w:val="center"/>
                </w:tcPr>
                <w:p>
                  <w:pPr>
                    <w:autoSpaceDE w:val="0"/>
                    <w:autoSpaceDN w:val="0"/>
                    <w:adjustRightInd w:val="0"/>
                    <w:ind w:firstLine="420" w:firstLineChars="200"/>
                    <w:rPr>
                      <w:szCs w:val="21"/>
                    </w:rPr>
                  </w:pPr>
                  <w:r>
                    <w:rPr>
                      <w:szCs w:val="21"/>
                    </w:rPr>
                    <w:t>注：</w:t>
                  </w:r>
                  <w:r>
                    <w:rPr>
                      <w:rFonts w:hint="eastAsia" w:ascii="宋体" w:hAnsi="宋体" w:cs="宋体"/>
                      <w:szCs w:val="21"/>
                    </w:rPr>
                    <w:t>Ⅰ</w:t>
                  </w:r>
                  <w:r>
                    <w:rPr>
                      <w:szCs w:val="21"/>
                    </w:rPr>
                    <w:t>类：与无组织排放源共存的排放同种有害气体的排气筒的排放量，大于标准规定的允许排放量的三分之一者。</w:t>
                  </w:r>
                </w:p>
                <w:p>
                  <w:pPr>
                    <w:autoSpaceDE w:val="0"/>
                    <w:autoSpaceDN w:val="0"/>
                    <w:adjustRightInd w:val="0"/>
                    <w:ind w:firstLine="420" w:firstLineChars="200"/>
                    <w:rPr>
                      <w:szCs w:val="21"/>
                    </w:rPr>
                  </w:pPr>
                  <w:r>
                    <w:rPr>
                      <w:rFonts w:hint="eastAsia" w:ascii="宋体" w:hAnsi="宋体" w:cs="宋体"/>
                      <w:szCs w:val="21"/>
                    </w:rPr>
                    <w:t>Ⅱ</w:t>
                  </w:r>
                  <w:r>
                    <w:rPr>
                      <w:szCs w:val="21"/>
                    </w:rPr>
                    <w:t>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autoSpaceDE w:val="0"/>
                    <w:autoSpaceDN w:val="0"/>
                    <w:adjustRightInd w:val="0"/>
                    <w:ind w:firstLine="420" w:firstLineChars="200"/>
                    <w:rPr>
                      <w:szCs w:val="21"/>
                    </w:rPr>
                  </w:pPr>
                  <w:r>
                    <w:rPr>
                      <w:rFonts w:hint="eastAsia" w:ascii="宋体" w:hAnsi="宋体" w:cs="宋体"/>
                      <w:szCs w:val="21"/>
                    </w:rPr>
                    <w:t>Ⅲ</w:t>
                  </w:r>
                  <w:r>
                    <w:rPr>
                      <w:szCs w:val="21"/>
                    </w:rPr>
                    <w:t>类：无排放同种有害物质的排气筒与无组织排放源共存，且无组织排放的有害物质的容许浓度是按慢性反应指标确定者。</w:t>
                  </w:r>
                </w:p>
              </w:tc>
            </w:tr>
          </w:tbl>
          <w:p>
            <w:pPr>
              <w:widowControl/>
              <w:adjustRightInd w:val="0"/>
              <w:snapToGrid w:val="0"/>
              <w:spacing w:line="360" w:lineRule="auto"/>
              <w:ind w:firstLine="420" w:firstLineChars="200"/>
              <w:rPr>
                <w:szCs w:val="21"/>
              </w:rPr>
            </w:pPr>
            <w:r>
              <w:rPr>
                <w:szCs w:val="21"/>
              </w:rPr>
              <w:t>本项目所在地区近5年平均风速为2.2m/s，卫生防护距离L</w:t>
            </w:r>
            <w:r>
              <w:rPr>
                <w:rFonts w:hint="eastAsia" w:ascii="宋体" w:hAnsi="宋体" w:cs="宋体"/>
                <w:szCs w:val="21"/>
              </w:rPr>
              <w:t>≦</w:t>
            </w:r>
            <w:r>
              <w:rPr>
                <w:szCs w:val="21"/>
              </w:rPr>
              <w:t>1000m，且大气污染源构成类型为</w:t>
            </w:r>
            <w:r>
              <w:rPr>
                <w:rFonts w:hint="eastAsia" w:ascii="宋体" w:hAnsi="宋体" w:cs="宋体"/>
                <w:szCs w:val="21"/>
              </w:rPr>
              <w:t>Ⅱ</w:t>
            </w:r>
            <w:r>
              <w:rPr>
                <w:szCs w:val="21"/>
              </w:rPr>
              <w:t>类，按上述卫生防护距离初值公式对本项目的卫生防护距离初值进行计算，项目卫生防护距离初值计算参数取值及具体计算结果见下表。</w:t>
            </w:r>
          </w:p>
          <w:p>
            <w:pPr>
              <w:numPr>
                <w:ilvl w:val="0"/>
                <w:numId w:val="5"/>
              </w:numPr>
              <w:adjustRightInd w:val="0"/>
              <w:snapToGrid w:val="0"/>
              <w:spacing w:line="360" w:lineRule="auto"/>
              <w:ind w:left="0"/>
              <w:jc w:val="center"/>
              <w:rPr>
                <w:b/>
                <w:szCs w:val="21"/>
              </w:rPr>
            </w:pPr>
            <w:r>
              <w:rPr>
                <w:b/>
                <w:szCs w:val="21"/>
              </w:rPr>
              <w:t>本项目卫生防护距离计算参数表</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1"/>
              <w:gridCol w:w="1448"/>
              <w:gridCol w:w="1949"/>
              <w:gridCol w:w="899"/>
              <w:gridCol w:w="1050"/>
              <w:gridCol w:w="899"/>
              <w:gridCol w:w="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714" w:type="pct"/>
                  <w:vMerge w:val="restart"/>
                  <w:vAlign w:val="center"/>
                </w:tcPr>
                <w:p>
                  <w:pPr>
                    <w:tabs>
                      <w:tab w:val="left" w:pos="0"/>
                    </w:tabs>
                    <w:jc w:val="center"/>
                    <w:rPr>
                      <w:b/>
                      <w:bCs/>
                      <w:szCs w:val="21"/>
                    </w:rPr>
                  </w:pPr>
                  <w:r>
                    <w:rPr>
                      <w:b/>
                      <w:bCs/>
                      <w:szCs w:val="21"/>
                    </w:rPr>
                    <w:t>计算系数</w:t>
                  </w:r>
                </w:p>
              </w:tc>
              <w:tc>
                <w:tcPr>
                  <w:tcW w:w="860" w:type="pct"/>
                  <w:vAlign w:val="center"/>
                </w:tcPr>
                <w:p>
                  <w:pPr>
                    <w:jc w:val="center"/>
                    <w:rPr>
                      <w:b/>
                      <w:szCs w:val="21"/>
                    </w:rPr>
                  </w:pPr>
                  <w:r>
                    <w:rPr>
                      <w:b/>
                      <w:szCs w:val="21"/>
                    </w:rPr>
                    <w:t>近5年平均风速</w:t>
                  </w:r>
                </w:p>
                <w:p>
                  <w:pPr>
                    <w:tabs>
                      <w:tab w:val="left" w:pos="0"/>
                    </w:tabs>
                    <w:jc w:val="center"/>
                    <w:rPr>
                      <w:b/>
                      <w:bCs/>
                      <w:szCs w:val="21"/>
                    </w:rPr>
                  </w:pPr>
                  <w:r>
                    <w:rPr>
                      <w:b/>
                      <w:szCs w:val="21"/>
                    </w:rPr>
                    <w:t>（m/s）</w:t>
                  </w:r>
                </w:p>
              </w:tc>
              <w:tc>
                <w:tcPr>
                  <w:tcW w:w="1158" w:type="pct"/>
                  <w:vAlign w:val="center"/>
                </w:tcPr>
                <w:p>
                  <w:pPr>
                    <w:tabs>
                      <w:tab w:val="left" w:pos="0"/>
                    </w:tabs>
                    <w:jc w:val="center"/>
                    <w:rPr>
                      <w:b/>
                      <w:bCs/>
                      <w:szCs w:val="21"/>
                    </w:rPr>
                  </w:pPr>
                  <w:r>
                    <w:rPr>
                      <w:b/>
                      <w:szCs w:val="21"/>
                    </w:rPr>
                    <w:t>工业企业大气污染源构成类别</w:t>
                  </w:r>
                </w:p>
              </w:tc>
              <w:tc>
                <w:tcPr>
                  <w:tcW w:w="534" w:type="pct"/>
                  <w:vAlign w:val="center"/>
                </w:tcPr>
                <w:p>
                  <w:pPr>
                    <w:tabs>
                      <w:tab w:val="left" w:pos="0"/>
                    </w:tabs>
                    <w:jc w:val="center"/>
                    <w:rPr>
                      <w:b/>
                      <w:bCs/>
                      <w:szCs w:val="21"/>
                    </w:rPr>
                  </w:pPr>
                  <w:r>
                    <w:rPr>
                      <w:b/>
                      <w:szCs w:val="21"/>
                    </w:rPr>
                    <w:t>A</w:t>
                  </w:r>
                </w:p>
              </w:tc>
              <w:tc>
                <w:tcPr>
                  <w:tcW w:w="624" w:type="pct"/>
                  <w:vAlign w:val="center"/>
                </w:tcPr>
                <w:p>
                  <w:pPr>
                    <w:tabs>
                      <w:tab w:val="left" w:pos="0"/>
                    </w:tabs>
                    <w:jc w:val="center"/>
                    <w:rPr>
                      <w:b/>
                      <w:bCs/>
                      <w:szCs w:val="21"/>
                    </w:rPr>
                  </w:pPr>
                  <w:r>
                    <w:rPr>
                      <w:b/>
                      <w:szCs w:val="21"/>
                    </w:rPr>
                    <w:t>B</w:t>
                  </w:r>
                </w:p>
              </w:tc>
              <w:tc>
                <w:tcPr>
                  <w:tcW w:w="534" w:type="pct"/>
                  <w:vAlign w:val="center"/>
                </w:tcPr>
                <w:p>
                  <w:pPr>
                    <w:tabs>
                      <w:tab w:val="left" w:pos="0"/>
                    </w:tabs>
                    <w:jc w:val="center"/>
                    <w:rPr>
                      <w:b/>
                      <w:bCs/>
                      <w:szCs w:val="21"/>
                    </w:rPr>
                  </w:pPr>
                  <w:r>
                    <w:rPr>
                      <w:b/>
                      <w:szCs w:val="21"/>
                    </w:rPr>
                    <w:t>C</w:t>
                  </w:r>
                </w:p>
              </w:tc>
              <w:tc>
                <w:tcPr>
                  <w:tcW w:w="576" w:type="pct"/>
                  <w:vAlign w:val="center"/>
                </w:tcPr>
                <w:p>
                  <w:pPr>
                    <w:tabs>
                      <w:tab w:val="left" w:pos="0"/>
                    </w:tabs>
                    <w:jc w:val="center"/>
                    <w:rPr>
                      <w:b/>
                      <w:bCs/>
                      <w:szCs w:val="21"/>
                    </w:rPr>
                  </w:pPr>
                  <w:r>
                    <w:rPr>
                      <w:b/>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tabs>
                      <w:tab w:val="left" w:pos="0"/>
                    </w:tabs>
                    <w:jc w:val="center"/>
                    <w:rPr>
                      <w:b/>
                      <w:bCs/>
                      <w:szCs w:val="21"/>
                    </w:rPr>
                  </w:pPr>
                </w:p>
              </w:tc>
              <w:tc>
                <w:tcPr>
                  <w:tcW w:w="860" w:type="pct"/>
                  <w:vAlign w:val="center"/>
                </w:tcPr>
                <w:p>
                  <w:pPr>
                    <w:tabs>
                      <w:tab w:val="left" w:pos="0"/>
                    </w:tabs>
                    <w:jc w:val="center"/>
                    <w:rPr>
                      <w:b/>
                      <w:bCs/>
                      <w:szCs w:val="21"/>
                    </w:rPr>
                  </w:pPr>
                  <w:r>
                    <w:rPr>
                      <w:szCs w:val="21"/>
                    </w:rPr>
                    <w:t>2.2</w:t>
                  </w:r>
                </w:p>
              </w:tc>
              <w:tc>
                <w:tcPr>
                  <w:tcW w:w="1158" w:type="pct"/>
                  <w:vAlign w:val="center"/>
                </w:tcPr>
                <w:p>
                  <w:pPr>
                    <w:tabs>
                      <w:tab w:val="left" w:pos="0"/>
                    </w:tabs>
                    <w:jc w:val="center"/>
                    <w:rPr>
                      <w:b/>
                      <w:bCs/>
                      <w:szCs w:val="21"/>
                    </w:rPr>
                  </w:pPr>
                  <w:r>
                    <w:rPr>
                      <w:rFonts w:hint="eastAsia" w:ascii="宋体" w:hAnsi="宋体" w:cs="宋体"/>
                      <w:szCs w:val="21"/>
                    </w:rPr>
                    <w:t>Ⅱ</w:t>
                  </w:r>
                </w:p>
              </w:tc>
              <w:tc>
                <w:tcPr>
                  <w:tcW w:w="534" w:type="pct"/>
                  <w:vAlign w:val="center"/>
                </w:tcPr>
                <w:p>
                  <w:pPr>
                    <w:tabs>
                      <w:tab w:val="left" w:pos="0"/>
                    </w:tabs>
                    <w:jc w:val="center"/>
                    <w:rPr>
                      <w:b/>
                      <w:bCs/>
                      <w:szCs w:val="21"/>
                    </w:rPr>
                  </w:pPr>
                  <w:r>
                    <w:rPr>
                      <w:szCs w:val="21"/>
                    </w:rPr>
                    <w:t>470</w:t>
                  </w:r>
                </w:p>
              </w:tc>
              <w:tc>
                <w:tcPr>
                  <w:tcW w:w="624" w:type="pct"/>
                  <w:vAlign w:val="center"/>
                </w:tcPr>
                <w:p>
                  <w:pPr>
                    <w:tabs>
                      <w:tab w:val="left" w:pos="0"/>
                    </w:tabs>
                    <w:jc w:val="center"/>
                    <w:rPr>
                      <w:b/>
                      <w:bCs/>
                      <w:szCs w:val="21"/>
                    </w:rPr>
                  </w:pPr>
                  <w:r>
                    <w:rPr>
                      <w:szCs w:val="21"/>
                    </w:rPr>
                    <w:t>0.021</w:t>
                  </w:r>
                </w:p>
              </w:tc>
              <w:tc>
                <w:tcPr>
                  <w:tcW w:w="534" w:type="pct"/>
                  <w:vAlign w:val="center"/>
                </w:tcPr>
                <w:p>
                  <w:pPr>
                    <w:tabs>
                      <w:tab w:val="left" w:pos="0"/>
                    </w:tabs>
                    <w:jc w:val="center"/>
                    <w:rPr>
                      <w:b/>
                      <w:bCs/>
                      <w:szCs w:val="21"/>
                    </w:rPr>
                  </w:pPr>
                  <w:r>
                    <w:rPr>
                      <w:szCs w:val="21"/>
                    </w:rPr>
                    <w:t>1.85</w:t>
                  </w:r>
                </w:p>
              </w:tc>
              <w:tc>
                <w:tcPr>
                  <w:tcW w:w="576" w:type="pct"/>
                  <w:vAlign w:val="center"/>
                </w:tcPr>
                <w:p>
                  <w:pPr>
                    <w:tabs>
                      <w:tab w:val="left" w:pos="0"/>
                    </w:tabs>
                    <w:jc w:val="center"/>
                    <w:rPr>
                      <w:b/>
                      <w:bCs/>
                      <w:szCs w:val="21"/>
                    </w:rPr>
                  </w:pPr>
                  <w:r>
                    <w:rPr>
                      <w:szCs w:val="21"/>
                    </w:rPr>
                    <w:t>0.84</w:t>
                  </w:r>
                </w:p>
              </w:tc>
            </w:tr>
          </w:tbl>
          <w:p>
            <w:pPr>
              <w:numPr>
                <w:ilvl w:val="0"/>
                <w:numId w:val="5"/>
              </w:numPr>
              <w:adjustRightInd w:val="0"/>
              <w:snapToGrid w:val="0"/>
              <w:spacing w:line="360" w:lineRule="auto"/>
              <w:ind w:left="0"/>
              <w:jc w:val="center"/>
              <w:rPr>
                <w:b/>
                <w:szCs w:val="21"/>
              </w:rPr>
            </w:pPr>
            <w:r>
              <w:rPr>
                <w:b/>
                <w:szCs w:val="21"/>
              </w:rPr>
              <w:t>本项目卫生防护距离计算初值</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1342"/>
              <w:gridCol w:w="1207"/>
              <w:gridCol w:w="1352"/>
              <w:gridCol w:w="1651"/>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Align w:val="center"/>
                </w:tcPr>
                <w:p>
                  <w:pPr>
                    <w:jc w:val="center"/>
                    <w:rPr>
                      <w:b/>
                      <w:szCs w:val="21"/>
                    </w:rPr>
                  </w:pPr>
                  <w:r>
                    <w:rPr>
                      <w:b/>
                      <w:szCs w:val="21"/>
                    </w:rPr>
                    <w:t>污染源</w:t>
                  </w:r>
                </w:p>
              </w:tc>
              <w:tc>
                <w:tcPr>
                  <w:tcW w:w="797" w:type="pct"/>
                  <w:vAlign w:val="center"/>
                </w:tcPr>
                <w:p>
                  <w:pPr>
                    <w:jc w:val="center"/>
                    <w:rPr>
                      <w:b/>
                      <w:szCs w:val="21"/>
                    </w:rPr>
                  </w:pPr>
                  <w:r>
                    <w:rPr>
                      <w:b/>
                      <w:szCs w:val="21"/>
                    </w:rPr>
                    <w:t>污染物</w:t>
                  </w:r>
                </w:p>
              </w:tc>
              <w:tc>
                <w:tcPr>
                  <w:tcW w:w="717" w:type="pct"/>
                  <w:vAlign w:val="center"/>
                </w:tcPr>
                <w:p>
                  <w:pPr>
                    <w:jc w:val="center"/>
                    <w:rPr>
                      <w:b/>
                      <w:szCs w:val="21"/>
                    </w:rPr>
                  </w:pPr>
                  <w:r>
                    <w:rPr>
                      <w:b/>
                      <w:szCs w:val="21"/>
                    </w:rPr>
                    <w:t>污染物源强（kg/h）</w:t>
                  </w:r>
                </w:p>
              </w:tc>
              <w:tc>
                <w:tcPr>
                  <w:tcW w:w="803" w:type="pct"/>
                  <w:vAlign w:val="center"/>
                </w:tcPr>
                <w:p>
                  <w:pPr>
                    <w:jc w:val="center"/>
                    <w:rPr>
                      <w:b/>
                      <w:szCs w:val="21"/>
                    </w:rPr>
                  </w:pPr>
                  <w:r>
                    <w:rPr>
                      <w:b/>
                      <w:szCs w:val="21"/>
                    </w:rPr>
                    <w:t>评价标准（mg/m</w:t>
                  </w:r>
                  <w:r>
                    <w:rPr>
                      <w:b/>
                      <w:szCs w:val="21"/>
                      <w:vertAlign w:val="superscript"/>
                    </w:rPr>
                    <w:t>3</w:t>
                  </w:r>
                  <w:r>
                    <w:rPr>
                      <w:b/>
                      <w:szCs w:val="21"/>
                    </w:rPr>
                    <w:t>）</w:t>
                  </w:r>
                </w:p>
              </w:tc>
              <w:tc>
                <w:tcPr>
                  <w:tcW w:w="981" w:type="pct"/>
                  <w:vAlign w:val="center"/>
                </w:tcPr>
                <w:p>
                  <w:pPr>
                    <w:jc w:val="center"/>
                    <w:rPr>
                      <w:b/>
                      <w:szCs w:val="21"/>
                    </w:rPr>
                  </w:pPr>
                  <w:r>
                    <w:rPr>
                      <w:b/>
                      <w:szCs w:val="21"/>
                    </w:rPr>
                    <w:t>等效半径（m）</w:t>
                  </w:r>
                </w:p>
              </w:tc>
              <w:tc>
                <w:tcPr>
                  <w:tcW w:w="1017" w:type="pct"/>
                  <w:vAlign w:val="center"/>
                </w:tcPr>
                <w:p>
                  <w:pPr>
                    <w:jc w:val="center"/>
                    <w:rPr>
                      <w:b/>
                      <w:szCs w:val="21"/>
                    </w:rPr>
                  </w:pPr>
                  <w:r>
                    <w:rPr>
                      <w:b/>
                      <w:szCs w:val="21"/>
                    </w:rPr>
                    <w:t>计算结果（m）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85" w:type="pct"/>
                  <w:vAlign w:val="center"/>
                </w:tcPr>
                <w:p>
                  <w:pPr>
                    <w:jc w:val="center"/>
                    <w:rPr>
                      <w:szCs w:val="21"/>
                    </w:rPr>
                  </w:pPr>
                  <w:r>
                    <w:rPr>
                      <w:rFonts w:hint="eastAsia"/>
                      <w:szCs w:val="21"/>
                    </w:rPr>
                    <w:t>厂房A</w:t>
                  </w:r>
                </w:p>
              </w:tc>
              <w:tc>
                <w:tcPr>
                  <w:tcW w:w="797" w:type="pct"/>
                  <w:vAlign w:val="center"/>
                </w:tcPr>
                <w:p>
                  <w:pPr>
                    <w:jc w:val="center"/>
                    <w:rPr>
                      <w:szCs w:val="21"/>
                    </w:rPr>
                  </w:pPr>
                  <w:r>
                    <w:rPr>
                      <w:rFonts w:hint="eastAsia"/>
                      <w:szCs w:val="21"/>
                    </w:rPr>
                    <w:t>T</w:t>
                  </w:r>
                  <w:r>
                    <w:rPr>
                      <w:szCs w:val="21"/>
                    </w:rPr>
                    <w:t>VOC</w:t>
                  </w:r>
                </w:p>
              </w:tc>
              <w:tc>
                <w:tcPr>
                  <w:tcW w:w="717" w:type="pct"/>
                  <w:vAlign w:val="center"/>
                </w:tcPr>
                <w:p>
                  <w:pPr>
                    <w:jc w:val="center"/>
                    <w:rPr>
                      <w:szCs w:val="21"/>
                    </w:rPr>
                  </w:pPr>
                  <w:r>
                    <w:rPr>
                      <w:szCs w:val="21"/>
                    </w:rPr>
                    <w:t>0.03671</w:t>
                  </w:r>
                </w:p>
              </w:tc>
              <w:tc>
                <w:tcPr>
                  <w:tcW w:w="803" w:type="pct"/>
                  <w:vAlign w:val="center"/>
                </w:tcPr>
                <w:p>
                  <w:pPr>
                    <w:jc w:val="center"/>
                    <w:rPr>
                      <w:szCs w:val="21"/>
                    </w:rPr>
                  </w:pPr>
                  <w:r>
                    <w:rPr>
                      <w:szCs w:val="21"/>
                    </w:rPr>
                    <w:t>1.2</w:t>
                  </w:r>
                </w:p>
              </w:tc>
              <w:tc>
                <w:tcPr>
                  <w:tcW w:w="981" w:type="pct"/>
                  <w:vAlign w:val="center"/>
                </w:tcPr>
                <w:p>
                  <w:pPr>
                    <w:jc w:val="center"/>
                    <w:rPr>
                      <w:szCs w:val="21"/>
                    </w:rPr>
                  </w:pPr>
                  <w:r>
                    <w:rPr>
                      <w:szCs w:val="21"/>
                    </w:rPr>
                    <w:t>23.94</w:t>
                  </w:r>
                </w:p>
              </w:tc>
              <w:tc>
                <w:tcPr>
                  <w:tcW w:w="1017" w:type="pct"/>
                  <w:vAlign w:val="center"/>
                </w:tcPr>
                <w:p>
                  <w:pPr>
                    <w:jc w:val="center"/>
                    <w:rPr>
                      <w:szCs w:val="21"/>
                    </w:rPr>
                  </w:pPr>
                  <w:r>
                    <w:rPr>
                      <w:szCs w:val="21"/>
                    </w:rPr>
                    <w:t>1.244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Align w:val="center"/>
                </w:tcPr>
                <w:p>
                  <w:pPr>
                    <w:jc w:val="center"/>
                    <w:rPr>
                      <w:szCs w:val="21"/>
                    </w:rPr>
                  </w:pPr>
                  <w:r>
                    <w:rPr>
                      <w:rFonts w:hint="eastAsia"/>
                      <w:szCs w:val="21"/>
                    </w:rPr>
                    <w:t>厂房</w:t>
                  </w:r>
                  <w:r>
                    <w:rPr>
                      <w:szCs w:val="21"/>
                    </w:rPr>
                    <w:t>B</w:t>
                  </w:r>
                </w:p>
              </w:tc>
              <w:tc>
                <w:tcPr>
                  <w:tcW w:w="797" w:type="pct"/>
                  <w:vAlign w:val="center"/>
                </w:tcPr>
                <w:p>
                  <w:pPr>
                    <w:jc w:val="center"/>
                    <w:rPr>
                      <w:szCs w:val="21"/>
                    </w:rPr>
                  </w:pPr>
                  <w:r>
                    <w:rPr>
                      <w:rFonts w:hint="eastAsia"/>
                      <w:szCs w:val="21"/>
                    </w:rPr>
                    <w:t>T</w:t>
                  </w:r>
                  <w:r>
                    <w:rPr>
                      <w:szCs w:val="21"/>
                    </w:rPr>
                    <w:t>VOC</w:t>
                  </w:r>
                </w:p>
              </w:tc>
              <w:tc>
                <w:tcPr>
                  <w:tcW w:w="717" w:type="pct"/>
                  <w:vAlign w:val="center"/>
                </w:tcPr>
                <w:p>
                  <w:pPr>
                    <w:jc w:val="center"/>
                    <w:rPr>
                      <w:szCs w:val="21"/>
                    </w:rPr>
                  </w:pPr>
                  <w:r>
                    <w:rPr>
                      <w:rFonts w:hint="eastAsia"/>
                      <w:szCs w:val="21"/>
                    </w:rPr>
                    <w:t>0.0367</w:t>
                  </w:r>
                </w:p>
              </w:tc>
              <w:tc>
                <w:tcPr>
                  <w:tcW w:w="803" w:type="pct"/>
                  <w:vAlign w:val="center"/>
                </w:tcPr>
                <w:p>
                  <w:pPr>
                    <w:jc w:val="center"/>
                    <w:rPr>
                      <w:szCs w:val="21"/>
                    </w:rPr>
                  </w:pPr>
                  <w:r>
                    <w:rPr>
                      <w:rFonts w:hint="eastAsia"/>
                      <w:szCs w:val="21"/>
                    </w:rPr>
                    <w:t>1.2</w:t>
                  </w:r>
                </w:p>
              </w:tc>
              <w:tc>
                <w:tcPr>
                  <w:tcW w:w="981" w:type="pct"/>
                  <w:vAlign w:val="center"/>
                </w:tcPr>
                <w:p>
                  <w:pPr>
                    <w:jc w:val="center"/>
                    <w:rPr>
                      <w:szCs w:val="21"/>
                    </w:rPr>
                  </w:pPr>
                  <w:r>
                    <w:rPr>
                      <w:rFonts w:hint="eastAsia"/>
                      <w:szCs w:val="21"/>
                    </w:rPr>
                    <w:t>31.51</w:t>
                  </w:r>
                </w:p>
              </w:tc>
              <w:tc>
                <w:tcPr>
                  <w:tcW w:w="1017" w:type="pct"/>
                  <w:vAlign w:val="center"/>
                </w:tcPr>
                <w:p>
                  <w:pPr>
                    <w:jc w:val="center"/>
                    <w:rPr>
                      <w:szCs w:val="21"/>
                    </w:rPr>
                  </w:pPr>
                  <w:r>
                    <w:rPr>
                      <w:rFonts w:hint="eastAsia"/>
                      <w:szCs w:val="21"/>
                    </w:rPr>
                    <w:t>0.896</w:t>
                  </w:r>
                </w:p>
              </w:tc>
            </w:tr>
          </w:tbl>
          <w:p>
            <w:pPr>
              <w:adjustRightInd w:val="0"/>
              <w:snapToGrid w:val="0"/>
              <w:spacing w:line="360" w:lineRule="auto"/>
              <w:ind w:firstLine="422" w:firstLineChars="200"/>
              <w:rPr>
                <w:b/>
                <w:bCs/>
                <w:szCs w:val="21"/>
              </w:rPr>
            </w:pPr>
            <w:r>
              <w:rPr>
                <w:b/>
                <w:bCs/>
                <w:szCs w:val="21"/>
              </w:rPr>
              <w:t>（3）卫生防护距离终值的确定</w:t>
            </w:r>
          </w:p>
          <w:p>
            <w:pPr>
              <w:spacing w:line="360" w:lineRule="auto"/>
              <w:ind w:firstLine="420" w:firstLineChars="200"/>
              <w:rPr>
                <w:bCs/>
                <w:szCs w:val="21"/>
              </w:rPr>
            </w:pPr>
            <w:r>
              <w:rPr>
                <w:rFonts w:hint="eastAsia"/>
                <w:szCs w:val="21"/>
              </w:rPr>
              <w:t>本项目厂房A</w:t>
            </w:r>
            <w:r>
              <w:rPr>
                <w:szCs w:val="21"/>
              </w:rPr>
              <w:t>卫生防护距离计算初值为1.244</w:t>
            </w:r>
            <w:r>
              <w:rPr>
                <w:rFonts w:hint="eastAsia"/>
                <w:szCs w:val="21"/>
              </w:rPr>
              <w:t>米</w:t>
            </w:r>
            <w:r>
              <w:rPr>
                <w:szCs w:val="21"/>
              </w:rPr>
              <w:t>，根据《大气有害物质无组织排放卫生防护距离推导技术导则》（GB/T39499-2020）</w:t>
            </w:r>
            <w:r>
              <w:rPr>
                <w:rFonts w:hint="eastAsia"/>
                <w:szCs w:val="21"/>
              </w:rPr>
              <w:t>6.1.1的</w:t>
            </w:r>
            <w:r>
              <w:rPr>
                <w:szCs w:val="21"/>
              </w:rPr>
              <w:t>规定</w:t>
            </w:r>
            <w:r>
              <w:rPr>
                <w:rFonts w:hint="eastAsia"/>
                <w:szCs w:val="21"/>
              </w:rPr>
              <w:t>：</w:t>
            </w:r>
            <w:r>
              <w:rPr>
                <w:szCs w:val="21"/>
              </w:rPr>
              <w:t>卫生防护距离初值</w:t>
            </w:r>
            <w:r>
              <w:rPr>
                <w:rFonts w:hint="eastAsia"/>
                <w:szCs w:val="21"/>
              </w:rPr>
              <w:t>小于50m时</w:t>
            </w:r>
            <w:r>
              <w:rPr>
                <w:szCs w:val="21"/>
              </w:rPr>
              <w:t>，级差为</w:t>
            </w:r>
            <w:r>
              <w:rPr>
                <w:rFonts w:hint="eastAsia"/>
                <w:szCs w:val="21"/>
              </w:rPr>
              <w:t>50m，</w:t>
            </w:r>
            <w:r>
              <w:rPr>
                <w:szCs w:val="21"/>
              </w:rPr>
              <w:t>如计算初值</w:t>
            </w:r>
            <w:r>
              <w:rPr>
                <w:rFonts w:hint="eastAsia"/>
                <w:szCs w:val="21"/>
              </w:rPr>
              <w:t>小于</w:t>
            </w:r>
            <w:r>
              <w:rPr>
                <w:szCs w:val="21"/>
              </w:rPr>
              <w:t>50m，卫生防护距离终值取50m，因此本项目</w:t>
            </w:r>
            <w:r>
              <w:rPr>
                <w:rFonts w:hint="eastAsia"/>
                <w:szCs w:val="21"/>
              </w:rPr>
              <w:t>厂房A</w:t>
            </w:r>
            <w:r>
              <w:rPr>
                <w:bCs/>
                <w:szCs w:val="21"/>
              </w:rPr>
              <w:t>卫生防护距离为50米。</w:t>
            </w:r>
          </w:p>
          <w:p>
            <w:pPr>
              <w:spacing w:line="360" w:lineRule="auto"/>
              <w:ind w:firstLine="420" w:firstLineChars="200"/>
              <w:rPr>
                <w:bCs/>
                <w:szCs w:val="21"/>
              </w:rPr>
            </w:pPr>
            <w:r>
              <w:rPr>
                <w:rFonts w:hint="eastAsia"/>
                <w:szCs w:val="21"/>
              </w:rPr>
              <w:t>本项目厂房</w:t>
            </w:r>
            <w:r>
              <w:rPr>
                <w:szCs w:val="21"/>
              </w:rPr>
              <w:t>B卫生防护距离计算初值为0.896</w:t>
            </w:r>
            <w:r>
              <w:rPr>
                <w:rFonts w:hint="eastAsia"/>
                <w:szCs w:val="21"/>
              </w:rPr>
              <w:t>米</w:t>
            </w:r>
            <w:r>
              <w:rPr>
                <w:szCs w:val="21"/>
              </w:rPr>
              <w:t>，根据《大气有害物质无组织排放卫生防护距离推导技术导则》（GB/T39499-2020）</w:t>
            </w:r>
            <w:r>
              <w:rPr>
                <w:rFonts w:hint="eastAsia"/>
                <w:szCs w:val="21"/>
              </w:rPr>
              <w:t>6.1.1的</w:t>
            </w:r>
            <w:r>
              <w:rPr>
                <w:szCs w:val="21"/>
              </w:rPr>
              <w:t>规定</w:t>
            </w:r>
            <w:r>
              <w:rPr>
                <w:rFonts w:hint="eastAsia"/>
                <w:szCs w:val="21"/>
              </w:rPr>
              <w:t>：</w:t>
            </w:r>
            <w:r>
              <w:rPr>
                <w:szCs w:val="21"/>
              </w:rPr>
              <w:t>卫生防护距离初值</w:t>
            </w:r>
            <w:r>
              <w:rPr>
                <w:rFonts w:hint="eastAsia"/>
                <w:szCs w:val="21"/>
              </w:rPr>
              <w:t>小于50m时</w:t>
            </w:r>
            <w:r>
              <w:rPr>
                <w:szCs w:val="21"/>
              </w:rPr>
              <w:t>，级差为</w:t>
            </w:r>
            <w:r>
              <w:rPr>
                <w:rFonts w:hint="eastAsia"/>
                <w:szCs w:val="21"/>
              </w:rPr>
              <w:t>50m，</w:t>
            </w:r>
            <w:r>
              <w:rPr>
                <w:szCs w:val="21"/>
              </w:rPr>
              <w:t>如计算初值</w:t>
            </w:r>
            <w:r>
              <w:rPr>
                <w:rFonts w:hint="eastAsia"/>
                <w:szCs w:val="21"/>
              </w:rPr>
              <w:t>小于</w:t>
            </w:r>
            <w:r>
              <w:rPr>
                <w:szCs w:val="21"/>
              </w:rPr>
              <w:t>50m，卫生防护距离终值取50m，因此本项目</w:t>
            </w:r>
            <w:r>
              <w:rPr>
                <w:rFonts w:hint="eastAsia"/>
                <w:szCs w:val="21"/>
              </w:rPr>
              <w:t>厂房</w:t>
            </w:r>
            <w:r>
              <w:rPr>
                <w:szCs w:val="21"/>
              </w:rPr>
              <w:t>B</w:t>
            </w:r>
            <w:r>
              <w:rPr>
                <w:bCs/>
                <w:szCs w:val="21"/>
              </w:rPr>
              <w:t>卫生防护距离为50米。</w:t>
            </w:r>
          </w:p>
          <w:p>
            <w:pPr>
              <w:pStyle w:val="80"/>
              <w:spacing w:line="360" w:lineRule="auto"/>
              <w:ind w:firstLine="420"/>
              <w:rPr>
                <w:bCs/>
                <w:kern w:val="2"/>
                <w:sz w:val="21"/>
                <w:szCs w:val="21"/>
              </w:rPr>
            </w:pPr>
            <w:r>
              <w:rPr>
                <w:sz w:val="21"/>
                <w:szCs w:val="21"/>
              </w:rPr>
              <w:t>根据现场踏勘，本项目</w:t>
            </w:r>
            <w:r>
              <w:rPr>
                <w:rFonts w:hint="eastAsia"/>
                <w:sz w:val="21"/>
                <w:szCs w:val="21"/>
              </w:rPr>
              <w:t>厂房A和</w:t>
            </w:r>
            <w:r>
              <w:rPr>
                <w:sz w:val="21"/>
                <w:szCs w:val="21"/>
              </w:rPr>
              <w:t>厂房</w:t>
            </w:r>
            <w:r>
              <w:rPr>
                <w:rFonts w:hint="eastAsia"/>
                <w:sz w:val="21"/>
                <w:szCs w:val="21"/>
              </w:rPr>
              <w:t>B周边50米</w:t>
            </w:r>
            <w:r>
              <w:rPr>
                <w:sz w:val="21"/>
                <w:szCs w:val="21"/>
              </w:rPr>
              <w:t>范围内均无敏感点，符合卫生防护距离要求</w:t>
            </w:r>
            <w:r>
              <w:rPr>
                <w:bCs/>
                <w:sz w:val="21"/>
                <w:szCs w:val="21"/>
              </w:rPr>
              <w:t>。本项目卫生防护距离包络线图见</w:t>
            </w:r>
            <w:r>
              <w:rPr>
                <w:sz w:val="21"/>
                <w:szCs w:val="21"/>
              </w:rPr>
              <w:t>附图6</w:t>
            </w:r>
            <w:r>
              <w:rPr>
                <w:bCs/>
                <w:sz w:val="21"/>
                <w:szCs w:val="21"/>
              </w:rPr>
              <w:t>。</w:t>
            </w:r>
          </w:p>
          <w:p>
            <w:pPr>
              <w:snapToGrid w:val="0"/>
              <w:spacing w:line="360" w:lineRule="auto"/>
              <w:ind w:firstLine="422" w:firstLineChars="200"/>
              <w:rPr>
                <w:b/>
                <w:szCs w:val="21"/>
              </w:rPr>
            </w:pPr>
            <w:r>
              <w:rPr>
                <w:rFonts w:hint="eastAsia"/>
                <w:b/>
                <w:szCs w:val="21"/>
              </w:rPr>
              <w:t>2</w:t>
            </w:r>
            <w:r>
              <w:rPr>
                <w:b/>
                <w:szCs w:val="21"/>
              </w:rPr>
              <w:t>、废水</w:t>
            </w:r>
          </w:p>
          <w:p>
            <w:pPr>
              <w:widowControl/>
              <w:spacing w:line="360" w:lineRule="auto"/>
              <w:ind w:firstLine="422" w:firstLineChars="200"/>
              <w:rPr>
                <w:b/>
                <w:bCs/>
                <w:szCs w:val="21"/>
              </w:rPr>
            </w:pPr>
            <w:r>
              <w:rPr>
                <w:b/>
                <w:bCs/>
                <w:szCs w:val="21"/>
              </w:rPr>
              <w:t>（1）废水源强</w:t>
            </w:r>
          </w:p>
          <w:p>
            <w:pPr>
              <w:widowControl/>
              <w:adjustRightInd w:val="0"/>
              <w:snapToGrid w:val="0"/>
              <w:spacing w:line="360" w:lineRule="auto"/>
              <w:ind w:firstLine="420" w:firstLineChars="200"/>
              <w:rPr>
                <w:szCs w:val="21"/>
              </w:rPr>
            </w:pPr>
            <w:r>
              <w:rPr>
                <w:rFonts w:hint="eastAsia"/>
                <w:bCs/>
                <w:kern w:val="0"/>
                <w:szCs w:val="21"/>
              </w:rPr>
              <w:t>项目</w:t>
            </w:r>
            <w:r>
              <w:rPr>
                <w:bCs/>
                <w:kern w:val="0"/>
                <w:szCs w:val="21"/>
              </w:rPr>
              <w:t>主要生产用水为超清清洗用水，</w:t>
            </w:r>
            <w:r>
              <w:rPr>
                <w:rFonts w:hint="eastAsia"/>
                <w:bCs/>
                <w:kern w:val="0"/>
                <w:szCs w:val="21"/>
              </w:rPr>
              <w:t>根据</w:t>
            </w:r>
            <w:r>
              <w:rPr>
                <w:bCs/>
                <w:kern w:val="0"/>
                <w:szCs w:val="21"/>
              </w:rPr>
              <w:t>前文工程分析核算，</w:t>
            </w:r>
            <w:r>
              <w:rPr>
                <w:szCs w:val="21"/>
              </w:rPr>
              <w:t>项目</w:t>
            </w:r>
            <w:r>
              <w:rPr>
                <w:rFonts w:hint="eastAsia"/>
                <w:szCs w:val="21"/>
              </w:rPr>
              <w:t>超声</w:t>
            </w:r>
            <w:r>
              <w:rPr>
                <w:szCs w:val="21"/>
              </w:rPr>
              <w:t>清洗用水量为0.34t，</w:t>
            </w:r>
            <w:r>
              <w:rPr>
                <w:rFonts w:hint="eastAsia"/>
                <w:szCs w:val="21"/>
              </w:rPr>
              <w:t>项目清洗</w:t>
            </w:r>
            <w:r>
              <w:rPr>
                <w:szCs w:val="21"/>
              </w:rPr>
              <w:t>用水</w:t>
            </w:r>
            <w:r>
              <w:rPr>
                <w:rFonts w:hint="eastAsia"/>
                <w:szCs w:val="21"/>
              </w:rPr>
              <w:t>为</w:t>
            </w:r>
            <w:r>
              <w:rPr>
                <w:szCs w:val="21"/>
              </w:rPr>
              <w:t>自来水，无需添加清洗剂，主要目的是除去产品表面少量灰尘，清洗废水中主要污染物为</w:t>
            </w:r>
            <w:r>
              <w:rPr>
                <w:rFonts w:hint="eastAsia"/>
                <w:szCs w:val="21"/>
              </w:rPr>
              <w:t>SS，</w:t>
            </w:r>
            <w:r>
              <w:rPr>
                <w:szCs w:val="21"/>
              </w:rPr>
              <w:t>经</w:t>
            </w:r>
            <w:r>
              <w:rPr>
                <w:rFonts w:hint="eastAsia"/>
                <w:szCs w:val="21"/>
              </w:rPr>
              <w:t>配套</w:t>
            </w:r>
            <w:r>
              <w:rPr>
                <w:szCs w:val="21"/>
              </w:rPr>
              <w:t>过滤设施过滤处理后循环使用，</w:t>
            </w:r>
            <w:r>
              <w:rPr>
                <w:rFonts w:hint="eastAsia"/>
                <w:szCs w:val="21"/>
              </w:rPr>
              <w:t>每天</w:t>
            </w:r>
            <w:r>
              <w:rPr>
                <w:szCs w:val="21"/>
              </w:rPr>
              <w:t>补充损耗约</w:t>
            </w:r>
            <w:r>
              <w:rPr>
                <w:rFonts w:hint="eastAsia"/>
                <w:szCs w:val="21"/>
              </w:rPr>
              <w:t>5</w:t>
            </w:r>
            <w:r>
              <w:rPr>
                <w:szCs w:val="21"/>
              </w:rPr>
              <w:t>%，则每天补充新鲜水量约</w:t>
            </w:r>
            <w:r>
              <w:rPr>
                <w:rFonts w:hint="eastAsia"/>
                <w:szCs w:val="21"/>
              </w:rPr>
              <w:t>0.017t/d，</w:t>
            </w:r>
            <w:r>
              <w:rPr>
                <w:szCs w:val="21"/>
              </w:rPr>
              <w:t>年补充水量约</w:t>
            </w:r>
            <w:r>
              <w:rPr>
                <w:rFonts w:hint="eastAsia"/>
                <w:szCs w:val="21"/>
              </w:rPr>
              <w:t>5.1</w:t>
            </w:r>
            <w:r>
              <w:rPr>
                <w:szCs w:val="21"/>
              </w:rPr>
              <w:t>t/a</w:t>
            </w:r>
            <w:r>
              <w:rPr>
                <w:rFonts w:hint="eastAsia"/>
                <w:szCs w:val="21"/>
              </w:rPr>
              <w:t>。</w:t>
            </w:r>
          </w:p>
          <w:p>
            <w:pPr>
              <w:widowControl/>
              <w:adjustRightInd w:val="0"/>
              <w:snapToGrid w:val="0"/>
              <w:spacing w:line="360" w:lineRule="auto"/>
              <w:ind w:firstLine="420" w:firstLineChars="200"/>
              <w:rPr>
                <w:szCs w:val="21"/>
              </w:rPr>
            </w:pPr>
            <w:r>
              <w:rPr>
                <w:rFonts w:hint="eastAsia"/>
                <w:szCs w:val="21"/>
              </w:rPr>
              <w:t>项目</w:t>
            </w:r>
            <w:r>
              <w:rPr>
                <w:szCs w:val="21"/>
              </w:rPr>
              <w:t>超声清洗用水约</w:t>
            </w:r>
            <w:r>
              <w:rPr>
                <w:rFonts w:hint="eastAsia"/>
                <w:szCs w:val="21"/>
              </w:rPr>
              <w:t>20天整体</w:t>
            </w:r>
            <w:r>
              <w:rPr>
                <w:szCs w:val="21"/>
              </w:rPr>
              <w:t>更换</w:t>
            </w:r>
            <w:r>
              <w:rPr>
                <w:rFonts w:hint="eastAsia"/>
                <w:szCs w:val="21"/>
              </w:rPr>
              <w:t>1次</w:t>
            </w:r>
            <w:r>
              <w:rPr>
                <w:szCs w:val="21"/>
              </w:rPr>
              <w:t>，年工作</w:t>
            </w:r>
            <w:r>
              <w:rPr>
                <w:rFonts w:hint="eastAsia"/>
                <w:szCs w:val="21"/>
              </w:rPr>
              <w:t>300天</w:t>
            </w:r>
            <w:r>
              <w:rPr>
                <w:szCs w:val="21"/>
              </w:rPr>
              <w:t>，年更换</w:t>
            </w:r>
            <w:r>
              <w:rPr>
                <w:rFonts w:hint="eastAsia"/>
                <w:szCs w:val="21"/>
              </w:rPr>
              <w:t>15次</w:t>
            </w:r>
            <w:r>
              <w:rPr>
                <w:szCs w:val="21"/>
              </w:rPr>
              <w:t>，更换的</w:t>
            </w:r>
            <w:r>
              <w:rPr>
                <w:rFonts w:hint="eastAsia"/>
                <w:szCs w:val="21"/>
              </w:rPr>
              <w:t>超声</w:t>
            </w:r>
            <w:r>
              <w:rPr>
                <w:szCs w:val="21"/>
              </w:rPr>
              <w:t>清洗废水</w:t>
            </w:r>
            <w:r>
              <w:rPr>
                <w:rFonts w:hint="eastAsia"/>
                <w:szCs w:val="21"/>
              </w:rPr>
              <w:t>约5.1t/a，委托</w:t>
            </w:r>
            <w:r>
              <w:rPr>
                <w:szCs w:val="21"/>
              </w:rPr>
              <w:t>有资质单位处理，不外排。</w:t>
            </w:r>
          </w:p>
          <w:p>
            <w:pPr>
              <w:adjustRightInd w:val="0"/>
              <w:snapToGrid w:val="0"/>
              <w:spacing w:line="360" w:lineRule="auto"/>
              <w:ind w:firstLine="420" w:firstLineChars="200"/>
              <w:rPr>
                <w:szCs w:val="21"/>
              </w:rPr>
            </w:pPr>
            <w:r>
              <w:rPr>
                <w:szCs w:val="21"/>
              </w:rPr>
              <w:t>项目废气收集后经“喷淋塔+干式除雾器+两级活性炭吸附”装置处理，项目共设置2</w:t>
            </w:r>
            <w:r>
              <w:rPr>
                <w:rFonts w:hint="eastAsia"/>
                <w:szCs w:val="21"/>
              </w:rPr>
              <w:t>个</w:t>
            </w:r>
            <w:r>
              <w:rPr>
                <w:szCs w:val="21"/>
              </w:rPr>
              <w:t>喷淋塔，</w:t>
            </w:r>
            <w:r>
              <w:rPr>
                <w:rFonts w:hint="eastAsia"/>
                <w:szCs w:val="21"/>
              </w:rPr>
              <w:t>单个</w:t>
            </w:r>
            <w:r>
              <w:rPr>
                <w:szCs w:val="21"/>
              </w:rPr>
              <w:t>喷淋塔储水量为2m</w:t>
            </w:r>
            <w:r>
              <w:rPr>
                <w:szCs w:val="21"/>
                <w:vertAlign w:val="superscript"/>
              </w:rPr>
              <w:t>3</w:t>
            </w:r>
            <w:r>
              <w:rPr>
                <w:szCs w:val="21"/>
              </w:rPr>
              <w:t>，</w:t>
            </w:r>
            <w:r>
              <w:rPr>
                <w:rFonts w:hint="eastAsia"/>
                <w:szCs w:val="21"/>
              </w:rPr>
              <w:t>则</w:t>
            </w:r>
            <w:r>
              <w:rPr>
                <w:szCs w:val="21"/>
              </w:rPr>
              <w:t>喷淋塔总储水量为4m</w:t>
            </w:r>
            <w:r>
              <w:rPr>
                <w:szCs w:val="21"/>
                <w:vertAlign w:val="superscript"/>
              </w:rPr>
              <w:t>3</w:t>
            </w:r>
            <w:r>
              <w:rPr>
                <w:rFonts w:hint="eastAsia"/>
                <w:szCs w:val="21"/>
              </w:rPr>
              <w:t>。</w:t>
            </w:r>
            <w:r>
              <w:rPr>
                <w:szCs w:val="21"/>
              </w:rPr>
              <w:t>喷淋塔塔用水对水质要求不高，项目喷淋塔水箱设置过滤设施，喷淋塔用水经过滤除渣后可循环使用，</w:t>
            </w:r>
            <w:r>
              <w:rPr>
                <w:rFonts w:hint="eastAsia"/>
                <w:szCs w:val="21"/>
              </w:rPr>
              <w:t>单个</w:t>
            </w:r>
            <w:r>
              <w:rPr>
                <w:szCs w:val="21"/>
              </w:rPr>
              <w:t>喷淋塔循环水量约5m</w:t>
            </w:r>
            <w:r>
              <w:rPr>
                <w:szCs w:val="21"/>
                <w:vertAlign w:val="superscript"/>
              </w:rPr>
              <w:t>3</w:t>
            </w:r>
            <w:r>
              <w:rPr>
                <w:szCs w:val="21"/>
              </w:rPr>
              <w:t>/h，项目日开工8小时，则每日循环水量约 80m</w:t>
            </w:r>
            <w:r>
              <w:rPr>
                <w:szCs w:val="21"/>
                <w:vertAlign w:val="superscript"/>
              </w:rPr>
              <w:t>3</w:t>
            </w:r>
            <w:r>
              <w:rPr>
                <w:szCs w:val="21"/>
              </w:rPr>
              <w:t>/d，由于蒸发损耗及废气带走，每天需补充</w:t>
            </w:r>
            <w:r>
              <w:rPr>
                <w:rFonts w:hint="eastAsia"/>
                <w:szCs w:val="21"/>
              </w:rPr>
              <w:t>新鲜水</w:t>
            </w:r>
            <w:r>
              <w:rPr>
                <w:szCs w:val="21"/>
              </w:rPr>
              <w:t>，</w:t>
            </w:r>
            <w:r>
              <w:t>参考《建筑给水排水设计标准》（GB50015-2019）3.11.14，补充水量应按</w:t>
            </w:r>
            <w:r>
              <w:rPr>
                <w:rFonts w:hint="eastAsia"/>
              </w:rPr>
              <w:t>储水量</w:t>
            </w:r>
            <w:r>
              <w:t>的1~2%计算，本项目取2%，</w:t>
            </w:r>
            <w:r>
              <w:rPr>
                <w:szCs w:val="21"/>
              </w:rPr>
              <w:t>则每日补充水量约0.08m</w:t>
            </w:r>
            <w:r>
              <w:rPr>
                <w:szCs w:val="21"/>
                <w:vertAlign w:val="superscript"/>
              </w:rPr>
              <w:t>3</w:t>
            </w:r>
            <w:r>
              <w:rPr>
                <w:szCs w:val="21"/>
              </w:rPr>
              <w:t>，年工作 300天，年补充水量24m</w:t>
            </w:r>
            <w:r>
              <w:rPr>
                <w:szCs w:val="21"/>
                <w:vertAlign w:val="superscript"/>
              </w:rPr>
              <w:t>3</w:t>
            </w:r>
            <w:r>
              <w:t>。</w:t>
            </w:r>
            <w:r>
              <w:rPr>
                <w:rFonts w:hint="eastAsia"/>
              </w:rPr>
              <w:t>喷淋塔用水循环使用，不外排，喷淋塔沉渣定期打捞交专业回收单位回收处理</w:t>
            </w:r>
            <w:r>
              <w:rPr>
                <w:szCs w:val="21"/>
              </w:rPr>
              <w:t>。</w:t>
            </w:r>
          </w:p>
          <w:p>
            <w:pPr>
              <w:spacing w:line="360" w:lineRule="auto"/>
              <w:ind w:firstLine="420" w:firstLineChars="200"/>
              <w:rPr>
                <w:szCs w:val="21"/>
              </w:rPr>
            </w:pPr>
            <w:r>
              <w:rPr>
                <w:szCs w:val="21"/>
              </w:rPr>
              <w:t>项目主要外排废水为员工生活污水，项目员工</w:t>
            </w:r>
            <w:r>
              <w:t>186人，</w:t>
            </w:r>
            <w:r>
              <w:rPr>
                <w:rFonts w:hint="eastAsia"/>
              </w:rPr>
              <w:t>均在项目</w:t>
            </w:r>
            <w:r>
              <w:t>内食宿，年工作日300d，</w:t>
            </w:r>
            <w:r>
              <w:rPr>
                <w:rFonts w:hint="eastAsia"/>
                <w:kern w:val="0"/>
              </w:rPr>
              <w:t>根据《关于调整城市规模划分标准的通知》（国发〔2014〕51号），项目所在行政区惠州市常住人口为604.29万人，属于特大城市，员工生活用水量参照《用水定额 第3部分：生活》（DB44/T1461.3-2021）， “特大城市-城镇居民”生活用水量175L/（人·d）计，则本项目员工生活用水量为</w:t>
            </w:r>
            <w:r>
              <w:rPr>
                <w:kern w:val="0"/>
              </w:rPr>
              <w:t>32.55</w:t>
            </w:r>
            <w:r>
              <w:rPr>
                <w:rFonts w:hint="eastAsia"/>
                <w:kern w:val="0"/>
              </w:rPr>
              <w:t>m</w:t>
            </w:r>
            <w:r>
              <w:rPr>
                <w:rFonts w:hint="eastAsia"/>
                <w:kern w:val="0"/>
                <w:vertAlign w:val="superscript"/>
              </w:rPr>
              <w:t>3</w:t>
            </w:r>
            <w:r>
              <w:rPr>
                <w:rFonts w:hint="eastAsia"/>
                <w:kern w:val="0"/>
              </w:rPr>
              <w:t>/d，</w:t>
            </w:r>
            <w:r>
              <w:rPr>
                <w:kern w:val="0"/>
              </w:rPr>
              <w:t>9765</w:t>
            </w:r>
            <w:r>
              <w:rPr>
                <w:rFonts w:hint="eastAsia"/>
                <w:kern w:val="0"/>
              </w:rPr>
              <w:t>m</w:t>
            </w:r>
            <w:r>
              <w:rPr>
                <w:rFonts w:hint="eastAsia"/>
                <w:kern w:val="0"/>
                <w:vertAlign w:val="superscript"/>
              </w:rPr>
              <w:t>3</w:t>
            </w:r>
            <w:r>
              <w:rPr>
                <w:rFonts w:hint="eastAsia"/>
                <w:kern w:val="0"/>
              </w:rPr>
              <w:t>/a（以</w:t>
            </w:r>
            <w:r>
              <w:rPr>
                <w:kern w:val="0"/>
              </w:rPr>
              <w:t>300</w:t>
            </w:r>
            <w:r>
              <w:rPr>
                <w:rFonts w:hint="eastAsia"/>
                <w:kern w:val="0"/>
              </w:rPr>
              <w:t>天计算）。</w:t>
            </w:r>
            <w:r>
              <w:rPr>
                <w:kern w:val="0"/>
              </w:rPr>
              <w:t>排污系数为0.8，因此员工生活污水排放量为7812m</w:t>
            </w:r>
            <w:r>
              <w:rPr>
                <w:kern w:val="0"/>
                <w:vertAlign w:val="superscript"/>
              </w:rPr>
              <w:t>3</w:t>
            </w:r>
            <w:r>
              <w:rPr>
                <w:kern w:val="0"/>
              </w:rPr>
              <w:t>/a</w:t>
            </w:r>
            <w:r>
              <w:rPr>
                <w:bCs/>
              </w:rPr>
              <w:t>，</w:t>
            </w:r>
            <w:r>
              <w:rPr>
                <w:szCs w:val="21"/>
              </w:rPr>
              <w:t>主要污染因子为COD</w:t>
            </w:r>
            <w:r>
              <w:rPr>
                <w:szCs w:val="21"/>
                <w:vertAlign w:val="subscript"/>
              </w:rPr>
              <w:t>Cr</w:t>
            </w:r>
            <w:r>
              <w:rPr>
                <w:szCs w:val="21"/>
              </w:rPr>
              <w:t>、BOD</w:t>
            </w:r>
            <w:r>
              <w:rPr>
                <w:szCs w:val="21"/>
                <w:vertAlign w:val="subscript"/>
              </w:rPr>
              <w:t>5</w:t>
            </w:r>
            <w:r>
              <w:rPr>
                <w:szCs w:val="21"/>
              </w:rPr>
              <w:t>、SS、总磷、总氮</w:t>
            </w:r>
            <w:r>
              <w:rPr>
                <w:rFonts w:hint="eastAsia"/>
                <w:szCs w:val="21"/>
              </w:rPr>
              <w:t>、</w:t>
            </w:r>
            <w:r>
              <w:rPr>
                <w:szCs w:val="21"/>
              </w:rPr>
              <w:t>氨氮</w:t>
            </w:r>
            <w:r>
              <w:rPr>
                <w:rFonts w:hint="eastAsia"/>
                <w:szCs w:val="21"/>
              </w:rPr>
              <w:t>和</w:t>
            </w:r>
            <w:r>
              <w:rPr>
                <w:szCs w:val="21"/>
              </w:rPr>
              <w:t>动植物油，生活污水经三级化粪池</w:t>
            </w:r>
            <w:r>
              <w:rPr>
                <w:rFonts w:hint="eastAsia"/>
                <w:szCs w:val="21"/>
              </w:rPr>
              <w:t>、</w:t>
            </w:r>
            <w:r>
              <w:rPr>
                <w:szCs w:val="21"/>
              </w:rPr>
              <w:t>隔油隔渣池预处理后，经市政污水管网排入</w:t>
            </w:r>
            <w:r>
              <w:t>园洲镇第四污水处理厂</w:t>
            </w:r>
            <w:r>
              <w:rPr>
                <w:szCs w:val="21"/>
              </w:rPr>
              <w:t>处理达标后排入</w:t>
            </w:r>
            <w:r>
              <w:rPr>
                <w:rFonts w:hint="eastAsia"/>
                <w:szCs w:val="21"/>
              </w:rPr>
              <w:t>新村</w:t>
            </w:r>
            <w:r>
              <w:rPr>
                <w:szCs w:val="21"/>
              </w:rPr>
              <w:t>排渠</w:t>
            </w:r>
            <w:r>
              <w:rPr>
                <w:rFonts w:hint="eastAsia" w:hAnsi="宋体"/>
              </w:rPr>
              <w:t>，</w:t>
            </w:r>
            <w:r>
              <w:rPr>
                <w:rFonts w:hAnsi="宋体"/>
              </w:rPr>
              <w:t>然后汇入</w:t>
            </w:r>
            <w:r>
              <w:rPr>
                <w:rFonts w:hint="eastAsia" w:hAnsi="宋体"/>
              </w:rPr>
              <w:t>沙河</w:t>
            </w:r>
            <w:r>
              <w:rPr>
                <w:rFonts w:hint="eastAsia"/>
                <w:szCs w:val="21"/>
              </w:rPr>
              <w:t>，</w:t>
            </w:r>
            <w:r>
              <w:rPr>
                <w:szCs w:val="21"/>
              </w:rPr>
              <w:t>园洲镇第四污水处理厂</w:t>
            </w:r>
            <w:r>
              <w:rPr>
                <w:bCs/>
                <w:szCs w:val="21"/>
              </w:rPr>
              <w:t>尾水</w:t>
            </w:r>
            <w:r>
              <w:rPr>
                <w:rFonts w:hint="eastAsia"/>
                <w:bCs/>
                <w:szCs w:val="21"/>
              </w:rPr>
              <w:t>中</w:t>
            </w:r>
            <w:r>
              <w:rPr>
                <w:rFonts w:hint="eastAsia"/>
                <w:szCs w:val="21"/>
              </w:rPr>
              <w:t>氨氮、总磷排放执行国家《地表水环境质量》（GB3838-2002）Ⅴ类标准，其余指标执行国家《城镇污水处理厂污染物排放标》（GB18918-2002）一级 A 标准与广东省《水污染物排放限值》较严值的标准</w:t>
            </w:r>
            <w:r>
              <w:rPr>
                <w:rFonts w:hint="eastAsia"/>
                <w:bCs/>
                <w:szCs w:val="21"/>
              </w:rPr>
              <w:t>。</w:t>
            </w:r>
          </w:p>
          <w:p>
            <w:pPr>
              <w:adjustRightInd w:val="0"/>
              <w:snapToGrid w:val="0"/>
              <w:spacing w:line="360" w:lineRule="auto"/>
              <w:ind w:firstLine="420" w:firstLineChars="200"/>
              <w:rPr>
                <w:szCs w:val="21"/>
              </w:rPr>
            </w:pPr>
            <w:r>
              <w:t>参照《排放源统计调查产排污核算方法和系数手册》（生态环境部公告 2021年 第24号）其中的《</w:t>
            </w:r>
            <w:r>
              <w:rPr>
                <w:szCs w:val="21"/>
              </w:rPr>
              <w:t>生活污染源产排污系数手册</w:t>
            </w:r>
            <w:r>
              <w:t>》</w:t>
            </w:r>
            <w:r>
              <w:rPr>
                <w:szCs w:val="21"/>
              </w:rPr>
              <w:t>，项目废水污染物源强核算见下表。</w:t>
            </w:r>
          </w:p>
          <w:p>
            <w:pPr>
              <w:numPr>
                <w:ilvl w:val="0"/>
                <w:numId w:val="5"/>
              </w:numPr>
              <w:adjustRightInd w:val="0"/>
              <w:snapToGrid w:val="0"/>
              <w:spacing w:line="360" w:lineRule="auto"/>
              <w:ind w:left="0"/>
              <w:jc w:val="center"/>
              <w:rPr>
                <w:b/>
              </w:rPr>
            </w:pPr>
            <w:r>
              <w:rPr>
                <w:b/>
                <w:szCs w:val="21"/>
                <w:lang w:bidi="ar"/>
              </w:rPr>
              <w:t>项目污水产排一览表</w:t>
            </w:r>
          </w:p>
          <w:tbl>
            <w:tblPr>
              <w:tblStyle w:val="29"/>
              <w:tblW w:w="49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2"/>
              <w:gridCol w:w="420"/>
              <w:gridCol w:w="779"/>
              <w:gridCol w:w="896"/>
              <w:gridCol w:w="936"/>
              <w:gridCol w:w="824"/>
              <w:gridCol w:w="591"/>
              <w:gridCol w:w="436"/>
              <w:gridCol w:w="436"/>
              <w:gridCol w:w="718"/>
              <w:gridCol w:w="936"/>
              <w:gridCol w:w="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3" w:type="pct"/>
                  <w:vMerge w:val="restart"/>
                  <w:tcBorders>
                    <w:top w:val="single" w:color="auto" w:sz="4" w:space="0"/>
                    <w:left w:val="single" w:color="auto" w:sz="4" w:space="0"/>
                    <w:bottom w:val="single" w:color="auto" w:sz="4" w:space="0"/>
                    <w:right w:val="single" w:color="auto" w:sz="4" w:space="0"/>
                  </w:tcBorders>
                  <w:vAlign w:val="center"/>
                </w:tcPr>
                <w:p>
                  <w:pPr>
                    <w:ind w:left="-63" w:leftChars="-30" w:right="-63" w:rightChars="-30"/>
                    <w:jc w:val="center"/>
                    <w:rPr>
                      <w:b/>
                      <w:bCs/>
                      <w:kern w:val="0"/>
                      <w:sz w:val="18"/>
                      <w:szCs w:val="18"/>
                    </w:rPr>
                  </w:pPr>
                  <w:r>
                    <w:rPr>
                      <w:b/>
                      <w:bCs/>
                      <w:sz w:val="18"/>
                      <w:szCs w:val="18"/>
                      <w:lang w:eastAsia="zh-TW" w:bidi="ar"/>
                    </w:rPr>
                    <w:t>产排污环节</w:t>
                  </w:r>
                </w:p>
              </w:tc>
              <w:tc>
                <w:tcPr>
                  <w:tcW w:w="250" w:type="pct"/>
                  <w:vMerge w:val="restart"/>
                  <w:tcBorders>
                    <w:top w:val="single" w:color="auto" w:sz="4" w:space="0"/>
                    <w:left w:val="single" w:color="auto" w:sz="4" w:space="0"/>
                    <w:bottom w:val="single" w:color="auto" w:sz="4" w:space="0"/>
                    <w:right w:val="single" w:color="auto" w:sz="4" w:space="0"/>
                  </w:tcBorders>
                  <w:vAlign w:val="center"/>
                </w:tcPr>
                <w:p>
                  <w:pPr>
                    <w:ind w:left="-63" w:leftChars="-30" w:right="-63" w:rightChars="-30"/>
                    <w:jc w:val="center"/>
                    <w:rPr>
                      <w:b/>
                      <w:bCs/>
                      <w:kern w:val="0"/>
                      <w:sz w:val="18"/>
                      <w:szCs w:val="18"/>
                    </w:rPr>
                  </w:pPr>
                  <w:r>
                    <w:rPr>
                      <w:b/>
                      <w:bCs/>
                      <w:sz w:val="18"/>
                      <w:szCs w:val="18"/>
                      <w:lang w:eastAsia="zh-TW" w:bidi="ar"/>
                    </w:rPr>
                    <w:t>类别</w:t>
                  </w:r>
                </w:p>
              </w:tc>
              <w:tc>
                <w:tcPr>
                  <w:tcW w:w="464" w:type="pct"/>
                  <w:vMerge w:val="restart"/>
                  <w:tcBorders>
                    <w:top w:val="single" w:color="auto" w:sz="4" w:space="0"/>
                    <w:left w:val="single" w:color="auto" w:sz="4" w:space="0"/>
                    <w:bottom w:val="single" w:color="auto" w:sz="4" w:space="0"/>
                    <w:right w:val="single" w:color="auto" w:sz="4" w:space="0"/>
                  </w:tcBorders>
                  <w:vAlign w:val="center"/>
                </w:tcPr>
                <w:p>
                  <w:pPr>
                    <w:ind w:left="-63" w:leftChars="-30" w:right="-63" w:rightChars="-30"/>
                    <w:jc w:val="center"/>
                    <w:rPr>
                      <w:b/>
                      <w:bCs/>
                      <w:kern w:val="0"/>
                      <w:sz w:val="18"/>
                      <w:szCs w:val="18"/>
                    </w:rPr>
                  </w:pPr>
                  <w:r>
                    <w:rPr>
                      <w:b/>
                      <w:bCs/>
                      <w:sz w:val="18"/>
                      <w:szCs w:val="18"/>
                      <w:lang w:eastAsia="zh-TW" w:bidi="ar"/>
                    </w:rPr>
                    <w:t>污染物种类</w:t>
                  </w:r>
                </w:p>
              </w:tc>
              <w:tc>
                <w:tcPr>
                  <w:tcW w:w="1583" w:type="pct"/>
                  <w:gridSpan w:val="3"/>
                  <w:tcBorders>
                    <w:top w:val="single" w:color="auto" w:sz="4" w:space="0"/>
                    <w:left w:val="single" w:color="auto" w:sz="4" w:space="0"/>
                    <w:bottom w:val="single" w:color="auto" w:sz="4" w:space="0"/>
                    <w:right w:val="single" w:color="auto" w:sz="4" w:space="0"/>
                  </w:tcBorders>
                  <w:vAlign w:val="center"/>
                </w:tcPr>
                <w:p>
                  <w:pPr>
                    <w:ind w:left="-63" w:leftChars="-30" w:right="-63" w:rightChars="-30"/>
                    <w:jc w:val="center"/>
                    <w:rPr>
                      <w:b/>
                      <w:bCs/>
                      <w:kern w:val="0"/>
                      <w:sz w:val="18"/>
                      <w:szCs w:val="18"/>
                    </w:rPr>
                  </w:pPr>
                  <w:r>
                    <w:rPr>
                      <w:b/>
                      <w:bCs/>
                      <w:sz w:val="18"/>
                      <w:szCs w:val="18"/>
                      <w:lang w:eastAsia="zh-TW" w:bidi="ar"/>
                    </w:rPr>
                    <w:t>污染物产生</w:t>
                  </w:r>
                </w:p>
              </w:tc>
              <w:tc>
                <w:tcPr>
                  <w:tcW w:w="612" w:type="pct"/>
                  <w:gridSpan w:val="2"/>
                  <w:tcBorders>
                    <w:top w:val="single" w:color="auto" w:sz="4" w:space="0"/>
                    <w:left w:val="single" w:color="auto" w:sz="4" w:space="0"/>
                    <w:bottom w:val="single" w:color="auto" w:sz="4" w:space="0"/>
                    <w:right w:val="single" w:color="auto" w:sz="4" w:space="0"/>
                  </w:tcBorders>
                  <w:vAlign w:val="center"/>
                </w:tcPr>
                <w:p>
                  <w:pPr>
                    <w:ind w:left="-63" w:leftChars="-30" w:right="-63" w:rightChars="-30"/>
                    <w:jc w:val="center"/>
                    <w:rPr>
                      <w:b/>
                      <w:bCs/>
                      <w:kern w:val="0"/>
                      <w:sz w:val="18"/>
                      <w:szCs w:val="18"/>
                    </w:rPr>
                  </w:pPr>
                  <w:r>
                    <w:rPr>
                      <w:b/>
                      <w:bCs/>
                      <w:sz w:val="18"/>
                      <w:szCs w:val="18"/>
                      <w:lang w:eastAsia="zh-TW" w:bidi="ar"/>
                    </w:rPr>
                    <w:t>治理措施</w:t>
                  </w:r>
                </w:p>
              </w:tc>
              <w:tc>
                <w:tcPr>
                  <w:tcW w:w="260" w:type="pct"/>
                  <w:vMerge w:val="restart"/>
                  <w:tcBorders>
                    <w:top w:val="single" w:color="auto" w:sz="4" w:space="0"/>
                    <w:left w:val="single" w:color="auto" w:sz="4" w:space="0"/>
                    <w:bottom w:val="single" w:color="auto" w:sz="4" w:space="0"/>
                    <w:right w:val="single" w:color="auto" w:sz="4" w:space="0"/>
                  </w:tcBorders>
                  <w:vAlign w:val="center"/>
                </w:tcPr>
                <w:p>
                  <w:pPr>
                    <w:ind w:left="-63" w:leftChars="-30" w:right="-63" w:rightChars="-30"/>
                    <w:jc w:val="center"/>
                    <w:rPr>
                      <w:b/>
                      <w:bCs/>
                      <w:kern w:val="0"/>
                      <w:sz w:val="18"/>
                      <w:szCs w:val="18"/>
                    </w:rPr>
                  </w:pPr>
                  <w:r>
                    <w:rPr>
                      <w:b/>
                      <w:bCs/>
                      <w:sz w:val="18"/>
                      <w:szCs w:val="18"/>
                      <w:lang w:eastAsia="zh-TW" w:bidi="ar"/>
                    </w:rPr>
                    <w:t>排放形式</w:t>
                  </w:r>
                </w:p>
              </w:tc>
              <w:tc>
                <w:tcPr>
                  <w:tcW w:w="1478" w:type="pct"/>
                  <w:gridSpan w:val="3"/>
                  <w:tcBorders>
                    <w:top w:val="single" w:color="auto" w:sz="4" w:space="0"/>
                    <w:left w:val="single" w:color="auto" w:sz="4" w:space="0"/>
                    <w:bottom w:val="single" w:color="auto" w:sz="4" w:space="0"/>
                    <w:right w:val="single" w:color="auto" w:sz="4" w:space="0"/>
                  </w:tcBorders>
                  <w:vAlign w:val="center"/>
                </w:tcPr>
                <w:p>
                  <w:pPr>
                    <w:ind w:left="-63" w:leftChars="-30" w:right="-63" w:rightChars="-30"/>
                    <w:jc w:val="center"/>
                    <w:rPr>
                      <w:b/>
                      <w:bCs/>
                      <w:kern w:val="0"/>
                      <w:sz w:val="18"/>
                      <w:szCs w:val="18"/>
                    </w:rPr>
                  </w:pPr>
                  <w:r>
                    <w:rPr>
                      <w:b/>
                      <w:bCs/>
                      <w:sz w:val="18"/>
                      <w:szCs w:val="18"/>
                      <w:lang w:eastAsia="zh-TW" w:bidi="ar"/>
                    </w:rPr>
                    <w:t>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3"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5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64"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534" w:type="pct"/>
                  <w:tcBorders>
                    <w:top w:val="single" w:color="auto" w:sz="4" w:space="0"/>
                    <w:left w:val="single" w:color="auto" w:sz="4" w:space="0"/>
                    <w:bottom w:val="single" w:color="auto" w:sz="4" w:space="0"/>
                    <w:right w:val="single" w:color="auto" w:sz="4" w:space="0"/>
                  </w:tcBorders>
                  <w:vAlign w:val="center"/>
                </w:tcPr>
                <w:p>
                  <w:pPr>
                    <w:ind w:left="-84" w:leftChars="-40" w:right="-84" w:rightChars="-40"/>
                    <w:jc w:val="center"/>
                    <w:rPr>
                      <w:b/>
                      <w:bCs/>
                      <w:kern w:val="0"/>
                      <w:sz w:val="18"/>
                      <w:szCs w:val="18"/>
                    </w:rPr>
                  </w:pPr>
                  <w:r>
                    <w:rPr>
                      <w:b/>
                      <w:bCs/>
                      <w:sz w:val="18"/>
                      <w:szCs w:val="18"/>
                      <w:lang w:eastAsia="zh-TW" w:bidi="ar"/>
                    </w:rPr>
                    <w:t>废水产生量（</w:t>
                  </w:r>
                  <w:r>
                    <w:rPr>
                      <w:b/>
                      <w:bCs/>
                      <w:sz w:val="18"/>
                      <w:szCs w:val="18"/>
                      <w:lang w:bidi="ar"/>
                    </w:rPr>
                    <w:t>t/a</w:t>
                  </w:r>
                  <w:r>
                    <w:rPr>
                      <w:b/>
                      <w:bCs/>
                      <w:sz w:val="18"/>
                      <w:szCs w:val="18"/>
                      <w:lang w:eastAsia="zh-TW" w:bidi="ar"/>
                    </w:rPr>
                    <w:t>）</w:t>
                  </w:r>
                </w:p>
              </w:tc>
              <w:tc>
                <w:tcPr>
                  <w:tcW w:w="558" w:type="pct"/>
                  <w:tcBorders>
                    <w:top w:val="single" w:color="auto" w:sz="4" w:space="0"/>
                    <w:left w:val="single" w:color="auto" w:sz="4" w:space="0"/>
                    <w:bottom w:val="single" w:color="auto" w:sz="4" w:space="0"/>
                    <w:right w:val="single" w:color="auto" w:sz="4" w:space="0"/>
                  </w:tcBorders>
                  <w:vAlign w:val="center"/>
                </w:tcPr>
                <w:p>
                  <w:pPr>
                    <w:ind w:left="-84" w:leftChars="-40" w:right="-84" w:rightChars="-40"/>
                    <w:jc w:val="center"/>
                    <w:rPr>
                      <w:b/>
                      <w:bCs/>
                      <w:kern w:val="0"/>
                      <w:sz w:val="18"/>
                      <w:szCs w:val="18"/>
                    </w:rPr>
                  </w:pPr>
                  <w:r>
                    <w:rPr>
                      <w:b/>
                      <w:bCs/>
                      <w:sz w:val="18"/>
                      <w:szCs w:val="18"/>
                      <w:lang w:eastAsia="zh-TW" w:bidi="ar"/>
                    </w:rPr>
                    <w:t>产生浓度（</w:t>
                  </w:r>
                  <w:r>
                    <w:rPr>
                      <w:b/>
                      <w:bCs/>
                      <w:sz w:val="18"/>
                      <w:szCs w:val="18"/>
                      <w:lang w:bidi="ar"/>
                    </w:rPr>
                    <w:t>mg/L</w:t>
                  </w:r>
                  <w:r>
                    <w:rPr>
                      <w:b/>
                      <w:bCs/>
                      <w:sz w:val="18"/>
                      <w:szCs w:val="18"/>
                      <w:lang w:eastAsia="zh-TW" w:bidi="ar"/>
                    </w:rPr>
                    <w:t>）</w:t>
                  </w:r>
                </w:p>
              </w:tc>
              <w:tc>
                <w:tcPr>
                  <w:tcW w:w="491" w:type="pct"/>
                  <w:tcBorders>
                    <w:top w:val="single" w:color="auto" w:sz="4" w:space="0"/>
                    <w:left w:val="single" w:color="auto" w:sz="4" w:space="0"/>
                    <w:bottom w:val="single" w:color="auto" w:sz="4" w:space="0"/>
                    <w:right w:val="single" w:color="auto" w:sz="4" w:space="0"/>
                  </w:tcBorders>
                  <w:vAlign w:val="center"/>
                </w:tcPr>
                <w:p>
                  <w:pPr>
                    <w:ind w:left="-84" w:leftChars="-40" w:right="-84" w:rightChars="-40"/>
                    <w:jc w:val="center"/>
                    <w:rPr>
                      <w:b/>
                      <w:bCs/>
                      <w:kern w:val="0"/>
                      <w:sz w:val="18"/>
                      <w:szCs w:val="18"/>
                    </w:rPr>
                  </w:pPr>
                  <w:r>
                    <w:rPr>
                      <w:b/>
                      <w:bCs/>
                      <w:sz w:val="18"/>
                      <w:szCs w:val="18"/>
                      <w:lang w:eastAsia="zh-TW" w:bidi="ar"/>
                    </w:rPr>
                    <w:t>产生量（</w:t>
                  </w:r>
                  <w:r>
                    <w:rPr>
                      <w:b/>
                      <w:bCs/>
                      <w:sz w:val="18"/>
                      <w:szCs w:val="18"/>
                      <w:lang w:bidi="ar"/>
                    </w:rPr>
                    <w:t>t/a</w:t>
                  </w:r>
                  <w:r>
                    <w:rPr>
                      <w:b/>
                      <w:bCs/>
                      <w:sz w:val="18"/>
                      <w:szCs w:val="18"/>
                      <w:lang w:eastAsia="zh-TW" w:bidi="ar"/>
                    </w:rPr>
                    <w:t>）</w:t>
                  </w:r>
                </w:p>
              </w:tc>
              <w:tc>
                <w:tcPr>
                  <w:tcW w:w="352" w:type="pct"/>
                  <w:tcBorders>
                    <w:top w:val="single" w:color="auto" w:sz="4" w:space="0"/>
                    <w:left w:val="single" w:color="auto" w:sz="4" w:space="0"/>
                    <w:bottom w:val="single" w:color="auto" w:sz="4" w:space="0"/>
                    <w:right w:val="single" w:color="auto" w:sz="4" w:space="0"/>
                  </w:tcBorders>
                  <w:vAlign w:val="center"/>
                </w:tcPr>
                <w:p>
                  <w:pPr>
                    <w:ind w:left="-84" w:leftChars="-40" w:right="-84" w:rightChars="-40"/>
                    <w:jc w:val="center"/>
                    <w:rPr>
                      <w:b/>
                      <w:bCs/>
                      <w:kern w:val="0"/>
                      <w:sz w:val="18"/>
                      <w:szCs w:val="18"/>
                    </w:rPr>
                  </w:pPr>
                  <w:r>
                    <w:rPr>
                      <w:b/>
                      <w:bCs/>
                      <w:sz w:val="18"/>
                      <w:szCs w:val="18"/>
                      <w:lang w:eastAsia="zh-TW" w:bidi="ar"/>
                    </w:rPr>
                    <w:t>工艺</w:t>
                  </w:r>
                </w:p>
              </w:tc>
              <w:tc>
                <w:tcPr>
                  <w:tcW w:w="260" w:type="pct"/>
                  <w:tcBorders>
                    <w:top w:val="single" w:color="auto" w:sz="4" w:space="0"/>
                    <w:left w:val="single" w:color="auto" w:sz="4" w:space="0"/>
                    <w:bottom w:val="single" w:color="auto" w:sz="4" w:space="0"/>
                    <w:right w:val="single" w:color="auto" w:sz="4" w:space="0"/>
                  </w:tcBorders>
                  <w:vAlign w:val="center"/>
                </w:tcPr>
                <w:p>
                  <w:pPr>
                    <w:ind w:left="-84" w:leftChars="-40" w:right="-84" w:rightChars="-40"/>
                    <w:jc w:val="center"/>
                    <w:rPr>
                      <w:b/>
                      <w:bCs/>
                      <w:kern w:val="0"/>
                      <w:sz w:val="18"/>
                      <w:szCs w:val="18"/>
                    </w:rPr>
                  </w:pPr>
                  <w:r>
                    <w:rPr>
                      <w:b/>
                      <w:bCs/>
                      <w:sz w:val="18"/>
                      <w:szCs w:val="18"/>
                      <w:lang w:eastAsia="zh-TW" w:bidi="ar"/>
                    </w:rPr>
                    <w:t>是否为可行技术</w:t>
                  </w:r>
                </w:p>
              </w:tc>
              <w:tc>
                <w:tcPr>
                  <w:tcW w:w="26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28" w:type="pct"/>
                  <w:tcBorders>
                    <w:top w:val="single" w:color="auto" w:sz="4" w:space="0"/>
                    <w:left w:val="single" w:color="auto" w:sz="4" w:space="0"/>
                    <w:bottom w:val="single" w:color="auto" w:sz="4" w:space="0"/>
                    <w:right w:val="single" w:color="auto" w:sz="4" w:space="0"/>
                  </w:tcBorders>
                  <w:vAlign w:val="center"/>
                </w:tcPr>
                <w:p>
                  <w:pPr>
                    <w:ind w:left="-84" w:leftChars="-40" w:right="-84" w:rightChars="-40"/>
                    <w:jc w:val="center"/>
                    <w:rPr>
                      <w:b/>
                      <w:bCs/>
                      <w:kern w:val="0"/>
                      <w:sz w:val="18"/>
                      <w:szCs w:val="18"/>
                    </w:rPr>
                  </w:pPr>
                  <w:r>
                    <w:rPr>
                      <w:b/>
                      <w:bCs/>
                      <w:sz w:val="18"/>
                      <w:szCs w:val="18"/>
                      <w:lang w:eastAsia="zh-TW" w:bidi="ar"/>
                    </w:rPr>
                    <w:t>废水排放量（</w:t>
                  </w:r>
                  <w:r>
                    <w:rPr>
                      <w:b/>
                      <w:bCs/>
                      <w:sz w:val="18"/>
                      <w:szCs w:val="18"/>
                      <w:lang w:bidi="ar"/>
                    </w:rPr>
                    <w:t>t/a</w:t>
                  </w:r>
                  <w:r>
                    <w:rPr>
                      <w:b/>
                      <w:bCs/>
                      <w:sz w:val="18"/>
                      <w:szCs w:val="18"/>
                      <w:lang w:eastAsia="zh-TW" w:bidi="ar"/>
                    </w:rPr>
                    <w:t>）</w:t>
                  </w:r>
                </w:p>
              </w:tc>
              <w:tc>
                <w:tcPr>
                  <w:tcW w:w="558" w:type="pct"/>
                  <w:tcBorders>
                    <w:top w:val="single" w:color="auto" w:sz="4" w:space="0"/>
                    <w:left w:val="single" w:color="auto" w:sz="4" w:space="0"/>
                    <w:bottom w:val="single" w:color="auto" w:sz="4" w:space="0"/>
                    <w:right w:val="single" w:color="auto" w:sz="4" w:space="0"/>
                  </w:tcBorders>
                  <w:vAlign w:val="center"/>
                </w:tcPr>
                <w:p>
                  <w:pPr>
                    <w:ind w:left="-84" w:leftChars="-40" w:right="-84" w:rightChars="-40"/>
                    <w:jc w:val="center"/>
                    <w:rPr>
                      <w:b/>
                      <w:bCs/>
                      <w:kern w:val="0"/>
                      <w:sz w:val="18"/>
                      <w:szCs w:val="18"/>
                    </w:rPr>
                  </w:pPr>
                  <w:r>
                    <w:rPr>
                      <w:b/>
                      <w:bCs/>
                      <w:sz w:val="18"/>
                      <w:szCs w:val="18"/>
                      <w:lang w:eastAsia="zh-TW" w:bidi="ar"/>
                    </w:rPr>
                    <w:t>排放浓度（</w:t>
                  </w:r>
                  <w:r>
                    <w:rPr>
                      <w:b/>
                      <w:bCs/>
                      <w:sz w:val="18"/>
                      <w:szCs w:val="18"/>
                      <w:lang w:bidi="ar"/>
                    </w:rPr>
                    <w:t>mg/L</w:t>
                  </w:r>
                  <w:r>
                    <w:rPr>
                      <w:b/>
                      <w:bCs/>
                      <w:sz w:val="18"/>
                      <w:szCs w:val="18"/>
                      <w:lang w:eastAsia="zh-TW" w:bidi="ar"/>
                    </w:rPr>
                    <w:t>）</w:t>
                  </w:r>
                </w:p>
              </w:tc>
              <w:tc>
                <w:tcPr>
                  <w:tcW w:w="492" w:type="pct"/>
                  <w:tcBorders>
                    <w:top w:val="single" w:color="auto" w:sz="4" w:space="0"/>
                    <w:left w:val="single" w:color="auto" w:sz="4" w:space="0"/>
                    <w:bottom w:val="single" w:color="auto" w:sz="4" w:space="0"/>
                    <w:right w:val="single" w:color="auto" w:sz="4" w:space="0"/>
                  </w:tcBorders>
                  <w:vAlign w:val="center"/>
                </w:tcPr>
                <w:p>
                  <w:pPr>
                    <w:ind w:left="-84" w:leftChars="-40" w:right="-84" w:rightChars="-40"/>
                    <w:jc w:val="center"/>
                    <w:rPr>
                      <w:b/>
                      <w:bCs/>
                      <w:kern w:val="0"/>
                      <w:sz w:val="18"/>
                      <w:szCs w:val="18"/>
                    </w:rPr>
                  </w:pPr>
                  <w:r>
                    <w:rPr>
                      <w:b/>
                      <w:bCs/>
                      <w:sz w:val="18"/>
                      <w:szCs w:val="18"/>
                      <w:lang w:eastAsia="zh-TW" w:bidi="ar"/>
                    </w:rPr>
                    <w:t>排放量（</w:t>
                  </w:r>
                  <w:r>
                    <w:rPr>
                      <w:b/>
                      <w:bCs/>
                      <w:sz w:val="18"/>
                      <w:szCs w:val="18"/>
                      <w:lang w:bidi="ar"/>
                    </w:rPr>
                    <w:t>t/a</w:t>
                  </w:r>
                  <w:r>
                    <w:rPr>
                      <w:b/>
                      <w:bCs/>
                      <w:sz w:val="18"/>
                      <w:szCs w:val="18"/>
                      <w:lang w:eastAsia="zh-TW"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3" w:type="pct"/>
                  <w:vMerge w:val="restar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eastAsia="zh-TW" w:bidi="ar"/>
                    </w:rPr>
                    <w:t>员工工作</w:t>
                  </w:r>
                  <w:r>
                    <w:rPr>
                      <w:rFonts w:hint="eastAsia"/>
                      <w:sz w:val="18"/>
                      <w:szCs w:val="18"/>
                      <w:lang w:bidi="ar"/>
                    </w:rPr>
                    <w:t>生活</w:t>
                  </w:r>
                </w:p>
              </w:tc>
              <w:tc>
                <w:tcPr>
                  <w:tcW w:w="250" w:type="pct"/>
                  <w:vMerge w:val="restar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eastAsia="zh-TW" w:bidi="ar"/>
                    </w:rPr>
                    <w:t>生活污水</w:t>
                  </w:r>
                </w:p>
              </w:tc>
              <w:tc>
                <w:tcPr>
                  <w:tcW w:w="464" w:type="pct"/>
                  <w:tcBorders>
                    <w:top w:val="single" w:color="auto" w:sz="4" w:space="0"/>
                    <w:left w:val="single" w:color="auto" w:sz="4" w:space="0"/>
                    <w:bottom w:val="single" w:color="auto" w:sz="4" w:space="0"/>
                    <w:right w:val="single" w:color="auto" w:sz="4" w:space="0"/>
                  </w:tcBorders>
                  <w:vAlign w:val="center"/>
                </w:tcPr>
                <w:p>
                  <w:pPr>
                    <w:widowControl/>
                    <w:jc w:val="center"/>
                    <w:rPr>
                      <w:kern w:val="0"/>
                      <w:sz w:val="18"/>
                      <w:szCs w:val="18"/>
                    </w:rPr>
                  </w:pPr>
                  <w:r>
                    <w:rPr>
                      <w:sz w:val="18"/>
                      <w:szCs w:val="18"/>
                    </w:rPr>
                    <w:t>COD</w:t>
                  </w:r>
                  <w:r>
                    <w:rPr>
                      <w:sz w:val="18"/>
                      <w:szCs w:val="18"/>
                      <w:vertAlign w:val="subscript"/>
                    </w:rPr>
                    <w:t>Cr</w:t>
                  </w:r>
                </w:p>
              </w:tc>
              <w:tc>
                <w:tcPr>
                  <w:tcW w:w="534" w:type="pct"/>
                  <w:vMerge w:val="restar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7812</w:t>
                  </w: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285</w:t>
                  </w:r>
                </w:p>
              </w:tc>
              <w:tc>
                <w:tcPr>
                  <w:tcW w:w="491" w:type="pct"/>
                  <w:tcBorders>
                    <w:top w:val="nil"/>
                    <w:left w:val="nil"/>
                    <w:bottom w:val="single" w:color="000000" w:sz="8" w:space="0"/>
                    <w:right w:val="single" w:color="000000" w:sz="8" w:space="0"/>
                  </w:tcBorders>
                  <w:shd w:val="clear" w:color="auto" w:fill="auto"/>
                  <w:vAlign w:val="center"/>
                </w:tcPr>
                <w:p>
                  <w:pPr>
                    <w:widowControl/>
                    <w:jc w:val="center"/>
                    <w:rPr>
                      <w:kern w:val="0"/>
                      <w:sz w:val="18"/>
                      <w:szCs w:val="18"/>
                    </w:rPr>
                  </w:pPr>
                  <w:r>
                    <w:rPr>
                      <w:sz w:val="18"/>
                      <w:szCs w:val="18"/>
                    </w:rPr>
                    <w:t xml:space="preserve">2.226 </w:t>
                  </w:r>
                </w:p>
              </w:tc>
              <w:tc>
                <w:tcPr>
                  <w:tcW w:w="352" w:type="pct"/>
                  <w:vMerge w:val="restar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三级化粪池</w:t>
                  </w:r>
                  <w:r>
                    <w:rPr>
                      <w:rFonts w:hint="eastAsia"/>
                      <w:sz w:val="18"/>
                      <w:szCs w:val="18"/>
                      <w:lang w:bidi="ar"/>
                    </w:rPr>
                    <w:t>、</w:t>
                  </w:r>
                  <w:r>
                    <w:rPr>
                      <w:sz w:val="18"/>
                      <w:szCs w:val="18"/>
                      <w:lang w:bidi="ar"/>
                    </w:rPr>
                    <w:t>隔油隔渣池</w:t>
                  </w:r>
                </w:p>
              </w:tc>
              <w:tc>
                <w:tcPr>
                  <w:tcW w:w="260" w:type="pct"/>
                  <w:vMerge w:val="restar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eastAsia="zh-TW" w:bidi="ar"/>
                    </w:rPr>
                    <w:t>是</w:t>
                  </w:r>
                </w:p>
              </w:tc>
              <w:tc>
                <w:tcPr>
                  <w:tcW w:w="260" w:type="pct"/>
                  <w:vMerge w:val="restar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间接排放</w:t>
                  </w:r>
                </w:p>
              </w:tc>
              <w:tc>
                <w:tcPr>
                  <w:tcW w:w="428" w:type="pct"/>
                  <w:vMerge w:val="restar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7812</w:t>
                  </w: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40</w:t>
                  </w:r>
                </w:p>
              </w:tc>
              <w:tc>
                <w:tcPr>
                  <w:tcW w:w="492" w:type="pct"/>
                  <w:tcBorders>
                    <w:top w:val="nil"/>
                    <w:left w:val="nil"/>
                    <w:bottom w:val="single" w:color="000000" w:sz="8" w:space="0"/>
                    <w:right w:val="single" w:color="000000" w:sz="8" w:space="0"/>
                  </w:tcBorders>
                  <w:shd w:val="clear" w:color="auto" w:fill="auto"/>
                  <w:vAlign w:val="center"/>
                </w:tcPr>
                <w:p>
                  <w:pPr>
                    <w:widowControl/>
                    <w:jc w:val="center"/>
                    <w:rPr>
                      <w:kern w:val="0"/>
                      <w:sz w:val="18"/>
                      <w:szCs w:val="18"/>
                    </w:rPr>
                  </w:pPr>
                  <w:r>
                    <w:rPr>
                      <w:sz w:val="18"/>
                      <w:szCs w:val="18"/>
                    </w:rPr>
                    <w:t xml:space="preserve">0.312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3"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5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64"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BOD</w:t>
                  </w:r>
                  <w:r>
                    <w:rPr>
                      <w:sz w:val="18"/>
                      <w:szCs w:val="18"/>
                      <w:vertAlign w:val="subscript"/>
                    </w:rPr>
                    <w:t>5</w:t>
                  </w:r>
                </w:p>
              </w:tc>
              <w:tc>
                <w:tcPr>
                  <w:tcW w:w="534"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160</w:t>
                  </w:r>
                </w:p>
              </w:tc>
              <w:tc>
                <w:tcPr>
                  <w:tcW w:w="491" w:type="pct"/>
                  <w:tcBorders>
                    <w:top w:val="nil"/>
                    <w:left w:val="nil"/>
                    <w:bottom w:val="single" w:color="000000" w:sz="8" w:space="0"/>
                    <w:right w:val="single" w:color="000000" w:sz="8" w:space="0"/>
                  </w:tcBorders>
                  <w:shd w:val="clear" w:color="auto" w:fill="auto"/>
                  <w:vAlign w:val="center"/>
                </w:tcPr>
                <w:p>
                  <w:pPr>
                    <w:jc w:val="center"/>
                    <w:rPr>
                      <w:sz w:val="18"/>
                      <w:szCs w:val="18"/>
                    </w:rPr>
                  </w:pPr>
                  <w:r>
                    <w:rPr>
                      <w:sz w:val="18"/>
                      <w:szCs w:val="18"/>
                    </w:rPr>
                    <w:t xml:space="preserve">1.250 </w:t>
                  </w:r>
                </w:p>
              </w:tc>
              <w:tc>
                <w:tcPr>
                  <w:tcW w:w="352"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6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6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28"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10</w:t>
                  </w:r>
                </w:p>
              </w:tc>
              <w:tc>
                <w:tcPr>
                  <w:tcW w:w="492" w:type="pct"/>
                  <w:tcBorders>
                    <w:top w:val="nil"/>
                    <w:left w:val="nil"/>
                    <w:bottom w:val="single" w:color="000000" w:sz="8" w:space="0"/>
                    <w:right w:val="single" w:color="000000" w:sz="8" w:space="0"/>
                  </w:tcBorders>
                  <w:shd w:val="clear" w:color="auto" w:fill="auto"/>
                  <w:vAlign w:val="center"/>
                </w:tcPr>
                <w:p>
                  <w:pPr>
                    <w:jc w:val="center"/>
                    <w:rPr>
                      <w:sz w:val="18"/>
                      <w:szCs w:val="18"/>
                    </w:rPr>
                  </w:pPr>
                  <w:r>
                    <w:rPr>
                      <w:sz w:val="18"/>
                      <w:szCs w:val="18"/>
                    </w:rPr>
                    <w:t xml:space="preserve">0.078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3"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5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64"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SS</w:t>
                  </w:r>
                </w:p>
              </w:tc>
              <w:tc>
                <w:tcPr>
                  <w:tcW w:w="534"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150</w:t>
                  </w:r>
                </w:p>
              </w:tc>
              <w:tc>
                <w:tcPr>
                  <w:tcW w:w="491" w:type="pct"/>
                  <w:tcBorders>
                    <w:top w:val="nil"/>
                    <w:left w:val="nil"/>
                    <w:bottom w:val="single" w:color="000000" w:sz="8" w:space="0"/>
                    <w:right w:val="single" w:color="000000" w:sz="8" w:space="0"/>
                  </w:tcBorders>
                  <w:shd w:val="clear" w:color="auto" w:fill="auto"/>
                  <w:vAlign w:val="center"/>
                </w:tcPr>
                <w:p>
                  <w:pPr>
                    <w:jc w:val="center"/>
                    <w:rPr>
                      <w:sz w:val="18"/>
                      <w:szCs w:val="18"/>
                    </w:rPr>
                  </w:pPr>
                  <w:r>
                    <w:rPr>
                      <w:sz w:val="18"/>
                      <w:szCs w:val="18"/>
                    </w:rPr>
                    <w:t xml:space="preserve">1.172 </w:t>
                  </w:r>
                </w:p>
              </w:tc>
              <w:tc>
                <w:tcPr>
                  <w:tcW w:w="352"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6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6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28"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10</w:t>
                  </w:r>
                </w:p>
              </w:tc>
              <w:tc>
                <w:tcPr>
                  <w:tcW w:w="492" w:type="pct"/>
                  <w:tcBorders>
                    <w:top w:val="nil"/>
                    <w:left w:val="nil"/>
                    <w:bottom w:val="single" w:color="000000" w:sz="8" w:space="0"/>
                    <w:right w:val="single" w:color="000000" w:sz="8" w:space="0"/>
                  </w:tcBorders>
                  <w:shd w:val="clear" w:color="auto" w:fill="auto"/>
                  <w:vAlign w:val="center"/>
                </w:tcPr>
                <w:p>
                  <w:pPr>
                    <w:jc w:val="center"/>
                    <w:rPr>
                      <w:sz w:val="18"/>
                      <w:szCs w:val="18"/>
                    </w:rPr>
                  </w:pPr>
                  <w:r>
                    <w:rPr>
                      <w:sz w:val="18"/>
                      <w:szCs w:val="18"/>
                    </w:rPr>
                    <w:t xml:space="preserve">0.078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3"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5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64"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TN</w:t>
                  </w:r>
                </w:p>
              </w:tc>
              <w:tc>
                <w:tcPr>
                  <w:tcW w:w="534"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40</w:t>
                  </w:r>
                </w:p>
              </w:tc>
              <w:tc>
                <w:tcPr>
                  <w:tcW w:w="491" w:type="pct"/>
                  <w:tcBorders>
                    <w:top w:val="nil"/>
                    <w:left w:val="nil"/>
                    <w:bottom w:val="single" w:color="000000" w:sz="8" w:space="0"/>
                    <w:right w:val="single" w:color="000000" w:sz="8" w:space="0"/>
                  </w:tcBorders>
                  <w:shd w:val="clear" w:color="auto" w:fill="auto"/>
                  <w:vAlign w:val="center"/>
                </w:tcPr>
                <w:p>
                  <w:pPr>
                    <w:jc w:val="center"/>
                    <w:rPr>
                      <w:sz w:val="18"/>
                      <w:szCs w:val="18"/>
                    </w:rPr>
                  </w:pPr>
                  <w:r>
                    <w:rPr>
                      <w:sz w:val="18"/>
                      <w:szCs w:val="18"/>
                    </w:rPr>
                    <w:t xml:space="preserve">0.312 </w:t>
                  </w:r>
                </w:p>
              </w:tc>
              <w:tc>
                <w:tcPr>
                  <w:tcW w:w="352"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6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6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28"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15</w:t>
                  </w:r>
                </w:p>
              </w:tc>
              <w:tc>
                <w:tcPr>
                  <w:tcW w:w="492" w:type="pct"/>
                  <w:tcBorders>
                    <w:top w:val="nil"/>
                    <w:left w:val="nil"/>
                    <w:bottom w:val="single" w:color="000000" w:sz="8" w:space="0"/>
                    <w:right w:val="single" w:color="000000" w:sz="8" w:space="0"/>
                  </w:tcBorders>
                  <w:shd w:val="clear" w:color="auto" w:fill="auto"/>
                  <w:vAlign w:val="center"/>
                </w:tcPr>
                <w:p>
                  <w:pPr>
                    <w:jc w:val="center"/>
                    <w:rPr>
                      <w:sz w:val="18"/>
                      <w:szCs w:val="18"/>
                    </w:rPr>
                  </w:pPr>
                  <w:r>
                    <w:rPr>
                      <w:sz w:val="18"/>
                      <w:szCs w:val="18"/>
                    </w:rPr>
                    <w:t xml:space="preserve">0.117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3"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5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64"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TP</w:t>
                  </w:r>
                </w:p>
              </w:tc>
              <w:tc>
                <w:tcPr>
                  <w:tcW w:w="534"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4</w:t>
                  </w:r>
                </w:p>
              </w:tc>
              <w:tc>
                <w:tcPr>
                  <w:tcW w:w="491" w:type="pct"/>
                  <w:tcBorders>
                    <w:top w:val="nil"/>
                    <w:left w:val="nil"/>
                    <w:bottom w:val="single" w:color="000000" w:sz="8" w:space="0"/>
                    <w:right w:val="single" w:color="000000" w:sz="8" w:space="0"/>
                  </w:tcBorders>
                  <w:shd w:val="clear" w:color="auto" w:fill="auto"/>
                  <w:vAlign w:val="center"/>
                </w:tcPr>
                <w:p>
                  <w:pPr>
                    <w:jc w:val="center"/>
                    <w:rPr>
                      <w:sz w:val="18"/>
                      <w:szCs w:val="18"/>
                    </w:rPr>
                  </w:pPr>
                  <w:r>
                    <w:rPr>
                      <w:sz w:val="18"/>
                      <w:szCs w:val="18"/>
                    </w:rPr>
                    <w:t xml:space="preserve">0.031 </w:t>
                  </w:r>
                </w:p>
              </w:tc>
              <w:tc>
                <w:tcPr>
                  <w:tcW w:w="352"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6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6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28"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0.4</w:t>
                  </w:r>
                </w:p>
              </w:tc>
              <w:tc>
                <w:tcPr>
                  <w:tcW w:w="492" w:type="pct"/>
                  <w:tcBorders>
                    <w:top w:val="nil"/>
                    <w:left w:val="nil"/>
                    <w:bottom w:val="single" w:color="000000" w:sz="8" w:space="0"/>
                    <w:right w:val="single" w:color="000000" w:sz="8" w:space="0"/>
                  </w:tcBorders>
                  <w:shd w:val="clear" w:color="auto" w:fill="auto"/>
                  <w:vAlign w:val="center"/>
                </w:tcPr>
                <w:p>
                  <w:pPr>
                    <w:jc w:val="center"/>
                    <w:rPr>
                      <w:sz w:val="18"/>
                      <w:szCs w:val="18"/>
                    </w:rPr>
                  </w:pPr>
                  <w:r>
                    <w:rPr>
                      <w:sz w:val="18"/>
                      <w:szCs w:val="18"/>
                    </w:rPr>
                    <w:t xml:space="preserve">0.003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353"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5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64" w:type="pct"/>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NH</w:t>
                  </w:r>
                  <w:r>
                    <w:rPr>
                      <w:sz w:val="18"/>
                      <w:szCs w:val="18"/>
                      <w:vertAlign w:val="subscript"/>
                    </w:rPr>
                    <w:t>3</w:t>
                  </w:r>
                  <w:r>
                    <w:rPr>
                      <w:sz w:val="18"/>
                      <w:szCs w:val="18"/>
                    </w:rPr>
                    <w:t>-N</w:t>
                  </w:r>
                </w:p>
              </w:tc>
              <w:tc>
                <w:tcPr>
                  <w:tcW w:w="534"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sz w:val="18"/>
                      <w:szCs w:val="18"/>
                      <w:lang w:bidi="ar"/>
                    </w:rPr>
                  </w:pPr>
                  <w:r>
                    <w:rPr>
                      <w:sz w:val="18"/>
                      <w:szCs w:val="18"/>
                      <w:lang w:bidi="ar"/>
                    </w:rPr>
                    <w:t>28</w:t>
                  </w:r>
                </w:p>
              </w:tc>
              <w:tc>
                <w:tcPr>
                  <w:tcW w:w="491" w:type="pct"/>
                  <w:tcBorders>
                    <w:top w:val="nil"/>
                    <w:left w:val="nil"/>
                    <w:bottom w:val="single" w:color="000000" w:sz="8" w:space="0"/>
                    <w:right w:val="single" w:color="000000" w:sz="8" w:space="0"/>
                  </w:tcBorders>
                  <w:shd w:val="clear" w:color="auto" w:fill="auto"/>
                  <w:vAlign w:val="center"/>
                </w:tcPr>
                <w:p>
                  <w:pPr>
                    <w:jc w:val="center"/>
                    <w:rPr>
                      <w:sz w:val="18"/>
                      <w:szCs w:val="18"/>
                    </w:rPr>
                  </w:pPr>
                  <w:r>
                    <w:rPr>
                      <w:sz w:val="18"/>
                      <w:szCs w:val="18"/>
                    </w:rPr>
                    <w:t xml:space="preserve">0.219 </w:t>
                  </w:r>
                </w:p>
              </w:tc>
              <w:tc>
                <w:tcPr>
                  <w:tcW w:w="352"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6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6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28"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sz w:val="18"/>
                      <w:szCs w:val="18"/>
                      <w:lang w:bidi="ar"/>
                    </w:rPr>
                    <w:t>2.0</w:t>
                  </w:r>
                </w:p>
              </w:tc>
              <w:tc>
                <w:tcPr>
                  <w:tcW w:w="492" w:type="pct"/>
                  <w:tcBorders>
                    <w:top w:val="nil"/>
                    <w:left w:val="nil"/>
                    <w:bottom w:val="single" w:color="000000" w:sz="8" w:space="0"/>
                    <w:right w:val="single" w:color="000000" w:sz="8" w:space="0"/>
                  </w:tcBorders>
                  <w:shd w:val="clear" w:color="auto" w:fill="auto"/>
                  <w:vAlign w:val="center"/>
                </w:tcPr>
                <w:p>
                  <w:pPr>
                    <w:jc w:val="center"/>
                    <w:rPr>
                      <w:sz w:val="18"/>
                      <w:szCs w:val="18"/>
                    </w:rPr>
                  </w:pPr>
                  <w:r>
                    <w:rPr>
                      <w:sz w:val="18"/>
                      <w:szCs w:val="18"/>
                    </w:rPr>
                    <w:t xml:space="preserve">0.016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3"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5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64"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动植物油</w:t>
                  </w:r>
                </w:p>
              </w:tc>
              <w:tc>
                <w:tcPr>
                  <w:tcW w:w="534"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hint="eastAsia"/>
                      <w:kern w:val="0"/>
                      <w:sz w:val="18"/>
                      <w:szCs w:val="18"/>
                    </w:rPr>
                    <w:t>80</w:t>
                  </w:r>
                </w:p>
              </w:tc>
              <w:tc>
                <w:tcPr>
                  <w:tcW w:w="491" w:type="pct"/>
                  <w:tcBorders>
                    <w:top w:val="nil"/>
                    <w:left w:val="nil"/>
                    <w:bottom w:val="single" w:color="000000" w:sz="8" w:space="0"/>
                    <w:right w:val="single" w:color="000000" w:sz="8" w:space="0"/>
                  </w:tcBorders>
                  <w:shd w:val="clear" w:color="auto" w:fill="auto"/>
                  <w:vAlign w:val="center"/>
                </w:tcPr>
                <w:p>
                  <w:pPr>
                    <w:jc w:val="center"/>
                    <w:rPr>
                      <w:sz w:val="18"/>
                      <w:szCs w:val="18"/>
                    </w:rPr>
                  </w:pPr>
                  <w:r>
                    <w:rPr>
                      <w:sz w:val="18"/>
                      <w:szCs w:val="18"/>
                    </w:rPr>
                    <w:t xml:space="preserve">0.625 </w:t>
                  </w:r>
                </w:p>
              </w:tc>
              <w:tc>
                <w:tcPr>
                  <w:tcW w:w="352"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6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260"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428" w:type="pct"/>
                  <w:vMerge w:val="continue"/>
                  <w:tcBorders>
                    <w:top w:val="single" w:color="auto" w:sz="4" w:space="0"/>
                    <w:left w:val="single" w:color="auto" w:sz="4" w:space="0"/>
                    <w:bottom w:val="single" w:color="auto" w:sz="4" w:space="0"/>
                    <w:right w:val="single" w:color="auto" w:sz="4" w:space="0"/>
                  </w:tcBorders>
                  <w:vAlign w:val="center"/>
                </w:tcPr>
                <w:p>
                  <w:pPr>
                    <w:rPr>
                      <w:sz w:val="20"/>
                    </w:rPr>
                  </w:pPr>
                </w:p>
              </w:tc>
              <w:tc>
                <w:tcPr>
                  <w:tcW w:w="558" w:type="pct"/>
                  <w:tcBorders>
                    <w:top w:val="single" w:color="auto" w:sz="4" w:space="0"/>
                    <w:left w:val="single" w:color="auto" w:sz="4" w:space="0"/>
                    <w:bottom w:val="single" w:color="auto" w:sz="4" w:space="0"/>
                    <w:right w:val="single" w:color="auto" w:sz="4" w:space="0"/>
                  </w:tcBorders>
                  <w:vAlign w:val="center"/>
                </w:tcPr>
                <w:p>
                  <w:pPr>
                    <w:jc w:val="center"/>
                    <w:rPr>
                      <w:kern w:val="0"/>
                      <w:sz w:val="18"/>
                      <w:szCs w:val="18"/>
                    </w:rPr>
                  </w:pPr>
                  <w:r>
                    <w:rPr>
                      <w:rFonts w:hint="eastAsia"/>
                      <w:kern w:val="0"/>
                      <w:sz w:val="18"/>
                      <w:szCs w:val="18"/>
                    </w:rPr>
                    <w:t>1</w:t>
                  </w:r>
                  <w:r>
                    <w:rPr>
                      <w:kern w:val="0"/>
                      <w:sz w:val="18"/>
                      <w:szCs w:val="18"/>
                    </w:rPr>
                    <w:t>.0</w:t>
                  </w:r>
                </w:p>
              </w:tc>
              <w:tc>
                <w:tcPr>
                  <w:tcW w:w="492" w:type="pct"/>
                  <w:tcBorders>
                    <w:top w:val="nil"/>
                    <w:left w:val="nil"/>
                    <w:bottom w:val="single" w:color="000000" w:sz="8" w:space="0"/>
                    <w:right w:val="single" w:color="000000" w:sz="8" w:space="0"/>
                  </w:tcBorders>
                  <w:shd w:val="clear" w:color="auto" w:fill="auto"/>
                  <w:vAlign w:val="center"/>
                </w:tcPr>
                <w:p>
                  <w:pPr>
                    <w:jc w:val="center"/>
                    <w:rPr>
                      <w:sz w:val="18"/>
                      <w:szCs w:val="18"/>
                    </w:rPr>
                  </w:pPr>
                  <w:r>
                    <w:rPr>
                      <w:sz w:val="18"/>
                      <w:szCs w:val="18"/>
                    </w:rPr>
                    <w:t xml:space="preserve">0.008 </w:t>
                  </w:r>
                </w:p>
              </w:tc>
            </w:tr>
          </w:tbl>
          <w:p>
            <w:pPr>
              <w:widowControl/>
              <w:spacing w:line="360" w:lineRule="auto"/>
              <w:ind w:firstLine="422" w:firstLineChars="200"/>
              <w:rPr>
                <w:b/>
                <w:bCs/>
                <w:szCs w:val="21"/>
              </w:rPr>
            </w:pPr>
            <w:r>
              <w:rPr>
                <w:b/>
                <w:bCs/>
                <w:szCs w:val="21"/>
              </w:rPr>
              <w:t>（2）排放口情况</w:t>
            </w:r>
          </w:p>
          <w:p>
            <w:pPr>
              <w:widowControl/>
              <w:adjustRightInd w:val="0"/>
              <w:snapToGrid w:val="0"/>
              <w:spacing w:line="360" w:lineRule="auto"/>
              <w:ind w:firstLine="420" w:firstLineChars="200"/>
              <w:rPr>
                <w:szCs w:val="21"/>
              </w:rPr>
            </w:pPr>
            <w:r>
              <w:t>项目</w:t>
            </w:r>
            <w:r>
              <w:rPr>
                <w:szCs w:val="21"/>
                <w:lang w:eastAsia="zh-TW"/>
              </w:rPr>
              <w:t>主要外排废水为员工生活污水，</w:t>
            </w:r>
            <w:r>
              <w:rPr>
                <w:szCs w:val="21"/>
              </w:rPr>
              <w:t>属于间接排放，项目间接排放口基本情况如下表所示。</w:t>
            </w:r>
          </w:p>
          <w:p>
            <w:pPr>
              <w:numPr>
                <w:ilvl w:val="0"/>
                <w:numId w:val="5"/>
              </w:numPr>
              <w:adjustRightInd w:val="0"/>
              <w:snapToGrid w:val="0"/>
              <w:spacing w:line="360" w:lineRule="auto"/>
              <w:ind w:left="0"/>
              <w:jc w:val="center"/>
              <w:rPr>
                <w:b/>
                <w:szCs w:val="21"/>
              </w:rPr>
            </w:pPr>
            <w:r>
              <w:rPr>
                <w:b/>
                <w:szCs w:val="21"/>
              </w:rPr>
              <w:t>废水间接排放口基本情况表</w:t>
            </w:r>
          </w:p>
          <w:tbl>
            <w:tblPr>
              <w:tblStyle w:val="2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97"/>
              <w:gridCol w:w="786"/>
              <w:gridCol w:w="1321"/>
              <w:gridCol w:w="825"/>
              <w:gridCol w:w="625"/>
              <w:gridCol w:w="1192"/>
              <w:gridCol w:w="648"/>
              <w:gridCol w:w="699"/>
              <w:gridCol w:w="734"/>
              <w:gridCol w:w="11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36" w:type="pct"/>
                  <w:vMerge w:val="restart"/>
                  <w:vAlign w:val="center"/>
                </w:tcPr>
                <w:p>
                  <w:pPr>
                    <w:widowControl/>
                    <w:adjustRightInd w:val="0"/>
                    <w:snapToGrid w:val="0"/>
                    <w:jc w:val="center"/>
                    <w:rPr>
                      <w:b/>
                      <w:sz w:val="18"/>
                      <w:szCs w:val="18"/>
                    </w:rPr>
                  </w:pPr>
                  <w:r>
                    <w:rPr>
                      <w:b/>
                      <w:sz w:val="18"/>
                      <w:szCs w:val="18"/>
                    </w:rPr>
                    <w:t>序号</w:t>
                  </w:r>
                </w:p>
              </w:tc>
              <w:tc>
                <w:tcPr>
                  <w:tcW w:w="467" w:type="pct"/>
                  <w:vMerge w:val="restart"/>
                  <w:vAlign w:val="center"/>
                </w:tcPr>
                <w:p>
                  <w:pPr>
                    <w:widowControl/>
                    <w:adjustRightInd w:val="0"/>
                    <w:snapToGrid w:val="0"/>
                    <w:jc w:val="center"/>
                    <w:rPr>
                      <w:b/>
                      <w:sz w:val="18"/>
                      <w:szCs w:val="18"/>
                    </w:rPr>
                  </w:pPr>
                  <w:r>
                    <w:rPr>
                      <w:b/>
                      <w:sz w:val="18"/>
                      <w:szCs w:val="18"/>
                    </w:rPr>
                    <w:t>排放口编号</w:t>
                  </w:r>
                </w:p>
              </w:tc>
              <w:tc>
                <w:tcPr>
                  <w:tcW w:w="785" w:type="pct"/>
                  <w:vMerge w:val="restart"/>
                  <w:vAlign w:val="center"/>
                </w:tcPr>
                <w:p>
                  <w:pPr>
                    <w:widowControl/>
                    <w:adjustRightInd w:val="0"/>
                    <w:snapToGrid w:val="0"/>
                    <w:jc w:val="center"/>
                    <w:rPr>
                      <w:b/>
                      <w:sz w:val="18"/>
                      <w:szCs w:val="18"/>
                    </w:rPr>
                  </w:pPr>
                  <w:r>
                    <w:rPr>
                      <w:b/>
                      <w:sz w:val="18"/>
                      <w:szCs w:val="18"/>
                    </w:rPr>
                    <w:t>排放口</w:t>
                  </w:r>
                </w:p>
                <w:p>
                  <w:pPr>
                    <w:widowControl/>
                    <w:adjustRightInd w:val="0"/>
                    <w:snapToGrid w:val="0"/>
                    <w:jc w:val="center"/>
                    <w:rPr>
                      <w:b/>
                      <w:sz w:val="18"/>
                      <w:szCs w:val="18"/>
                    </w:rPr>
                  </w:pPr>
                  <w:r>
                    <w:rPr>
                      <w:b/>
                      <w:sz w:val="18"/>
                      <w:szCs w:val="18"/>
                    </w:rPr>
                    <w:t>地理坐标</w:t>
                  </w:r>
                </w:p>
              </w:tc>
              <w:tc>
                <w:tcPr>
                  <w:tcW w:w="490" w:type="pct"/>
                  <w:vMerge w:val="restart"/>
                  <w:vAlign w:val="center"/>
                </w:tcPr>
                <w:p>
                  <w:pPr>
                    <w:widowControl/>
                    <w:adjustRightInd w:val="0"/>
                    <w:snapToGrid w:val="0"/>
                    <w:jc w:val="center"/>
                    <w:rPr>
                      <w:b/>
                      <w:sz w:val="18"/>
                      <w:szCs w:val="18"/>
                    </w:rPr>
                  </w:pPr>
                  <w:r>
                    <w:rPr>
                      <w:b/>
                      <w:sz w:val="18"/>
                      <w:szCs w:val="18"/>
                    </w:rPr>
                    <w:t>废水排放量（万t/a）</w:t>
                  </w:r>
                </w:p>
              </w:tc>
              <w:tc>
                <w:tcPr>
                  <w:tcW w:w="371" w:type="pct"/>
                  <w:vMerge w:val="restart"/>
                  <w:vAlign w:val="center"/>
                </w:tcPr>
                <w:p>
                  <w:pPr>
                    <w:widowControl/>
                    <w:adjustRightInd w:val="0"/>
                    <w:snapToGrid w:val="0"/>
                    <w:jc w:val="center"/>
                    <w:rPr>
                      <w:b/>
                      <w:sz w:val="18"/>
                      <w:szCs w:val="18"/>
                    </w:rPr>
                  </w:pPr>
                  <w:r>
                    <w:rPr>
                      <w:b/>
                      <w:sz w:val="18"/>
                      <w:szCs w:val="18"/>
                    </w:rPr>
                    <w:t>排放去向</w:t>
                  </w:r>
                </w:p>
              </w:tc>
              <w:tc>
                <w:tcPr>
                  <w:tcW w:w="708" w:type="pct"/>
                  <w:vMerge w:val="restart"/>
                  <w:vAlign w:val="center"/>
                </w:tcPr>
                <w:p>
                  <w:pPr>
                    <w:widowControl/>
                    <w:adjustRightInd w:val="0"/>
                    <w:snapToGrid w:val="0"/>
                    <w:jc w:val="center"/>
                    <w:rPr>
                      <w:b/>
                      <w:sz w:val="18"/>
                      <w:szCs w:val="18"/>
                    </w:rPr>
                  </w:pPr>
                  <w:r>
                    <w:rPr>
                      <w:b/>
                      <w:sz w:val="18"/>
                      <w:szCs w:val="18"/>
                    </w:rPr>
                    <w:t>排放规律</w:t>
                  </w:r>
                </w:p>
              </w:tc>
              <w:tc>
                <w:tcPr>
                  <w:tcW w:w="385" w:type="pct"/>
                  <w:vMerge w:val="restart"/>
                  <w:vAlign w:val="center"/>
                </w:tcPr>
                <w:p>
                  <w:pPr>
                    <w:widowControl/>
                    <w:adjustRightInd w:val="0"/>
                    <w:snapToGrid w:val="0"/>
                    <w:jc w:val="center"/>
                    <w:rPr>
                      <w:b/>
                      <w:sz w:val="18"/>
                      <w:szCs w:val="18"/>
                    </w:rPr>
                  </w:pPr>
                  <w:r>
                    <w:rPr>
                      <w:b/>
                      <w:sz w:val="18"/>
                      <w:szCs w:val="18"/>
                    </w:rPr>
                    <w:t>间歇排放时段</w:t>
                  </w:r>
                </w:p>
              </w:tc>
              <w:tc>
                <w:tcPr>
                  <w:tcW w:w="1557" w:type="pct"/>
                  <w:gridSpan w:val="3"/>
                  <w:vAlign w:val="center"/>
                </w:tcPr>
                <w:p>
                  <w:pPr>
                    <w:widowControl/>
                    <w:adjustRightInd w:val="0"/>
                    <w:snapToGrid w:val="0"/>
                    <w:jc w:val="center"/>
                    <w:rPr>
                      <w:b/>
                      <w:sz w:val="18"/>
                      <w:szCs w:val="18"/>
                    </w:rPr>
                  </w:pPr>
                  <w:r>
                    <w:rPr>
                      <w:b/>
                      <w:sz w:val="18"/>
                      <w:szCs w:val="18"/>
                    </w:rPr>
                    <w:t>受纳污水处理设施信息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jc w:val="center"/>
              </w:trPr>
              <w:tc>
                <w:tcPr>
                  <w:tcW w:w="236" w:type="pct"/>
                  <w:vMerge w:val="continue"/>
                  <w:vAlign w:val="center"/>
                </w:tcPr>
                <w:p>
                  <w:pPr>
                    <w:widowControl/>
                    <w:adjustRightInd w:val="0"/>
                    <w:snapToGrid w:val="0"/>
                    <w:jc w:val="center"/>
                    <w:rPr>
                      <w:b/>
                      <w:sz w:val="18"/>
                      <w:szCs w:val="18"/>
                    </w:rPr>
                  </w:pPr>
                </w:p>
              </w:tc>
              <w:tc>
                <w:tcPr>
                  <w:tcW w:w="467" w:type="pct"/>
                  <w:vMerge w:val="continue"/>
                  <w:vAlign w:val="center"/>
                </w:tcPr>
                <w:p>
                  <w:pPr>
                    <w:widowControl/>
                    <w:adjustRightInd w:val="0"/>
                    <w:snapToGrid w:val="0"/>
                    <w:jc w:val="center"/>
                    <w:rPr>
                      <w:b/>
                      <w:sz w:val="18"/>
                      <w:szCs w:val="18"/>
                    </w:rPr>
                  </w:pPr>
                </w:p>
              </w:tc>
              <w:tc>
                <w:tcPr>
                  <w:tcW w:w="785" w:type="pct"/>
                  <w:vMerge w:val="continue"/>
                  <w:vAlign w:val="center"/>
                </w:tcPr>
                <w:p>
                  <w:pPr>
                    <w:widowControl/>
                    <w:adjustRightInd w:val="0"/>
                    <w:snapToGrid w:val="0"/>
                    <w:jc w:val="center"/>
                    <w:rPr>
                      <w:b/>
                      <w:sz w:val="18"/>
                      <w:szCs w:val="18"/>
                    </w:rPr>
                  </w:pPr>
                </w:p>
              </w:tc>
              <w:tc>
                <w:tcPr>
                  <w:tcW w:w="490" w:type="pct"/>
                  <w:vMerge w:val="continue"/>
                  <w:vAlign w:val="center"/>
                </w:tcPr>
                <w:p>
                  <w:pPr>
                    <w:widowControl/>
                    <w:adjustRightInd w:val="0"/>
                    <w:snapToGrid w:val="0"/>
                    <w:jc w:val="center"/>
                    <w:rPr>
                      <w:b/>
                      <w:sz w:val="18"/>
                      <w:szCs w:val="18"/>
                    </w:rPr>
                  </w:pPr>
                </w:p>
              </w:tc>
              <w:tc>
                <w:tcPr>
                  <w:tcW w:w="371" w:type="pct"/>
                  <w:vMerge w:val="continue"/>
                  <w:vAlign w:val="center"/>
                </w:tcPr>
                <w:p>
                  <w:pPr>
                    <w:widowControl/>
                    <w:adjustRightInd w:val="0"/>
                    <w:snapToGrid w:val="0"/>
                    <w:jc w:val="center"/>
                    <w:rPr>
                      <w:b/>
                      <w:sz w:val="18"/>
                      <w:szCs w:val="18"/>
                    </w:rPr>
                  </w:pPr>
                </w:p>
              </w:tc>
              <w:tc>
                <w:tcPr>
                  <w:tcW w:w="708" w:type="pct"/>
                  <w:vMerge w:val="continue"/>
                  <w:vAlign w:val="center"/>
                </w:tcPr>
                <w:p>
                  <w:pPr>
                    <w:widowControl/>
                    <w:adjustRightInd w:val="0"/>
                    <w:snapToGrid w:val="0"/>
                    <w:jc w:val="center"/>
                    <w:rPr>
                      <w:b/>
                      <w:sz w:val="18"/>
                      <w:szCs w:val="18"/>
                    </w:rPr>
                  </w:pPr>
                </w:p>
              </w:tc>
              <w:tc>
                <w:tcPr>
                  <w:tcW w:w="385" w:type="pct"/>
                  <w:vMerge w:val="continue"/>
                  <w:vAlign w:val="center"/>
                </w:tcPr>
                <w:p>
                  <w:pPr>
                    <w:widowControl/>
                    <w:adjustRightInd w:val="0"/>
                    <w:snapToGrid w:val="0"/>
                    <w:jc w:val="center"/>
                    <w:rPr>
                      <w:b/>
                      <w:sz w:val="18"/>
                      <w:szCs w:val="18"/>
                    </w:rPr>
                  </w:pPr>
                </w:p>
              </w:tc>
              <w:tc>
                <w:tcPr>
                  <w:tcW w:w="415" w:type="pct"/>
                  <w:vAlign w:val="center"/>
                </w:tcPr>
                <w:p>
                  <w:pPr>
                    <w:widowControl/>
                    <w:adjustRightInd w:val="0"/>
                    <w:snapToGrid w:val="0"/>
                    <w:jc w:val="center"/>
                    <w:rPr>
                      <w:b/>
                      <w:sz w:val="18"/>
                      <w:szCs w:val="18"/>
                    </w:rPr>
                  </w:pPr>
                  <w:r>
                    <w:rPr>
                      <w:b/>
                      <w:sz w:val="18"/>
                      <w:szCs w:val="18"/>
                    </w:rPr>
                    <w:t>名称</w:t>
                  </w:r>
                </w:p>
              </w:tc>
              <w:tc>
                <w:tcPr>
                  <w:tcW w:w="436" w:type="pct"/>
                  <w:vAlign w:val="center"/>
                </w:tcPr>
                <w:p>
                  <w:pPr>
                    <w:widowControl/>
                    <w:adjustRightInd w:val="0"/>
                    <w:snapToGrid w:val="0"/>
                    <w:jc w:val="center"/>
                    <w:rPr>
                      <w:b/>
                      <w:sz w:val="18"/>
                      <w:szCs w:val="18"/>
                    </w:rPr>
                  </w:pPr>
                  <w:r>
                    <w:rPr>
                      <w:b/>
                      <w:sz w:val="18"/>
                      <w:szCs w:val="18"/>
                    </w:rPr>
                    <w:t>污染物种类</w:t>
                  </w:r>
                </w:p>
              </w:tc>
              <w:tc>
                <w:tcPr>
                  <w:tcW w:w="706" w:type="pct"/>
                  <w:vAlign w:val="center"/>
                </w:tcPr>
                <w:p>
                  <w:pPr>
                    <w:widowControl/>
                    <w:adjustRightInd w:val="0"/>
                    <w:snapToGrid w:val="0"/>
                    <w:jc w:val="center"/>
                    <w:rPr>
                      <w:b/>
                      <w:sz w:val="18"/>
                      <w:szCs w:val="18"/>
                    </w:rPr>
                  </w:pPr>
                  <w:r>
                    <w:rPr>
                      <w:b/>
                      <w:sz w:val="18"/>
                      <w:szCs w:val="18"/>
                    </w:rPr>
                    <w:t>国建或地方污染物排放标准浓度限值（mg/L）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36" w:type="pct"/>
                  <w:vMerge w:val="restart"/>
                  <w:vAlign w:val="center"/>
                </w:tcPr>
                <w:p>
                  <w:pPr>
                    <w:widowControl/>
                    <w:adjustRightInd w:val="0"/>
                    <w:snapToGrid w:val="0"/>
                    <w:jc w:val="center"/>
                    <w:rPr>
                      <w:sz w:val="18"/>
                      <w:szCs w:val="18"/>
                    </w:rPr>
                  </w:pPr>
                  <w:r>
                    <w:rPr>
                      <w:sz w:val="18"/>
                      <w:szCs w:val="18"/>
                    </w:rPr>
                    <w:t>1</w:t>
                  </w:r>
                </w:p>
              </w:tc>
              <w:tc>
                <w:tcPr>
                  <w:tcW w:w="467" w:type="pct"/>
                  <w:vMerge w:val="restart"/>
                  <w:vAlign w:val="center"/>
                </w:tcPr>
                <w:p>
                  <w:pPr>
                    <w:widowControl/>
                    <w:adjustRightInd w:val="0"/>
                    <w:snapToGrid w:val="0"/>
                    <w:jc w:val="center"/>
                    <w:rPr>
                      <w:sz w:val="18"/>
                      <w:szCs w:val="18"/>
                    </w:rPr>
                  </w:pPr>
                  <w:r>
                    <w:rPr>
                      <w:sz w:val="18"/>
                      <w:szCs w:val="18"/>
                    </w:rPr>
                    <w:t>DW001</w:t>
                  </w:r>
                </w:p>
              </w:tc>
              <w:tc>
                <w:tcPr>
                  <w:tcW w:w="785" w:type="pct"/>
                  <w:vMerge w:val="restart"/>
                  <w:vAlign w:val="center"/>
                </w:tcPr>
                <w:p>
                  <w:pPr>
                    <w:widowControl/>
                    <w:adjustRightInd w:val="0"/>
                    <w:snapToGrid w:val="0"/>
                    <w:jc w:val="center"/>
                    <w:rPr>
                      <w:kern w:val="18"/>
                      <w:sz w:val="18"/>
                      <w:szCs w:val="18"/>
                    </w:rPr>
                  </w:pPr>
                  <w:r>
                    <w:rPr>
                      <w:sz w:val="18"/>
                      <w:szCs w:val="18"/>
                    </w:rPr>
                    <w:t>E 113.98366</w:t>
                  </w:r>
                  <w:r>
                    <w:rPr>
                      <w:kern w:val="18"/>
                      <w:sz w:val="18"/>
                      <w:szCs w:val="18"/>
                    </w:rPr>
                    <w:t>°</w:t>
                  </w:r>
                </w:p>
                <w:p>
                  <w:pPr>
                    <w:widowControl/>
                    <w:adjustRightInd w:val="0"/>
                    <w:snapToGrid w:val="0"/>
                    <w:jc w:val="center"/>
                    <w:rPr>
                      <w:sz w:val="18"/>
                      <w:szCs w:val="18"/>
                    </w:rPr>
                  </w:pPr>
                  <w:r>
                    <w:rPr>
                      <w:sz w:val="18"/>
                      <w:szCs w:val="18"/>
                    </w:rPr>
                    <w:t>N 23.16645°</w:t>
                  </w:r>
                </w:p>
              </w:tc>
              <w:tc>
                <w:tcPr>
                  <w:tcW w:w="490" w:type="pct"/>
                  <w:vMerge w:val="restart"/>
                  <w:vAlign w:val="center"/>
                </w:tcPr>
                <w:p>
                  <w:pPr>
                    <w:widowControl/>
                    <w:adjustRightInd w:val="0"/>
                    <w:snapToGrid w:val="0"/>
                    <w:jc w:val="center"/>
                    <w:rPr>
                      <w:sz w:val="18"/>
                      <w:szCs w:val="18"/>
                    </w:rPr>
                  </w:pPr>
                  <w:r>
                    <w:rPr>
                      <w:sz w:val="18"/>
                      <w:szCs w:val="18"/>
                    </w:rPr>
                    <w:t>0.7812</w:t>
                  </w:r>
                </w:p>
              </w:tc>
              <w:tc>
                <w:tcPr>
                  <w:tcW w:w="371" w:type="pct"/>
                  <w:vMerge w:val="restart"/>
                  <w:vAlign w:val="center"/>
                </w:tcPr>
                <w:p>
                  <w:pPr>
                    <w:widowControl/>
                    <w:adjustRightInd w:val="0"/>
                    <w:snapToGrid w:val="0"/>
                    <w:jc w:val="center"/>
                    <w:rPr>
                      <w:sz w:val="18"/>
                      <w:szCs w:val="18"/>
                    </w:rPr>
                  </w:pPr>
                  <w:r>
                    <w:rPr>
                      <w:sz w:val="18"/>
                      <w:szCs w:val="18"/>
                    </w:rPr>
                    <w:t>进入城镇污水处理厂</w:t>
                  </w:r>
                </w:p>
              </w:tc>
              <w:tc>
                <w:tcPr>
                  <w:tcW w:w="708" w:type="pct"/>
                  <w:vMerge w:val="restart"/>
                  <w:vAlign w:val="center"/>
                </w:tcPr>
                <w:p>
                  <w:pPr>
                    <w:widowControl/>
                    <w:adjustRightInd w:val="0"/>
                    <w:snapToGrid w:val="0"/>
                    <w:jc w:val="center"/>
                    <w:rPr>
                      <w:sz w:val="18"/>
                      <w:szCs w:val="18"/>
                    </w:rPr>
                  </w:pPr>
                  <w:r>
                    <w:rPr>
                      <w:sz w:val="18"/>
                      <w:szCs w:val="18"/>
                    </w:rPr>
                    <w:t>间断排放，排放期间流量不稳定且无规律，但不属于冲击型排放</w:t>
                  </w:r>
                </w:p>
              </w:tc>
              <w:tc>
                <w:tcPr>
                  <w:tcW w:w="385" w:type="pct"/>
                  <w:vMerge w:val="restart"/>
                  <w:vAlign w:val="center"/>
                </w:tcPr>
                <w:p>
                  <w:pPr>
                    <w:widowControl/>
                    <w:adjustRightInd w:val="0"/>
                    <w:snapToGrid w:val="0"/>
                    <w:jc w:val="center"/>
                    <w:rPr>
                      <w:sz w:val="18"/>
                      <w:szCs w:val="18"/>
                    </w:rPr>
                  </w:pPr>
                  <w:r>
                    <w:rPr>
                      <w:sz w:val="18"/>
                      <w:szCs w:val="18"/>
                    </w:rPr>
                    <w:t>无固定时段</w:t>
                  </w:r>
                </w:p>
              </w:tc>
              <w:tc>
                <w:tcPr>
                  <w:tcW w:w="415" w:type="pct"/>
                  <w:vMerge w:val="restart"/>
                  <w:vAlign w:val="center"/>
                </w:tcPr>
                <w:p>
                  <w:pPr>
                    <w:widowControl/>
                    <w:adjustRightInd w:val="0"/>
                    <w:snapToGrid w:val="0"/>
                    <w:jc w:val="center"/>
                    <w:rPr>
                      <w:sz w:val="18"/>
                      <w:szCs w:val="18"/>
                    </w:rPr>
                  </w:pPr>
                  <w:r>
                    <w:rPr>
                      <w:sz w:val="18"/>
                      <w:szCs w:val="18"/>
                    </w:rPr>
                    <w:t>园洲镇第四污水处理厂</w:t>
                  </w:r>
                </w:p>
              </w:tc>
              <w:tc>
                <w:tcPr>
                  <w:tcW w:w="436" w:type="pct"/>
                  <w:vAlign w:val="center"/>
                </w:tcPr>
                <w:p>
                  <w:pPr>
                    <w:widowControl/>
                    <w:adjustRightInd w:val="0"/>
                    <w:snapToGrid w:val="0"/>
                    <w:jc w:val="center"/>
                    <w:rPr>
                      <w:sz w:val="18"/>
                      <w:szCs w:val="18"/>
                    </w:rPr>
                  </w:pPr>
                  <w:r>
                    <w:rPr>
                      <w:sz w:val="18"/>
                      <w:szCs w:val="18"/>
                    </w:rPr>
                    <w:t>SS</w:t>
                  </w:r>
                </w:p>
              </w:tc>
              <w:tc>
                <w:tcPr>
                  <w:tcW w:w="706" w:type="pct"/>
                  <w:vAlign w:val="center"/>
                </w:tcPr>
                <w:p>
                  <w:pPr>
                    <w:widowControl/>
                    <w:adjustRightInd w:val="0"/>
                    <w:snapToGrid w:val="0"/>
                    <w:jc w:val="center"/>
                    <w:rPr>
                      <w:sz w:val="18"/>
                      <w:szCs w:val="18"/>
                    </w:rPr>
                  </w:pPr>
                  <w:r>
                    <w:rPr>
                      <w:sz w:val="18"/>
                      <w:szCs w:val="18"/>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36" w:type="pct"/>
                  <w:vMerge w:val="continue"/>
                  <w:vAlign w:val="center"/>
                </w:tcPr>
                <w:p>
                  <w:pPr>
                    <w:widowControl/>
                    <w:adjustRightInd w:val="0"/>
                    <w:snapToGrid w:val="0"/>
                    <w:jc w:val="center"/>
                    <w:rPr>
                      <w:sz w:val="18"/>
                      <w:szCs w:val="18"/>
                    </w:rPr>
                  </w:pPr>
                </w:p>
              </w:tc>
              <w:tc>
                <w:tcPr>
                  <w:tcW w:w="467" w:type="pct"/>
                  <w:vMerge w:val="continue"/>
                  <w:vAlign w:val="center"/>
                </w:tcPr>
                <w:p>
                  <w:pPr>
                    <w:widowControl/>
                    <w:adjustRightInd w:val="0"/>
                    <w:snapToGrid w:val="0"/>
                    <w:jc w:val="center"/>
                    <w:rPr>
                      <w:sz w:val="18"/>
                      <w:szCs w:val="18"/>
                    </w:rPr>
                  </w:pPr>
                </w:p>
              </w:tc>
              <w:tc>
                <w:tcPr>
                  <w:tcW w:w="785" w:type="pct"/>
                  <w:vMerge w:val="continue"/>
                  <w:vAlign w:val="center"/>
                </w:tcPr>
                <w:p>
                  <w:pPr>
                    <w:widowControl/>
                    <w:adjustRightInd w:val="0"/>
                    <w:snapToGrid w:val="0"/>
                    <w:jc w:val="center"/>
                    <w:rPr>
                      <w:sz w:val="18"/>
                      <w:szCs w:val="18"/>
                    </w:rPr>
                  </w:pPr>
                </w:p>
              </w:tc>
              <w:tc>
                <w:tcPr>
                  <w:tcW w:w="490" w:type="pct"/>
                  <w:vMerge w:val="continue"/>
                  <w:vAlign w:val="center"/>
                </w:tcPr>
                <w:p>
                  <w:pPr>
                    <w:widowControl/>
                    <w:adjustRightInd w:val="0"/>
                    <w:snapToGrid w:val="0"/>
                    <w:jc w:val="center"/>
                    <w:rPr>
                      <w:sz w:val="18"/>
                      <w:szCs w:val="18"/>
                    </w:rPr>
                  </w:pPr>
                </w:p>
              </w:tc>
              <w:tc>
                <w:tcPr>
                  <w:tcW w:w="371" w:type="pct"/>
                  <w:vMerge w:val="continue"/>
                  <w:vAlign w:val="center"/>
                </w:tcPr>
                <w:p>
                  <w:pPr>
                    <w:widowControl/>
                    <w:adjustRightInd w:val="0"/>
                    <w:snapToGrid w:val="0"/>
                    <w:jc w:val="center"/>
                    <w:rPr>
                      <w:sz w:val="18"/>
                      <w:szCs w:val="18"/>
                    </w:rPr>
                  </w:pPr>
                </w:p>
              </w:tc>
              <w:tc>
                <w:tcPr>
                  <w:tcW w:w="708" w:type="pct"/>
                  <w:vMerge w:val="continue"/>
                  <w:vAlign w:val="center"/>
                </w:tcPr>
                <w:p>
                  <w:pPr>
                    <w:widowControl/>
                    <w:adjustRightInd w:val="0"/>
                    <w:snapToGrid w:val="0"/>
                    <w:jc w:val="center"/>
                    <w:rPr>
                      <w:sz w:val="18"/>
                      <w:szCs w:val="18"/>
                    </w:rPr>
                  </w:pPr>
                </w:p>
              </w:tc>
              <w:tc>
                <w:tcPr>
                  <w:tcW w:w="385" w:type="pct"/>
                  <w:vMerge w:val="continue"/>
                  <w:vAlign w:val="center"/>
                </w:tcPr>
                <w:p>
                  <w:pPr>
                    <w:widowControl/>
                    <w:adjustRightInd w:val="0"/>
                    <w:snapToGrid w:val="0"/>
                    <w:jc w:val="center"/>
                    <w:rPr>
                      <w:sz w:val="18"/>
                      <w:szCs w:val="18"/>
                    </w:rPr>
                  </w:pPr>
                </w:p>
              </w:tc>
              <w:tc>
                <w:tcPr>
                  <w:tcW w:w="415" w:type="pct"/>
                  <w:vMerge w:val="continue"/>
                  <w:vAlign w:val="center"/>
                </w:tcPr>
                <w:p>
                  <w:pPr>
                    <w:widowControl/>
                    <w:adjustRightInd w:val="0"/>
                    <w:snapToGrid w:val="0"/>
                    <w:jc w:val="center"/>
                    <w:rPr>
                      <w:sz w:val="18"/>
                      <w:szCs w:val="18"/>
                    </w:rPr>
                  </w:pPr>
                </w:p>
              </w:tc>
              <w:tc>
                <w:tcPr>
                  <w:tcW w:w="436" w:type="pct"/>
                  <w:vAlign w:val="center"/>
                </w:tcPr>
                <w:p>
                  <w:pPr>
                    <w:widowControl/>
                    <w:adjustRightInd w:val="0"/>
                    <w:snapToGrid w:val="0"/>
                    <w:jc w:val="center"/>
                    <w:rPr>
                      <w:sz w:val="18"/>
                      <w:szCs w:val="18"/>
                    </w:rPr>
                  </w:pPr>
                  <w:r>
                    <w:rPr>
                      <w:sz w:val="18"/>
                      <w:szCs w:val="18"/>
                    </w:rPr>
                    <w:t>BOD</w:t>
                  </w:r>
                  <w:r>
                    <w:rPr>
                      <w:sz w:val="18"/>
                      <w:szCs w:val="18"/>
                      <w:vertAlign w:val="subscript"/>
                    </w:rPr>
                    <w:t>5</w:t>
                  </w:r>
                </w:p>
              </w:tc>
              <w:tc>
                <w:tcPr>
                  <w:tcW w:w="706" w:type="pct"/>
                  <w:vAlign w:val="center"/>
                </w:tcPr>
                <w:p>
                  <w:pPr>
                    <w:widowControl/>
                    <w:adjustRightInd w:val="0"/>
                    <w:snapToGrid w:val="0"/>
                    <w:jc w:val="center"/>
                    <w:rPr>
                      <w:sz w:val="18"/>
                      <w:szCs w:val="18"/>
                    </w:rPr>
                  </w:pPr>
                  <w:r>
                    <w:rPr>
                      <w:sz w:val="18"/>
                      <w:szCs w:val="18"/>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36" w:type="pct"/>
                  <w:vMerge w:val="continue"/>
                  <w:vAlign w:val="center"/>
                </w:tcPr>
                <w:p>
                  <w:pPr>
                    <w:widowControl/>
                    <w:adjustRightInd w:val="0"/>
                    <w:snapToGrid w:val="0"/>
                    <w:jc w:val="center"/>
                    <w:rPr>
                      <w:sz w:val="18"/>
                      <w:szCs w:val="18"/>
                    </w:rPr>
                  </w:pPr>
                </w:p>
              </w:tc>
              <w:tc>
                <w:tcPr>
                  <w:tcW w:w="467" w:type="pct"/>
                  <w:vMerge w:val="continue"/>
                  <w:vAlign w:val="center"/>
                </w:tcPr>
                <w:p>
                  <w:pPr>
                    <w:widowControl/>
                    <w:adjustRightInd w:val="0"/>
                    <w:snapToGrid w:val="0"/>
                    <w:jc w:val="center"/>
                    <w:rPr>
                      <w:sz w:val="18"/>
                      <w:szCs w:val="18"/>
                    </w:rPr>
                  </w:pPr>
                </w:p>
              </w:tc>
              <w:tc>
                <w:tcPr>
                  <w:tcW w:w="785" w:type="pct"/>
                  <w:vMerge w:val="continue"/>
                  <w:vAlign w:val="center"/>
                </w:tcPr>
                <w:p>
                  <w:pPr>
                    <w:widowControl/>
                    <w:adjustRightInd w:val="0"/>
                    <w:snapToGrid w:val="0"/>
                    <w:jc w:val="center"/>
                    <w:rPr>
                      <w:sz w:val="18"/>
                      <w:szCs w:val="18"/>
                    </w:rPr>
                  </w:pPr>
                </w:p>
              </w:tc>
              <w:tc>
                <w:tcPr>
                  <w:tcW w:w="490" w:type="pct"/>
                  <w:vMerge w:val="continue"/>
                  <w:vAlign w:val="center"/>
                </w:tcPr>
                <w:p>
                  <w:pPr>
                    <w:widowControl/>
                    <w:adjustRightInd w:val="0"/>
                    <w:snapToGrid w:val="0"/>
                    <w:jc w:val="center"/>
                    <w:rPr>
                      <w:sz w:val="18"/>
                      <w:szCs w:val="18"/>
                    </w:rPr>
                  </w:pPr>
                </w:p>
              </w:tc>
              <w:tc>
                <w:tcPr>
                  <w:tcW w:w="371" w:type="pct"/>
                  <w:vMerge w:val="continue"/>
                  <w:vAlign w:val="center"/>
                </w:tcPr>
                <w:p>
                  <w:pPr>
                    <w:widowControl/>
                    <w:adjustRightInd w:val="0"/>
                    <w:snapToGrid w:val="0"/>
                    <w:jc w:val="center"/>
                    <w:rPr>
                      <w:sz w:val="18"/>
                      <w:szCs w:val="18"/>
                    </w:rPr>
                  </w:pPr>
                </w:p>
              </w:tc>
              <w:tc>
                <w:tcPr>
                  <w:tcW w:w="708" w:type="pct"/>
                  <w:vMerge w:val="continue"/>
                  <w:vAlign w:val="center"/>
                </w:tcPr>
                <w:p>
                  <w:pPr>
                    <w:widowControl/>
                    <w:adjustRightInd w:val="0"/>
                    <w:snapToGrid w:val="0"/>
                    <w:jc w:val="center"/>
                    <w:rPr>
                      <w:sz w:val="18"/>
                      <w:szCs w:val="18"/>
                    </w:rPr>
                  </w:pPr>
                </w:p>
              </w:tc>
              <w:tc>
                <w:tcPr>
                  <w:tcW w:w="385" w:type="pct"/>
                  <w:vMerge w:val="continue"/>
                  <w:vAlign w:val="center"/>
                </w:tcPr>
                <w:p>
                  <w:pPr>
                    <w:widowControl/>
                    <w:adjustRightInd w:val="0"/>
                    <w:snapToGrid w:val="0"/>
                    <w:jc w:val="center"/>
                    <w:rPr>
                      <w:sz w:val="18"/>
                      <w:szCs w:val="18"/>
                    </w:rPr>
                  </w:pPr>
                </w:p>
              </w:tc>
              <w:tc>
                <w:tcPr>
                  <w:tcW w:w="415" w:type="pct"/>
                  <w:vMerge w:val="continue"/>
                  <w:vAlign w:val="center"/>
                </w:tcPr>
                <w:p>
                  <w:pPr>
                    <w:widowControl/>
                    <w:adjustRightInd w:val="0"/>
                    <w:snapToGrid w:val="0"/>
                    <w:jc w:val="center"/>
                    <w:rPr>
                      <w:sz w:val="18"/>
                      <w:szCs w:val="18"/>
                    </w:rPr>
                  </w:pPr>
                </w:p>
              </w:tc>
              <w:tc>
                <w:tcPr>
                  <w:tcW w:w="436" w:type="pct"/>
                  <w:vAlign w:val="center"/>
                </w:tcPr>
                <w:p>
                  <w:pPr>
                    <w:widowControl/>
                    <w:adjustRightInd w:val="0"/>
                    <w:snapToGrid w:val="0"/>
                    <w:jc w:val="center"/>
                    <w:rPr>
                      <w:sz w:val="18"/>
                      <w:szCs w:val="18"/>
                    </w:rPr>
                  </w:pPr>
                  <w:r>
                    <w:rPr>
                      <w:sz w:val="18"/>
                      <w:szCs w:val="18"/>
                    </w:rPr>
                    <w:t>COD</w:t>
                  </w:r>
                  <w:r>
                    <w:rPr>
                      <w:sz w:val="18"/>
                      <w:szCs w:val="18"/>
                      <w:vertAlign w:val="subscript"/>
                    </w:rPr>
                    <w:t>Cr</w:t>
                  </w:r>
                </w:p>
              </w:tc>
              <w:tc>
                <w:tcPr>
                  <w:tcW w:w="706" w:type="pct"/>
                  <w:vAlign w:val="center"/>
                </w:tcPr>
                <w:p>
                  <w:pPr>
                    <w:widowControl/>
                    <w:adjustRightInd w:val="0"/>
                    <w:snapToGrid w:val="0"/>
                    <w:jc w:val="center"/>
                    <w:rPr>
                      <w:sz w:val="18"/>
                      <w:szCs w:val="18"/>
                    </w:rPr>
                  </w:pPr>
                  <w:r>
                    <w:rPr>
                      <w:sz w:val="18"/>
                      <w:szCs w:val="18"/>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36" w:type="pct"/>
                  <w:vMerge w:val="continue"/>
                  <w:vAlign w:val="center"/>
                </w:tcPr>
                <w:p>
                  <w:pPr>
                    <w:widowControl/>
                    <w:adjustRightInd w:val="0"/>
                    <w:snapToGrid w:val="0"/>
                    <w:jc w:val="center"/>
                    <w:rPr>
                      <w:sz w:val="18"/>
                      <w:szCs w:val="18"/>
                    </w:rPr>
                  </w:pPr>
                </w:p>
              </w:tc>
              <w:tc>
                <w:tcPr>
                  <w:tcW w:w="467" w:type="pct"/>
                  <w:vMerge w:val="continue"/>
                  <w:vAlign w:val="center"/>
                </w:tcPr>
                <w:p>
                  <w:pPr>
                    <w:widowControl/>
                    <w:adjustRightInd w:val="0"/>
                    <w:snapToGrid w:val="0"/>
                    <w:jc w:val="center"/>
                    <w:rPr>
                      <w:sz w:val="18"/>
                      <w:szCs w:val="18"/>
                    </w:rPr>
                  </w:pPr>
                </w:p>
              </w:tc>
              <w:tc>
                <w:tcPr>
                  <w:tcW w:w="785" w:type="pct"/>
                  <w:vMerge w:val="continue"/>
                  <w:vAlign w:val="center"/>
                </w:tcPr>
                <w:p>
                  <w:pPr>
                    <w:widowControl/>
                    <w:adjustRightInd w:val="0"/>
                    <w:snapToGrid w:val="0"/>
                    <w:jc w:val="center"/>
                    <w:rPr>
                      <w:sz w:val="18"/>
                      <w:szCs w:val="18"/>
                    </w:rPr>
                  </w:pPr>
                </w:p>
              </w:tc>
              <w:tc>
                <w:tcPr>
                  <w:tcW w:w="490" w:type="pct"/>
                  <w:vMerge w:val="continue"/>
                  <w:vAlign w:val="center"/>
                </w:tcPr>
                <w:p>
                  <w:pPr>
                    <w:widowControl/>
                    <w:adjustRightInd w:val="0"/>
                    <w:snapToGrid w:val="0"/>
                    <w:jc w:val="center"/>
                    <w:rPr>
                      <w:sz w:val="18"/>
                      <w:szCs w:val="18"/>
                    </w:rPr>
                  </w:pPr>
                </w:p>
              </w:tc>
              <w:tc>
                <w:tcPr>
                  <w:tcW w:w="371" w:type="pct"/>
                  <w:vMerge w:val="continue"/>
                  <w:vAlign w:val="center"/>
                </w:tcPr>
                <w:p>
                  <w:pPr>
                    <w:widowControl/>
                    <w:adjustRightInd w:val="0"/>
                    <w:snapToGrid w:val="0"/>
                    <w:jc w:val="center"/>
                    <w:rPr>
                      <w:sz w:val="18"/>
                      <w:szCs w:val="18"/>
                    </w:rPr>
                  </w:pPr>
                </w:p>
              </w:tc>
              <w:tc>
                <w:tcPr>
                  <w:tcW w:w="708" w:type="pct"/>
                  <w:vMerge w:val="continue"/>
                  <w:vAlign w:val="center"/>
                </w:tcPr>
                <w:p>
                  <w:pPr>
                    <w:widowControl/>
                    <w:adjustRightInd w:val="0"/>
                    <w:snapToGrid w:val="0"/>
                    <w:jc w:val="center"/>
                    <w:rPr>
                      <w:sz w:val="18"/>
                      <w:szCs w:val="18"/>
                    </w:rPr>
                  </w:pPr>
                </w:p>
              </w:tc>
              <w:tc>
                <w:tcPr>
                  <w:tcW w:w="385" w:type="pct"/>
                  <w:vMerge w:val="continue"/>
                  <w:vAlign w:val="center"/>
                </w:tcPr>
                <w:p>
                  <w:pPr>
                    <w:widowControl/>
                    <w:adjustRightInd w:val="0"/>
                    <w:snapToGrid w:val="0"/>
                    <w:jc w:val="center"/>
                    <w:rPr>
                      <w:sz w:val="18"/>
                      <w:szCs w:val="18"/>
                    </w:rPr>
                  </w:pPr>
                </w:p>
              </w:tc>
              <w:tc>
                <w:tcPr>
                  <w:tcW w:w="415" w:type="pct"/>
                  <w:vMerge w:val="continue"/>
                  <w:vAlign w:val="center"/>
                </w:tcPr>
                <w:p>
                  <w:pPr>
                    <w:widowControl/>
                    <w:adjustRightInd w:val="0"/>
                    <w:snapToGrid w:val="0"/>
                    <w:jc w:val="center"/>
                    <w:rPr>
                      <w:sz w:val="18"/>
                      <w:szCs w:val="18"/>
                    </w:rPr>
                  </w:pPr>
                </w:p>
              </w:tc>
              <w:tc>
                <w:tcPr>
                  <w:tcW w:w="436" w:type="pct"/>
                  <w:vAlign w:val="center"/>
                </w:tcPr>
                <w:p>
                  <w:pPr>
                    <w:widowControl/>
                    <w:adjustRightInd w:val="0"/>
                    <w:snapToGrid w:val="0"/>
                    <w:jc w:val="center"/>
                    <w:rPr>
                      <w:sz w:val="18"/>
                      <w:szCs w:val="18"/>
                    </w:rPr>
                  </w:pPr>
                  <w:r>
                    <w:rPr>
                      <w:sz w:val="18"/>
                      <w:szCs w:val="18"/>
                    </w:rPr>
                    <w:t>TN</w:t>
                  </w:r>
                </w:p>
              </w:tc>
              <w:tc>
                <w:tcPr>
                  <w:tcW w:w="706" w:type="pct"/>
                  <w:vAlign w:val="center"/>
                </w:tcPr>
                <w:p>
                  <w:pPr>
                    <w:widowControl/>
                    <w:adjustRightInd w:val="0"/>
                    <w:snapToGrid w:val="0"/>
                    <w:jc w:val="center"/>
                    <w:rPr>
                      <w:sz w:val="18"/>
                      <w:szCs w:val="18"/>
                    </w:rPr>
                  </w:pPr>
                  <w:r>
                    <w:rPr>
                      <w:sz w:val="18"/>
                      <w:szCs w:val="18"/>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36" w:type="pct"/>
                  <w:vMerge w:val="continue"/>
                  <w:vAlign w:val="center"/>
                </w:tcPr>
                <w:p>
                  <w:pPr>
                    <w:widowControl/>
                    <w:adjustRightInd w:val="0"/>
                    <w:snapToGrid w:val="0"/>
                    <w:jc w:val="center"/>
                    <w:rPr>
                      <w:sz w:val="18"/>
                      <w:szCs w:val="18"/>
                    </w:rPr>
                  </w:pPr>
                </w:p>
              </w:tc>
              <w:tc>
                <w:tcPr>
                  <w:tcW w:w="467" w:type="pct"/>
                  <w:vMerge w:val="continue"/>
                  <w:vAlign w:val="center"/>
                </w:tcPr>
                <w:p>
                  <w:pPr>
                    <w:widowControl/>
                    <w:adjustRightInd w:val="0"/>
                    <w:snapToGrid w:val="0"/>
                    <w:jc w:val="center"/>
                    <w:rPr>
                      <w:sz w:val="18"/>
                      <w:szCs w:val="18"/>
                    </w:rPr>
                  </w:pPr>
                </w:p>
              </w:tc>
              <w:tc>
                <w:tcPr>
                  <w:tcW w:w="785" w:type="pct"/>
                  <w:vMerge w:val="continue"/>
                  <w:vAlign w:val="center"/>
                </w:tcPr>
                <w:p>
                  <w:pPr>
                    <w:widowControl/>
                    <w:adjustRightInd w:val="0"/>
                    <w:snapToGrid w:val="0"/>
                    <w:jc w:val="center"/>
                    <w:rPr>
                      <w:sz w:val="18"/>
                      <w:szCs w:val="18"/>
                    </w:rPr>
                  </w:pPr>
                </w:p>
              </w:tc>
              <w:tc>
                <w:tcPr>
                  <w:tcW w:w="490" w:type="pct"/>
                  <w:vMerge w:val="continue"/>
                  <w:vAlign w:val="center"/>
                </w:tcPr>
                <w:p>
                  <w:pPr>
                    <w:widowControl/>
                    <w:adjustRightInd w:val="0"/>
                    <w:snapToGrid w:val="0"/>
                    <w:jc w:val="center"/>
                    <w:rPr>
                      <w:sz w:val="18"/>
                      <w:szCs w:val="18"/>
                    </w:rPr>
                  </w:pPr>
                </w:p>
              </w:tc>
              <w:tc>
                <w:tcPr>
                  <w:tcW w:w="371" w:type="pct"/>
                  <w:vMerge w:val="continue"/>
                  <w:vAlign w:val="center"/>
                </w:tcPr>
                <w:p>
                  <w:pPr>
                    <w:widowControl/>
                    <w:adjustRightInd w:val="0"/>
                    <w:snapToGrid w:val="0"/>
                    <w:jc w:val="center"/>
                    <w:rPr>
                      <w:sz w:val="18"/>
                      <w:szCs w:val="18"/>
                    </w:rPr>
                  </w:pPr>
                </w:p>
              </w:tc>
              <w:tc>
                <w:tcPr>
                  <w:tcW w:w="708" w:type="pct"/>
                  <w:vMerge w:val="continue"/>
                  <w:vAlign w:val="center"/>
                </w:tcPr>
                <w:p>
                  <w:pPr>
                    <w:widowControl/>
                    <w:adjustRightInd w:val="0"/>
                    <w:snapToGrid w:val="0"/>
                    <w:jc w:val="center"/>
                    <w:rPr>
                      <w:sz w:val="18"/>
                      <w:szCs w:val="18"/>
                    </w:rPr>
                  </w:pPr>
                </w:p>
              </w:tc>
              <w:tc>
                <w:tcPr>
                  <w:tcW w:w="385" w:type="pct"/>
                  <w:vMerge w:val="continue"/>
                  <w:vAlign w:val="center"/>
                </w:tcPr>
                <w:p>
                  <w:pPr>
                    <w:widowControl/>
                    <w:adjustRightInd w:val="0"/>
                    <w:snapToGrid w:val="0"/>
                    <w:jc w:val="center"/>
                    <w:rPr>
                      <w:sz w:val="18"/>
                      <w:szCs w:val="18"/>
                    </w:rPr>
                  </w:pPr>
                </w:p>
              </w:tc>
              <w:tc>
                <w:tcPr>
                  <w:tcW w:w="415" w:type="pct"/>
                  <w:vMerge w:val="continue"/>
                  <w:vAlign w:val="center"/>
                </w:tcPr>
                <w:p>
                  <w:pPr>
                    <w:widowControl/>
                    <w:adjustRightInd w:val="0"/>
                    <w:snapToGrid w:val="0"/>
                    <w:jc w:val="center"/>
                    <w:rPr>
                      <w:sz w:val="18"/>
                      <w:szCs w:val="18"/>
                    </w:rPr>
                  </w:pPr>
                </w:p>
              </w:tc>
              <w:tc>
                <w:tcPr>
                  <w:tcW w:w="436" w:type="pct"/>
                  <w:vAlign w:val="center"/>
                </w:tcPr>
                <w:p>
                  <w:pPr>
                    <w:widowControl/>
                    <w:adjustRightInd w:val="0"/>
                    <w:snapToGrid w:val="0"/>
                    <w:jc w:val="center"/>
                    <w:rPr>
                      <w:sz w:val="18"/>
                      <w:szCs w:val="18"/>
                    </w:rPr>
                  </w:pPr>
                  <w:r>
                    <w:rPr>
                      <w:sz w:val="18"/>
                      <w:szCs w:val="18"/>
                    </w:rPr>
                    <w:t>TP</w:t>
                  </w:r>
                </w:p>
              </w:tc>
              <w:tc>
                <w:tcPr>
                  <w:tcW w:w="706" w:type="pct"/>
                  <w:vAlign w:val="center"/>
                </w:tcPr>
                <w:p>
                  <w:pPr>
                    <w:widowControl/>
                    <w:adjustRightInd w:val="0"/>
                    <w:snapToGrid w:val="0"/>
                    <w:jc w:val="center"/>
                    <w:rPr>
                      <w:sz w:val="18"/>
                      <w:szCs w:val="18"/>
                    </w:rPr>
                  </w:pPr>
                  <w:r>
                    <w:rPr>
                      <w:sz w:val="18"/>
                      <w:szCs w:val="18"/>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36" w:type="pct"/>
                  <w:vMerge w:val="continue"/>
                  <w:vAlign w:val="center"/>
                </w:tcPr>
                <w:p>
                  <w:pPr>
                    <w:widowControl/>
                    <w:adjustRightInd w:val="0"/>
                    <w:snapToGrid w:val="0"/>
                    <w:jc w:val="center"/>
                    <w:rPr>
                      <w:sz w:val="18"/>
                      <w:szCs w:val="18"/>
                    </w:rPr>
                  </w:pPr>
                </w:p>
              </w:tc>
              <w:tc>
                <w:tcPr>
                  <w:tcW w:w="467" w:type="pct"/>
                  <w:vMerge w:val="continue"/>
                  <w:vAlign w:val="center"/>
                </w:tcPr>
                <w:p>
                  <w:pPr>
                    <w:widowControl/>
                    <w:adjustRightInd w:val="0"/>
                    <w:snapToGrid w:val="0"/>
                    <w:jc w:val="center"/>
                    <w:rPr>
                      <w:sz w:val="18"/>
                      <w:szCs w:val="18"/>
                    </w:rPr>
                  </w:pPr>
                </w:p>
              </w:tc>
              <w:tc>
                <w:tcPr>
                  <w:tcW w:w="785" w:type="pct"/>
                  <w:vMerge w:val="continue"/>
                  <w:vAlign w:val="center"/>
                </w:tcPr>
                <w:p>
                  <w:pPr>
                    <w:widowControl/>
                    <w:adjustRightInd w:val="0"/>
                    <w:snapToGrid w:val="0"/>
                    <w:jc w:val="center"/>
                    <w:rPr>
                      <w:sz w:val="18"/>
                      <w:szCs w:val="18"/>
                    </w:rPr>
                  </w:pPr>
                </w:p>
              </w:tc>
              <w:tc>
                <w:tcPr>
                  <w:tcW w:w="490" w:type="pct"/>
                  <w:vMerge w:val="continue"/>
                  <w:vAlign w:val="center"/>
                </w:tcPr>
                <w:p>
                  <w:pPr>
                    <w:widowControl/>
                    <w:adjustRightInd w:val="0"/>
                    <w:snapToGrid w:val="0"/>
                    <w:jc w:val="center"/>
                    <w:rPr>
                      <w:sz w:val="18"/>
                      <w:szCs w:val="18"/>
                    </w:rPr>
                  </w:pPr>
                </w:p>
              </w:tc>
              <w:tc>
                <w:tcPr>
                  <w:tcW w:w="371" w:type="pct"/>
                  <w:vMerge w:val="continue"/>
                  <w:vAlign w:val="center"/>
                </w:tcPr>
                <w:p>
                  <w:pPr>
                    <w:widowControl/>
                    <w:adjustRightInd w:val="0"/>
                    <w:snapToGrid w:val="0"/>
                    <w:jc w:val="center"/>
                    <w:rPr>
                      <w:sz w:val="18"/>
                      <w:szCs w:val="18"/>
                    </w:rPr>
                  </w:pPr>
                </w:p>
              </w:tc>
              <w:tc>
                <w:tcPr>
                  <w:tcW w:w="708" w:type="pct"/>
                  <w:vMerge w:val="continue"/>
                  <w:vAlign w:val="center"/>
                </w:tcPr>
                <w:p>
                  <w:pPr>
                    <w:widowControl/>
                    <w:adjustRightInd w:val="0"/>
                    <w:snapToGrid w:val="0"/>
                    <w:jc w:val="center"/>
                    <w:rPr>
                      <w:sz w:val="18"/>
                      <w:szCs w:val="18"/>
                    </w:rPr>
                  </w:pPr>
                </w:p>
              </w:tc>
              <w:tc>
                <w:tcPr>
                  <w:tcW w:w="385" w:type="pct"/>
                  <w:vMerge w:val="continue"/>
                  <w:vAlign w:val="center"/>
                </w:tcPr>
                <w:p>
                  <w:pPr>
                    <w:widowControl/>
                    <w:adjustRightInd w:val="0"/>
                    <w:snapToGrid w:val="0"/>
                    <w:jc w:val="center"/>
                    <w:rPr>
                      <w:sz w:val="18"/>
                      <w:szCs w:val="18"/>
                    </w:rPr>
                  </w:pPr>
                </w:p>
              </w:tc>
              <w:tc>
                <w:tcPr>
                  <w:tcW w:w="415" w:type="pct"/>
                  <w:vMerge w:val="continue"/>
                  <w:vAlign w:val="center"/>
                </w:tcPr>
                <w:p>
                  <w:pPr>
                    <w:widowControl/>
                    <w:adjustRightInd w:val="0"/>
                    <w:snapToGrid w:val="0"/>
                    <w:jc w:val="center"/>
                    <w:rPr>
                      <w:sz w:val="18"/>
                      <w:szCs w:val="18"/>
                    </w:rPr>
                  </w:pPr>
                </w:p>
              </w:tc>
              <w:tc>
                <w:tcPr>
                  <w:tcW w:w="436" w:type="pct"/>
                  <w:vAlign w:val="center"/>
                </w:tcPr>
                <w:p>
                  <w:pPr>
                    <w:widowControl/>
                    <w:adjustRightInd w:val="0"/>
                    <w:snapToGrid w:val="0"/>
                    <w:jc w:val="center"/>
                    <w:rPr>
                      <w:sz w:val="18"/>
                      <w:szCs w:val="18"/>
                    </w:rPr>
                  </w:pPr>
                  <w:r>
                    <w:rPr>
                      <w:sz w:val="18"/>
                      <w:szCs w:val="18"/>
                    </w:rPr>
                    <w:t>氨氮</w:t>
                  </w:r>
                </w:p>
              </w:tc>
              <w:tc>
                <w:tcPr>
                  <w:tcW w:w="706" w:type="pct"/>
                  <w:vAlign w:val="center"/>
                </w:tcPr>
                <w:p>
                  <w:pPr>
                    <w:widowControl/>
                    <w:adjustRightInd w:val="0"/>
                    <w:snapToGrid w:val="0"/>
                    <w:jc w:val="center"/>
                    <w:rPr>
                      <w:sz w:val="18"/>
                      <w:szCs w:val="18"/>
                    </w:rPr>
                  </w:pPr>
                  <w:r>
                    <w:rPr>
                      <w:sz w:val="18"/>
                      <w:szCs w:val="18"/>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jc w:val="center"/>
              </w:trPr>
              <w:tc>
                <w:tcPr>
                  <w:tcW w:w="236" w:type="pct"/>
                  <w:vMerge w:val="continue"/>
                  <w:vAlign w:val="center"/>
                </w:tcPr>
                <w:p>
                  <w:pPr>
                    <w:widowControl/>
                    <w:adjustRightInd w:val="0"/>
                    <w:snapToGrid w:val="0"/>
                    <w:jc w:val="center"/>
                    <w:rPr>
                      <w:sz w:val="18"/>
                      <w:szCs w:val="18"/>
                    </w:rPr>
                  </w:pPr>
                </w:p>
              </w:tc>
              <w:tc>
                <w:tcPr>
                  <w:tcW w:w="467" w:type="pct"/>
                  <w:vMerge w:val="continue"/>
                  <w:vAlign w:val="center"/>
                </w:tcPr>
                <w:p>
                  <w:pPr>
                    <w:widowControl/>
                    <w:adjustRightInd w:val="0"/>
                    <w:snapToGrid w:val="0"/>
                    <w:jc w:val="center"/>
                    <w:rPr>
                      <w:sz w:val="18"/>
                      <w:szCs w:val="18"/>
                    </w:rPr>
                  </w:pPr>
                </w:p>
              </w:tc>
              <w:tc>
                <w:tcPr>
                  <w:tcW w:w="785" w:type="pct"/>
                  <w:vMerge w:val="continue"/>
                  <w:vAlign w:val="center"/>
                </w:tcPr>
                <w:p>
                  <w:pPr>
                    <w:widowControl/>
                    <w:adjustRightInd w:val="0"/>
                    <w:snapToGrid w:val="0"/>
                    <w:jc w:val="center"/>
                    <w:rPr>
                      <w:sz w:val="18"/>
                      <w:szCs w:val="18"/>
                    </w:rPr>
                  </w:pPr>
                </w:p>
              </w:tc>
              <w:tc>
                <w:tcPr>
                  <w:tcW w:w="490" w:type="pct"/>
                  <w:vMerge w:val="continue"/>
                  <w:vAlign w:val="center"/>
                </w:tcPr>
                <w:p>
                  <w:pPr>
                    <w:widowControl/>
                    <w:adjustRightInd w:val="0"/>
                    <w:snapToGrid w:val="0"/>
                    <w:jc w:val="center"/>
                    <w:rPr>
                      <w:sz w:val="18"/>
                      <w:szCs w:val="18"/>
                    </w:rPr>
                  </w:pPr>
                </w:p>
              </w:tc>
              <w:tc>
                <w:tcPr>
                  <w:tcW w:w="371" w:type="pct"/>
                  <w:vMerge w:val="continue"/>
                  <w:vAlign w:val="center"/>
                </w:tcPr>
                <w:p>
                  <w:pPr>
                    <w:widowControl/>
                    <w:adjustRightInd w:val="0"/>
                    <w:snapToGrid w:val="0"/>
                    <w:jc w:val="center"/>
                    <w:rPr>
                      <w:sz w:val="18"/>
                      <w:szCs w:val="18"/>
                    </w:rPr>
                  </w:pPr>
                </w:p>
              </w:tc>
              <w:tc>
                <w:tcPr>
                  <w:tcW w:w="708" w:type="pct"/>
                  <w:vMerge w:val="continue"/>
                  <w:vAlign w:val="center"/>
                </w:tcPr>
                <w:p>
                  <w:pPr>
                    <w:widowControl/>
                    <w:adjustRightInd w:val="0"/>
                    <w:snapToGrid w:val="0"/>
                    <w:jc w:val="center"/>
                    <w:rPr>
                      <w:sz w:val="18"/>
                      <w:szCs w:val="18"/>
                    </w:rPr>
                  </w:pPr>
                </w:p>
              </w:tc>
              <w:tc>
                <w:tcPr>
                  <w:tcW w:w="385" w:type="pct"/>
                  <w:vMerge w:val="continue"/>
                  <w:vAlign w:val="center"/>
                </w:tcPr>
                <w:p>
                  <w:pPr>
                    <w:widowControl/>
                    <w:adjustRightInd w:val="0"/>
                    <w:snapToGrid w:val="0"/>
                    <w:jc w:val="center"/>
                    <w:rPr>
                      <w:sz w:val="18"/>
                      <w:szCs w:val="18"/>
                    </w:rPr>
                  </w:pPr>
                </w:p>
              </w:tc>
              <w:tc>
                <w:tcPr>
                  <w:tcW w:w="415" w:type="pct"/>
                  <w:vMerge w:val="continue"/>
                  <w:vAlign w:val="center"/>
                </w:tcPr>
                <w:p>
                  <w:pPr>
                    <w:widowControl/>
                    <w:adjustRightInd w:val="0"/>
                    <w:snapToGrid w:val="0"/>
                    <w:jc w:val="center"/>
                    <w:rPr>
                      <w:sz w:val="18"/>
                      <w:szCs w:val="18"/>
                    </w:rPr>
                  </w:pPr>
                </w:p>
              </w:tc>
              <w:tc>
                <w:tcPr>
                  <w:tcW w:w="436" w:type="pct"/>
                  <w:vAlign w:val="center"/>
                </w:tcPr>
                <w:p>
                  <w:pPr>
                    <w:widowControl/>
                    <w:adjustRightInd w:val="0"/>
                    <w:snapToGrid w:val="0"/>
                    <w:jc w:val="center"/>
                    <w:rPr>
                      <w:sz w:val="18"/>
                      <w:szCs w:val="18"/>
                    </w:rPr>
                  </w:pPr>
                  <w:r>
                    <w:rPr>
                      <w:rFonts w:hint="eastAsia"/>
                      <w:sz w:val="18"/>
                      <w:szCs w:val="18"/>
                    </w:rPr>
                    <w:t>动植物油</w:t>
                  </w:r>
                </w:p>
              </w:tc>
              <w:tc>
                <w:tcPr>
                  <w:tcW w:w="706" w:type="pct"/>
                  <w:vAlign w:val="center"/>
                </w:tcPr>
                <w:p>
                  <w:pPr>
                    <w:widowControl/>
                    <w:adjustRightInd w:val="0"/>
                    <w:snapToGrid w:val="0"/>
                    <w:jc w:val="center"/>
                    <w:rPr>
                      <w:sz w:val="18"/>
                      <w:szCs w:val="18"/>
                    </w:rPr>
                  </w:pPr>
                  <w:r>
                    <w:rPr>
                      <w:rFonts w:hint="eastAsia"/>
                      <w:sz w:val="18"/>
                      <w:szCs w:val="18"/>
                    </w:rPr>
                    <w:t>1.0</w:t>
                  </w:r>
                </w:p>
              </w:tc>
            </w:tr>
          </w:tbl>
          <w:p>
            <w:pPr>
              <w:autoSpaceDE w:val="0"/>
              <w:autoSpaceDN w:val="0"/>
              <w:adjustRightInd w:val="0"/>
              <w:spacing w:line="360" w:lineRule="auto"/>
              <w:ind w:firstLine="422" w:firstLineChars="200"/>
              <w:jc w:val="left"/>
              <w:textAlignment w:val="baseline"/>
              <w:rPr>
                <w:b/>
                <w:szCs w:val="21"/>
              </w:rPr>
            </w:pPr>
            <w:r>
              <w:rPr>
                <w:b/>
                <w:szCs w:val="21"/>
              </w:rPr>
              <w:t>（3）监测</w:t>
            </w:r>
            <w:r>
              <w:rPr>
                <w:rFonts w:hint="eastAsia"/>
                <w:b/>
                <w:szCs w:val="21"/>
              </w:rPr>
              <w:t>要求</w:t>
            </w:r>
          </w:p>
          <w:p>
            <w:pPr>
              <w:autoSpaceDE w:val="0"/>
              <w:autoSpaceDN w:val="0"/>
              <w:adjustRightInd w:val="0"/>
              <w:spacing w:line="360" w:lineRule="auto"/>
              <w:ind w:firstLine="420" w:firstLineChars="200"/>
              <w:jc w:val="left"/>
              <w:textAlignment w:val="baseline"/>
              <w:rPr>
                <w:szCs w:val="21"/>
              </w:rPr>
            </w:pPr>
            <w:r>
              <w:rPr>
                <w:rFonts w:hint="eastAsia"/>
                <w:bCs/>
                <w:szCs w:val="21"/>
              </w:rPr>
              <w:t>本项目</w:t>
            </w:r>
            <w:r>
              <w:rPr>
                <w:bCs/>
                <w:szCs w:val="21"/>
              </w:rPr>
              <w:t>外</w:t>
            </w:r>
            <w:r>
              <w:rPr>
                <w:rFonts w:hint="eastAsia"/>
                <w:bCs/>
                <w:szCs w:val="21"/>
              </w:rPr>
              <w:t>废水</w:t>
            </w:r>
            <w:r>
              <w:rPr>
                <w:bCs/>
                <w:szCs w:val="21"/>
              </w:rPr>
              <w:t>主要为生活污水，</w:t>
            </w:r>
            <w:r>
              <w:rPr>
                <w:rFonts w:hint="eastAsia"/>
                <w:bCs/>
                <w:szCs w:val="21"/>
              </w:rPr>
              <w:t>根据《排污许可证申请与核发技术规范 电子工业》（HJ1031-2019）</w:t>
            </w:r>
            <w:r>
              <w:rPr>
                <w:rFonts w:hint="eastAsia"/>
                <w:szCs w:val="21"/>
              </w:rPr>
              <w:t>7.3.2.3 的规定</w:t>
            </w:r>
            <w:r>
              <w:rPr>
                <w:szCs w:val="21"/>
              </w:rPr>
              <w:t>：</w:t>
            </w:r>
            <w:r>
              <w:rPr>
                <w:rFonts w:hint="eastAsia"/>
                <w:szCs w:val="21"/>
              </w:rPr>
              <w:t>单独排向市政污水处理厂的生活污水不要求开展自行监测。</w:t>
            </w:r>
          </w:p>
          <w:p>
            <w:pPr>
              <w:autoSpaceDE w:val="0"/>
              <w:autoSpaceDN w:val="0"/>
              <w:adjustRightInd w:val="0"/>
              <w:spacing w:line="360" w:lineRule="auto"/>
              <w:ind w:firstLine="422" w:firstLineChars="200"/>
              <w:jc w:val="left"/>
              <w:textAlignment w:val="baseline"/>
              <w:rPr>
                <w:b/>
                <w:szCs w:val="21"/>
              </w:rPr>
            </w:pPr>
            <w:r>
              <w:rPr>
                <w:b/>
                <w:szCs w:val="21"/>
              </w:rPr>
              <w:t>（4）</w:t>
            </w:r>
            <w:r>
              <w:rPr>
                <w:rFonts w:hint="eastAsia"/>
                <w:b/>
                <w:szCs w:val="21"/>
              </w:rPr>
              <w:t>废水污染防治措施可行性分析</w:t>
            </w:r>
            <w:r>
              <w:rPr>
                <w:b/>
                <w:szCs w:val="21"/>
              </w:rPr>
              <w:t>析</w:t>
            </w:r>
          </w:p>
          <w:p>
            <w:pPr>
              <w:widowControl/>
              <w:adjustRightInd w:val="0"/>
              <w:snapToGrid w:val="0"/>
              <w:spacing w:line="360" w:lineRule="auto"/>
              <w:ind w:firstLine="420" w:firstLineChars="200"/>
              <w:rPr>
                <w:szCs w:val="21"/>
              </w:rPr>
            </w:pPr>
            <w:r>
              <w:rPr>
                <w:szCs w:val="21"/>
              </w:rPr>
              <w:t>项目生活污水来自厂区日常运行，属于典型的城市生活用水，主要污染物成分为SS、BOD</w:t>
            </w:r>
            <w:r>
              <w:rPr>
                <w:szCs w:val="21"/>
                <w:vertAlign w:val="subscript"/>
              </w:rPr>
              <w:t>5</w:t>
            </w:r>
            <w:r>
              <w:rPr>
                <w:szCs w:val="21"/>
              </w:rPr>
              <w:t>、COD</w:t>
            </w:r>
            <w:r>
              <w:rPr>
                <w:szCs w:val="21"/>
                <w:vertAlign w:val="subscript"/>
              </w:rPr>
              <w:t>Cr</w:t>
            </w:r>
            <w:r>
              <w:rPr>
                <w:szCs w:val="21"/>
              </w:rPr>
              <w:t>、氨氮、总氮、总磷等，参考惠州市其他类似污水的处理效果，普通生活污水经常规三级化粪池预处理</w:t>
            </w:r>
            <w:r>
              <w:rPr>
                <w:rFonts w:hint="eastAsia"/>
                <w:szCs w:val="21"/>
              </w:rPr>
              <w:t>，</w:t>
            </w:r>
            <w:r>
              <w:rPr>
                <w:szCs w:val="21"/>
              </w:rPr>
              <w:t>食堂含油污水经隔油隔渣池预处理后</w:t>
            </w:r>
            <w:r>
              <w:rPr>
                <w:rFonts w:hint="eastAsia"/>
                <w:szCs w:val="21"/>
              </w:rPr>
              <w:t>，</w:t>
            </w:r>
            <w:r>
              <w:rPr>
                <w:szCs w:val="21"/>
              </w:rPr>
              <w:t>出水水质能满足</w:t>
            </w:r>
            <w:r>
              <w:rPr>
                <w:bCs/>
                <w:szCs w:val="21"/>
              </w:rPr>
              <w:t>园洲镇第四污水处理厂</w:t>
            </w:r>
            <w:r>
              <w:rPr>
                <w:szCs w:val="21"/>
              </w:rPr>
              <w:t>的接管要求。</w:t>
            </w:r>
          </w:p>
          <w:p>
            <w:pPr>
              <w:autoSpaceDE w:val="0"/>
              <w:autoSpaceDN w:val="0"/>
              <w:adjustRightInd w:val="0"/>
              <w:spacing w:line="360" w:lineRule="auto"/>
              <w:ind w:firstLine="422" w:firstLineChars="200"/>
              <w:jc w:val="left"/>
              <w:textAlignment w:val="baseline"/>
              <w:rPr>
                <w:b/>
                <w:szCs w:val="21"/>
              </w:rPr>
            </w:pPr>
            <w:r>
              <w:rPr>
                <w:rFonts w:hint="eastAsia"/>
                <w:b/>
                <w:szCs w:val="21"/>
              </w:rPr>
              <w:t>（</w:t>
            </w:r>
            <w:r>
              <w:rPr>
                <w:b/>
                <w:szCs w:val="21"/>
              </w:rPr>
              <w:t>5</w:t>
            </w:r>
            <w:r>
              <w:rPr>
                <w:rFonts w:hint="eastAsia"/>
                <w:b/>
                <w:szCs w:val="21"/>
              </w:rPr>
              <w:t>）依托可行性分析</w:t>
            </w:r>
          </w:p>
          <w:p>
            <w:pPr>
              <w:snapToGrid w:val="0"/>
              <w:spacing w:line="360" w:lineRule="auto"/>
              <w:ind w:firstLine="420" w:firstLineChars="200"/>
              <w:rPr>
                <w:bCs/>
                <w:szCs w:val="21"/>
              </w:rPr>
            </w:pPr>
            <w:r>
              <w:rPr>
                <w:bCs/>
                <w:szCs w:val="21"/>
              </w:rPr>
              <w:t>园洲镇第四污水处理厂位于位于惠州市博罗县园洲镇新村，首期处理规模10000立方米/日，远期为30000立方米/日</w:t>
            </w:r>
            <w:r>
              <w:rPr>
                <w:rFonts w:hint="eastAsia"/>
                <w:bCs/>
                <w:szCs w:val="21"/>
              </w:rPr>
              <w:t xml:space="preserve">，总投资约 </w:t>
            </w:r>
            <w:r>
              <w:rPr>
                <w:bCs/>
                <w:szCs w:val="21"/>
              </w:rPr>
              <w:t>4132.80</w:t>
            </w:r>
            <w:r>
              <w:rPr>
                <w:rFonts w:hint="eastAsia"/>
                <w:bCs/>
                <w:szCs w:val="21"/>
              </w:rPr>
              <w:t>万元。采用“A</w:t>
            </w:r>
            <w:r>
              <w:rPr>
                <w:bCs/>
                <w:szCs w:val="21"/>
              </w:rPr>
              <w:t>2O+曝气生物滤</w:t>
            </w:r>
            <w:r>
              <w:rPr>
                <w:rFonts w:hint="eastAsia"/>
                <w:bCs/>
                <w:szCs w:val="21"/>
              </w:rPr>
              <w:t>池”工艺处理污水，</w:t>
            </w:r>
            <w:r>
              <w:rPr>
                <w:bCs/>
                <w:szCs w:val="21"/>
              </w:rPr>
              <w:t>具体工艺如下图所示</w:t>
            </w:r>
            <w:r>
              <w:rPr>
                <w:rFonts w:hint="eastAsia"/>
                <w:bCs/>
                <w:szCs w:val="21"/>
              </w:rPr>
              <w:t>。</w:t>
            </w:r>
          </w:p>
          <w:p>
            <w:pPr>
              <w:snapToGrid w:val="0"/>
              <w:spacing w:line="360" w:lineRule="auto"/>
              <w:jc w:val="center"/>
              <w:rPr>
                <w:bCs/>
                <w:szCs w:val="21"/>
              </w:rPr>
            </w:pPr>
            <w:r>
              <w:rPr>
                <w:bCs/>
                <w:szCs w:val="21"/>
              </w:rPr>
              <w:drawing>
                <wp:inline distT="0" distB="0" distL="0" distR="0">
                  <wp:extent cx="4726305" cy="2582545"/>
                  <wp:effectExtent l="0" t="0" r="0" b="8255"/>
                  <wp:docPr id="255" name="图片 255" descr="E:\项目\环评\博罗力迈电子\16690185574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255" descr="E:\项目\环评\博罗力迈电子\166901855740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4734055" cy="2586988"/>
                          </a:xfrm>
                          <a:prstGeom prst="rect">
                            <a:avLst/>
                          </a:prstGeom>
                          <a:noFill/>
                          <a:ln>
                            <a:noFill/>
                          </a:ln>
                        </pic:spPr>
                      </pic:pic>
                    </a:graphicData>
                  </a:graphic>
                </wp:inline>
              </w:drawing>
            </w:r>
          </w:p>
          <w:p>
            <w:pPr>
              <w:pStyle w:val="2"/>
              <w:jc w:val="center"/>
              <w:rPr>
                <w:b/>
                <w:sz w:val="21"/>
                <w:szCs w:val="21"/>
              </w:rPr>
            </w:pPr>
            <w:r>
              <w:rPr>
                <w:rFonts w:hint="eastAsia"/>
                <w:b/>
                <w:sz w:val="21"/>
                <w:szCs w:val="21"/>
              </w:rPr>
              <w:t>图6 园洲镇</w:t>
            </w:r>
            <w:r>
              <w:rPr>
                <w:b/>
                <w:sz w:val="21"/>
                <w:szCs w:val="21"/>
              </w:rPr>
              <w:t>第四污水处理厂污水处理工艺流程图</w:t>
            </w:r>
          </w:p>
          <w:p>
            <w:pPr>
              <w:adjustRightInd w:val="0"/>
              <w:snapToGrid w:val="0"/>
              <w:spacing w:line="360" w:lineRule="auto"/>
              <w:ind w:firstLine="420" w:firstLineChars="200"/>
              <w:rPr>
                <w:bCs/>
                <w:szCs w:val="21"/>
              </w:rPr>
            </w:pPr>
            <w:r>
              <w:rPr>
                <w:bCs/>
                <w:szCs w:val="21"/>
              </w:rPr>
              <w:t>经处理后，园洲镇第四污水处理厂尾水中氨氮和总磷执行《地表水环境质量标准》（GB3838-2002）</w:t>
            </w:r>
            <w:r>
              <w:rPr>
                <w:rFonts w:hint="eastAsia" w:ascii="宋体" w:hAnsi="宋体" w:cs="宋体"/>
                <w:bCs/>
                <w:szCs w:val="21"/>
              </w:rPr>
              <w:t>Ⅴ</w:t>
            </w:r>
            <w:r>
              <w:rPr>
                <w:bCs/>
                <w:szCs w:val="21"/>
              </w:rPr>
              <w:t>类标准，其余指标执行《城镇污水处理厂污染物排放标准》（GB18918-2002）一级 A 标准及广东省地方标准《水污染物排放限值》（DB44/26-2001）第二时段一级标准的较严值，经处理达标后尾水排入园洲中园洲新村排渠，然后汇入沙河，最终排入东江。园洲镇第四污水处理厂建成后极大地改善了周围水环境，对治理水污染，保护当地流域水质和生态平衡具有十分重要的作用。</w:t>
            </w:r>
          </w:p>
          <w:p>
            <w:pPr>
              <w:pStyle w:val="80"/>
              <w:adjustRightInd w:val="0"/>
              <w:snapToGrid w:val="0"/>
              <w:spacing w:line="360" w:lineRule="auto"/>
              <w:ind w:firstLine="420"/>
              <w:rPr>
                <w:bCs/>
                <w:sz w:val="21"/>
                <w:szCs w:val="21"/>
              </w:rPr>
            </w:pPr>
            <w:r>
              <w:rPr>
                <w:bCs/>
                <w:sz w:val="21"/>
                <w:szCs w:val="21"/>
              </w:rPr>
              <w:t>项目生活污水污染物种类与污水厂处理的污染物种类相似，日污水排放量（26.04m</w:t>
            </w:r>
            <w:r>
              <w:rPr>
                <w:bCs/>
                <w:sz w:val="21"/>
                <w:szCs w:val="21"/>
                <w:vertAlign w:val="superscript"/>
              </w:rPr>
              <w:t>3</w:t>
            </w:r>
            <w:r>
              <w:rPr>
                <w:bCs/>
                <w:sz w:val="21"/>
                <w:szCs w:val="21"/>
              </w:rPr>
              <w:t>/d）仅占污水厂剩余处理量（约为5000m</w:t>
            </w:r>
            <w:r>
              <w:rPr>
                <w:bCs/>
                <w:sz w:val="21"/>
                <w:szCs w:val="21"/>
                <w:vertAlign w:val="superscript"/>
              </w:rPr>
              <w:t>3</w:t>
            </w:r>
            <w:r>
              <w:rPr>
                <w:bCs/>
                <w:sz w:val="21"/>
                <w:szCs w:val="21"/>
              </w:rPr>
              <w:t>/d）的0.52%，且本项目所在区域属于污水厂的污水收集范围，管网现已铺设到项目所在区域，本项目污水管网与市政管网已进行驳接，因此项目生活污水纳入博罗县园洲镇第四生活污水处理厂进行处理的方案是可行的。</w:t>
            </w:r>
          </w:p>
          <w:p>
            <w:pPr>
              <w:pStyle w:val="80"/>
              <w:adjustRightInd w:val="0"/>
              <w:snapToGrid w:val="0"/>
              <w:spacing w:line="360" w:lineRule="auto"/>
              <w:ind w:firstLine="420"/>
              <w:rPr>
                <w:bCs/>
                <w:kern w:val="2"/>
                <w:sz w:val="21"/>
                <w:szCs w:val="21"/>
              </w:rPr>
            </w:pPr>
            <w:r>
              <w:rPr>
                <w:rFonts w:hint="eastAsia"/>
                <w:bCs/>
                <w:kern w:val="2"/>
                <w:sz w:val="21"/>
                <w:szCs w:val="21"/>
              </w:rPr>
              <w:t>综上所述，项目生活污水经化粪池预处理后进入园洲镇第四污水处理厂处理后集中排放。项目废水的排放满足相应的废水排放要求，对地表水体造成的环境影响不大，其地表水环境影响是可接受的。</w:t>
            </w:r>
          </w:p>
          <w:p>
            <w:pPr>
              <w:snapToGrid w:val="0"/>
              <w:spacing w:line="360" w:lineRule="auto"/>
              <w:ind w:firstLine="422" w:firstLineChars="200"/>
              <w:rPr>
                <w:b/>
                <w:szCs w:val="21"/>
              </w:rPr>
            </w:pPr>
            <w:r>
              <w:rPr>
                <w:rFonts w:hint="eastAsia"/>
                <w:b/>
                <w:szCs w:val="21"/>
              </w:rPr>
              <w:t>3</w:t>
            </w:r>
            <w:r>
              <w:rPr>
                <w:b/>
                <w:szCs w:val="21"/>
              </w:rPr>
              <w:t>、噪声</w:t>
            </w:r>
          </w:p>
          <w:p>
            <w:pPr>
              <w:spacing w:line="360" w:lineRule="auto"/>
              <w:ind w:firstLine="422" w:firstLineChars="200"/>
              <w:rPr>
                <w:b/>
                <w:bCs/>
                <w:szCs w:val="21"/>
              </w:rPr>
            </w:pPr>
            <w:r>
              <w:rPr>
                <w:rFonts w:hint="eastAsia"/>
                <w:b/>
                <w:bCs/>
                <w:szCs w:val="21"/>
              </w:rPr>
              <w:t>（1）</w:t>
            </w:r>
            <w:r>
              <w:rPr>
                <w:b/>
                <w:bCs/>
                <w:szCs w:val="21"/>
              </w:rPr>
              <w:t>源强分析</w:t>
            </w:r>
          </w:p>
          <w:p>
            <w:pPr>
              <w:spacing w:line="360" w:lineRule="auto"/>
              <w:ind w:firstLine="420" w:firstLineChars="200"/>
              <w:rPr>
                <w:bCs/>
                <w:szCs w:val="21"/>
              </w:rPr>
            </w:pPr>
            <w:r>
              <w:rPr>
                <w:szCs w:val="21"/>
              </w:rPr>
              <w:t>项目噪声主要由生产设备作业运转时产生，</w:t>
            </w:r>
            <w:r>
              <w:rPr>
                <w:kern w:val="0"/>
                <w:szCs w:val="21"/>
              </w:rPr>
              <w:t>生产设备</w:t>
            </w:r>
            <w:r>
              <w:rPr>
                <w:bCs/>
                <w:szCs w:val="21"/>
              </w:rPr>
              <w:t>采取减噪、隔声措施后源强一般降低10-30dB（A）以上，本项目预测降噪值取值为20dB（A），噪声源强见下表：</w:t>
            </w:r>
          </w:p>
          <w:p>
            <w:pPr>
              <w:numPr>
                <w:ilvl w:val="0"/>
                <w:numId w:val="5"/>
              </w:numPr>
              <w:adjustRightInd w:val="0"/>
              <w:snapToGrid w:val="0"/>
              <w:spacing w:line="360" w:lineRule="auto"/>
              <w:ind w:left="0"/>
              <w:jc w:val="center"/>
              <w:rPr>
                <w:bCs/>
                <w:szCs w:val="21"/>
              </w:rPr>
            </w:pPr>
            <w:r>
              <w:rPr>
                <w:b/>
                <w:szCs w:val="21"/>
              </w:rPr>
              <w:t>项目</w:t>
            </w:r>
            <w:r>
              <w:rPr>
                <w:b/>
                <w:kern w:val="0"/>
                <w:szCs w:val="21"/>
              </w:rPr>
              <w:t>主要噪声源强一览表</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
              <w:gridCol w:w="1272"/>
              <w:gridCol w:w="850"/>
              <w:gridCol w:w="1545"/>
              <w:gridCol w:w="1383"/>
              <w:gridCol w:w="966"/>
              <w:gridCol w:w="116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269" w:type="pct"/>
                  <w:vAlign w:val="center"/>
                </w:tcPr>
                <w:p>
                  <w:pPr>
                    <w:adjustRightInd w:val="0"/>
                    <w:snapToGrid w:val="0"/>
                    <w:jc w:val="center"/>
                    <w:rPr>
                      <w:b/>
                      <w:bCs/>
                      <w:kern w:val="0"/>
                      <w:szCs w:val="21"/>
                    </w:rPr>
                  </w:pPr>
                  <w:r>
                    <w:rPr>
                      <w:b/>
                      <w:bCs/>
                      <w:kern w:val="0"/>
                      <w:szCs w:val="21"/>
                    </w:rPr>
                    <w:t>序号</w:t>
                  </w:r>
                </w:p>
              </w:tc>
              <w:tc>
                <w:tcPr>
                  <w:tcW w:w="756" w:type="pct"/>
                  <w:vAlign w:val="center"/>
                </w:tcPr>
                <w:p>
                  <w:pPr>
                    <w:adjustRightInd w:val="0"/>
                    <w:snapToGrid w:val="0"/>
                    <w:jc w:val="center"/>
                  </w:pPr>
                  <w:r>
                    <w:rPr>
                      <w:b/>
                      <w:bCs/>
                      <w:kern w:val="0"/>
                      <w:szCs w:val="21"/>
                    </w:rPr>
                    <w:t>生产设施名称</w:t>
                  </w:r>
                </w:p>
              </w:tc>
              <w:tc>
                <w:tcPr>
                  <w:tcW w:w="505" w:type="pct"/>
                  <w:vAlign w:val="center"/>
                </w:tcPr>
                <w:p>
                  <w:pPr>
                    <w:jc w:val="center"/>
                  </w:pPr>
                  <w:r>
                    <w:rPr>
                      <w:b/>
                      <w:szCs w:val="21"/>
                    </w:rPr>
                    <w:t>数量（台）</w:t>
                  </w:r>
                </w:p>
              </w:tc>
              <w:tc>
                <w:tcPr>
                  <w:tcW w:w="918" w:type="pct"/>
                  <w:vAlign w:val="center"/>
                </w:tcPr>
                <w:p>
                  <w:pPr>
                    <w:jc w:val="center"/>
                    <w:rPr>
                      <w:b/>
                      <w:bCs/>
                      <w:szCs w:val="21"/>
                    </w:rPr>
                  </w:pPr>
                  <w:r>
                    <w:rPr>
                      <w:b/>
                      <w:bCs/>
                      <w:kern w:val="0"/>
                      <w:szCs w:val="21"/>
                    </w:rPr>
                    <w:t>单台设备噪声级别（1m处）</w:t>
                  </w:r>
                  <w:r>
                    <w:rPr>
                      <w:b/>
                      <w:bCs/>
                    </w:rPr>
                    <w:t>dB（A）</w:t>
                  </w:r>
                </w:p>
              </w:tc>
              <w:tc>
                <w:tcPr>
                  <w:tcW w:w="822" w:type="pct"/>
                  <w:vAlign w:val="center"/>
                </w:tcPr>
                <w:p>
                  <w:pPr>
                    <w:jc w:val="center"/>
                    <w:rPr>
                      <w:b/>
                      <w:bCs/>
                      <w:szCs w:val="21"/>
                    </w:rPr>
                  </w:pPr>
                  <w:r>
                    <w:rPr>
                      <w:b/>
                      <w:bCs/>
                    </w:rPr>
                    <w:t>叠加设备噪声级dB（A）</w:t>
                  </w:r>
                </w:p>
              </w:tc>
              <w:tc>
                <w:tcPr>
                  <w:tcW w:w="574" w:type="pct"/>
                  <w:vAlign w:val="center"/>
                </w:tcPr>
                <w:p>
                  <w:pPr>
                    <w:jc w:val="center"/>
                    <w:rPr>
                      <w:b/>
                      <w:bCs/>
                      <w:szCs w:val="21"/>
                    </w:rPr>
                  </w:pPr>
                  <w:r>
                    <w:rPr>
                      <w:b/>
                      <w:bCs/>
                      <w:szCs w:val="21"/>
                    </w:rPr>
                    <w:t>降噪</w:t>
                  </w:r>
                </w:p>
                <w:p>
                  <w:pPr>
                    <w:jc w:val="center"/>
                    <w:rPr>
                      <w:b/>
                      <w:bCs/>
                      <w:szCs w:val="21"/>
                    </w:rPr>
                  </w:pPr>
                  <w:r>
                    <w:rPr>
                      <w:b/>
                      <w:bCs/>
                      <w:szCs w:val="21"/>
                    </w:rPr>
                    <w:t>措施</w:t>
                  </w:r>
                </w:p>
              </w:tc>
              <w:tc>
                <w:tcPr>
                  <w:tcW w:w="691" w:type="pct"/>
                  <w:vAlign w:val="center"/>
                </w:tcPr>
                <w:p>
                  <w:pPr>
                    <w:jc w:val="center"/>
                    <w:rPr>
                      <w:b/>
                      <w:bCs/>
                      <w:szCs w:val="21"/>
                    </w:rPr>
                  </w:pPr>
                  <w:r>
                    <w:rPr>
                      <w:b/>
                      <w:bCs/>
                      <w:szCs w:val="21"/>
                    </w:rPr>
                    <w:t>采取措施后设备噪声源强</w:t>
                  </w:r>
                  <w:r>
                    <w:rPr>
                      <w:b/>
                      <w:bCs/>
                    </w:rPr>
                    <w:t>dB（A）</w:t>
                  </w:r>
                </w:p>
              </w:tc>
              <w:tc>
                <w:tcPr>
                  <w:tcW w:w="465" w:type="pct"/>
                  <w:vAlign w:val="center"/>
                </w:tcPr>
                <w:p>
                  <w:pPr>
                    <w:jc w:val="center"/>
                    <w:rPr>
                      <w:b/>
                      <w:szCs w:val="21"/>
                    </w:rPr>
                  </w:pPr>
                  <w:r>
                    <w:rPr>
                      <w:rFonts w:hint="eastAsia"/>
                      <w:b/>
                      <w:szCs w:val="21"/>
                    </w:rPr>
                    <w:t>工作</w:t>
                  </w:r>
                  <w:r>
                    <w:rPr>
                      <w:b/>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restart"/>
                  <w:vAlign w:val="center"/>
                </w:tcPr>
                <w:p>
                  <w:pPr>
                    <w:jc w:val="center"/>
                    <w:rPr>
                      <w:szCs w:val="21"/>
                    </w:rPr>
                  </w:pPr>
                  <w:r>
                    <w:rPr>
                      <w:rFonts w:hint="eastAsia"/>
                      <w:szCs w:val="21"/>
                    </w:rPr>
                    <w:t>厂房A</w:t>
                  </w:r>
                </w:p>
              </w:tc>
              <w:tc>
                <w:tcPr>
                  <w:tcW w:w="756" w:type="pct"/>
                  <w:vAlign w:val="center"/>
                </w:tcPr>
                <w:p>
                  <w:pPr>
                    <w:jc w:val="center"/>
                    <w:rPr>
                      <w:bCs/>
                      <w:szCs w:val="21"/>
                    </w:rPr>
                  </w:pPr>
                  <w:r>
                    <w:rPr>
                      <w:rFonts w:hint="eastAsia"/>
                      <w:bCs/>
                      <w:szCs w:val="21"/>
                    </w:rPr>
                    <w:t>划片机</w:t>
                  </w:r>
                </w:p>
              </w:tc>
              <w:tc>
                <w:tcPr>
                  <w:tcW w:w="505" w:type="pct"/>
                  <w:vAlign w:val="center"/>
                </w:tcPr>
                <w:p>
                  <w:pPr>
                    <w:widowControl/>
                    <w:jc w:val="center"/>
                    <w:rPr>
                      <w:kern w:val="0"/>
                      <w:szCs w:val="21"/>
                    </w:rPr>
                  </w:pPr>
                  <w:r>
                    <w:rPr>
                      <w:kern w:val="0"/>
                      <w:szCs w:val="21"/>
                    </w:rPr>
                    <w:t>10</w:t>
                  </w:r>
                </w:p>
              </w:tc>
              <w:tc>
                <w:tcPr>
                  <w:tcW w:w="918" w:type="pct"/>
                  <w:vAlign w:val="center"/>
                </w:tcPr>
                <w:p>
                  <w:pPr>
                    <w:jc w:val="center"/>
                    <w:rPr>
                      <w:szCs w:val="21"/>
                    </w:rPr>
                  </w:pPr>
                  <w:r>
                    <w:rPr>
                      <w:szCs w:val="21"/>
                    </w:rPr>
                    <w:t>68</w:t>
                  </w:r>
                </w:p>
              </w:tc>
              <w:tc>
                <w:tcPr>
                  <w:tcW w:w="822" w:type="pct"/>
                  <w:vAlign w:val="center"/>
                </w:tcPr>
                <w:p>
                  <w:pPr>
                    <w:widowControl/>
                    <w:jc w:val="center"/>
                    <w:rPr>
                      <w:kern w:val="0"/>
                      <w:szCs w:val="21"/>
                    </w:rPr>
                  </w:pPr>
                  <w:r>
                    <w:rPr>
                      <w:szCs w:val="21"/>
                    </w:rPr>
                    <w:t>78</w:t>
                  </w:r>
                </w:p>
              </w:tc>
              <w:tc>
                <w:tcPr>
                  <w:tcW w:w="574" w:type="pct"/>
                  <w:vMerge w:val="restart"/>
                  <w:vAlign w:val="center"/>
                </w:tcPr>
                <w:p>
                  <w:pPr>
                    <w:widowControl/>
                    <w:jc w:val="center"/>
                    <w:rPr>
                      <w:szCs w:val="21"/>
                    </w:rPr>
                  </w:pPr>
                  <w:r>
                    <w:t>选用低噪声设备、合理布局、隔声减振，削减量20dB（A）</w:t>
                  </w:r>
                </w:p>
              </w:tc>
              <w:tc>
                <w:tcPr>
                  <w:tcW w:w="691" w:type="pct"/>
                  <w:vAlign w:val="center"/>
                </w:tcPr>
                <w:p>
                  <w:pPr>
                    <w:widowControl/>
                    <w:jc w:val="center"/>
                    <w:rPr>
                      <w:kern w:val="0"/>
                      <w:szCs w:val="21"/>
                    </w:rPr>
                  </w:pPr>
                  <w:r>
                    <w:rPr>
                      <w:szCs w:val="21"/>
                    </w:rPr>
                    <w:t>58</w:t>
                  </w:r>
                </w:p>
              </w:tc>
              <w:tc>
                <w:tcPr>
                  <w:tcW w:w="465" w:type="pct"/>
                  <w:vMerge w:val="restart"/>
                  <w:vAlign w:val="center"/>
                </w:tcPr>
                <w:p>
                  <w:pPr>
                    <w:widowControl/>
                    <w:jc w:val="center"/>
                    <w:rPr>
                      <w:szCs w:val="21"/>
                    </w:rPr>
                  </w:pPr>
                  <w:r>
                    <w:rPr>
                      <w:rFonts w:hint="eastAsia"/>
                      <w:szCs w:val="21"/>
                    </w:rPr>
                    <w:t>昼间8h/d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jc w:val="center"/>
                    <w:rPr>
                      <w:szCs w:val="21"/>
                    </w:rPr>
                  </w:pPr>
                </w:p>
              </w:tc>
              <w:tc>
                <w:tcPr>
                  <w:tcW w:w="756" w:type="pct"/>
                  <w:vAlign w:val="center"/>
                </w:tcPr>
                <w:p>
                  <w:pPr>
                    <w:jc w:val="center"/>
                    <w:rPr>
                      <w:bCs/>
                      <w:szCs w:val="21"/>
                    </w:rPr>
                  </w:pPr>
                  <w:r>
                    <w:rPr>
                      <w:rFonts w:hint="eastAsia"/>
                      <w:bCs/>
                      <w:szCs w:val="21"/>
                    </w:rPr>
                    <w:t>粘片机</w:t>
                  </w:r>
                </w:p>
              </w:tc>
              <w:tc>
                <w:tcPr>
                  <w:tcW w:w="505" w:type="pct"/>
                  <w:vAlign w:val="center"/>
                </w:tcPr>
                <w:p>
                  <w:pPr>
                    <w:widowControl/>
                    <w:jc w:val="center"/>
                    <w:rPr>
                      <w:kern w:val="0"/>
                      <w:szCs w:val="21"/>
                    </w:rPr>
                  </w:pPr>
                  <w:r>
                    <w:rPr>
                      <w:kern w:val="0"/>
                      <w:szCs w:val="21"/>
                    </w:rPr>
                    <w:t>34</w:t>
                  </w:r>
                </w:p>
              </w:tc>
              <w:tc>
                <w:tcPr>
                  <w:tcW w:w="918" w:type="pct"/>
                  <w:vAlign w:val="center"/>
                </w:tcPr>
                <w:p>
                  <w:pPr>
                    <w:jc w:val="center"/>
                    <w:rPr>
                      <w:szCs w:val="21"/>
                    </w:rPr>
                  </w:pPr>
                  <w:r>
                    <w:rPr>
                      <w:szCs w:val="21"/>
                    </w:rPr>
                    <w:t>65</w:t>
                  </w:r>
                </w:p>
              </w:tc>
              <w:tc>
                <w:tcPr>
                  <w:tcW w:w="822" w:type="pct"/>
                  <w:vAlign w:val="center"/>
                </w:tcPr>
                <w:p>
                  <w:pPr>
                    <w:jc w:val="center"/>
                    <w:rPr>
                      <w:szCs w:val="21"/>
                    </w:rPr>
                  </w:pPr>
                  <w:r>
                    <w:rPr>
                      <w:szCs w:val="21"/>
                    </w:rPr>
                    <w:t>75</w:t>
                  </w:r>
                </w:p>
              </w:tc>
              <w:tc>
                <w:tcPr>
                  <w:tcW w:w="574" w:type="pct"/>
                  <w:vMerge w:val="continue"/>
                  <w:vAlign w:val="center"/>
                </w:tcPr>
                <w:p>
                  <w:pPr>
                    <w:widowControl/>
                    <w:jc w:val="center"/>
                    <w:rPr>
                      <w:szCs w:val="21"/>
                    </w:rPr>
                  </w:pPr>
                </w:p>
              </w:tc>
              <w:tc>
                <w:tcPr>
                  <w:tcW w:w="691" w:type="pct"/>
                  <w:vAlign w:val="center"/>
                </w:tcPr>
                <w:p>
                  <w:pPr>
                    <w:jc w:val="center"/>
                    <w:rPr>
                      <w:szCs w:val="21"/>
                    </w:rPr>
                  </w:pPr>
                  <w:r>
                    <w:rPr>
                      <w:szCs w:val="21"/>
                    </w:rPr>
                    <w:t>55</w:t>
                  </w:r>
                </w:p>
              </w:tc>
              <w:tc>
                <w:tcPr>
                  <w:tcW w:w="465" w:type="pct"/>
                  <w:vMerge w:val="continue"/>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jc w:val="center"/>
                    <w:rPr>
                      <w:szCs w:val="21"/>
                    </w:rPr>
                  </w:pPr>
                </w:p>
              </w:tc>
              <w:tc>
                <w:tcPr>
                  <w:tcW w:w="756" w:type="pct"/>
                  <w:vAlign w:val="center"/>
                </w:tcPr>
                <w:p>
                  <w:pPr>
                    <w:jc w:val="center"/>
                    <w:rPr>
                      <w:bCs/>
                      <w:szCs w:val="21"/>
                    </w:rPr>
                  </w:pPr>
                  <w:r>
                    <w:rPr>
                      <w:rFonts w:hint="eastAsia"/>
                      <w:bCs/>
                      <w:szCs w:val="21"/>
                    </w:rPr>
                    <w:t>焊线机</w:t>
                  </w:r>
                </w:p>
              </w:tc>
              <w:tc>
                <w:tcPr>
                  <w:tcW w:w="505" w:type="pct"/>
                  <w:vAlign w:val="center"/>
                </w:tcPr>
                <w:p>
                  <w:pPr>
                    <w:widowControl/>
                    <w:jc w:val="center"/>
                    <w:rPr>
                      <w:kern w:val="0"/>
                      <w:szCs w:val="21"/>
                    </w:rPr>
                  </w:pPr>
                  <w:r>
                    <w:rPr>
                      <w:kern w:val="0"/>
                      <w:szCs w:val="21"/>
                    </w:rPr>
                    <w:t>34</w:t>
                  </w:r>
                </w:p>
              </w:tc>
              <w:tc>
                <w:tcPr>
                  <w:tcW w:w="918" w:type="pct"/>
                  <w:vAlign w:val="center"/>
                </w:tcPr>
                <w:p>
                  <w:pPr>
                    <w:jc w:val="center"/>
                    <w:rPr>
                      <w:szCs w:val="21"/>
                    </w:rPr>
                  </w:pPr>
                  <w:r>
                    <w:rPr>
                      <w:szCs w:val="21"/>
                    </w:rPr>
                    <w:t>68</w:t>
                  </w:r>
                </w:p>
              </w:tc>
              <w:tc>
                <w:tcPr>
                  <w:tcW w:w="822" w:type="pct"/>
                  <w:vAlign w:val="center"/>
                </w:tcPr>
                <w:p>
                  <w:pPr>
                    <w:jc w:val="center"/>
                    <w:rPr>
                      <w:szCs w:val="21"/>
                    </w:rPr>
                  </w:pPr>
                  <w:r>
                    <w:rPr>
                      <w:szCs w:val="21"/>
                    </w:rPr>
                    <w:t>78</w:t>
                  </w:r>
                </w:p>
              </w:tc>
              <w:tc>
                <w:tcPr>
                  <w:tcW w:w="574" w:type="pct"/>
                  <w:vMerge w:val="continue"/>
                  <w:vAlign w:val="center"/>
                </w:tcPr>
                <w:p>
                  <w:pPr>
                    <w:widowControl/>
                    <w:jc w:val="center"/>
                    <w:rPr>
                      <w:szCs w:val="21"/>
                    </w:rPr>
                  </w:pPr>
                </w:p>
              </w:tc>
              <w:tc>
                <w:tcPr>
                  <w:tcW w:w="691" w:type="pct"/>
                  <w:vAlign w:val="center"/>
                </w:tcPr>
                <w:p>
                  <w:pPr>
                    <w:jc w:val="center"/>
                    <w:rPr>
                      <w:szCs w:val="21"/>
                    </w:rPr>
                  </w:pPr>
                  <w:r>
                    <w:rPr>
                      <w:szCs w:val="21"/>
                    </w:rPr>
                    <w:t>58</w:t>
                  </w:r>
                </w:p>
              </w:tc>
              <w:tc>
                <w:tcPr>
                  <w:tcW w:w="465" w:type="pct"/>
                  <w:vMerge w:val="continue"/>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jc w:val="center"/>
                    <w:rPr>
                      <w:szCs w:val="21"/>
                    </w:rPr>
                  </w:pPr>
                </w:p>
              </w:tc>
              <w:tc>
                <w:tcPr>
                  <w:tcW w:w="756" w:type="pct"/>
                  <w:vAlign w:val="center"/>
                </w:tcPr>
                <w:p>
                  <w:pPr>
                    <w:jc w:val="center"/>
                    <w:rPr>
                      <w:bCs/>
                      <w:szCs w:val="21"/>
                    </w:rPr>
                  </w:pPr>
                  <w:r>
                    <w:rPr>
                      <w:rFonts w:hint="eastAsia"/>
                      <w:bCs/>
                      <w:szCs w:val="21"/>
                    </w:rPr>
                    <w:t>塑封压机</w:t>
                  </w:r>
                </w:p>
              </w:tc>
              <w:tc>
                <w:tcPr>
                  <w:tcW w:w="505" w:type="pct"/>
                  <w:vAlign w:val="center"/>
                </w:tcPr>
                <w:p>
                  <w:pPr>
                    <w:widowControl/>
                    <w:jc w:val="center"/>
                    <w:rPr>
                      <w:kern w:val="0"/>
                      <w:szCs w:val="21"/>
                    </w:rPr>
                  </w:pPr>
                  <w:r>
                    <w:rPr>
                      <w:kern w:val="0"/>
                      <w:szCs w:val="21"/>
                    </w:rPr>
                    <w:t>15</w:t>
                  </w:r>
                </w:p>
              </w:tc>
              <w:tc>
                <w:tcPr>
                  <w:tcW w:w="918" w:type="pct"/>
                  <w:vAlign w:val="center"/>
                </w:tcPr>
                <w:p>
                  <w:pPr>
                    <w:jc w:val="center"/>
                    <w:rPr>
                      <w:szCs w:val="21"/>
                    </w:rPr>
                  </w:pPr>
                  <w:r>
                    <w:rPr>
                      <w:szCs w:val="21"/>
                    </w:rPr>
                    <w:t>68</w:t>
                  </w:r>
                </w:p>
              </w:tc>
              <w:tc>
                <w:tcPr>
                  <w:tcW w:w="822" w:type="pct"/>
                  <w:vAlign w:val="center"/>
                </w:tcPr>
                <w:p>
                  <w:pPr>
                    <w:jc w:val="center"/>
                    <w:rPr>
                      <w:szCs w:val="21"/>
                    </w:rPr>
                  </w:pPr>
                  <w:r>
                    <w:rPr>
                      <w:szCs w:val="21"/>
                    </w:rPr>
                    <w:t>78</w:t>
                  </w:r>
                </w:p>
              </w:tc>
              <w:tc>
                <w:tcPr>
                  <w:tcW w:w="574" w:type="pct"/>
                  <w:vMerge w:val="continue"/>
                  <w:vAlign w:val="center"/>
                </w:tcPr>
                <w:p>
                  <w:pPr>
                    <w:widowControl/>
                    <w:jc w:val="center"/>
                    <w:rPr>
                      <w:szCs w:val="21"/>
                    </w:rPr>
                  </w:pPr>
                </w:p>
              </w:tc>
              <w:tc>
                <w:tcPr>
                  <w:tcW w:w="691" w:type="pct"/>
                  <w:vAlign w:val="center"/>
                </w:tcPr>
                <w:p>
                  <w:pPr>
                    <w:jc w:val="center"/>
                    <w:rPr>
                      <w:szCs w:val="21"/>
                    </w:rPr>
                  </w:pPr>
                  <w:r>
                    <w:rPr>
                      <w:szCs w:val="21"/>
                    </w:rPr>
                    <w:t>58</w:t>
                  </w:r>
                </w:p>
              </w:tc>
              <w:tc>
                <w:tcPr>
                  <w:tcW w:w="465" w:type="pct"/>
                  <w:vMerge w:val="continue"/>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jc w:val="center"/>
                    <w:rPr>
                      <w:szCs w:val="21"/>
                    </w:rPr>
                  </w:pPr>
                </w:p>
              </w:tc>
              <w:tc>
                <w:tcPr>
                  <w:tcW w:w="756" w:type="pct"/>
                  <w:vAlign w:val="center"/>
                </w:tcPr>
                <w:p>
                  <w:pPr>
                    <w:jc w:val="center"/>
                    <w:rPr>
                      <w:bCs/>
                      <w:szCs w:val="21"/>
                    </w:rPr>
                  </w:pPr>
                  <w:r>
                    <w:rPr>
                      <w:rFonts w:hint="eastAsia"/>
                      <w:bCs/>
                      <w:szCs w:val="21"/>
                    </w:rPr>
                    <w:t>烤箱</w:t>
                  </w:r>
                </w:p>
              </w:tc>
              <w:tc>
                <w:tcPr>
                  <w:tcW w:w="505" w:type="pct"/>
                  <w:vAlign w:val="center"/>
                </w:tcPr>
                <w:p>
                  <w:pPr>
                    <w:widowControl/>
                    <w:jc w:val="center"/>
                    <w:rPr>
                      <w:kern w:val="0"/>
                      <w:szCs w:val="21"/>
                    </w:rPr>
                  </w:pPr>
                  <w:r>
                    <w:rPr>
                      <w:kern w:val="0"/>
                      <w:szCs w:val="21"/>
                    </w:rPr>
                    <w:t>6</w:t>
                  </w:r>
                </w:p>
              </w:tc>
              <w:tc>
                <w:tcPr>
                  <w:tcW w:w="918" w:type="pct"/>
                  <w:vAlign w:val="center"/>
                </w:tcPr>
                <w:p>
                  <w:pPr>
                    <w:jc w:val="center"/>
                    <w:rPr>
                      <w:szCs w:val="21"/>
                    </w:rPr>
                  </w:pPr>
                  <w:r>
                    <w:rPr>
                      <w:szCs w:val="21"/>
                    </w:rPr>
                    <w:t>63</w:t>
                  </w:r>
                </w:p>
              </w:tc>
              <w:tc>
                <w:tcPr>
                  <w:tcW w:w="822" w:type="pct"/>
                  <w:vAlign w:val="center"/>
                </w:tcPr>
                <w:p>
                  <w:pPr>
                    <w:jc w:val="center"/>
                    <w:rPr>
                      <w:szCs w:val="21"/>
                    </w:rPr>
                  </w:pPr>
                  <w:r>
                    <w:rPr>
                      <w:szCs w:val="21"/>
                    </w:rPr>
                    <w:t>73</w:t>
                  </w:r>
                </w:p>
              </w:tc>
              <w:tc>
                <w:tcPr>
                  <w:tcW w:w="574" w:type="pct"/>
                  <w:vMerge w:val="continue"/>
                  <w:vAlign w:val="center"/>
                </w:tcPr>
                <w:p>
                  <w:pPr>
                    <w:widowControl/>
                    <w:jc w:val="center"/>
                    <w:rPr>
                      <w:szCs w:val="21"/>
                    </w:rPr>
                  </w:pPr>
                </w:p>
              </w:tc>
              <w:tc>
                <w:tcPr>
                  <w:tcW w:w="691" w:type="pct"/>
                  <w:vAlign w:val="center"/>
                </w:tcPr>
                <w:p>
                  <w:pPr>
                    <w:jc w:val="center"/>
                    <w:rPr>
                      <w:szCs w:val="21"/>
                    </w:rPr>
                  </w:pPr>
                  <w:r>
                    <w:rPr>
                      <w:szCs w:val="21"/>
                    </w:rPr>
                    <w:t>53</w:t>
                  </w:r>
                </w:p>
              </w:tc>
              <w:tc>
                <w:tcPr>
                  <w:tcW w:w="465" w:type="pct"/>
                  <w:vMerge w:val="continue"/>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jc w:val="center"/>
                    <w:rPr>
                      <w:szCs w:val="21"/>
                    </w:rPr>
                  </w:pPr>
                </w:p>
              </w:tc>
              <w:tc>
                <w:tcPr>
                  <w:tcW w:w="756" w:type="pct"/>
                  <w:vAlign w:val="center"/>
                </w:tcPr>
                <w:p>
                  <w:pPr>
                    <w:jc w:val="center"/>
                    <w:rPr>
                      <w:bCs/>
                      <w:szCs w:val="21"/>
                    </w:rPr>
                  </w:pPr>
                  <w:r>
                    <w:rPr>
                      <w:rFonts w:hint="eastAsia"/>
                      <w:bCs/>
                      <w:szCs w:val="21"/>
                    </w:rPr>
                    <w:t>切筋机</w:t>
                  </w:r>
                </w:p>
              </w:tc>
              <w:tc>
                <w:tcPr>
                  <w:tcW w:w="505" w:type="pct"/>
                  <w:vAlign w:val="center"/>
                </w:tcPr>
                <w:p>
                  <w:pPr>
                    <w:widowControl/>
                    <w:jc w:val="center"/>
                    <w:rPr>
                      <w:kern w:val="0"/>
                      <w:szCs w:val="21"/>
                    </w:rPr>
                  </w:pPr>
                  <w:r>
                    <w:rPr>
                      <w:kern w:val="0"/>
                      <w:szCs w:val="21"/>
                    </w:rPr>
                    <w:t>20</w:t>
                  </w:r>
                </w:p>
              </w:tc>
              <w:tc>
                <w:tcPr>
                  <w:tcW w:w="918" w:type="pct"/>
                  <w:vAlign w:val="center"/>
                </w:tcPr>
                <w:p>
                  <w:pPr>
                    <w:jc w:val="center"/>
                    <w:rPr>
                      <w:szCs w:val="21"/>
                    </w:rPr>
                  </w:pPr>
                  <w:r>
                    <w:rPr>
                      <w:szCs w:val="21"/>
                    </w:rPr>
                    <w:t>70</w:t>
                  </w:r>
                </w:p>
              </w:tc>
              <w:tc>
                <w:tcPr>
                  <w:tcW w:w="822" w:type="pct"/>
                  <w:vAlign w:val="center"/>
                </w:tcPr>
                <w:p>
                  <w:pPr>
                    <w:jc w:val="center"/>
                    <w:rPr>
                      <w:szCs w:val="21"/>
                    </w:rPr>
                  </w:pPr>
                  <w:r>
                    <w:rPr>
                      <w:szCs w:val="21"/>
                    </w:rPr>
                    <w:t>80</w:t>
                  </w:r>
                </w:p>
              </w:tc>
              <w:tc>
                <w:tcPr>
                  <w:tcW w:w="574" w:type="pct"/>
                  <w:vMerge w:val="continue"/>
                  <w:vAlign w:val="center"/>
                </w:tcPr>
                <w:p>
                  <w:pPr>
                    <w:widowControl/>
                    <w:jc w:val="center"/>
                    <w:rPr>
                      <w:szCs w:val="21"/>
                    </w:rPr>
                  </w:pPr>
                </w:p>
              </w:tc>
              <w:tc>
                <w:tcPr>
                  <w:tcW w:w="691" w:type="pct"/>
                  <w:vAlign w:val="center"/>
                </w:tcPr>
                <w:p>
                  <w:pPr>
                    <w:jc w:val="center"/>
                    <w:rPr>
                      <w:szCs w:val="21"/>
                    </w:rPr>
                  </w:pPr>
                  <w:r>
                    <w:rPr>
                      <w:szCs w:val="21"/>
                    </w:rPr>
                    <w:t>60</w:t>
                  </w:r>
                </w:p>
              </w:tc>
              <w:tc>
                <w:tcPr>
                  <w:tcW w:w="465" w:type="pct"/>
                  <w:vMerge w:val="continue"/>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jc w:val="center"/>
                    <w:rPr>
                      <w:szCs w:val="21"/>
                    </w:rPr>
                  </w:pPr>
                </w:p>
              </w:tc>
              <w:tc>
                <w:tcPr>
                  <w:tcW w:w="756" w:type="pct"/>
                  <w:vAlign w:val="center"/>
                </w:tcPr>
                <w:p>
                  <w:pPr>
                    <w:jc w:val="center"/>
                    <w:rPr>
                      <w:bCs/>
                      <w:szCs w:val="21"/>
                    </w:rPr>
                  </w:pPr>
                  <w:r>
                    <w:rPr>
                      <w:rFonts w:hint="eastAsia"/>
                      <w:bCs/>
                      <w:szCs w:val="21"/>
                    </w:rPr>
                    <w:t>测试打标</w:t>
                  </w:r>
                  <w:r>
                    <w:rPr>
                      <w:bCs/>
                      <w:szCs w:val="21"/>
                    </w:rPr>
                    <w:t>一体</w:t>
                  </w:r>
                  <w:r>
                    <w:rPr>
                      <w:rFonts w:hint="eastAsia"/>
                      <w:bCs/>
                      <w:szCs w:val="21"/>
                    </w:rPr>
                    <w:t>机</w:t>
                  </w:r>
                </w:p>
              </w:tc>
              <w:tc>
                <w:tcPr>
                  <w:tcW w:w="505" w:type="pct"/>
                  <w:vAlign w:val="center"/>
                </w:tcPr>
                <w:p>
                  <w:pPr>
                    <w:widowControl/>
                    <w:jc w:val="center"/>
                    <w:rPr>
                      <w:kern w:val="0"/>
                      <w:szCs w:val="21"/>
                    </w:rPr>
                  </w:pPr>
                  <w:r>
                    <w:rPr>
                      <w:kern w:val="0"/>
                      <w:szCs w:val="21"/>
                    </w:rPr>
                    <w:t>44</w:t>
                  </w:r>
                </w:p>
              </w:tc>
              <w:tc>
                <w:tcPr>
                  <w:tcW w:w="918" w:type="pct"/>
                  <w:vAlign w:val="center"/>
                </w:tcPr>
                <w:p>
                  <w:pPr>
                    <w:jc w:val="center"/>
                    <w:rPr>
                      <w:szCs w:val="21"/>
                    </w:rPr>
                  </w:pPr>
                  <w:r>
                    <w:rPr>
                      <w:szCs w:val="21"/>
                    </w:rPr>
                    <w:t>68</w:t>
                  </w:r>
                </w:p>
              </w:tc>
              <w:tc>
                <w:tcPr>
                  <w:tcW w:w="822" w:type="pct"/>
                  <w:vAlign w:val="center"/>
                </w:tcPr>
                <w:p>
                  <w:pPr>
                    <w:jc w:val="center"/>
                    <w:rPr>
                      <w:szCs w:val="21"/>
                    </w:rPr>
                  </w:pPr>
                  <w:r>
                    <w:rPr>
                      <w:szCs w:val="21"/>
                    </w:rPr>
                    <w:t>78</w:t>
                  </w:r>
                </w:p>
              </w:tc>
              <w:tc>
                <w:tcPr>
                  <w:tcW w:w="574" w:type="pct"/>
                  <w:vMerge w:val="continue"/>
                  <w:vAlign w:val="center"/>
                </w:tcPr>
                <w:p>
                  <w:pPr>
                    <w:widowControl/>
                    <w:jc w:val="center"/>
                    <w:rPr>
                      <w:szCs w:val="21"/>
                    </w:rPr>
                  </w:pPr>
                </w:p>
              </w:tc>
              <w:tc>
                <w:tcPr>
                  <w:tcW w:w="691" w:type="pct"/>
                  <w:vAlign w:val="center"/>
                </w:tcPr>
                <w:p>
                  <w:pPr>
                    <w:jc w:val="center"/>
                    <w:rPr>
                      <w:szCs w:val="21"/>
                    </w:rPr>
                  </w:pPr>
                  <w:r>
                    <w:rPr>
                      <w:szCs w:val="21"/>
                    </w:rPr>
                    <w:t>58</w:t>
                  </w:r>
                </w:p>
              </w:tc>
              <w:tc>
                <w:tcPr>
                  <w:tcW w:w="465" w:type="pct"/>
                  <w:vMerge w:val="continue"/>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widowControl/>
                    <w:jc w:val="center"/>
                    <w:rPr>
                      <w:szCs w:val="21"/>
                    </w:rPr>
                  </w:pPr>
                </w:p>
              </w:tc>
              <w:tc>
                <w:tcPr>
                  <w:tcW w:w="756" w:type="pct"/>
                  <w:vAlign w:val="center"/>
                </w:tcPr>
                <w:p>
                  <w:pPr>
                    <w:jc w:val="center"/>
                    <w:rPr>
                      <w:bCs/>
                      <w:szCs w:val="21"/>
                    </w:rPr>
                  </w:pPr>
                  <w:r>
                    <w:rPr>
                      <w:rFonts w:hint="eastAsia"/>
                      <w:bCs/>
                      <w:szCs w:val="21"/>
                    </w:rPr>
                    <w:t>回流焊</w:t>
                  </w:r>
                </w:p>
              </w:tc>
              <w:tc>
                <w:tcPr>
                  <w:tcW w:w="505" w:type="pct"/>
                  <w:vAlign w:val="center"/>
                </w:tcPr>
                <w:p>
                  <w:pPr>
                    <w:widowControl/>
                    <w:jc w:val="center"/>
                    <w:rPr>
                      <w:kern w:val="0"/>
                      <w:szCs w:val="21"/>
                    </w:rPr>
                  </w:pPr>
                  <w:r>
                    <w:rPr>
                      <w:rFonts w:hint="eastAsia"/>
                      <w:kern w:val="0"/>
                      <w:szCs w:val="21"/>
                    </w:rPr>
                    <w:t>1</w:t>
                  </w:r>
                </w:p>
              </w:tc>
              <w:tc>
                <w:tcPr>
                  <w:tcW w:w="918" w:type="pct"/>
                  <w:vAlign w:val="center"/>
                </w:tcPr>
                <w:p>
                  <w:pPr>
                    <w:jc w:val="center"/>
                    <w:rPr>
                      <w:szCs w:val="21"/>
                    </w:rPr>
                  </w:pPr>
                  <w:r>
                    <w:rPr>
                      <w:szCs w:val="21"/>
                    </w:rPr>
                    <w:t>68</w:t>
                  </w:r>
                </w:p>
              </w:tc>
              <w:tc>
                <w:tcPr>
                  <w:tcW w:w="822" w:type="pct"/>
                  <w:vAlign w:val="center"/>
                </w:tcPr>
                <w:p>
                  <w:pPr>
                    <w:jc w:val="center"/>
                    <w:rPr>
                      <w:szCs w:val="21"/>
                    </w:rPr>
                  </w:pPr>
                  <w:r>
                    <w:rPr>
                      <w:szCs w:val="21"/>
                    </w:rPr>
                    <w:t>78</w:t>
                  </w:r>
                </w:p>
              </w:tc>
              <w:tc>
                <w:tcPr>
                  <w:tcW w:w="574" w:type="pct"/>
                  <w:vMerge w:val="continue"/>
                  <w:vAlign w:val="center"/>
                </w:tcPr>
                <w:p>
                  <w:pPr>
                    <w:widowControl/>
                    <w:jc w:val="center"/>
                    <w:rPr>
                      <w:szCs w:val="21"/>
                    </w:rPr>
                  </w:pPr>
                </w:p>
              </w:tc>
              <w:tc>
                <w:tcPr>
                  <w:tcW w:w="691" w:type="pct"/>
                  <w:vAlign w:val="center"/>
                </w:tcPr>
                <w:p>
                  <w:pPr>
                    <w:jc w:val="center"/>
                    <w:rPr>
                      <w:szCs w:val="21"/>
                    </w:rPr>
                  </w:pPr>
                  <w:r>
                    <w:rPr>
                      <w:szCs w:val="21"/>
                    </w:rPr>
                    <w:t>58</w:t>
                  </w:r>
                </w:p>
              </w:tc>
              <w:tc>
                <w:tcPr>
                  <w:tcW w:w="465" w:type="pct"/>
                  <w:vMerge w:val="continue"/>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widowControl/>
                    <w:jc w:val="center"/>
                    <w:rPr>
                      <w:szCs w:val="21"/>
                    </w:rPr>
                  </w:pPr>
                </w:p>
              </w:tc>
              <w:tc>
                <w:tcPr>
                  <w:tcW w:w="756" w:type="pct"/>
                  <w:vAlign w:val="center"/>
                </w:tcPr>
                <w:p>
                  <w:pPr>
                    <w:adjustRightInd w:val="0"/>
                    <w:snapToGrid w:val="0"/>
                    <w:jc w:val="center"/>
                    <w:rPr>
                      <w:szCs w:val="21"/>
                    </w:rPr>
                  </w:pPr>
                  <w:r>
                    <w:rPr>
                      <w:rFonts w:hint="eastAsia"/>
                      <w:szCs w:val="21"/>
                    </w:rPr>
                    <w:t>点胶机</w:t>
                  </w:r>
                </w:p>
              </w:tc>
              <w:tc>
                <w:tcPr>
                  <w:tcW w:w="505" w:type="pct"/>
                  <w:vAlign w:val="center"/>
                </w:tcPr>
                <w:p>
                  <w:pPr>
                    <w:widowControl/>
                    <w:jc w:val="center"/>
                    <w:rPr>
                      <w:kern w:val="0"/>
                      <w:szCs w:val="21"/>
                    </w:rPr>
                  </w:pPr>
                  <w:r>
                    <w:rPr>
                      <w:rFonts w:hint="eastAsia"/>
                      <w:kern w:val="0"/>
                      <w:szCs w:val="21"/>
                    </w:rPr>
                    <w:t>2</w:t>
                  </w:r>
                </w:p>
              </w:tc>
              <w:tc>
                <w:tcPr>
                  <w:tcW w:w="918" w:type="pct"/>
                  <w:vAlign w:val="center"/>
                </w:tcPr>
                <w:p>
                  <w:pPr>
                    <w:jc w:val="center"/>
                    <w:rPr>
                      <w:szCs w:val="21"/>
                    </w:rPr>
                  </w:pPr>
                  <w:r>
                    <w:rPr>
                      <w:rFonts w:hint="eastAsia"/>
                      <w:szCs w:val="21"/>
                    </w:rPr>
                    <w:t>60</w:t>
                  </w:r>
                </w:p>
              </w:tc>
              <w:tc>
                <w:tcPr>
                  <w:tcW w:w="822" w:type="pct"/>
                  <w:vAlign w:val="center"/>
                </w:tcPr>
                <w:p>
                  <w:pPr>
                    <w:jc w:val="center"/>
                    <w:rPr>
                      <w:szCs w:val="21"/>
                    </w:rPr>
                  </w:pPr>
                  <w:r>
                    <w:rPr>
                      <w:szCs w:val="21"/>
                    </w:rPr>
                    <w:t>70</w:t>
                  </w:r>
                </w:p>
              </w:tc>
              <w:tc>
                <w:tcPr>
                  <w:tcW w:w="574" w:type="pct"/>
                  <w:vMerge w:val="continue"/>
                  <w:vAlign w:val="center"/>
                </w:tcPr>
                <w:p>
                  <w:pPr>
                    <w:widowControl/>
                    <w:jc w:val="center"/>
                    <w:rPr>
                      <w:szCs w:val="21"/>
                    </w:rPr>
                  </w:pPr>
                </w:p>
              </w:tc>
              <w:tc>
                <w:tcPr>
                  <w:tcW w:w="691" w:type="pct"/>
                  <w:vAlign w:val="center"/>
                </w:tcPr>
                <w:p>
                  <w:pPr>
                    <w:jc w:val="center"/>
                    <w:rPr>
                      <w:szCs w:val="21"/>
                    </w:rPr>
                  </w:pPr>
                  <w:r>
                    <w:rPr>
                      <w:szCs w:val="21"/>
                    </w:rPr>
                    <w:t>50</w:t>
                  </w:r>
                </w:p>
              </w:tc>
              <w:tc>
                <w:tcPr>
                  <w:tcW w:w="465" w:type="pct"/>
                  <w:vMerge w:val="continue"/>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restart"/>
                  <w:vAlign w:val="center"/>
                </w:tcPr>
                <w:p>
                  <w:pPr>
                    <w:widowControl/>
                    <w:jc w:val="center"/>
                    <w:rPr>
                      <w:szCs w:val="21"/>
                    </w:rPr>
                  </w:pPr>
                  <w:r>
                    <w:rPr>
                      <w:rFonts w:hint="eastAsia"/>
                      <w:szCs w:val="21"/>
                    </w:rPr>
                    <w:t>厂房B</w:t>
                  </w:r>
                </w:p>
              </w:tc>
              <w:tc>
                <w:tcPr>
                  <w:tcW w:w="756" w:type="pct"/>
                  <w:vAlign w:val="center"/>
                </w:tcPr>
                <w:p>
                  <w:pPr>
                    <w:jc w:val="center"/>
                    <w:rPr>
                      <w:bCs/>
                      <w:szCs w:val="21"/>
                    </w:rPr>
                  </w:pPr>
                  <w:r>
                    <w:rPr>
                      <w:rFonts w:hint="eastAsia"/>
                      <w:bCs/>
                      <w:szCs w:val="21"/>
                    </w:rPr>
                    <w:t>粘片机</w:t>
                  </w:r>
                </w:p>
              </w:tc>
              <w:tc>
                <w:tcPr>
                  <w:tcW w:w="505" w:type="pct"/>
                  <w:vAlign w:val="center"/>
                </w:tcPr>
                <w:p>
                  <w:pPr>
                    <w:widowControl/>
                    <w:jc w:val="center"/>
                    <w:rPr>
                      <w:kern w:val="0"/>
                      <w:szCs w:val="21"/>
                    </w:rPr>
                  </w:pPr>
                  <w:r>
                    <w:rPr>
                      <w:rFonts w:hint="eastAsia"/>
                      <w:kern w:val="0"/>
                      <w:szCs w:val="21"/>
                    </w:rPr>
                    <w:t>34</w:t>
                  </w:r>
                </w:p>
              </w:tc>
              <w:tc>
                <w:tcPr>
                  <w:tcW w:w="918" w:type="pct"/>
                  <w:vAlign w:val="center"/>
                </w:tcPr>
                <w:p>
                  <w:pPr>
                    <w:jc w:val="center"/>
                    <w:rPr>
                      <w:szCs w:val="21"/>
                    </w:rPr>
                  </w:pPr>
                  <w:r>
                    <w:rPr>
                      <w:szCs w:val="21"/>
                    </w:rPr>
                    <w:t>65</w:t>
                  </w:r>
                </w:p>
              </w:tc>
              <w:tc>
                <w:tcPr>
                  <w:tcW w:w="822" w:type="pct"/>
                  <w:vAlign w:val="center"/>
                </w:tcPr>
                <w:p>
                  <w:pPr>
                    <w:jc w:val="center"/>
                    <w:rPr>
                      <w:szCs w:val="21"/>
                    </w:rPr>
                  </w:pPr>
                  <w:r>
                    <w:rPr>
                      <w:szCs w:val="21"/>
                    </w:rPr>
                    <w:t>75</w:t>
                  </w:r>
                </w:p>
              </w:tc>
              <w:tc>
                <w:tcPr>
                  <w:tcW w:w="574" w:type="pct"/>
                  <w:vMerge w:val="continue"/>
                  <w:vAlign w:val="center"/>
                </w:tcPr>
                <w:p>
                  <w:pPr>
                    <w:widowControl/>
                    <w:jc w:val="center"/>
                    <w:rPr>
                      <w:szCs w:val="21"/>
                    </w:rPr>
                  </w:pPr>
                </w:p>
              </w:tc>
              <w:tc>
                <w:tcPr>
                  <w:tcW w:w="691" w:type="pct"/>
                  <w:vAlign w:val="center"/>
                </w:tcPr>
                <w:p>
                  <w:pPr>
                    <w:jc w:val="center"/>
                    <w:rPr>
                      <w:szCs w:val="21"/>
                    </w:rPr>
                  </w:pPr>
                  <w:r>
                    <w:rPr>
                      <w:szCs w:val="21"/>
                    </w:rPr>
                    <w:t>55</w:t>
                  </w:r>
                </w:p>
              </w:tc>
              <w:tc>
                <w:tcPr>
                  <w:tcW w:w="465" w:type="pct"/>
                  <w:vMerge w:val="continue"/>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widowControl/>
                    <w:jc w:val="center"/>
                    <w:rPr>
                      <w:szCs w:val="21"/>
                    </w:rPr>
                  </w:pPr>
                </w:p>
              </w:tc>
              <w:tc>
                <w:tcPr>
                  <w:tcW w:w="756" w:type="pct"/>
                  <w:vAlign w:val="center"/>
                </w:tcPr>
                <w:p>
                  <w:pPr>
                    <w:jc w:val="center"/>
                    <w:rPr>
                      <w:bCs/>
                      <w:szCs w:val="21"/>
                    </w:rPr>
                  </w:pPr>
                  <w:r>
                    <w:rPr>
                      <w:rFonts w:hint="eastAsia"/>
                      <w:bCs/>
                      <w:szCs w:val="21"/>
                    </w:rPr>
                    <w:t>焊线机</w:t>
                  </w:r>
                </w:p>
              </w:tc>
              <w:tc>
                <w:tcPr>
                  <w:tcW w:w="505" w:type="pct"/>
                  <w:vAlign w:val="center"/>
                </w:tcPr>
                <w:p>
                  <w:pPr>
                    <w:widowControl/>
                    <w:jc w:val="center"/>
                    <w:rPr>
                      <w:kern w:val="0"/>
                      <w:szCs w:val="21"/>
                    </w:rPr>
                  </w:pPr>
                  <w:r>
                    <w:rPr>
                      <w:rFonts w:hint="eastAsia"/>
                      <w:kern w:val="0"/>
                      <w:szCs w:val="21"/>
                    </w:rPr>
                    <w:t>34</w:t>
                  </w:r>
                </w:p>
              </w:tc>
              <w:tc>
                <w:tcPr>
                  <w:tcW w:w="918" w:type="pct"/>
                  <w:vAlign w:val="center"/>
                </w:tcPr>
                <w:p>
                  <w:pPr>
                    <w:jc w:val="center"/>
                    <w:rPr>
                      <w:szCs w:val="21"/>
                    </w:rPr>
                  </w:pPr>
                  <w:r>
                    <w:rPr>
                      <w:szCs w:val="21"/>
                    </w:rPr>
                    <w:t>68</w:t>
                  </w:r>
                </w:p>
              </w:tc>
              <w:tc>
                <w:tcPr>
                  <w:tcW w:w="822" w:type="pct"/>
                  <w:vAlign w:val="center"/>
                </w:tcPr>
                <w:p>
                  <w:pPr>
                    <w:jc w:val="center"/>
                    <w:rPr>
                      <w:szCs w:val="21"/>
                    </w:rPr>
                  </w:pPr>
                  <w:r>
                    <w:rPr>
                      <w:szCs w:val="21"/>
                    </w:rPr>
                    <w:t>78</w:t>
                  </w:r>
                </w:p>
              </w:tc>
              <w:tc>
                <w:tcPr>
                  <w:tcW w:w="574" w:type="pct"/>
                  <w:vMerge w:val="continue"/>
                  <w:vAlign w:val="center"/>
                </w:tcPr>
                <w:p>
                  <w:pPr>
                    <w:widowControl/>
                    <w:jc w:val="center"/>
                    <w:rPr>
                      <w:szCs w:val="21"/>
                    </w:rPr>
                  </w:pPr>
                </w:p>
              </w:tc>
              <w:tc>
                <w:tcPr>
                  <w:tcW w:w="691" w:type="pct"/>
                  <w:vAlign w:val="center"/>
                </w:tcPr>
                <w:p>
                  <w:pPr>
                    <w:jc w:val="center"/>
                    <w:rPr>
                      <w:szCs w:val="21"/>
                    </w:rPr>
                  </w:pPr>
                  <w:r>
                    <w:rPr>
                      <w:szCs w:val="21"/>
                    </w:rPr>
                    <w:t>58</w:t>
                  </w:r>
                </w:p>
              </w:tc>
              <w:tc>
                <w:tcPr>
                  <w:tcW w:w="465" w:type="pct"/>
                  <w:vMerge w:val="continue"/>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widowControl/>
                    <w:jc w:val="center"/>
                    <w:rPr>
                      <w:szCs w:val="21"/>
                    </w:rPr>
                  </w:pPr>
                </w:p>
              </w:tc>
              <w:tc>
                <w:tcPr>
                  <w:tcW w:w="756" w:type="pct"/>
                  <w:vAlign w:val="center"/>
                </w:tcPr>
                <w:p>
                  <w:pPr>
                    <w:jc w:val="center"/>
                    <w:rPr>
                      <w:bCs/>
                      <w:szCs w:val="21"/>
                    </w:rPr>
                  </w:pPr>
                  <w:r>
                    <w:rPr>
                      <w:rFonts w:hint="eastAsia"/>
                      <w:bCs/>
                      <w:szCs w:val="21"/>
                    </w:rPr>
                    <w:t>塑封压机</w:t>
                  </w:r>
                </w:p>
              </w:tc>
              <w:tc>
                <w:tcPr>
                  <w:tcW w:w="505" w:type="pct"/>
                  <w:vAlign w:val="center"/>
                </w:tcPr>
                <w:p>
                  <w:pPr>
                    <w:widowControl/>
                    <w:jc w:val="center"/>
                    <w:rPr>
                      <w:kern w:val="0"/>
                      <w:szCs w:val="21"/>
                    </w:rPr>
                  </w:pPr>
                  <w:r>
                    <w:rPr>
                      <w:rFonts w:hint="eastAsia"/>
                      <w:kern w:val="0"/>
                      <w:szCs w:val="21"/>
                    </w:rPr>
                    <w:t>1</w:t>
                  </w:r>
                  <w:r>
                    <w:rPr>
                      <w:kern w:val="0"/>
                      <w:szCs w:val="21"/>
                    </w:rPr>
                    <w:t>5</w:t>
                  </w:r>
                </w:p>
              </w:tc>
              <w:tc>
                <w:tcPr>
                  <w:tcW w:w="918" w:type="pct"/>
                  <w:vAlign w:val="center"/>
                </w:tcPr>
                <w:p>
                  <w:pPr>
                    <w:jc w:val="center"/>
                    <w:rPr>
                      <w:szCs w:val="21"/>
                    </w:rPr>
                  </w:pPr>
                  <w:r>
                    <w:rPr>
                      <w:szCs w:val="21"/>
                    </w:rPr>
                    <w:t>68</w:t>
                  </w:r>
                </w:p>
              </w:tc>
              <w:tc>
                <w:tcPr>
                  <w:tcW w:w="822" w:type="pct"/>
                  <w:vAlign w:val="center"/>
                </w:tcPr>
                <w:p>
                  <w:pPr>
                    <w:jc w:val="center"/>
                    <w:rPr>
                      <w:szCs w:val="21"/>
                    </w:rPr>
                  </w:pPr>
                  <w:r>
                    <w:rPr>
                      <w:szCs w:val="21"/>
                    </w:rPr>
                    <w:t>78</w:t>
                  </w:r>
                </w:p>
              </w:tc>
              <w:tc>
                <w:tcPr>
                  <w:tcW w:w="574" w:type="pct"/>
                  <w:vMerge w:val="continue"/>
                  <w:vAlign w:val="center"/>
                </w:tcPr>
                <w:p>
                  <w:pPr>
                    <w:widowControl/>
                    <w:jc w:val="center"/>
                    <w:rPr>
                      <w:szCs w:val="21"/>
                    </w:rPr>
                  </w:pPr>
                </w:p>
              </w:tc>
              <w:tc>
                <w:tcPr>
                  <w:tcW w:w="691" w:type="pct"/>
                  <w:vAlign w:val="center"/>
                </w:tcPr>
                <w:p>
                  <w:pPr>
                    <w:jc w:val="center"/>
                    <w:rPr>
                      <w:szCs w:val="21"/>
                    </w:rPr>
                  </w:pPr>
                  <w:r>
                    <w:rPr>
                      <w:szCs w:val="21"/>
                    </w:rPr>
                    <w:t>58</w:t>
                  </w:r>
                </w:p>
              </w:tc>
              <w:tc>
                <w:tcPr>
                  <w:tcW w:w="465" w:type="pct"/>
                  <w:vMerge w:val="continue"/>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widowControl/>
                    <w:jc w:val="center"/>
                    <w:rPr>
                      <w:szCs w:val="21"/>
                    </w:rPr>
                  </w:pPr>
                </w:p>
              </w:tc>
              <w:tc>
                <w:tcPr>
                  <w:tcW w:w="756" w:type="pct"/>
                  <w:vAlign w:val="center"/>
                </w:tcPr>
                <w:p>
                  <w:pPr>
                    <w:jc w:val="center"/>
                    <w:rPr>
                      <w:bCs/>
                      <w:szCs w:val="21"/>
                    </w:rPr>
                  </w:pPr>
                  <w:r>
                    <w:rPr>
                      <w:rFonts w:hint="eastAsia"/>
                      <w:bCs/>
                      <w:szCs w:val="21"/>
                    </w:rPr>
                    <w:t>烤箱</w:t>
                  </w:r>
                </w:p>
              </w:tc>
              <w:tc>
                <w:tcPr>
                  <w:tcW w:w="505" w:type="pct"/>
                  <w:vAlign w:val="center"/>
                </w:tcPr>
                <w:p>
                  <w:pPr>
                    <w:widowControl/>
                    <w:jc w:val="center"/>
                    <w:rPr>
                      <w:kern w:val="0"/>
                      <w:szCs w:val="21"/>
                    </w:rPr>
                  </w:pPr>
                  <w:r>
                    <w:rPr>
                      <w:rFonts w:hint="eastAsia"/>
                      <w:kern w:val="0"/>
                      <w:szCs w:val="21"/>
                    </w:rPr>
                    <w:t>6</w:t>
                  </w:r>
                </w:p>
              </w:tc>
              <w:tc>
                <w:tcPr>
                  <w:tcW w:w="918" w:type="pct"/>
                  <w:vAlign w:val="center"/>
                </w:tcPr>
                <w:p>
                  <w:pPr>
                    <w:jc w:val="center"/>
                    <w:rPr>
                      <w:szCs w:val="21"/>
                    </w:rPr>
                  </w:pPr>
                  <w:r>
                    <w:rPr>
                      <w:szCs w:val="21"/>
                    </w:rPr>
                    <w:t>63</w:t>
                  </w:r>
                </w:p>
              </w:tc>
              <w:tc>
                <w:tcPr>
                  <w:tcW w:w="822" w:type="pct"/>
                  <w:vAlign w:val="center"/>
                </w:tcPr>
                <w:p>
                  <w:pPr>
                    <w:jc w:val="center"/>
                    <w:rPr>
                      <w:szCs w:val="21"/>
                    </w:rPr>
                  </w:pPr>
                  <w:r>
                    <w:rPr>
                      <w:szCs w:val="21"/>
                    </w:rPr>
                    <w:t>73</w:t>
                  </w:r>
                </w:p>
              </w:tc>
              <w:tc>
                <w:tcPr>
                  <w:tcW w:w="574" w:type="pct"/>
                  <w:vMerge w:val="continue"/>
                  <w:vAlign w:val="center"/>
                </w:tcPr>
                <w:p>
                  <w:pPr>
                    <w:widowControl/>
                    <w:jc w:val="center"/>
                    <w:rPr>
                      <w:szCs w:val="21"/>
                    </w:rPr>
                  </w:pPr>
                </w:p>
              </w:tc>
              <w:tc>
                <w:tcPr>
                  <w:tcW w:w="691" w:type="pct"/>
                  <w:vAlign w:val="center"/>
                </w:tcPr>
                <w:p>
                  <w:pPr>
                    <w:jc w:val="center"/>
                    <w:rPr>
                      <w:szCs w:val="21"/>
                    </w:rPr>
                  </w:pPr>
                  <w:r>
                    <w:rPr>
                      <w:szCs w:val="21"/>
                    </w:rPr>
                    <w:t>53</w:t>
                  </w:r>
                </w:p>
              </w:tc>
              <w:tc>
                <w:tcPr>
                  <w:tcW w:w="465" w:type="pct"/>
                  <w:vMerge w:val="continue"/>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widowControl/>
                    <w:jc w:val="center"/>
                    <w:rPr>
                      <w:szCs w:val="21"/>
                    </w:rPr>
                  </w:pPr>
                </w:p>
              </w:tc>
              <w:tc>
                <w:tcPr>
                  <w:tcW w:w="756" w:type="pct"/>
                  <w:vAlign w:val="center"/>
                </w:tcPr>
                <w:p>
                  <w:pPr>
                    <w:adjustRightInd w:val="0"/>
                    <w:snapToGrid w:val="0"/>
                    <w:jc w:val="center"/>
                    <w:rPr>
                      <w:szCs w:val="21"/>
                    </w:rPr>
                  </w:pPr>
                  <w:r>
                    <w:rPr>
                      <w:rFonts w:hint="eastAsia"/>
                      <w:bCs/>
                      <w:szCs w:val="21"/>
                    </w:rPr>
                    <w:t>测试打标</w:t>
                  </w:r>
                  <w:r>
                    <w:rPr>
                      <w:bCs/>
                      <w:szCs w:val="21"/>
                    </w:rPr>
                    <w:t>一体</w:t>
                  </w:r>
                  <w:r>
                    <w:rPr>
                      <w:rFonts w:hint="eastAsia"/>
                      <w:bCs/>
                      <w:szCs w:val="21"/>
                    </w:rPr>
                    <w:t>机</w:t>
                  </w:r>
                </w:p>
              </w:tc>
              <w:tc>
                <w:tcPr>
                  <w:tcW w:w="505" w:type="pct"/>
                  <w:vAlign w:val="center"/>
                </w:tcPr>
                <w:p>
                  <w:pPr>
                    <w:widowControl/>
                    <w:jc w:val="center"/>
                    <w:rPr>
                      <w:kern w:val="0"/>
                      <w:szCs w:val="21"/>
                    </w:rPr>
                  </w:pPr>
                  <w:r>
                    <w:rPr>
                      <w:rFonts w:hint="eastAsia"/>
                      <w:kern w:val="0"/>
                      <w:szCs w:val="21"/>
                    </w:rPr>
                    <w:t>44</w:t>
                  </w:r>
                </w:p>
              </w:tc>
              <w:tc>
                <w:tcPr>
                  <w:tcW w:w="918" w:type="pct"/>
                  <w:vAlign w:val="center"/>
                </w:tcPr>
                <w:p>
                  <w:pPr>
                    <w:jc w:val="center"/>
                    <w:rPr>
                      <w:szCs w:val="21"/>
                    </w:rPr>
                  </w:pPr>
                  <w:r>
                    <w:rPr>
                      <w:rFonts w:hint="eastAsia"/>
                      <w:szCs w:val="21"/>
                    </w:rPr>
                    <w:t>68</w:t>
                  </w:r>
                </w:p>
              </w:tc>
              <w:tc>
                <w:tcPr>
                  <w:tcW w:w="822" w:type="pct"/>
                  <w:vAlign w:val="center"/>
                </w:tcPr>
                <w:p>
                  <w:pPr>
                    <w:jc w:val="center"/>
                    <w:rPr>
                      <w:szCs w:val="21"/>
                    </w:rPr>
                  </w:pPr>
                  <w:r>
                    <w:rPr>
                      <w:szCs w:val="21"/>
                    </w:rPr>
                    <w:t>78</w:t>
                  </w:r>
                </w:p>
              </w:tc>
              <w:tc>
                <w:tcPr>
                  <w:tcW w:w="574" w:type="pct"/>
                  <w:vMerge w:val="continue"/>
                  <w:vAlign w:val="center"/>
                </w:tcPr>
                <w:p>
                  <w:pPr>
                    <w:widowControl/>
                    <w:jc w:val="center"/>
                    <w:rPr>
                      <w:szCs w:val="21"/>
                    </w:rPr>
                  </w:pPr>
                </w:p>
              </w:tc>
              <w:tc>
                <w:tcPr>
                  <w:tcW w:w="691" w:type="pct"/>
                  <w:vAlign w:val="center"/>
                </w:tcPr>
                <w:p>
                  <w:pPr>
                    <w:jc w:val="center"/>
                    <w:rPr>
                      <w:szCs w:val="21"/>
                    </w:rPr>
                  </w:pPr>
                  <w:r>
                    <w:rPr>
                      <w:szCs w:val="21"/>
                    </w:rPr>
                    <w:t>58</w:t>
                  </w:r>
                </w:p>
              </w:tc>
              <w:tc>
                <w:tcPr>
                  <w:tcW w:w="465" w:type="pct"/>
                  <w:vMerge w:val="continue"/>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widowControl/>
                    <w:jc w:val="center"/>
                    <w:rPr>
                      <w:szCs w:val="21"/>
                    </w:rPr>
                  </w:pPr>
                </w:p>
              </w:tc>
              <w:tc>
                <w:tcPr>
                  <w:tcW w:w="756" w:type="pct"/>
                  <w:vAlign w:val="center"/>
                </w:tcPr>
                <w:p>
                  <w:pPr>
                    <w:adjustRightInd w:val="0"/>
                    <w:snapToGrid w:val="0"/>
                    <w:jc w:val="center"/>
                    <w:rPr>
                      <w:szCs w:val="21"/>
                    </w:rPr>
                  </w:pPr>
                  <w:r>
                    <w:rPr>
                      <w:rFonts w:hint="eastAsia"/>
                      <w:szCs w:val="21"/>
                    </w:rPr>
                    <w:t>超声</w:t>
                  </w:r>
                  <w:r>
                    <w:rPr>
                      <w:szCs w:val="21"/>
                    </w:rPr>
                    <w:t>清洗机</w:t>
                  </w:r>
                </w:p>
              </w:tc>
              <w:tc>
                <w:tcPr>
                  <w:tcW w:w="505" w:type="pct"/>
                  <w:vAlign w:val="center"/>
                </w:tcPr>
                <w:p>
                  <w:pPr>
                    <w:widowControl/>
                    <w:jc w:val="center"/>
                    <w:rPr>
                      <w:kern w:val="0"/>
                      <w:szCs w:val="21"/>
                    </w:rPr>
                  </w:pPr>
                  <w:r>
                    <w:rPr>
                      <w:rFonts w:hint="eastAsia"/>
                      <w:kern w:val="0"/>
                      <w:szCs w:val="21"/>
                    </w:rPr>
                    <w:t>2</w:t>
                  </w:r>
                </w:p>
              </w:tc>
              <w:tc>
                <w:tcPr>
                  <w:tcW w:w="918" w:type="pct"/>
                  <w:vAlign w:val="center"/>
                </w:tcPr>
                <w:p>
                  <w:pPr>
                    <w:jc w:val="center"/>
                    <w:rPr>
                      <w:szCs w:val="21"/>
                    </w:rPr>
                  </w:pPr>
                  <w:r>
                    <w:rPr>
                      <w:rFonts w:hint="eastAsia"/>
                      <w:szCs w:val="21"/>
                    </w:rPr>
                    <w:t>73</w:t>
                  </w:r>
                </w:p>
              </w:tc>
              <w:tc>
                <w:tcPr>
                  <w:tcW w:w="822" w:type="pct"/>
                  <w:vAlign w:val="center"/>
                </w:tcPr>
                <w:p>
                  <w:pPr>
                    <w:widowControl/>
                    <w:jc w:val="center"/>
                    <w:rPr>
                      <w:szCs w:val="21"/>
                    </w:rPr>
                  </w:pPr>
                  <w:r>
                    <w:rPr>
                      <w:rFonts w:hint="eastAsia"/>
                      <w:szCs w:val="21"/>
                    </w:rPr>
                    <w:t>83</w:t>
                  </w:r>
                </w:p>
              </w:tc>
              <w:tc>
                <w:tcPr>
                  <w:tcW w:w="574" w:type="pct"/>
                  <w:vAlign w:val="center"/>
                </w:tcPr>
                <w:p>
                  <w:pPr>
                    <w:widowControl/>
                    <w:jc w:val="center"/>
                    <w:rPr>
                      <w:szCs w:val="21"/>
                    </w:rPr>
                  </w:pPr>
                  <w:r>
                    <w:rPr>
                      <w:rFonts w:hint="eastAsia"/>
                      <w:szCs w:val="21"/>
                    </w:rPr>
                    <w:t>63</w:t>
                  </w:r>
                </w:p>
              </w:tc>
              <w:tc>
                <w:tcPr>
                  <w:tcW w:w="691" w:type="pct"/>
                  <w:vAlign w:val="center"/>
                </w:tcPr>
                <w:p>
                  <w:pPr>
                    <w:widowControl/>
                    <w:jc w:val="center"/>
                    <w:rPr>
                      <w:szCs w:val="21"/>
                    </w:rPr>
                  </w:pPr>
                </w:p>
              </w:tc>
              <w:tc>
                <w:tcPr>
                  <w:tcW w:w="465" w:type="pct"/>
                  <w:vMerge w:val="continue"/>
                  <w:vAlign w:val="center"/>
                </w:tcPr>
                <w:p>
                  <w:pPr>
                    <w:widowControl/>
                    <w:jc w:val="center"/>
                    <w:rPr>
                      <w:szCs w:val="21"/>
                    </w:rPr>
                  </w:pPr>
                </w:p>
              </w:tc>
            </w:tr>
          </w:tbl>
          <w:p>
            <w:pPr>
              <w:spacing w:line="360" w:lineRule="auto"/>
              <w:ind w:firstLine="422" w:firstLineChars="200"/>
              <w:rPr>
                <w:b/>
                <w:bCs/>
                <w:szCs w:val="21"/>
              </w:rPr>
            </w:pPr>
            <w:r>
              <w:rPr>
                <w:rFonts w:hint="eastAsia"/>
                <w:b/>
                <w:bCs/>
                <w:szCs w:val="21"/>
              </w:rPr>
              <w:t>（2）</w:t>
            </w:r>
            <w:r>
              <w:rPr>
                <w:b/>
                <w:bCs/>
                <w:szCs w:val="21"/>
              </w:rPr>
              <w:t>噪声防治措施</w:t>
            </w:r>
          </w:p>
          <w:p>
            <w:pPr>
              <w:spacing w:line="360" w:lineRule="auto"/>
              <w:ind w:firstLine="420" w:firstLineChars="200"/>
              <w:rPr>
                <w:bCs/>
                <w:szCs w:val="21"/>
              </w:rPr>
            </w:pPr>
            <w:r>
              <w:rPr>
                <w:bCs/>
                <w:szCs w:val="21"/>
              </w:rPr>
              <w:t>为减少机械噪声对周围环境的影响，确保项目噪声达标排放，建议建设单位对噪声源采取以下措施：</w:t>
            </w:r>
          </w:p>
          <w:p>
            <w:pPr>
              <w:widowControl/>
              <w:spacing w:line="360" w:lineRule="auto"/>
              <w:ind w:firstLine="420" w:firstLineChars="200"/>
              <w:rPr>
                <w:szCs w:val="21"/>
              </w:rPr>
            </w:pPr>
            <w:r>
              <w:rPr>
                <w:rFonts w:hint="eastAsia" w:ascii="宋体" w:hAnsi="宋体" w:cs="宋体"/>
                <w:szCs w:val="21"/>
              </w:rPr>
              <w:t>①</w:t>
            </w:r>
            <w:r>
              <w:rPr>
                <w:szCs w:val="21"/>
              </w:rPr>
              <w:t>维持设备处于良好的运转状态，减少因零部件磨损产生的噪声；</w:t>
            </w:r>
          </w:p>
          <w:p>
            <w:pPr>
              <w:widowControl/>
              <w:spacing w:line="360" w:lineRule="auto"/>
              <w:ind w:firstLine="420" w:firstLineChars="200"/>
              <w:rPr>
                <w:szCs w:val="21"/>
              </w:rPr>
            </w:pPr>
            <w:r>
              <w:rPr>
                <w:rFonts w:hint="eastAsia" w:ascii="宋体" w:hAnsi="宋体" w:cs="宋体"/>
                <w:szCs w:val="21"/>
              </w:rPr>
              <w:t>②</w:t>
            </w:r>
            <w:r>
              <w:rPr>
                <w:szCs w:val="21"/>
              </w:rPr>
              <w:t>合理布设生产车间，使强噪声设备远离车间边界，这样可通过车间阻挡噪声传播，尽量把车间的噪声影响限制在厂区范围内，降低噪声对外界的影响；</w:t>
            </w:r>
          </w:p>
          <w:p>
            <w:pPr>
              <w:widowControl/>
              <w:spacing w:line="360" w:lineRule="auto"/>
              <w:ind w:firstLine="420" w:firstLineChars="200"/>
              <w:rPr>
                <w:szCs w:val="21"/>
              </w:rPr>
            </w:pPr>
            <w:r>
              <w:rPr>
                <w:rFonts w:hint="eastAsia" w:ascii="宋体" w:hAnsi="宋体" w:cs="宋体"/>
                <w:szCs w:val="21"/>
              </w:rPr>
              <w:t>③</w:t>
            </w:r>
            <w:r>
              <w:rPr>
                <w:szCs w:val="21"/>
              </w:rPr>
              <w:t>强噪声设备底座设置防振装置，并设置适当的隔声屏障；</w:t>
            </w:r>
          </w:p>
          <w:p>
            <w:pPr>
              <w:widowControl/>
              <w:spacing w:line="360" w:lineRule="auto"/>
              <w:ind w:firstLine="420" w:firstLineChars="200"/>
              <w:rPr>
                <w:szCs w:val="21"/>
              </w:rPr>
            </w:pPr>
            <w:r>
              <w:rPr>
                <w:rFonts w:hint="eastAsia" w:ascii="宋体" w:hAnsi="宋体" w:cs="宋体"/>
                <w:szCs w:val="21"/>
              </w:rPr>
              <w:t>④</w:t>
            </w:r>
            <w:r>
              <w:rPr>
                <w:szCs w:val="21"/>
              </w:rPr>
              <w:t>加强作业管理，减少非正常噪声。生产时门窗紧闭，通过强制机械排风来加强车间通风换气，以减少噪声外传。</w:t>
            </w:r>
          </w:p>
          <w:p>
            <w:pPr>
              <w:widowControl/>
              <w:adjustRightInd w:val="0"/>
              <w:snapToGrid w:val="0"/>
              <w:spacing w:line="360" w:lineRule="auto"/>
              <w:ind w:firstLine="420" w:firstLineChars="200"/>
              <w:rPr>
                <w:szCs w:val="21"/>
              </w:rPr>
            </w:pPr>
            <w:r>
              <w:rPr>
                <w:szCs w:val="21"/>
              </w:rPr>
              <w:t>以上隔声、减振措施可使上述设备的噪声源强下降20dB（A）。</w:t>
            </w:r>
          </w:p>
          <w:p>
            <w:pPr>
              <w:spacing w:line="360" w:lineRule="auto"/>
              <w:ind w:firstLine="422" w:firstLineChars="200"/>
              <w:rPr>
                <w:b/>
                <w:bCs/>
                <w:szCs w:val="21"/>
              </w:rPr>
            </w:pPr>
            <w:r>
              <w:rPr>
                <w:rFonts w:hint="eastAsia"/>
                <w:b/>
                <w:bCs/>
                <w:szCs w:val="21"/>
              </w:rPr>
              <w:t>（3）声环境</w:t>
            </w:r>
            <w:r>
              <w:rPr>
                <w:b/>
                <w:bCs/>
                <w:szCs w:val="21"/>
              </w:rPr>
              <w:t>影响分析</w:t>
            </w:r>
          </w:p>
          <w:p>
            <w:pPr>
              <w:widowControl/>
              <w:adjustRightInd w:val="0"/>
              <w:snapToGrid w:val="0"/>
              <w:spacing w:line="360" w:lineRule="auto"/>
              <w:ind w:firstLine="420" w:firstLineChars="200"/>
              <w:rPr>
                <w:szCs w:val="21"/>
              </w:rPr>
            </w:pPr>
            <w:r>
              <w:rPr>
                <w:rFonts w:hAnsi="宋体"/>
                <w:szCs w:val="21"/>
              </w:rPr>
              <w:t>固定声源的噪声向周围传播过程中，会发生反射、折射、衍射、吸收等现象。因此，随传播距离的增加而产生的衰减量并不按简单的几何规律计算。根据《环境影响评价技术导则</w:t>
            </w:r>
            <w:r>
              <w:rPr>
                <w:szCs w:val="21"/>
              </w:rPr>
              <w:t>-</w:t>
            </w:r>
            <w:r>
              <w:rPr>
                <w:rFonts w:hAnsi="宋体"/>
                <w:szCs w:val="21"/>
              </w:rPr>
              <w:t>声环境》（</w:t>
            </w:r>
            <w:r>
              <w:rPr>
                <w:szCs w:val="21"/>
              </w:rPr>
              <w:t>HJ2.4-2021</w:t>
            </w:r>
            <w:r>
              <w:rPr>
                <w:rFonts w:hAnsi="宋体"/>
                <w:szCs w:val="21"/>
              </w:rPr>
              <w:t>）对室内声源的预测方法，声源位于室内，室内声源可采用等效室外声源声功率级法进行计算。</w:t>
            </w:r>
          </w:p>
          <w:p>
            <w:pPr>
              <w:widowControl/>
              <w:adjustRightInd w:val="0"/>
              <w:snapToGrid w:val="0"/>
              <w:spacing w:line="360" w:lineRule="auto"/>
              <w:ind w:firstLine="525" w:firstLineChars="250"/>
              <w:rPr>
                <w:szCs w:val="21"/>
              </w:rPr>
            </w:pPr>
            <w:r>
              <w:rPr>
                <w:rFonts w:hAnsi="宋体"/>
                <w:szCs w:val="21"/>
              </w:rPr>
              <w:t>①计算某一室内声源靠近围护结构处产生的倍频带声压级：</w:t>
            </w:r>
          </w:p>
          <w:p>
            <w:pPr>
              <w:widowControl/>
              <w:spacing w:line="360" w:lineRule="auto"/>
              <w:jc w:val="center"/>
              <w:rPr>
                <w:bCs/>
                <w:szCs w:val="21"/>
              </w:rPr>
            </w:pPr>
            <w:r>
              <w:rPr>
                <w:bCs/>
                <w:szCs w:val="21"/>
              </w:rPr>
              <w:object>
                <v:shape id="_x0000_i1025" o:spt="75" type="#_x0000_t75" style="height:27.6pt;width:120pt;" o:ole="t" filled="f" o:preferrelative="t" stroked="f" coordsize="21600,21600">
                  <v:path/>
                  <v:fill on="f" focussize="0,0"/>
                  <v:stroke on="f" joinstyle="miter"/>
                  <v:imagedata r:id="rId17" o:title=""/>
                  <o:lock v:ext="edit" aspectratio="t"/>
                  <w10:wrap type="none"/>
                  <w10:anchorlock/>
                </v:shape>
                <o:OLEObject Type="Embed" ProgID="Equation.3" ShapeID="_x0000_i1025" DrawAspect="Content" ObjectID="_1468075725" r:id="rId16">
                  <o:LockedField>false</o:LockedField>
                </o:OLEObject>
              </w:object>
            </w:r>
          </w:p>
          <w:p>
            <w:pPr>
              <w:widowControl/>
              <w:spacing w:line="360" w:lineRule="auto"/>
              <w:ind w:firstLine="525" w:firstLineChars="250"/>
              <w:rPr>
                <w:szCs w:val="21"/>
              </w:rPr>
            </w:pPr>
            <w:r>
              <w:rPr>
                <w:rFonts w:hAnsi="宋体"/>
                <w:szCs w:val="21"/>
              </w:rPr>
              <w:t>式中：</w:t>
            </w:r>
          </w:p>
          <w:p>
            <w:pPr>
              <w:widowControl/>
              <w:spacing w:line="360" w:lineRule="auto"/>
              <w:ind w:firstLine="525" w:firstLineChars="250"/>
              <w:rPr>
                <w:szCs w:val="21"/>
              </w:rPr>
            </w:pPr>
            <w:r>
              <w:rPr>
                <w:szCs w:val="21"/>
              </w:rPr>
              <w:t>Q——</w:t>
            </w:r>
            <w:r>
              <w:rPr>
                <w:rFonts w:hAnsi="宋体"/>
                <w:szCs w:val="21"/>
              </w:rPr>
              <w:t>指向性因数：通常对无指向性声源，当声源放在房间中心时，</w:t>
            </w:r>
            <w:r>
              <w:rPr>
                <w:szCs w:val="21"/>
              </w:rPr>
              <w:t>Q=1</w:t>
            </w:r>
            <w:r>
              <w:rPr>
                <w:rFonts w:hAnsi="宋体"/>
                <w:szCs w:val="21"/>
              </w:rPr>
              <w:t>；当放在一面墙的中心时，</w:t>
            </w:r>
            <w:r>
              <w:rPr>
                <w:szCs w:val="21"/>
              </w:rPr>
              <w:t>Q=2</w:t>
            </w:r>
            <w:r>
              <w:rPr>
                <w:rFonts w:hAnsi="宋体"/>
                <w:szCs w:val="21"/>
              </w:rPr>
              <w:t>；当放在两面墙夹角时，</w:t>
            </w:r>
            <w:r>
              <w:rPr>
                <w:szCs w:val="21"/>
              </w:rPr>
              <w:t>Q=4</w:t>
            </w:r>
            <w:r>
              <w:rPr>
                <w:rFonts w:hAnsi="宋体"/>
                <w:szCs w:val="21"/>
              </w:rPr>
              <w:t>；当放在三面墙夹角处时，</w:t>
            </w:r>
            <w:r>
              <w:rPr>
                <w:szCs w:val="21"/>
              </w:rPr>
              <w:t>Q=8</w:t>
            </w:r>
            <w:r>
              <w:rPr>
                <w:rFonts w:hAnsi="宋体"/>
                <w:szCs w:val="21"/>
              </w:rPr>
              <w:t>。</w:t>
            </w:r>
          </w:p>
          <w:p>
            <w:pPr>
              <w:widowControl/>
              <w:spacing w:line="360" w:lineRule="auto"/>
              <w:ind w:firstLine="525" w:firstLineChars="250"/>
              <w:rPr>
                <w:szCs w:val="21"/>
              </w:rPr>
            </w:pPr>
            <w:r>
              <w:rPr>
                <w:szCs w:val="21"/>
              </w:rPr>
              <w:t>R——</w:t>
            </w:r>
            <w:r>
              <w:rPr>
                <w:rFonts w:hAnsi="宋体"/>
                <w:szCs w:val="21"/>
              </w:rPr>
              <w:t>房间常数：</w:t>
            </w:r>
            <w:r>
              <w:rPr>
                <w:szCs w:val="21"/>
              </w:rPr>
              <w:t>R=Sa/(1-a)</w:t>
            </w:r>
            <w:r>
              <w:rPr>
                <w:rFonts w:hAnsi="宋体"/>
                <w:szCs w:val="21"/>
              </w:rPr>
              <w:t>，</w:t>
            </w:r>
            <w:r>
              <w:rPr>
                <w:szCs w:val="21"/>
              </w:rPr>
              <w:t>S</w:t>
            </w:r>
            <w:r>
              <w:rPr>
                <w:rFonts w:hAnsi="宋体"/>
                <w:szCs w:val="21"/>
              </w:rPr>
              <w:t>为房间内表面面积，</w:t>
            </w:r>
            <w:r>
              <w:rPr>
                <w:szCs w:val="21"/>
              </w:rPr>
              <w:t>m</w:t>
            </w:r>
            <w:r>
              <w:rPr>
                <w:szCs w:val="21"/>
                <w:vertAlign w:val="superscript"/>
              </w:rPr>
              <w:t>2</w:t>
            </w:r>
            <w:r>
              <w:rPr>
                <w:rFonts w:hAnsi="宋体"/>
                <w:szCs w:val="21"/>
              </w:rPr>
              <w:t>；</w:t>
            </w:r>
            <w:r>
              <w:rPr>
                <w:szCs w:val="21"/>
              </w:rPr>
              <w:t>a</w:t>
            </w:r>
            <w:r>
              <w:rPr>
                <w:rFonts w:hAnsi="宋体"/>
                <w:szCs w:val="21"/>
              </w:rPr>
              <w:t>为平均吸声系数。</w:t>
            </w:r>
          </w:p>
          <w:p>
            <w:pPr>
              <w:widowControl/>
              <w:spacing w:line="360" w:lineRule="auto"/>
              <w:ind w:firstLine="525" w:firstLineChars="250"/>
              <w:rPr>
                <w:szCs w:val="21"/>
              </w:rPr>
            </w:pPr>
            <w:r>
              <w:rPr>
                <w:szCs w:val="21"/>
              </w:rPr>
              <w:t>r——</w:t>
            </w:r>
            <w:r>
              <w:rPr>
                <w:rFonts w:hAnsi="宋体"/>
                <w:szCs w:val="21"/>
              </w:rPr>
              <w:t>声源到靠近围护结构某点处的距离，</w:t>
            </w:r>
            <w:r>
              <w:rPr>
                <w:szCs w:val="21"/>
              </w:rPr>
              <w:t>m</w:t>
            </w:r>
            <w:r>
              <w:rPr>
                <w:rFonts w:hAnsi="宋体"/>
                <w:szCs w:val="21"/>
              </w:rPr>
              <w:t>。</w:t>
            </w:r>
          </w:p>
          <w:p>
            <w:pPr>
              <w:widowControl/>
              <w:spacing w:line="360" w:lineRule="auto"/>
              <w:ind w:firstLine="525" w:firstLineChars="250"/>
              <w:rPr>
                <w:szCs w:val="21"/>
              </w:rPr>
            </w:pPr>
            <w:r>
              <w:rPr>
                <w:rFonts w:hAnsi="宋体"/>
                <w:szCs w:val="21"/>
              </w:rPr>
              <w:t>②计算出所有室内声源在围护结构处产生的</w:t>
            </w:r>
            <w:r>
              <w:rPr>
                <w:szCs w:val="21"/>
              </w:rPr>
              <w:t>i</w:t>
            </w:r>
            <w:r>
              <w:rPr>
                <w:rFonts w:hAnsi="宋体"/>
                <w:szCs w:val="21"/>
              </w:rPr>
              <w:t>倍频带叠加声压级：</w:t>
            </w:r>
          </w:p>
          <w:p>
            <w:pPr>
              <w:widowControl/>
              <w:spacing w:line="360" w:lineRule="auto"/>
              <w:jc w:val="center"/>
              <w:rPr>
                <w:bCs/>
                <w:szCs w:val="21"/>
              </w:rPr>
            </w:pPr>
            <w:r>
              <w:rPr>
                <w:bCs/>
                <w:szCs w:val="21"/>
              </w:rPr>
              <w:drawing>
                <wp:inline distT="0" distB="0" distL="0" distR="0">
                  <wp:extent cx="1649095" cy="471170"/>
                  <wp:effectExtent l="0" t="0" r="8255" b="508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649095" cy="471170"/>
                          </a:xfrm>
                          <a:prstGeom prst="rect">
                            <a:avLst/>
                          </a:prstGeom>
                          <a:noFill/>
                          <a:ln>
                            <a:noFill/>
                          </a:ln>
                        </pic:spPr>
                      </pic:pic>
                    </a:graphicData>
                  </a:graphic>
                </wp:inline>
              </w:drawing>
            </w:r>
          </w:p>
          <w:p>
            <w:pPr>
              <w:widowControl/>
              <w:spacing w:line="360" w:lineRule="auto"/>
              <w:ind w:firstLine="525" w:firstLineChars="250"/>
              <w:rPr>
                <w:szCs w:val="21"/>
              </w:rPr>
            </w:pPr>
            <w:r>
              <w:rPr>
                <w:rFonts w:hAnsi="宋体"/>
                <w:szCs w:val="21"/>
              </w:rPr>
              <w:t>式中：</w:t>
            </w:r>
          </w:p>
          <w:p>
            <w:pPr>
              <w:widowControl/>
              <w:spacing w:line="360" w:lineRule="auto"/>
              <w:ind w:firstLine="525" w:firstLineChars="250"/>
              <w:rPr>
                <w:szCs w:val="21"/>
              </w:rPr>
            </w:pPr>
            <w:r>
              <w:rPr>
                <w:szCs w:val="21"/>
              </w:rPr>
              <w:t>L</w:t>
            </w:r>
            <w:r>
              <w:rPr>
                <w:szCs w:val="21"/>
                <w:vertAlign w:val="subscript"/>
              </w:rPr>
              <w:t>P1i</w:t>
            </w:r>
            <w:r>
              <w:rPr>
                <w:szCs w:val="21"/>
              </w:rPr>
              <w:t>(T)——</w:t>
            </w:r>
            <w:r>
              <w:rPr>
                <w:rFonts w:hAnsi="宋体"/>
                <w:szCs w:val="21"/>
              </w:rPr>
              <w:t>靠近围护结构处室内</w:t>
            </w:r>
            <w:r>
              <w:rPr>
                <w:szCs w:val="21"/>
              </w:rPr>
              <w:t>N</w:t>
            </w:r>
            <w:r>
              <w:rPr>
                <w:rFonts w:hAnsi="宋体"/>
                <w:szCs w:val="21"/>
              </w:rPr>
              <w:t>个声源</w:t>
            </w:r>
            <w:r>
              <w:rPr>
                <w:szCs w:val="21"/>
              </w:rPr>
              <w:t>i</w:t>
            </w:r>
            <w:r>
              <w:rPr>
                <w:rFonts w:hAnsi="宋体"/>
                <w:szCs w:val="21"/>
              </w:rPr>
              <w:t>倍频带的叠加声压级，</w:t>
            </w:r>
            <w:r>
              <w:rPr>
                <w:szCs w:val="21"/>
              </w:rPr>
              <w:t>dB</w:t>
            </w:r>
            <w:r>
              <w:rPr>
                <w:rFonts w:hAnsi="宋体"/>
                <w:szCs w:val="21"/>
              </w:rPr>
              <w:t>；</w:t>
            </w:r>
          </w:p>
          <w:p>
            <w:pPr>
              <w:widowControl/>
              <w:spacing w:line="360" w:lineRule="auto"/>
              <w:ind w:firstLine="525" w:firstLineChars="250"/>
              <w:rPr>
                <w:szCs w:val="21"/>
              </w:rPr>
            </w:pPr>
            <w:r>
              <w:rPr>
                <w:szCs w:val="21"/>
              </w:rPr>
              <w:t>L</w:t>
            </w:r>
            <w:r>
              <w:rPr>
                <w:szCs w:val="21"/>
                <w:vertAlign w:val="subscript"/>
              </w:rPr>
              <w:t>P1ij</w:t>
            </w:r>
            <w:r>
              <w:rPr>
                <w:szCs w:val="21"/>
              </w:rPr>
              <w:t>——</w:t>
            </w:r>
            <w:r>
              <w:rPr>
                <w:rFonts w:hAnsi="宋体"/>
                <w:szCs w:val="21"/>
              </w:rPr>
              <w:t>室内</w:t>
            </w:r>
            <w:r>
              <w:rPr>
                <w:szCs w:val="21"/>
              </w:rPr>
              <w:t>j</w:t>
            </w:r>
            <w:r>
              <w:rPr>
                <w:rFonts w:hAnsi="宋体"/>
                <w:szCs w:val="21"/>
              </w:rPr>
              <w:t>声源</w:t>
            </w:r>
            <w:r>
              <w:rPr>
                <w:szCs w:val="21"/>
              </w:rPr>
              <w:t>i</w:t>
            </w:r>
            <w:r>
              <w:rPr>
                <w:rFonts w:hAnsi="宋体"/>
                <w:szCs w:val="21"/>
              </w:rPr>
              <w:t>倍频带的声压级，</w:t>
            </w:r>
            <w:r>
              <w:rPr>
                <w:szCs w:val="21"/>
              </w:rPr>
              <w:t>dB</w:t>
            </w:r>
            <w:r>
              <w:rPr>
                <w:rFonts w:hAnsi="宋体"/>
                <w:szCs w:val="21"/>
              </w:rPr>
              <w:t>；</w:t>
            </w:r>
          </w:p>
          <w:p>
            <w:pPr>
              <w:widowControl/>
              <w:spacing w:line="360" w:lineRule="auto"/>
              <w:ind w:firstLine="525" w:firstLineChars="250"/>
              <w:rPr>
                <w:szCs w:val="21"/>
              </w:rPr>
            </w:pPr>
            <w:r>
              <w:rPr>
                <w:rFonts w:hAnsi="宋体"/>
                <w:szCs w:val="21"/>
              </w:rPr>
              <w:t>③在室内近似为扩散声场地，按下式计算出靠近室外围护结构处的声压级：</w:t>
            </w:r>
          </w:p>
          <w:p>
            <w:pPr>
              <w:widowControl/>
              <w:spacing w:line="360" w:lineRule="auto"/>
              <w:jc w:val="center"/>
              <w:rPr>
                <w:bCs/>
                <w:szCs w:val="21"/>
              </w:rPr>
            </w:pPr>
            <w:r>
              <w:rPr>
                <w:bCs/>
                <w:position w:val="-16"/>
                <w:szCs w:val="21"/>
              </w:rPr>
              <w:drawing>
                <wp:inline distT="0" distB="0" distL="0" distR="0">
                  <wp:extent cx="1761490" cy="263525"/>
                  <wp:effectExtent l="0" t="0" r="0" b="317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761490" cy="263525"/>
                          </a:xfrm>
                          <a:prstGeom prst="rect">
                            <a:avLst/>
                          </a:prstGeom>
                          <a:noFill/>
                          <a:ln>
                            <a:noFill/>
                          </a:ln>
                        </pic:spPr>
                      </pic:pic>
                    </a:graphicData>
                  </a:graphic>
                </wp:inline>
              </w:drawing>
            </w:r>
          </w:p>
          <w:p>
            <w:pPr>
              <w:widowControl/>
              <w:spacing w:line="360" w:lineRule="auto"/>
              <w:ind w:firstLine="525" w:firstLineChars="250"/>
              <w:rPr>
                <w:szCs w:val="21"/>
              </w:rPr>
            </w:pPr>
            <w:r>
              <w:rPr>
                <w:rFonts w:hAnsi="宋体"/>
                <w:szCs w:val="21"/>
              </w:rPr>
              <w:t>式中：</w:t>
            </w:r>
          </w:p>
          <w:p>
            <w:pPr>
              <w:widowControl/>
              <w:spacing w:line="360" w:lineRule="auto"/>
              <w:ind w:firstLine="525" w:firstLineChars="250"/>
              <w:rPr>
                <w:szCs w:val="21"/>
              </w:rPr>
            </w:pPr>
            <w:r>
              <w:rPr>
                <w:szCs w:val="21"/>
              </w:rPr>
              <w:t>L</w:t>
            </w:r>
            <w:r>
              <w:rPr>
                <w:szCs w:val="21"/>
                <w:vertAlign w:val="subscript"/>
              </w:rPr>
              <w:t>P2i</w:t>
            </w:r>
            <w:r>
              <w:rPr>
                <w:szCs w:val="21"/>
              </w:rPr>
              <w:t>(T)——</w:t>
            </w:r>
            <w:r>
              <w:rPr>
                <w:rFonts w:hAnsi="宋体"/>
                <w:szCs w:val="21"/>
              </w:rPr>
              <w:t>靠近围护结构处室外</w:t>
            </w:r>
            <w:r>
              <w:rPr>
                <w:szCs w:val="21"/>
              </w:rPr>
              <w:t>N</w:t>
            </w:r>
            <w:r>
              <w:rPr>
                <w:rFonts w:hAnsi="宋体"/>
                <w:szCs w:val="21"/>
              </w:rPr>
              <w:t>个声源</w:t>
            </w:r>
            <w:r>
              <w:rPr>
                <w:szCs w:val="21"/>
              </w:rPr>
              <w:t>i</w:t>
            </w:r>
            <w:r>
              <w:rPr>
                <w:rFonts w:hAnsi="宋体"/>
                <w:szCs w:val="21"/>
              </w:rPr>
              <w:t>倍频带的叠加声压级，</w:t>
            </w:r>
            <w:r>
              <w:rPr>
                <w:szCs w:val="21"/>
              </w:rPr>
              <w:t>dB</w:t>
            </w:r>
            <w:r>
              <w:rPr>
                <w:rFonts w:hAnsi="宋体"/>
                <w:szCs w:val="21"/>
              </w:rPr>
              <w:t>；</w:t>
            </w:r>
          </w:p>
          <w:p>
            <w:pPr>
              <w:widowControl/>
              <w:spacing w:line="360" w:lineRule="auto"/>
              <w:ind w:firstLine="525" w:firstLineChars="250"/>
              <w:rPr>
                <w:szCs w:val="21"/>
              </w:rPr>
            </w:pPr>
            <w:r>
              <w:rPr>
                <w:szCs w:val="21"/>
              </w:rPr>
              <w:t>TL</w:t>
            </w:r>
            <w:r>
              <w:rPr>
                <w:szCs w:val="21"/>
                <w:vertAlign w:val="subscript"/>
              </w:rPr>
              <w:t>i</w:t>
            </w:r>
            <w:r>
              <w:rPr>
                <w:szCs w:val="21"/>
              </w:rPr>
              <w:t>——</w:t>
            </w:r>
            <w:r>
              <w:rPr>
                <w:rFonts w:hAnsi="宋体"/>
                <w:szCs w:val="21"/>
              </w:rPr>
              <w:t>围护结构</w:t>
            </w:r>
            <w:r>
              <w:rPr>
                <w:szCs w:val="21"/>
              </w:rPr>
              <w:t>i</w:t>
            </w:r>
            <w:r>
              <w:rPr>
                <w:rFonts w:hAnsi="宋体"/>
                <w:szCs w:val="21"/>
              </w:rPr>
              <w:t>倍频带的隔声量，</w:t>
            </w:r>
            <w:r>
              <w:rPr>
                <w:szCs w:val="21"/>
              </w:rPr>
              <w:t>dB</w:t>
            </w:r>
            <w:r>
              <w:rPr>
                <w:rFonts w:hAnsi="宋体"/>
                <w:szCs w:val="21"/>
              </w:rPr>
              <w:t>；</w:t>
            </w:r>
          </w:p>
          <w:p>
            <w:pPr>
              <w:widowControl/>
              <w:spacing w:line="360" w:lineRule="auto"/>
              <w:ind w:firstLine="525" w:firstLineChars="250"/>
              <w:rPr>
                <w:szCs w:val="21"/>
              </w:rPr>
            </w:pPr>
            <w:r>
              <w:rPr>
                <w:rFonts w:hAnsi="宋体"/>
                <w:szCs w:val="21"/>
              </w:rPr>
              <w:t>④将室外声源的声压级和透过面积换算成等效的室外声源，计算出中心位置位于透声面积（</w:t>
            </w:r>
            <w:r>
              <w:rPr>
                <w:szCs w:val="21"/>
              </w:rPr>
              <w:t>S</w:t>
            </w:r>
            <w:r>
              <w:rPr>
                <w:rFonts w:hAnsi="宋体"/>
                <w:szCs w:val="21"/>
              </w:rPr>
              <w:t>）处的等效声源的倍频带声功率级。</w:t>
            </w:r>
          </w:p>
          <w:p>
            <w:pPr>
              <w:widowControl/>
              <w:spacing w:line="360" w:lineRule="auto"/>
              <w:jc w:val="center"/>
              <w:rPr>
                <w:bCs/>
                <w:szCs w:val="21"/>
              </w:rPr>
            </w:pPr>
            <w:r>
              <w:rPr>
                <w:bCs/>
                <w:position w:val="-12"/>
                <w:szCs w:val="21"/>
              </w:rPr>
              <w:drawing>
                <wp:inline distT="0" distB="0" distL="0" distR="0">
                  <wp:extent cx="1306830" cy="229870"/>
                  <wp:effectExtent l="0" t="0" r="762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306830" cy="229870"/>
                          </a:xfrm>
                          <a:prstGeom prst="rect">
                            <a:avLst/>
                          </a:prstGeom>
                          <a:noFill/>
                          <a:ln>
                            <a:noFill/>
                          </a:ln>
                        </pic:spPr>
                      </pic:pic>
                    </a:graphicData>
                  </a:graphic>
                </wp:inline>
              </w:drawing>
            </w:r>
          </w:p>
          <w:p>
            <w:pPr>
              <w:widowControl/>
              <w:spacing w:line="360" w:lineRule="auto"/>
              <w:ind w:firstLine="525" w:firstLineChars="250"/>
              <w:rPr>
                <w:szCs w:val="21"/>
              </w:rPr>
            </w:pPr>
            <w:r>
              <w:rPr>
                <w:rFonts w:hAnsi="宋体"/>
                <w:szCs w:val="21"/>
              </w:rPr>
              <w:t>⑤按室外声源预测方法计算预测点处的</w:t>
            </w:r>
            <w:r>
              <w:rPr>
                <w:szCs w:val="21"/>
              </w:rPr>
              <w:t>A</w:t>
            </w:r>
            <w:r>
              <w:rPr>
                <w:rFonts w:hAnsi="宋体"/>
                <w:szCs w:val="21"/>
              </w:rPr>
              <w:t>声级。</w:t>
            </w:r>
          </w:p>
          <w:p>
            <w:pPr>
              <w:widowControl/>
              <w:spacing w:line="360" w:lineRule="auto"/>
              <w:ind w:firstLine="525" w:firstLineChars="250"/>
              <w:rPr>
                <w:szCs w:val="21"/>
              </w:rPr>
            </w:pPr>
            <w:r>
              <w:rPr>
                <w:rFonts w:hAnsi="宋体"/>
                <w:szCs w:val="21"/>
              </w:rPr>
              <w:t>设第</w:t>
            </w:r>
            <w:r>
              <w:rPr>
                <w:szCs w:val="21"/>
              </w:rPr>
              <w:t>i</w:t>
            </w:r>
            <w:r>
              <w:rPr>
                <w:rFonts w:hAnsi="宋体"/>
                <w:szCs w:val="21"/>
              </w:rPr>
              <w:t>个室外声源在预测点产生的</w:t>
            </w:r>
            <w:r>
              <w:rPr>
                <w:szCs w:val="21"/>
              </w:rPr>
              <w:t>A</w:t>
            </w:r>
            <w:r>
              <w:rPr>
                <w:rFonts w:hAnsi="宋体"/>
                <w:szCs w:val="21"/>
              </w:rPr>
              <w:t>声级为</w:t>
            </w:r>
            <w:r>
              <w:rPr>
                <w:szCs w:val="21"/>
              </w:rPr>
              <w:t>L</w:t>
            </w:r>
            <w:r>
              <w:rPr>
                <w:szCs w:val="21"/>
                <w:vertAlign w:val="subscript"/>
              </w:rPr>
              <w:t>Ai</w:t>
            </w:r>
            <w:r>
              <w:rPr>
                <w:rFonts w:hAnsi="宋体"/>
                <w:szCs w:val="21"/>
              </w:rPr>
              <w:t>，在</w:t>
            </w:r>
            <w:r>
              <w:rPr>
                <w:szCs w:val="21"/>
              </w:rPr>
              <w:t>T</w:t>
            </w:r>
            <w:r>
              <w:rPr>
                <w:rFonts w:hAnsi="宋体"/>
                <w:szCs w:val="21"/>
              </w:rPr>
              <w:t>时间内该声源工作时间为</w:t>
            </w:r>
            <w:r>
              <w:rPr>
                <w:szCs w:val="21"/>
              </w:rPr>
              <w:t>t</w:t>
            </w:r>
            <w:r>
              <w:rPr>
                <w:szCs w:val="21"/>
                <w:vertAlign w:val="subscript"/>
              </w:rPr>
              <w:t>i</w:t>
            </w:r>
            <w:r>
              <w:rPr>
                <w:rFonts w:hAnsi="宋体"/>
                <w:szCs w:val="21"/>
              </w:rPr>
              <w:t>；第</w:t>
            </w:r>
            <w:r>
              <w:rPr>
                <w:szCs w:val="21"/>
              </w:rPr>
              <w:t>j</w:t>
            </w:r>
            <w:r>
              <w:rPr>
                <w:rFonts w:hAnsi="宋体"/>
                <w:szCs w:val="21"/>
              </w:rPr>
              <w:t>个等效室外声源在预测点产生的</w:t>
            </w:r>
            <w:r>
              <w:rPr>
                <w:szCs w:val="21"/>
              </w:rPr>
              <w:t>A</w:t>
            </w:r>
            <w:r>
              <w:rPr>
                <w:rFonts w:hAnsi="宋体"/>
                <w:szCs w:val="21"/>
              </w:rPr>
              <w:t>声级为</w:t>
            </w:r>
            <w:r>
              <w:rPr>
                <w:szCs w:val="21"/>
              </w:rPr>
              <w:t>L</w:t>
            </w:r>
            <w:r>
              <w:rPr>
                <w:szCs w:val="21"/>
                <w:vertAlign w:val="subscript"/>
              </w:rPr>
              <w:t>Aj</w:t>
            </w:r>
            <w:r>
              <w:rPr>
                <w:rFonts w:hAnsi="宋体"/>
                <w:szCs w:val="21"/>
              </w:rPr>
              <w:t>，在</w:t>
            </w:r>
            <w:r>
              <w:rPr>
                <w:szCs w:val="21"/>
              </w:rPr>
              <w:t>T</w:t>
            </w:r>
            <w:r>
              <w:rPr>
                <w:rFonts w:hAnsi="宋体"/>
                <w:szCs w:val="21"/>
              </w:rPr>
              <w:t>时间内该声源工作时间为</w:t>
            </w:r>
            <w:r>
              <w:rPr>
                <w:szCs w:val="21"/>
              </w:rPr>
              <w:t>t</w:t>
            </w:r>
            <w:r>
              <w:rPr>
                <w:szCs w:val="21"/>
                <w:vertAlign w:val="subscript"/>
              </w:rPr>
              <w:t>j</w:t>
            </w:r>
            <w:r>
              <w:rPr>
                <w:rFonts w:hAnsi="宋体"/>
                <w:szCs w:val="21"/>
              </w:rPr>
              <w:t>，则拟建工程声源对预测点产生的贡献值（</w:t>
            </w:r>
            <w:r>
              <w:rPr>
                <w:szCs w:val="21"/>
              </w:rPr>
              <w:t>L</w:t>
            </w:r>
            <w:r>
              <w:rPr>
                <w:szCs w:val="21"/>
                <w:vertAlign w:val="subscript"/>
              </w:rPr>
              <w:t>eqg</w:t>
            </w:r>
            <w:r>
              <w:rPr>
                <w:rFonts w:hAnsi="宋体"/>
                <w:szCs w:val="21"/>
              </w:rPr>
              <w:t>）为：</w:t>
            </w:r>
          </w:p>
          <w:p>
            <w:pPr>
              <w:widowControl/>
              <w:spacing w:line="360" w:lineRule="auto"/>
              <w:jc w:val="center"/>
              <w:rPr>
                <w:bCs/>
                <w:szCs w:val="21"/>
              </w:rPr>
            </w:pPr>
            <w:r>
              <w:rPr>
                <w:bCs/>
                <w:szCs w:val="21"/>
              </w:rPr>
              <w:drawing>
                <wp:inline distT="0" distB="0" distL="0" distR="0">
                  <wp:extent cx="2675890" cy="521970"/>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675890" cy="521970"/>
                          </a:xfrm>
                          <a:prstGeom prst="rect">
                            <a:avLst/>
                          </a:prstGeom>
                          <a:noFill/>
                          <a:ln>
                            <a:noFill/>
                          </a:ln>
                        </pic:spPr>
                      </pic:pic>
                    </a:graphicData>
                  </a:graphic>
                </wp:inline>
              </w:drawing>
            </w:r>
          </w:p>
          <w:p>
            <w:pPr>
              <w:widowControl/>
              <w:spacing w:line="360" w:lineRule="auto"/>
              <w:ind w:firstLine="525" w:firstLineChars="250"/>
              <w:rPr>
                <w:szCs w:val="21"/>
              </w:rPr>
            </w:pPr>
            <w:r>
              <w:rPr>
                <w:rFonts w:hAnsi="宋体"/>
                <w:szCs w:val="21"/>
              </w:rPr>
              <w:t>式中：</w:t>
            </w:r>
          </w:p>
          <w:p>
            <w:pPr>
              <w:widowControl/>
              <w:spacing w:line="360" w:lineRule="auto"/>
              <w:ind w:firstLine="525" w:firstLineChars="250"/>
              <w:rPr>
                <w:szCs w:val="21"/>
              </w:rPr>
            </w:pPr>
            <w:r>
              <w:rPr>
                <w:szCs w:val="21"/>
              </w:rPr>
              <w:t>t</w:t>
            </w:r>
            <w:r>
              <w:rPr>
                <w:szCs w:val="21"/>
                <w:vertAlign w:val="subscript"/>
              </w:rPr>
              <w:t>j</w:t>
            </w:r>
            <w:r>
              <w:rPr>
                <w:szCs w:val="21"/>
              </w:rPr>
              <w:t>——</w:t>
            </w:r>
            <w:r>
              <w:rPr>
                <w:rFonts w:hAnsi="宋体"/>
                <w:szCs w:val="21"/>
              </w:rPr>
              <w:t>在</w:t>
            </w:r>
            <w:r>
              <w:rPr>
                <w:szCs w:val="21"/>
              </w:rPr>
              <w:t>T</w:t>
            </w:r>
            <w:r>
              <w:rPr>
                <w:rFonts w:hAnsi="宋体"/>
                <w:szCs w:val="21"/>
              </w:rPr>
              <w:t>时间内</w:t>
            </w:r>
            <w:r>
              <w:rPr>
                <w:szCs w:val="21"/>
              </w:rPr>
              <w:t>j</w:t>
            </w:r>
            <w:r>
              <w:rPr>
                <w:rFonts w:hAnsi="宋体"/>
                <w:szCs w:val="21"/>
              </w:rPr>
              <w:t>声源工作时间，</w:t>
            </w:r>
            <w:r>
              <w:rPr>
                <w:szCs w:val="21"/>
              </w:rPr>
              <w:t>s</w:t>
            </w:r>
            <w:r>
              <w:rPr>
                <w:rFonts w:hAnsi="宋体"/>
                <w:szCs w:val="21"/>
              </w:rPr>
              <w:t>；</w:t>
            </w:r>
          </w:p>
          <w:p>
            <w:pPr>
              <w:widowControl/>
              <w:spacing w:line="360" w:lineRule="auto"/>
              <w:ind w:firstLine="525" w:firstLineChars="250"/>
              <w:rPr>
                <w:szCs w:val="21"/>
              </w:rPr>
            </w:pPr>
            <w:r>
              <w:rPr>
                <w:szCs w:val="21"/>
              </w:rPr>
              <w:t>t</w:t>
            </w:r>
            <w:r>
              <w:rPr>
                <w:szCs w:val="21"/>
                <w:vertAlign w:val="subscript"/>
              </w:rPr>
              <w:t>i</w:t>
            </w:r>
            <w:r>
              <w:rPr>
                <w:szCs w:val="21"/>
              </w:rPr>
              <w:t>——</w:t>
            </w:r>
            <w:r>
              <w:rPr>
                <w:rFonts w:hAnsi="宋体"/>
                <w:szCs w:val="21"/>
              </w:rPr>
              <w:t>在</w:t>
            </w:r>
            <w:r>
              <w:rPr>
                <w:szCs w:val="21"/>
              </w:rPr>
              <w:t>T</w:t>
            </w:r>
            <w:r>
              <w:rPr>
                <w:rFonts w:hAnsi="宋体"/>
                <w:szCs w:val="21"/>
              </w:rPr>
              <w:t>时间内</w:t>
            </w:r>
            <w:r>
              <w:rPr>
                <w:szCs w:val="21"/>
              </w:rPr>
              <w:t>i</w:t>
            </w:r>
            <w:r>
              <w:rPr>
                <w:rFonts w:hAnsi="宋体"/>
                <w:szCs w:val="21"/>
              </w:rPr>
              <w:t>声源工作时间，</w:t>
            </w:r>
            <w:r>
              <w:rPr>
                <w:szCs w:val="21"/>
              </w:rPr>
              <w:t>s</w:t>
            </w:r>
            <w:r>
              <w:rPr>
                <w:rFonts w:hAnsi="宋体"/>
                <w:szCs w:val="21"/>
              </w:rPr>
              <w:t>；</w:t>
            </w:r>
          </w:p>
          <w:p>
            <w:pPr>
              <w:widowControl/>
              <w:spacing w:line="360" w:lineRule="auto"/>
              <w:ind w:firstLine="525" w:firstLineChars="250"/>
              <w:rPr>
                <w:szCs w:val="21"/>
              </w:rPr>
            </w:pPr>
            <w:r>
              <w:rPr>
                <w:szCs w:val="21"/>
              </w:rPr>
              <w:t>T——</w:t>
            </w:r>
            <w:r>
              <w:rPr>
                <w:rFonts w:hAnsi="宋体"/>
                <w:szCs w:val="21"/>
              </w:rPr>
              <w:t>用于计算等效声级的时间，</w:t>
            </w:r>
            <w:r>
              <w:rPr>
                <w:szCs w:val="21"/>
              </w:rPr>
              <w:t>s</w:t>
            </w:r>
            <w:r>
              <w:rPr>
                <w:rFonts w:hAnsi="宋体"/>
                <w:szCs w:val="21"/>
              </w:rPr>
              <w:t>；</w:t>
            </w:r>
          </w:p>
          <w:p>
            <w:pPr>
              <w:widowControl/>
              <w:spacing w:line="360" w:lineRule="auto"/>
              <w:ind w:firstLine="525" w:firstLineChars="250"/>
              <w:rPr>
                <w:szCs w:val="21"/>
              </w:rPr>
            </w:pPr>
            <w:r>
              <w:rPr>
                <w:szCs w:val="21"/>
              </w:rPr>
              <w:t>N——</w:t>
            </w:r>
            <w:r>
              <w:rPr>
                <w:rFonts w:hAnsi="宋体"/>
                <w:szCs w:val="21"/>
              </w:rPr>
              <w:t>室外声源个数；</w:t>
            </w:r>
          </w:p>
          <w:p>
            <w:pPr>
              <w:widowControl/>
              <w:spacing w:line="360" w:lineRule="auto"/>
              <w:ind w:firstLine="525" w:firstLineChars="250"/>
              <w:rPr>
                <w:szCs w:val="21"/>
              </w:rPr>
            </w:pPr>
            <w:r>
              <w:rPr>
                <w:szCs w:val="21"/>
              </w:rPr>
              <w:t>M——</w:t>
            </w:r>
            <w:r>
              <w:rPr>
                <w:rFonts w:hAnsi="宋体"/>
                <w:szCs w:val="21"/>
              </w:rPr>
              <w:t>等效室外声源个数；</w:t>
            </w:r>
          </w:p>
          <w:p>
            <w:pPr>
              <w:widowControl/>
              <w:spacing w:line="360" w:lineRule="auto"/>
              <w:ind w:firstLine="525" w:firstLineChars="250"/>
              <w:rPr>
                <w:szCs w:val="21"/>
              </w:rPr>
            </w:pPr>
            <w:r>
              <w:rPr>
                <w:rFonts w:hAnsi="宋体"/>
                <w:szCs w:val="21"/>
              </w:rPr>
              <w:t>⑥预测点的预测等效声级（</w:t>
            </w:r>
            <w:r>
              <w:rPr>
                <w:szCs w:val="21"/>
              </w:rPr>
              <w:t>Leq</w:t>
            </w:r>
            <w:r>
              <w:rPr>
                <w:rFonts w:hAnsi="宋体"/>
                <w:szCs w:val="21"/>
              </w:rPr>
              <w:t>）计算：</w:t>
            </w:r>
          </w:p>
          <w:p>
            <w:pPr>
              <w:widowControl/>
              <w:spacing w:line="360" w:lineRule="auto"/>
              <w:jc w:val="center"/>
              <w:rPr>
                <w:bCs/>
                <w:szCs w:val="21"/>
              </w:rPr>
            </w:pPr>
            <w:r>
              <w:rPr>
                <w:bCs/>
                <w:szCs w:val="21"/>
              </w:rPr>
              <w:drawing>
                <wp:inline distT="0" distB="0" distL="0" distR="0">
                  <wp:extent cx="1879600" cy="286385"/>
                  <wp:effectExtent l="0" t="0" r="635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1879600" cy="286385"/>
                          </a:xfrm>
                          <a:prstGeom prst="rect">
                            <a:avLst/>
                          </a:prstGeom>
                          <a:noFill/>
                          <a:ln>
                            <a:noFill/>
                          </a:ln>
                        </pic:spPr>
                      </pic:pic>
                    </a:graphicData>
                  </a:graphic>
                </wp:inline>
              </w:drawing>
            </w:r>
          </w:p>
          <w:p>
            <w:pPr>
              <w:widowControl/>
              <w:spacing w:line="360" w:lineRule="auto"/>
              <w:ind w:firstLine="525" w:firstLineChars="250"/>
              <w:rPr>
                <w:szCs w:val="21"/>
              </w:rPr>
            </w:pPr>
            <w:r>
              <w:rPr>
                <w:rFonts w:hAnsi="宋体"/>
                <w:szCs w:val="21"/>
              </w:rPr>
              <w:t>式中：</w:t>
            </w:r>
            <w:r>
              <w:rPr>
                <w:szCs w:val="21"/>
              </w:rPr>
              <w:t>L</w:t>
            </w:r>
            <w:r>
              <w:rPr>
                <w:szCs w:val="21"/>
                <w:vertAlign w:val="subscript"/>
              </w:rPr>
              <w:t>eq</w:t>
            </w:r>
            <w:r>
              <w:rPr>
                <w:szCs w:val="21"/>
              </w:rPr>
              <w:t>——</w:t>
            </w:r>
            <w:r>
              <w:rPr>
                <w:rFonts w:hAnsi="宋体"/>
                <w:szCs w:val="21"/>
              </w:rPr>
              <w:t>建设项目声源在预测点的等效声级贡献量，</w:t>
            </w:r>
            <w:r>
              <w:rPr>
                <w:szCs w:val="21"/>
              </w:rPr>
              <w:t>dB(A)</w:t>
            </w:r>
            <w:r>
              <w:rPr>
                <w:rFonts w:hAnsi="宋体"/>
                <w:szCs w:val="21"/>
              </w:rPr>
              <w:t>；</w:t>
            </w:r>
          </w:p>
          <w:p>
            <w:pPr>
              <w:widowControl/>
              <w:spacing w:line="360" w:lineRule="auto"/>
              <w:ind w:firstLine="525" w:firstLineChars="250"/>
              <w:rPr>
                <w:szCs w:val="21"/>
              </w:rPr>
            </w:pPr>
            <w:r>
              <w:rPr>
                <w:szCs w:val="21"/>
              </w:rPr>
              <w:t>L</w:t>
            </w:r>
            <w:r>
              <w:rPr>
                <w:szCs w:val="21"/>
                <w:vertAlign w:val="subscript"/>
              </w:rPr>
              <w:t>eqb</w:t>
            </w:r>
            <w:r>
              <w:rPr>
                <w:szCs w:val="21"/>
              </w:rPr>
              <w:t>——</w:t>
            </w:r>
            <w:r>
              <w:rPr>
                <w:rFonts w:hAnsi="宋体"/>
                <w:szCs w:val="21"/>
              </w:rPr>
              <w:t>预测点背景值，</w:t>
            </w:r>
            <w:r>
              <w:rPr>
                <w:szCs w:val="21"/>
              </w:rPr>
              <w:t>dB(A)</w:t>
            </w:r>
            <w:r>
              <w:rPr>
                <w:rFonts w:hAnsi="宋体"/>
                <w:szCs w:val="21"/>
              </w:rPr>
              <w:t>；</w:t>
            </w:r>
          </w:p>
          <w:p>
            <w:pPr>
              <w:widowControl/>
              <w:spacing w:line="360" w:lineRule="auto"/>
              <w:ind w:firstLine="525" w:firstLineChars="250"/>
              <w:rPr>
                <w:szCs w:val="21"/>
              </w:rPr>
            </w:pPr>
            <w:r>
              <w:rPr>
                <w:szCs w:val="21"/>
              </w:rPr>
              <w:fldChar w:fldCharType="begin"/>
            </w:r>
            <w:r>
              <w:rPr>
                <w:szCs w:val="21"/>
              </w:rPr>
              <w:instrText xml:space="preserve"> = 7 \* GB3 </w:instrText>
            </w:r>
            <w:r>
              <w:rPr>
                <w:szCs w:val="21"/>
              </w:rPr>
              <w:fldChar w:fldCharType="separate"/>
            </w:r>
            <w:r>
              <w:rPr>
                <w:rFonts w:hAnsi="宋体"/>
                <w:szCs w:val="21"/>
              </w:rPr>
              <w:t>⑦</w:t>
            </w:r>
            <w:r>
              <w:rPr>
                <w:szCs w:val="21"/>
              </w:rPr>
              <w:fldChar w:fldCharType="end"/>
            </w:r>
            <w:r>
              <w:rPr>
                <w:rFonts w:hAnsi="宋体"/>
                <w:szCs w:val="21"/>
              </w:rPr>
              <w:t>预测值计算采用点声源的半自由声场几何发散衰减公式：</w:t>
            </w:r>
          </w:p>
          <w:p>
            <w:pPr>
              <w:widowControl/>
              <w:spacing w:line="360" w:lineRule="auto"/>
              <w:ind w:firstLine="63" w:firstLineChars="30"/>
              <w:jc w:val="center"/>
              <w:rPr>
                <w:szCs w:val="21"/>
              </w:rPr>
            </w:pPr>
            <w:r>
              <w:rPr>
                <w:position w:val="-24"/>
                <w:szCs w:val="21"/>
              </w:rPr>
              <w:drawing>
                <wp:inline distT="0" distB="0" distL="0" distR="0">
                  <wp:extent cx="2008505" cy="364490"/>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2008505" cy="364490"/>
                          </a:xfrm>
                          <a:prstGeom prst="rect">
                            <a:avLst/>
                          </a:prstGeom>
                          <a:noFill/>
                          <a:ln>
                            <a:noFill/>
                          </a:ln>
                        </pic:spPr>
                      </pic:pic>
                    </a:graphicData>
                  </a:graphic>
                </wp:inline>
              </w:drawing>
            </w:r>
          </w:p>
          <w:p>
            <w:pPr>
              <w:widowControl/>
              <w:spacing w:line="360" w:lineRule="auto"/>
              <w:ind w:firstLine="525" w:firstLineChars="250"/>
              <w:rPr>
                <w:szCs w:val="21"/>
              </w:rPr>
            </w:pPr>
            <w:r>
              <w:rPr>
                <w:rFonts w:hAnsi="宋体"/>
                <w:szCs w:val="21"/>
              </w:rPr>
              <w:t>式中：</w:t>
            </w:r>
            <w:r>
              <w:rPr>
                <w:szCs w:val="21"/>
              </w:rPr>
              <w:t>L</w:t>
            </w:r>
            <w:r>
              <w:rPr>
                <w:szCs w:val="21"/>
                <w:vertAlign w:val="subscript"/>
              </w:rPr>
              <w:t>oct(r)</w:t>
            </w:r>
            <w:r>
              <w:rPr>
                <w:szCs w:val="21"/>
              </w:rPr>
              <w:t>—</w:t>
            </w:r>
            <w:r>
              <w:rPr>
                <w:rFonts w:hAnsi="宋体"/>
                <w:szCs w:val="21"/>
              </w:rPr>
              <w:t>点声源在预测点产生的倍频带声压级；</w:t>
            </w:r>
          </w:p>
          <w:p>
            <w:pPr>
              <w:widowControl/>
              <w:spacing w:line="360" w:lineRule="auto"/>
              <w:ind w:firstLine="525" w:firstLineChars="250"/>
              <w:rPr>
                <w:szCs w:val="21"/>
              </w:rPr>
            </w:pPr>
            <w:r>
              <w:rPr>
                <w:szCs w:val="21"/>
              </w:rPr>
              <w:t>L</w:t>
            </w:r>
            <w:r>
              <w:rPr>
                <w:szCs w:val="21"/>
                <w:vertAlign w:val="subscript"/>
              </w:rPr>
              <w:t>oct(r0)</w:t>
            </w:r>
            <w:r>
              <w:rPr>
                <w:szCs w:val="21"/>
              </w:rPr>
              <w:t>—</w:t>
            </w:r>
            <w:r>
              <w:rPr>
                <w:rFonts w:hAnsi="宋体"/>
                <w:szCs w:val="21"/>
              </w:rPr>
              <w:t>参考位置</w:t>
            </w:r>
            <w:r>
              <w:rPr>
                <w:szCs w:val="21"/>
              </w:rPr>
              <w:t>r</w:t>
            </w:r>
            <w:r>
              <w:rPr>
                <w:szCs w:val="21"/>
                <w:vertAlign w:val="subscript"/>
              </w:rPr>
              <w:t>0</w:t>
            </w:r>
            <w:r>
              <w:rPr>
                <w:rFonts w:hAnsi="宋体"/>
                <w:szCs w:val="21"/>
              </w:rPr>
              <w:t>处的倍频带声压级；</w:t>
            </w:r>
          </w:p>
          <w:p>
            <w:pPr>
              <w:widowControl/>
              <w:spacing w:line="360" w:lineRule="auto"/>
              <w:ind w:firstLine="525" w:firstLineChars="250"/>
              <w:rPr>
                <w:szCs w:val="21"/>
              </w:rPr>
            </w:pPr>
            <w:r>
              <w:rPr>
                <w:szCs w:val="21"/>
              </w:rPr>
              <w:t>r—</w:t>
            </w:r>
            <w:r>
              <w:rPr>
                <w:rFonts w:hAnsi="宋体"/>
                <w:szCs w:val="21"/>
              </w:rPr>
              <w:t>预测点距声源的距离，</w:t>
            </w:r>
            <w:r>
              <w:rPr>
                <w:szCs w:val="21"/>
              </w:rPr>
              <w:t>m</w:t>
            </w:r>
            <w:r>
              <w:rPr>
                <w:rFonts w:hAnsi="宋体"/>
                <w:szCs w:val="21"/>
              </w:rPr>
              <w:t>；</w:t>
            </w:r>
          </w:p>
          <w:p>
            <w:pPr>
              <w:widowControl/>
              <w:spacing w:line="360" w:lineRule="auto"/>
              <w:ind w:firstLine="525" w:firstLineChars="250"/>
              <w:rPr>
                <w:szCs w:val="21"/>
              </w:rPr>
            </w:pPr>
            <w:r>
              <w:rPr>
                <w:szCs w:val="21"/>
              </w:rPr>
              <w:t>r</w:t>
            </w:r>
            <w:r>
              <w:rPr>
                <w:szCs w:val="21"/>
                <w:vertAlign w:val="subscript"/>
              </w:rPr>
              <w:t>0</w:t>
            </w:r>
            <w:r>
              <w:rPr>
                <w:szCs w:val="21"/>
              </w:rPr>
              <w:t>—</w:t>
            </w:r>
            <w:r>
              <w:rPr>
                <w:rFonts w:hAnsi="宋体"/>
                <w:szCs w:val="21"/>
              </w:rPr>
              <w:t>参考位置距声源的距离，</w:t>
            </w:r>
            <w:r>
              <w:rPr>
                <w:szCs w:val="21"/>
              </w:rPr>
              <w:t>m</w:t>
            </w:r>
            <w:r>
              <w:rPr>
                <w:rFonts w:hAnsi="宋体"/>
                <w:szCs w:val="21"/>
              </w:rPr>
              <w:t>；</w:t>
            </w:r>
            <w:r>
              <w:rPr>
                <w:szCs w:val="21"/>
              </w:rPr>
              <w:t>r</w:t>
            </w:r>
            <w:r>
              <w:rPr>
                <w:szCs w:val="21"/>
                <w:vertAlign w:val="subscript"/>
              </w:rPr>
              <w:t>0</w:t>
            </w:r>
            <w:r>
              <w:rPr>
                <w:szCs w:val="21"/>
              </w:rPr>
              <w:t>=1</w:t>
            </w:r>
          </w:p>
          <w:p>
            <w:pPr>
              <w:widowControl/>
              <w:spacing w:line="360" w:lineRule="auto"/>
              <w:ind w:firstLine="525" w:firstLineChars="250"/>
              <w:rPr>
                <w:szCs w:val="21"/>
              </w:rPr>
            </w:pPr>
            <w:r>
              <w:rPr>
                <w:rFonts w:hAnsi="宋体"/>
                <w:szCs w:val="21"/>
              </w:rPr>
              <w:t>综上分析，上式可简化为：</w:t>
            </w:r>
          </w:p>
          <w:p>
            <w:pPr>
              <w:widowControl/>
              <w:spacing w:line="360" w:lineRule="auto"/>
              <w:jc w:val="center"/>
              <w:rPr>
                <w:szCs w:val="21"/>
              </w:rPr>
            </w:pPr>
            <w:r>
              <w:rPr>
                <w:position w:val="-14"/>
                <w:szCs w:val="21"/>
              </w:rPr>
              <w:drawing>
                <wp:inline distT="0" distB="0" distL="0" distR="0">
                  <wp:extent cx="1873885" cy="257810"/>
                  <wp:effectExtent l="0" t="0" r="0" b="889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1873885" cy="257810"/>
                          </a:xfrm>
                          <a:prstGeom prst="rect">
                            <a:avLst/>
                          </a:prstGeom>
                          <a:noFill/>
                          <a:ln>
                            <a:noFill/>
                          </a:ln>
                        </pic:spPr>
                      </pic:pic>
                    </a:graphicData>
                  </a:graphic>
                </wp:inline>
              </w:drawing>
            </w:r>
          </w:p>
          <w:p>
            <w:pPr>
              <w:widowControl/>
              <w:spacing w:line="360" w:lineRule="auto"/>
              <w:ind w:firstLine="420" w:firstLineChars="200"/>
              <w:rPr>
                <w:szCs w:val="21"/>
              </w:rPr>
            </w:pPr>
            <w:r>
              <w:rPr>
                <w:rFonts w:hAnsi="宋体"/>
                <w:szCs w:val="21"/>
              </w:rPr>
              <w:t>通过上述预测模式，在采取措施后预测出项目声源在项目边界处的噪声值，计算结果</w:t>
            </w:r>
            <w:r>
              <w:rPr>
                <w:rFonts w:hint="eastAsia" w:hAnsi="宋体"/>
                <w:szCs w:val="21"/>
              </w:rPr>
              <w:t>见下表</w:t>
            </w:r>
            <w:r>
              <w:rPr>
                <w:rFonts w:hAnsi="宋体"/>
                <w:szCs w:val="21"/>
              </w:rPr>
              <w:t>。</w:t>
            </w:r>
          </w:p>
          <w:p>
            <w:pPr>
              <w:widowControl/>
              <w:numPr>
                <w:ilvl w:val="0"/>
                <w:numId w:val="2"/>
              </w:numPr>
              <w:tabs>
                <w:tab w:val="left" w:pos="0"/>
              </w:tabs>
              <w:adjustRightInd w:val="0"/>
              <w:snapToGrid w:val="0"/>
              <w:spacing w:line="360" w:lineRule="auto"/>
              <w:ind w:left="0"/>
              <w:jc w:val="center"/>
              <w:rPr>
                <w:b/>
                <w:kern w:val="0"/>
                <w:szCs w:val="21"/>
              </w:rPr>
            </w:pPr>
            <w:r>
              <w:rPr>
                <w:b/>
                <w:kern w:val="0"/>
                <w:szCs w:val="21"/>
              </w:rPr>
              <w:t>在采取措施后本项目噪声</w:t>
            </w:r>
            <w:r>
              <w:rPr>
                <w:rFonts w:hint="eastAsia"/>
                <w:b/>
                <w:kern w:val="0"/>
                <w:szCs w:val="21"/>
              </w:rPr>
              <w:t>在厂界</w:t>
            </w:r>
            <w:r>
              <w:rPr>
                <w:b/>
                <w:kern w:val="0"/>
                <w:szCs w:val="21"/>
              </w:rPr>
              <w:t>处贡献值的预测结果</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4"/>
              <w:gridCol w:w="2091"/>
              <w:gridCol w:w="2262"/>
              <w:gridCol w:w="1090"/>
              <w:gridCol w:w="1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2" w:type="dxa"/>
                  <w:vMerge w:val="restart"/>
                  <w:vAlign w:val="center"/>
                </w:tcPr>
                <w:p>
                  <w:pPr>
                    <w:widowControl/>
                    <w:adjustRightInd w:val="0"/>
                    <w:snapToGrid w:val="0"/>
                    <w:jc w:val="center"/>
                    <w:rPr>
                      <w:b/>
                      <w:spacing w:val="-2"/>
                      <w:kern w:val="0"/>
                      <w:szCs w:val="21"/>
                    </w:rPr>
                  </w:pPr>
                  <w:r>
                    <w:rPr>
                      <w:b/>
                      <w:spacing w:val="-2"/>
                      <w:kern w:val="0"/>
                      <w:szCs w:val="21"/>
                    </w:rPr>
                    <w:t>边界</w:t>
                  </w:r>
                </w:p>
              </w:tc>
              <w:tc>
                <w:tcPr>
                  <w:tcW w:w="2268" w:type="dxa"/>
                  <w:vMerge w:val="restart"/>
                  <w:vAlign w:val="center"/>
                </w:tcPr>
                <w:p>
                  <w:pPr>
                    <w:widowControl/>
                    <w:adjustRightInd w:val="0"/>
                    <w:snapToGrid w:val="0"/>
                    <w:jc w:val="center"/>
                    <w:rPr>
                      <w:b/>
                      <w:spacing w:val="-2"/>
                      <w:kern w:val="0"/>
                      <w:szCs w:val="21"/>
                    </w:rPr>
                  </w:pPr>
                  <w:r>
                    <w:rPr>
                      <w:b/>
                      <w:spacing w:val="-2"/>
                      <w:kern w:val="0"/>
                      <w:szCs w:val="21"/>
                    </w:rPr>
                    <w:t>与</w:t>
                  </w:r>
                  <w:r>
                    <w:rPr>
                      <w:rFonts w:hint="eastAsia"/>
                      <w:b/>
                      <w:spacing w:val="-2"/>
                      <w:kern w:val="0"/>
                      <w:szCs w:val="21"/>
                    </w:rPr>
                    <w:t>项目边界</w:t>
                  </w:r>
                  <w:r>
                    <w:rPr>
                      <w:b/>
                      <w:spacing w:val="-2"/>
                      <w:kern w:val="0"/>
                      <w:szCs w:val="21"/>
                    </w:rPr>
                    <w:t>距离/m</w:t>
                  </w:r>
                </w:p>
              </w:tc>
              <w:tc>
                <w:tcPr>
                  <w:tcW w:w="2422" w:type="dxa"/>
                  <w:vMerge w:val="restart"/>
                  <w:vAlign w:val="center"/>
                </w:tcPr>
                <w:p>
                  <w:pPr>
                    <w:widowControl/>
                    <w:adjustRightInd w:val="0"/>
                    <w:snapToGrid w:val="0"/>
                    <w:jc w:val="center"/>
                    <w:rPr>
                      <w:b/>
                      <w:spacing w:val="-2"/>
                      <w:kern w:val="0"/>
                      <w:szCs w:val="21"/>
                    </w:rPr>
                  </w:pPr>
                  <w:r>
                    <w:rPr>
                      <w:b/>
                      <w:spacing w:val="-2"/>
                      <w:kern w:val="0"/>
                      <w:szCs w:val="21"/>
                    </w:rPr>
                    <w:t>车间</w:t>
                  </w:r>
                  <w:r>
                    <w:rPr>
                      <w:rFonts w:hint="eastAsia"/>
                      <w:b/>
                      <w:spacing w:val="-2"/>
                      <w:kern w:val="0"/>
                      <w:szCs w:val="21"/>
                    </w:rPr>
                    <w:t>噪声</w:t>
                  </w:r>
                  <w:r>
                    <w:rPr>
                      <w:b/>
                      <w:spacing w:val="-2"/>
                      <w:kern w:val="0"/>
                      <w:szCs w:val="21"/>
                    </w:rPr>
                    <w:t>贡献/dB(A)</w:t>
                  </w:r>
                </w:p>
              </w:tc>
              <w:tc>
                <w:tcPr>
                  <w:tcW w:w="2248" w:type="dxa"/>
                  <w:gridSpan w:val="2"/>
                  <w:vAlign w:val="center"/>
                </w:tcPr>
                <w:p>
                  <w:pPr>
                    <w:widowControl/>
                    <w:adjustRightInd w:val="0"/>
                    <w:snapToGrid w:val="0"/>
                    <w:jc w:val="center"/>
                    <w:rPr>
                      <w:b/>
                      <w:spacing w:val="-2"/>
                      <w:kern w:val="0"/>
                      <w:szCs w:val="21"/>
                    </w:rPr>
                  </w:pPr>
                  <w:r>
                    <w:rPr>
                      <w:b/>
                      <w:spacing w:val="-2"/>
                      <w:kern w:val="0"/>
                      <w:szCs w:val="21"/>
                    </w:rPr>
                    <w:t>执行标准/dB(A)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2" w:type="dxa"/>
                  <w:vMerge w:val="continue"/>
                  <w:vAlign w:val="center"/>
                </w:tcPr>
                <w:p>
                  <w:pPr>
                    <w:widowControl/>
                    <w:adjustRightInd w:val="0"/>
                    <w:snapToGrid w:val="0"/>
                    <w:ind w:firstLine="414" w:firstLineChars="200"/>
                    <w:jc w:val="center"/>
                    <w:rPr>
                      <w:b/>
                      <w:spacing w:val="-2"/>
                      <w:kern w:val="0"/>
                      <w:szCs w:val="21"/>
                    </w:rPr>
                  </w:pPr>
                </w:p>
              </w:tc>
              <w:tc>
                <w:tcPr>
                  <w:tcW w:w="2268" w:type="dxa"/>
                  <w:vMerge w:val="continue"/>
                  <w:vAlign w:val="center"/>
                </w:tcPr>
                <w:p>
                  <w:pPr>
                    <w:widowControl/>
                    <w:adjustRightInd w:val="0"/>
                    <w:snapToGrid w:val="0"/>
                    <w:ind w:firstLine="414" w:firstLineChars="200"/>
                    <w:jc w:val="center"/>
                    <w:rPr>
                      <w:b/>
                      <w:spacing w:val="-2"/>
                      <w:kern w:val="0"/>
                      <w:szCs w:val="21"/>
                    </w:rPr>
                  </w:pPr>
                </w:p>
              </w:tc>
              <w:tc>
                <w:tcPr>
                  <w:tcW w:w="2422" w:type="dxa"/>
                  <w:vMerge w:val="continue"/>
                  <w:vAlign w:val="center"/>
                </w:tcPr>
                <w:p>
                  <w:pPr>
                    <w:widowControl/>
                    <w:adjustRightInd w:val="0"/>
                    <w:snapToGrid w:val="0"/>
                    <w:ind w:firstLine="414" w:firstLineChars="200"/>
                    <w:jc w:val="center"/>
                    <w:rPr>
                      <w:b/>
                      <w:spacing w:val="-2"/>
                      <w:kern w:val="0"/>
                      <w:szCs w:val="21"/>
                    </w:rPr>
                  </w:pPr>
                </w:p>
              </w:tc>
              <w:tc>
                <w:tcPr>
                  <w:tcW w:w="1163" w:type="dxa"/>
                  <w:vAlign w:val="center"/>
                </w:tcPr>
                <w:p>
                  <w:pPr>
                    <w:widowControl/>
                    <w:adjustRightInd w:val="0"/>
                    <w:snapToGrid w:val="0"/>
                    <w:jc w:val="center"/>
                    <w:rPr>
                      <w:b/>
                      <w:spacing w:val="-2"/>
                      <w:kern w:val="0"/>
                      <w:szCs w:val="21"/>
                    </w:rPr>
                  </w:pPr>
                  <w:r>
                    <w:rPr>
                      <w:b/>
                      <w:spacing w:val="-2"/>
                      <w:kern w:val="0"/>
                      <w:szCs w:val="21"/>
                    </w:rPr>
                    <w:t>昼间</w:t>
                  </w:r>
                </w:p>
              </w:tc>
              <w:tc>
                <w:tcPr>
                  <w:tcW w:w="1085" w:type="dxa"/>
                  <w:vAlign w:val="center"/>
                </w:tcPr>
                <w:p>
                  <w:pPr>
                    <w:widowControl/>
                    <w:adjustRightInd w:val="0"/>
                    <w:snapToGrid w:val="0"/>
                    <w:jc w:val="center"/>
                    <w:rPr>
                      <w:b/>
                      <w:spacing w:val="-2"/>
                      <w:kern w:val="0"/>
                      <w:szCs w:val="21"/>
                    </w:rPr>
                  </w:pPr>
                  <w:r>
                    <w:rPr>
                      <w:b/>
                      <w:spacing w:val="-2"/>
                      <w:kern w:val="0"/>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2" w:type="dxa"/>
                  <w:vAlign w:val="center"/>
                </w:tcPr>
                <w:p>
                  <w:pPr>
                    <w:widowControl/>
                    <w:adjustRightInd w:val="0"/>
                    <w:snapToGrid w:val="0"/>
                    <w:jc w:val="center"/>
                    <w:rPr>
                      <w:spacing w:val="-2"/>
                      <w:kern w:val="0"/>
                      <w:szCs w:val="21"/>
                    </w:rPr>
                  </w:pPr>
                  <w:r>
                    <w:rPr>
                      <w:spacing w:val="-2"/>
                      <w:kern w:val="0"/>
                      <w:szCs w:val="21"/>
                    </w:rPr>
                    <w:t>项目东侧边界</w:t>
                  </w:r>
                </w:p>
              </w:tc>
              <w:tc>
                <w:tcPr>
                  <w:tcW w:w="2268" w:type="dxa"/>
                  <w:vAlign w:val="center"/>
                </w:tcPr>
                <w:p>
                  <w:pPr>
                    <w:widowControl/>
                    <w:adjustRightInd w:val="0"/>
                    <w:snapToGrid w:val="0"/>
                    <w:jc w:val="center"/>
                    <w:rPr>
                      <w:spacing w:val="-2"/>
                      <w:kern w:val="0"/>
                      <w:szCs w:val="21"/>
                    </w:rPr>
                  </w:pPr>
                  <w:r>
                    <w:rPr>
                      <w:rFonts w:hint="eastAsia"/>
                      <w:spacing w:val="-2"/>
                      <w:kern w:val="0"/>
                      <w:szCs w:val="21"/>
                    </w:rPr>
                    <w:t>项目</w:t>
                  </w:r>
                  <w:r>
                    <w:rPr>
                      <w:spacing w:val="-2"/>
                      <w:kern w:val="0"/>
                      <w:szCs w:val="21"/>
                    </w:rPr>
                    <w:t>边界外1m</w:t>
                  </w:r>
                </w:p>
              </w:tc>
              <w:tc>
                <w:tcPr>
                  <w:tcW w:w="2422" w:type="dxa"/>
                  <w:vAlign w:val="center"/>
                </w:tcPr>
                <w:p>
                  <w:pPr>
                    <w:widowControl/>
                    <w:adjustRightInd w:val="0"/>
                    <w:snapToGrid w:val="0"/>
                    <w:jc w:val="center"/>
                    <w:rPr>
                      <w:spacing w:val="-2"/>
                      <w:kern w:val="0"/>
                      <w:szCs w:val="21"/>
                    </w:rPr>
                  </w:pPr>
                  <w:r>
                    <w:rPr>
                      <w:spacing w:val="-2"/>
                      <w:kern w:val="0"/>
                      <w:szCs w:val="21"/>
                    </w:rPr>
                    <w:t>49.6</w:t>
                  </w:r>
                </w:p>
              </w:tc>
              <w:tc>
                <w:tcPr>
                  <w:tcW w:w="1163" w:type="dxa"/>
                  <w:vAlign w:val="center"/>
                </w:tcPr>
                <w:p>
                  <w:pPr>
                    <w:widowControl/>
                    <w:adjustRightInd w:val="0"/>
                    <w:snapToGrid w:val="0"/>
                    <w:jc w:val="center"/>
                    <w:rPr>
                      <w:spacing w:val="-2"/>
                      <w:kern w:val="0"/>
                      <w:szCs w:val="21"/>
                    </w:rPr>
                  </w:pPr>
                  <w:r>
                    <w:rPr>
                      <w:spacing w:val="-2"/>
                      <w:kern w:val="0"/>
                      <w:szCs w:val="21"/>
                    </w:rPr>
                    <w:t>60</w:t>
                  </w:r>
                </w:p>
              </w:tc>
              <w:tc>
                <w:tcPr>
                  <w:tcW w:w="1085" w:type="dxa"/>
                  <w:vAlign w:val="center"/>
                </w:tcPr>
                <w:p>
                  <w:pPr>
                    <w:widowControl/>
                    <w:adjustRightInd w:val="0"/>
                    <w:snapToGrid w:val="0"/>
                    <w:jc w:val="center"/>
                    <w:rPr>
                      <w:spacing w:val="-2"/>
                      <w:kern w:val="0"/>
                      <w:szCs w:val="21"/>
                    </w:rPr>
                  </w:pPr>
                  <w:r>
                    <w:rPr>
                      <w:spacing w:val="-2"/>
                      <w:kern w:val="0"/>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2" w:type="dxa"/>
                  <w:vAlign w:val="center"/>
                </w:tcPr>
                <w:p>
                  <w:pPr>
                    <w:widowControl/>
                    <w:adjustRightInd w:val="0"/>
                    <w:snapToGrid w:val="0"/>
                    <w:jc w:val="center"/>
                    <w:rPr>
                      <w:spacing w:val="-2"/>
                      <w:kern w:val="0"/>
                      <w:szCs w:val="21"/>
                    </w:rPr>
                  </w:pPr>
                  <w:r>
                    <w:rPr>
                      <w:spacing w:val="-2"/>
                      <w:kern w:val="0"/>
                      <w:szCs w:val="21"/>
                    </w:rPr>
                    <w:t>项目</w:t>
                  </w:r>
                  <w:r>
                    <w:rPr>
                      <w:rFonts w:hint="eastAsia"/>
                      <w:spacing w:val="-2"/>
                      <w:kern w:val="0"/>
                      <w:szCs w:val="21"/>
                    </w:rPr>
                    <w:t>南</w:t>
                  </w:r>
                  <w:r>
                    <w:rPr>
                      <w:spacing w:val="-2"/>
                      <w:kern w:val="0"/>
                      <w:szCs w:val="21"/>
                    </w:rPr>
                    <w:t>侧边界</w:t>
                  </w:r>
                </w:p>
              </w:tc>
              <w:tc>
                <w:tcPr>
                  <w:tcW w:w="2268" w:type="dxa"/>
                  <w:vAlign w:val="center"/>
                </w:tcPr>
                <w:p>
                  <w:pPr>
                    <w:widowControl/>
                    <w:adjustRightInd w:val="0"/>
                    <w:snapToGrid w:val="0"/>
                    <w:jc w:val="center"/>
                    <w:rPr>
                      <w:spacing w:val="-2"/>
                      <w:kern w:val="0"/>
                      <w:szCs w:val="21"/>
                    </w:rPr>
                  </w:pPr>
                  <w:r>
                    <w:rPr>
                      <w:rFonts w:hint="eastAsia"/>
                      <w:spacing w:val="-2"/>
                      <w:kern w:val="0"/>
                      <w:szCs w:val="21"/>
                    </w:rPr>
                    <w:t>项目</w:t>
                  </w:r>
                  <w:r>
                    <w:rPr>
                      <w:spacing w:val="-2"/>
                      <w:kern w:val="0"/>
                      <w:szCs w:val="21"/>
                    </w:rPr>
                    <w:t>边界外1m</w:t>
                  </w:r>
                </w:p>
              </w:tc>
              <w:tc>
                <w:tcPr>
                  <w:tcW w:w="2422" w:type="dxa"/>
                  <w:vAlign w:val="center"/>
                </w:tcPr>
                <w:p>
                  <w:pPr>
                    <w:widowControl/>
                    <w:adjustRightInd w:val="0"/>
                    <w:snapToGrid w:val="0"/>
                    <w:jc w:val="center"/>
                    <w:rPr>
                      <w:spacing w:val="-2"/>
                      <w:kern w:val="0"/>
                      <w:szCs w:val="21"/>
                    </w:rPr>
                  </w:pPr>
                  <w:r>
                    <w:rPr>
                      <w:spacing w:val="-2"/>
                      <w:kern w:val="0"/>
                      <w:szCs w:val="21"/>
                    </w:rPr>
                    <w:t>47.1</w:t>
                  </w:r>
                </w:p>
              </w:tc>
              <w:tc>
                <w:tcPr>
                  <w:tcW w:w="1163" w:type="dxa"/>
                  <w:vAlign w:val="center"/>
                </w:tcPr>
                <w:p>
                  <w:pPr>
                    <w:widowControl/>
                    <w:adjustRightInd w:val="0"/>
                    <w:snapToGrid w:val="0"/>
                    <w:jc w:val="center"/>
                    <w:rPr>
                      <w:spacing w:val="-2"/>
                      <w:kern w:val="0"/>
                      <w:szCs w:val="21"/>
                    </w:rPr>
                  </w:pPr>
                  <w:r>
                    <w:rPr>
                      <w:spacing w:val="-2"/>
                      <w:kern w:val="0"/>
                      <w:szCs w:val="21"/>
                    </w:rPr>
                    <w:t>60</w:t>
                  </w:r>
                </w:p>
              </w:tc>
              <w:tc>
                <w:tcPr>
                  <w:tcW w:w="1085" w:type="dxa"/>
                  <w:vAlign w:val="center"/>
                </w:tcPr>
                <w:p>
                  <w:pPr>
                    <w:widowControl/>
                    <w:adjustRightInd w:val="0"/>
                    <w:snapToGrid w:val="0"/>
                    <w:jc w:val="center"/>
                    <w:rPr>
                      <w:spacing w:val="-2"/>
                      <w:kern w:val="0"/>
                      <w:szCs w:val="21"/>
                    </w:rPr>
                  </w:pPr>
                  <w:r>
                    <w:rPr>
                      <w:spacing w:val="-2"/>
                      <w:kern w:val="0"/>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2" w:type="dxa"/>
                  <w:vAlign w:val="center"/>
                </w:tcPr>
                <w:p>
                  <w:pPr>
                    <w:widowControl/>
                    <w:adjustRightInd w:val="0"/>
                    <w:snapToGrid w:val="0"/>
                    <w:jc w:val="center"/>
                    <w:rPr>
                      <w:spacing w:val="-2"/>
                      <w:kern w:val="0"/>
                      <w:szCs w:val="21"/>
                    </w:rPr>
                  </w:pPr>
                  <w:r>
                    <w:rPr>
                      <w:spacing w:val="-2"/>
                      <w:kern w:val="0"/>
                      <w:szCs w:val="21"/>
                    </w:rPr>
                    <w:t>项目西侧边界</w:t>
                  </w:r>
                </w:p>
              </w:tc>
              <w:tc>
                <w:tcPr>
                  <w:tcW w:w="2268" w:type="dxa"/>
                  <w:vAlign w:val="center"/>
                </w:tcPr>
                <w:p>
                  <w:pPr>
                    <w:widowControl/>
                    <w:adjustRightInd w:val="0"/>
                    <w:snapToGrid w:val="0"/>
                    <w:jc w:val="center"/>
                    <w:rPr>
                      <w:spacing w:val="-2"/>
                      <w:kern w:val="0"/>
                      <w:szCs w:val="21"/>
                    </w:rPr>
                  </w:pPr>
                  <w:r>
                    <w:rPr>
                      <w:rFonts w:hint="eastAsia"/>
                      <w:spacing w:val="-2"/>
                      <w:kern w:val="0"/>
                      <w:szCs w:val="21"/>
                    </w:rPr>
                    <w:t>项目</w:t>
                  </w:r>
                  <w:r>
                    <w:rPr>
                      <w:spacing w:val="-2"/>
                      <w:kern w:val="0"/>
                      <w:szCs w:val="21"/>
                    </w:rPr>
                    <w:t>边界外1m</w:t>
                  </w:r>
                </w:p>
              </w:tc>
              <w:tc>
                <w:tcPr>
                  <w:tcW w:w="2422" w:type="dxa"/>
                  <w:vAlign w:val="center"/>
                </w:tcPr>
                <w:p>
                  <w:pPr>
                    <w:widowControl/>
                    <w:adjustRightInd w:val="0"/>
                    <w:snapToGrid w:val="0"/>
                    <w:jc w:val="center"/>
                    <w:rPr>
                      <w:spacing w:val="-2"/>
                      <w:kern w:val="0"/>
                      <w:szCs w:val="21"/>
                    </w:rPr>
                  </w:pPr>
                  <w:r>
                    <w:rPr>
                      <w:spacing w:val="-2"/>
                      <w:kern w:val="0"/>
                      <w:szCs w:val="21"/>
                    </w:rPr>
                    <w:t>48.8</w:t>
                  </w:r>
                </w:p>
              </w:tc>
              <w:tc>
                <w:tcPr>
                  <w:tcW w:w="1163" w:type="dxa"/>
                  <w:vAlign w:val="center"/>
                </w:tcPr>
                <w:p>
                  <w:pPr>
                    <w:widowControl/>
                    <w:adjustRightInd w:val="0"/>
                    <w:snapToGrid w:val="0"/>
                    <w:jc w:val="center"/>
                    <w:rPr>
                      <w:spacing w:val="-2"/>
                      <w:kern w:val="0"/>
                      <w:szCs w:val="21"/>
                    </w:rPr>
                  </w:pPr>
                  <w:r>
                    <w:rPr>
                      <w:spacing w:val="-2"/>
                      <w:kern w:val="0"/>
                      <w:szCs w:val="21"/>
                    </w:rPr>
                    <w:t>60</w:t>
                  </w:r>
                </w:p>
              </w:tc>
              <w:tc>
                <w:tcPr>
                  <w:tcW w:w="1085" w:type="dxa"/>
                  <w:vAlign w:val="center"/>
                </w:tcPr>
                <w:p>
                  <w:pPr>
                    <w:widowControl/>
                    <w:adjustRightInd w:val="0"/>
                    <w:snapToGrid w:val="0"/>
                    <w:jc w:val="center"/>
                    <w:rPr>
                      <w:spacing w:val="-2"/>
                      <w:kern w:val="0"/>
                      <w:szCs w:val="21"/>
                    </w:rPr>
                  </w:pPr>
                  <w:r>
                    <w:rPr>
                      <w:spacing w:val="-2"/>
                      <w:kern w:val="0"/>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2" w:type="dxa"/>
                  <w:vAlign w:val="center"/>
                </w:tcPr>
                <w:p>
                  <w:pPr>
                    <w:widowControl/>
                    <w:adjustRightInd w:val="0"/>
                    <w:snapToGrid w:val="0"/>
                    <w:jc w:val="center"/>
                    <w:rPr>
                      <w:spacing w:val="-2"/>
                      <w:kern w:val="0"/>
                      <w:szCs w:val="21"/>
                    </w:rPr>
                  </w:pPr>
                  <w:r>
                    <w:rPr>
                      <w:spacing w:val="-2"/>
                      <w:kern w:val="0"/>
                      <w:szCs w:val="21"/>
                    </w:rPr>
                    <w:t>项目</w:t>
                  </w:r>
                  <w:r>
                    <w:rPr>
                      <w:rFonts w:hint="eastAsia"/>
                      <w:spacing w:val="-2"/>
                      <w:kern w:val="0"/>
                      <w:szCs w:val="21"/>
                    </w:rPr>
                    <w:t>北</w:t>
                  </w:r>
                  <w:r>
                    <w:rPr>
                      <w:spacing w:val="-2"/>
                      <w:kern w:val="0"/>
                      <w:szCs w:val="21"/>
                    </w:rPr>
                    <w:t>侧边界</w:t>
                  </w:r>
                </w:p>
              </w:tc>
              <w:tc>
                <w:tcPr>
                  <w:tcW w:w="2268" w:type="dxa"/>
                  <w:vAlign w:val="center"/>
                </w:tcPr>
                <w:p>
                  <w:pPr>
                    <w:widowControl/>
                    <w:adjustRightInd w:val="0"/>
                    <w:snapToGrid w:val="0"/>
                    <w:jc w:val="center"/>
                    <w:rPr>
                      <w:spacing w:val="-2"/>
                      <w:kern w:val="0"/>
                      <w:szCs w:val="21"/>
                    </w:rPr>
                  </w:pPr>
                  <w:r>
                    <w:rPr>
                      <w:rFonts w:hint="eastAsia"/>
                      <w:spacing w:val="-2"/>
                      <w:kern w:val="0"/>
                      <w:szCs w:val="21"/>
                    </w:rPr>
                    <w:t>项目</w:t>
                  </w:r>
                  <w:r>
                    <w:rPr>
                      <w:spacing w:val="-2"/>
                      <w:kern w:val="0"/>
                      <w:szCs w:val="21"/>
                    </w:rPr>
                    <w:t>边界外1m</w:t>
                  </w:r>
                </w:p>
              </w:tc>
              <w:tc>
                <w:tcPr>
                  <w:tcW w:w="2422" w:type="dxa"/>
                  <w:vAlign w:val="center"/>
                </w:tcPr>
                <w:p>
                  <w:pPr>
                    <w:widowControl/>
                    <w:adjustRightInd w:val="0"/>
                    <w:snapToGrid w:val="0"/>
                    <w:jc w:val="center"/>
                    <w:rPr>
                      <w:spacing w:val="-2"/>
                      <w:kern w:val="0"/>
                      <w:szCs w:val="21"/>
                    </w:rPr>
                  </w:pPr>
                  <w:r>
                    <w:rPr>
                      <w:spacing w:val="-2"/>
                      <w:kern w:val="0"/>
                      <w:szCs w:val="21"/>
                    </w:rPr>
                    <w:t>47.7</w:t>
                  </w:r>
                </w:p>
              </w:tc>
              <w:tc>
                <w:tcPr>
                  <w:tcW w:w="1163" w:type="dxa"/>
                  <w:vAlign w:val="center"/>
                </w:tcPr>
                <w:p>
                  <w:pPr>
                    <w:widowControl/>
                    <w:adjustRightInd w:val="0"/>
                    <w:snapToGrid w:val="0"/>
                    <w:jc w:val="center"/>
                    <w:rPr>
                      <w:spacing w:val="-2"/>
                      <w:kern w:val="0"/>
                      <w:szCs w:val="21"/>
                    </w:rPr>
                  </w:pPr>
                  <w:r>
                    <w:rPr>
                      <w:spacing w:val="-2"/>
                      <w:kern w:val="0"/>
                      <w:szCs w:val="21"/>
                    </w:rPr>
                    <w:t>60</w:t>
                  </w:r>
                </w:p>
              </w:tc>
              <w:tc>
                <w:tcPr>
                  <w:tcW w:w="1085" w:type="dxa"/>
                  <w:vAlign w:val="center"/>
                </w:tcPr>
                <w:p>
                  <w:pPr>
                    <w:widowControl/>
                    <w:adjustRightInd w:val="0"/>
                    <w:snapToGrid w:val="0"/>
                    <w:jc w:val="center"/>
                    <w:rPr>
                      <w:spacing w:val="-2"/>
                      <w:kern w:val="0"/>
                      <w:szCs w:val="21"/>
                    </w:rPr>
                  </w:pPr>
                  <w:r>
                    <w:rPr>
                      <w:spacing w:val="-2"/>
                      <w:kern w:val="0"/>
                      <w:szCs w:val="21"/>
                    </w:rPr>
                    <w:t>50</w:t>
                  </w:r>
                </w:p>
              </w:tc>
            </w:tr>
          </w:tbl>
          <w:p>
            <w:pPr>
              <w:widowControl/>
              <w:spacing w:line="360" w:lineRule="auto"/>
              <w:ind w:firstLine="420" w:firstLineChars="200"/>
              <w:rPr>
                <w:szCs w:val="21"/>
              </w:rPr>
            </w:pPr>
            <w:r>
              <w:rPr>
                <w:rFonts w:hAnsi="宋体"/>
                <w:szCs w:val="21"/>
              </w:rPr>
              <w:t>根据上表预测结果可知，项目生产设备在采取噪声防治措施后，项目边界处噪声贡献值</w:t>
            </w:r>
            <w:r>
              <w:rPr>
                <w:rFonts w:hint="eastAsia" w:hAnsi="宋体"/>
                <w:szCs w:val="21"/>
              </w:rPr>
              <w:t>低于</w:t>
            </w:r>
            <w:r>
              <w:rPr>
                <w:rFonts w:hAnsi="宋体"/>
                <w:szCs w:val="21"/>
              </w:rPr>
              <w:t>《工业企业厂界环境噪声排放标准》（</w:t>
            </w:r>
            <w:r>
              <w:rPr>
                <w:szCs w:val="21"/>
              </w:rPr>
              <w:t>GB12348-2008</w:t>
            </w:r>
            <w:r>
              <w:rPr>
                <w:rFonts w:hAnsi="宋体"/>
                <w:szCs w:val="21"/>
              </w:rPr>
              <w:t>）的</w:t>
            </w:r>
            <w:r>
              <w:rPr>
                <w:szCs w:val="21"/>
              </w:rPr>
              <w:t>2</w:t>
            </w:r>
            <w:r>
              <w:rPr>
                <w:rFonts w:hAnsi="宋体"/>
                <w:szCs w:val="21"/>
              </w:rPr>
              <w:t>类标准</w:t>
            </w:r>
            <w:r>
              <w:rPr>
                <w:rFonts w:hint="eastAsia" w:hAnsi="宋体"/>
                <w:bCs/>
                <w:szCs w:val="21"/>
              </w:rPr>
              <w:t>，</w:t>
            </w:r>
            <w:r>
              <w:rPr>
                <w:szCs w:val="21"/>
              </w:rPr>
              <w:t>项目夜间不生产，且项目周边50米范围内无声环境敏感点，因此项目车间噪声在采取了噪声防治措施后对周围声环境及环境敏感点影响较小。</w:t>
            </w:r>
          </w:p>
          <w:p>
            <w:pPr>
              <w:spacing w:line="360" w:lineRule="auto"/>
              <w:ind w:firstLine="422" w:firstLineChars="200"/>
              <w:jc w:val="left"/>
              <w:rPr>
                <w:b/>
                <w:bCs/>
                <w:szCs w:val="21"/>
              </w:rPr>
            </w:pPr>
            <w:r>
              <w:rPr>
                <w:rFonts w:hint="eastAsia"/>
                <w:b/>
                <w:bCs/>
                <w:szCs w:val="21"/>
              </w:rPr>
              <w:t>（4）</w:t>
            </w:r>
            <w:r>
              <w:rPr>
                <w:b/>
                <w:bCs/>
                <w:szCs w:val="21"/>
              </w:rPr>
              <w:t>监测要求</w:t>
            </w:r>
          </w:p>
          <w:p>
            <w:pPr>
              <w:numPr>
                <w:ilvl w:val="0"/>
                <w:numId w:val="5"/>
              </w:numPr>
              <w:adjustRightInd w:val="0"/>
              <w:snapToGrid w:val="0"/>
              <w:spacing w:line="360" w:lineRule="auto"/>
              <w:ind w:left="0"/>
              <w:jc w:val="center"/>
              <w:rPr>
                <w:b/>
              </w:rPr>
            </w:pPr>
            <w:r>
              <w:rPr>
                <w:b/>
              </w:rPr>
              <w:t>噪声监测一览表</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1144"/>
              <w:gridCol w:w="1158"/>
              <w:gridCol w:w="2977"/>
              <w:gridCol w:w="2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6" w:type="pct"/>
                  <w:vAlign w:val="center"/>
                </w:tcPr>
                <w:p>
                  <w:pPr>
                    <w:adjustRightInd w:val="0"/>
                    <w:snapToGrid w:val="0"/>
                    <w:jc w:val="center"/>
                    <w:rPr>
                      <w:b/>
                      <w:bCs/>
                      <w:spacing w:val="-10"/>
                      <w:szCs w:val="21"/>
                    </w:rPr>
                  </w:pPr>
                  <w:r>
                    <w:rPr>
                      <w:b/>
                      <w:bCs/>
                      <w:spacing w:val="-10"/>
                      <w:szCs w:val="21"/>
                    </w:rPr>
                    <w:t>监测点位</w:t>
                  </w:r>
                </w:p>
              </w:tc>
              <w:tc>
                <w:tcPr>
                  <w:tcW w:w="680" w:type="pct"/>
                  <w:vAlign w:val="center"/>
                </w:tcPr>
                <w:p>
                  <w:pPr>
                    <w:jc w:val="center"/>
                    <w:rPr>
                      <w:b/>
                      <w:bCs/>
                      <w:spacing w:val="-10"/>
                      <w:szCs w:val="21"/>
                    </w:rPr>
                  </w:pPr>
                  <w:r>
                    <w:rPr>
                      <w:b/>
                      <w:bCs/>
                      <w:szCs w:val="21"/>
                    </w:rPr>
                    <w:t>监测因子</w:t>
                  </w:r>
                </w:p>
              </w:tc>
              <w:tc>
                <w:tcPr>
                  <w:tcW w:w="688" w:type="pct"/>
                  <w:vAlign w:val="center"/>
                </w:tcPr>
                <w:p>
                  <w:pPr>
                    <w:jc w:val="center"/>
                    <w:rPr>
                      <w:b/>
                      <w:bCs/>
                      <w:spacing w:val="-10"/>
                      <w:szCs w:val="21"/>
                    </w:rPr>
                  </w:pPr>
                  <w:r>
                    <w:rPr>
                      <w:b/>
                      <w:bCs/>
                      <w:szCs w:val="21"/>
                    </w:rPr>
                    <w:t>监测频次</w:t>
                  </w:r>
                </w:p>
              </w:tc>
              <w:tc>
                <w:tcPr>
                  <w:tcW w:w="1769" w:type="pct"/>
                  <w:vAlign w:val="center"/>
                </w:tcPr>
                <w:p>
                  <w:pPr>
                    <w:jc w:val="center"/>
                    <w:rPr>
                      <w:b/>
                      <w:bCs/>
                      <w:spacing w:val="-10"/>
                      <w:szCs w:val="21"/>
                    </w:rPr>
                  </w:pPr>
                  <w:r>
                    <w:rPr>
                      <w:b/>
                      <w:bCs/>
                      <w:szCs w:val="21"/>
                    </w:rPr>
                    <w:t>排放标准</w:t>
                  </w:r>
                </w:p>
              </w:tc>
              <w:tc>
                <w:tcPr>
                  <w:tcW w:w="1198" w:type="pct"/>
                  <w:vAlign w:val="center"/>
                </w:tcPr>
                <w:p>
                  <w:pPr>
                    <w:jc w:val="center"/>
                    <w:rPr>
                      <w:b/>
                      <w:bCs/>
                      <w:szCs w:val="21"/>
                    </w:rPr>
                  </w:pPr>
                  <w:r>
                    <w:rPr>
                      <w:b/>
                      <w:bCs/>
                      <w:szCs w:val="21"/>
                    </w:rPr>
                    <w:t>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6" w:type="pct"/>
                  <w:vAlign w:val="center"/>
                </w:tcPr>
                <w:p>
                  <w:pPr>
                    <w:adjustRightInd w:val="0"/>
                    <w:snapToGrid w:val="0"/>
                    <w:jc w:val="center"/>
                    <w:rPr>
                      <w:spacing w:val="-10"/>
                      <w:szCs w:val="21"/>
                    </w:rPr>
                  </w:pPr>
                  <w:r>
                    <w:rPr>
                      <w:spacing w:val="-10"/>
                      <w:szCs w:val="21"/>
                    </w:rPr>
                    <w:t>东</w:t>
                  </w:r>
                  <w:r>
                    <w:rPr>
                      <w:rFonts w:hint="eastAsia"/>
                      <w:spacing w:val="-10"/>
                      <w:szCs w:val="21"/>
                    </w:rPr>
                    <w:t>、</w:t>
                  </w:r>
                  <w:r>
                    <w:rPr>
                      <w:spacing w:val="-10"/>
                      <w:szCs w:val="21"/>
                    </w:rPr>
                    <w:t>南、西</w:t>
                  </w:r>
                  <w:r>
                    <w:rPr>
                      <w:rFonts w:hint="eastAsia"/>
                      <w:spacing w:val="-10"/>
                      <w:szCs w:val="21"/>
                    </w:rPr>
                    <w:t>、</w:t>
                  </w:r>
                  <w:r>
                    <w:rPr>
                      <w:spacing w:val="-10"/>
                      <w:szCs w:val="21"/>
                    </w:rPr>
                    <w:t>北厂界</w:t>
                  </w:r>
                </w:p>
              </w:tc>
              <w:tc>
                <w:tcPr>
                  <w:tcW w:w="680" w:type="pct"/>
                  <w:vAlign w:val="center"/>
                </w:tcPr>
                <w:p>
                  <w:pPr>
                    <w:adjustRightInd w:val="0"/>
                    <w:snapToGrid w:val="0"/>
                    <w:jc w:val="center"/>
                    <w:rPr>
                      <w:spacing w:val="-10"/>
                      <w:szCs w:val="21"/>
                    </w:rPr>
                  </w:pPr>
                  <w:r>
                    <w:rPr>
                      <w:spacing w:val="-10"/>
                      <w:szCs w:val="21"/>
                    </w:rPr>
                    <w:t>Leq</w:t>
                  </w:r>
                </w:p>
              </w:tc>
              <w:tc>
                <w:tcPr>
                  <w:tcW w:w="688" w:type="pct"/>
                  <w:vAlign w:val="center"/>
                </w:tcPr>
                <w:p>
                  <w:pPr>
                    <w:adjustRightInd w:val="0"/>
                    <w:snapToGrid w:val="0"/>
                    <w:jc w:val="center"/>
                    <w:rPr>
                      <w:spacing w:val="-10"/>
                      <w:szCs w:val="21"/>
                    </w:rPr>
                  </w:pPr>
                  <w:r>
                    <w:rPr>
                      <w:spacing w:val="-10"/>
                      <w:szCs w:val="21"/>
                    </w:rPr>
                    <w:t>1次/季度</w:t>
                  </w:r>
                </w:p>
              </w:tc>
              <w:tc>
                <w:tcPr>
                  <w:tcW w:w="1769" w:type="pct"/>
                  <w:vAlign w:val="center"/>
                </w:tcPr>
                <w:p>
                  <w:pPr>
                    <w:adjustRightInd w:val="0"/>
                    <w:snapToGrid w:val="0"/>
                    <w:jc w:val="center"/>
                    <w:rPr>
                      <w:spacing w:val="-10"/>
                      <w:szCs w:val="21"/>
                    </w:rPr>
                  </w:pPr>
                  <w:r>
                    <w:rPr>
                      <w:spacing w:val="-10"/>
                      <w:szCs w:val="21"/>
                    </w:rPr>
                    <w:t>《工业企业厂界环境噪声排放标准》（GB12348-2008）2类标准</w:t>
                  </w:r>
                </w:p>
              </w:tc>
              <w:tc>
                <w:tcPr>
                  <w:tcW w:w="1198" w:type="pct"/>
                  <w:vAlign w:val="center"/>
                </w:tcPr>
                <w:p>
                  <w:pPr>
                    <w:adjustRightInd w:val="0"/>
                    <w:snapToGrid w:val="0"/>
                    <w:jc w:val="center"/>
                    <w:rPr>
                      <w:szCs w:val="21"/>
                    </w:rPr>
                  </w:pPr>
                  <w:r>
                    <w:rPr>
                      <w:szCs w:val="21"/>
                    </w:rPr>
                    <w:t>昼间≤60dB（A）</w:t>
                  </w:r>
                </w:p>
                <w:p>
                  <w:pPr>
                    <w:pStyle w:val="44"/>
                    <w:spacing w:before="24" w:after="24"/>
                    <w:rPr>
                      <w:rFonts w:ascii="Times New Roman" w:hAnsi="Times New Roman"/>
                      <w:color w:val="auto"/>
                      <w:sz w:val="21"/>
                      <w:szCs w:val="21"/>
                    </w:rPr>
                  </w:pPr>
                  <w:r>
                    <w:rPr>
                      <w:rFonts w:ascii="Times New Roman" w:hAnsi="Times New Roman"/>
                      <w:color w:val="auto"/>
                      <w:spacing w:val="-10"/>
                      <w:sz w:val="21"/>
                      <w:szCs w:val="21"/>
                    </w:rPr>
                    <w:t>夜间</w:t>
                  </w:r>
                  <w:r>
                    <w:rPr>
                      <w:rFonts w:ascii="Times New Roman" w:hAnsi="Times New Roman"/>
                      <w:color w:val="auto"/>
                      <w:sz w:val="21"/>
                      <w:szCs w:val="21"/>
                    </w:rPr>
                    <w:t>≤</w:t>
                  </w:r>
                  <w:r>
                    <w:rPr>
                      <w:rFonts w:ascii="Times New Roman" w:hAnsi="Times New Roman"/>
                      <w:color w:val="auto"/>
                      <w:spacing w:val="-10"/>
                      <w:sz w:val="21"/>
                      <w:szCs w:val="21"/>
                    </w:rPr>
                    <w:t>50</w:t>
                  </w:r>
                  <w:r>
                    <w:rPr>
                      <w:rFonts w:ascii="Times New Roman" w:hAnsi="Times New Roman"/>
                      <w:color w:val="auto"/>
                      <w:sz w:val="21"/>
                      <w:szCs w:val="21"/>
                    </w:rPr>
                    <w:t>dB（A）</w:t>
                  </w:r>
                </w:p>
              </w:tc>
            </w:tr>
          </w:tbl>
          <w:p>
            <w:pPr>
              <w:snapToGrid w:val="0"/>
              <w:spacing w:line="360" w:lineRule="auto"/>
              <w:ind w:firstLine="422" w:firstLineChars="200"/>
              <w:rPr>
                <w:b/>
                <w:szCs w:val="21"/>
              </w:rPr>
            </w:pPr>
            <w:r>
              <w:rPr>
                <w:rFonts w:hint="eastAsia"/>
                <w:b/>
                <w:szCs w:val="21"/>
              </w:rPr>
              <w:t>4</w:t>
            </w:r>
            <w:r>
              <w:rPr>
                <w:b/>
                <w:szCs w:val="21"/>
              </w:rPr>
              <w:t>、固体废物</w:t>
            </w:r>
          </w:p>
          <w:p>
            <w:pPr>
              <w:snapToGrid w:val="0"/>
              <w:spacing w:line="360" w:lineRule="auto"/>
              <w:ind w:firstLine="422" w:firstLineChars="200"/>
              <w:rPr>
                <w:b/>
                <w:bCs/>
                <w:szCs w:val="21"/>
              </w:rPr>
            </w:pPr>
            <w:r>
              <w:rPr>
                <w:b/>
                <w:bCs/>
                <w:szCs w:val="21"/>
              </w:rPr>
              <w:t>（1）产生和处置情况</w:t>
            </w:r>
          </w:p>
          <w:p>
            <w:pPr>
              <w:snapToGrid w:val="0"/>
              <w:spacing w:line="360" w:lineRule="auto"/>
              <w:ind w:firstLine="420" w:firstLineChars="200"/>
              <w:rPr>
                <w:bCs/>
                <w:szCs w:val="21"/>
              </w:rPr>
            </w:pPr>
            <w:r>
              <w:rPr>
                <w:bCs/>
                <w:szCs w:val="21"/>
              </w:rPr>
              <w:t>项目运营期产生的固体废弃物包括员工生活垃圾、一般固废及危险废物。</w:t>
            </w:r>
          </w:p>
          <w:p>
            <w:pPr>
              <w:snapToGrid w:val="0"/>
              <w:spacing w:line="360" w:lineRule="auto"/>
              <w:ind w:firstLine="422" w:firstLineChars="200"/>
              <w:rPr>
                <w:b/>
                <w:szCs w:val="21"/>
              </w:rPr>
            </w:pPr>
            <w:r>
              <w:rPr>
                <w:b/>
                <w:szCs w:val="21"/>
              </w:rPr>
              <w:t>员工生活垃圾</w:t>
            </w:r>
          </w:p>
          <w:p>
            <w:pPr>
              <w:snapToGrid w:val="0"/>
              <w:spacing w:line="360" w:lineRule="auto"/>
              <w:ind w:firstLine="420" w:firstLineChars="200"/>
              <w:rPr>
                <w:bCs/>
                <w:szCs w:val="21"/>
              </w:rPr>
            </w:pPr>
            <w:r>
              <w:rPr>
                <w:bCs/>
                <w:szCs w:val="21"/>
              </w:rPr>
              <w:t>本项目员工186人，</w:t>
            </w:r>
            <w:r>
              <w:rPr>
                <w:rFonts w:hint="eastAsia"/>
              </w:rPr>
              <w:t>均在</w:t>
            </w:r>
            <w:r>
              <w:t>项目</w:t>
            </w:r>
            <w:r>
              <w:rPr>
                <w:rFonts w:hint="eastAsia"/>
              </w:rPr>
              <w:t>内</w:t>
            </w:r>
            <w:r>
              <w:t>食宿，</w:t>
            </w:r>
            <w:r>
              <w:rPr>
                <w:bCs/>
                <w:szCs w:val="21"/>
              </w:rPr>
              <w:t>生活垃圾取1.0kg/d·人，则员工生活垃圾产生量为55.8t/a</w:t>
            </w:r>
            <w:r>
              <w:rPr>
                <w:rFonts w:hint="eastAsia"/>
                <w:bCs/>
                <w:szCs w:val="21"/>
              </w:rPr>
              <w:t>。</w:t>
            </w:r>
            <w:r>
              <w:rPr>
                <w:szCs w:val="21"/>
              </w:rPr>
              <w:t>生活垃圾分类收集后交由环卫部门统一清运</w:t>
            </w:r>
            <w:r>
              <w:rPr>
                <w:bCs/>
                <w:szCs w:val="21"/>
              </w:rPr>
              <w:t>。</w:t>
            </w:r>
          </w:p>
          <w:p>
            <w:pPr>
              <w:snapToGrid w:val="0"/>
              <w:spacing w:line="360" w:lineRule="auto"/>
              <w:ind w:firstLine="422" w:firstLineChars="200"/>
              <w:rPr>
                <w:b/>
                <w:szCs w:val="21"/>
              </w:rPr>
            </w:pPr>
            <w:r>
              <w:rPr>
                <w:b/>
                <w:szCs w:val="21"/>
              </w:rPr>
              <w:t>一般固废</w:t>
            </w:r>
          </w:p>
          <w:p>
            <w:pPr>
              <w:adjustRightInd w:val="0"/>
              <w:snapToGrid w:val="0"/>
              <w:spacing w:line="360" w:lineRule="auto"/>
              <w:ind w:firstLine="420" w:firstLineChars="200"/>
              <w:rPr>
                <w:lang w:bidi="ar"/>
              </w:rPr>
            </w:pPr>
            <w:r>
              <w:rPr>
                <w:rFonts w:hint="eastAsia"/>
                <w:bCs/>
                <w:szCs w:val="21"/>
              </w:rPr>
              <w:t>硅屑：</w:t>
            </w:r>
            <w:r>
              <w:rPr>
                <w:lang w:bidi="ar"/>
              </w:rPr>
              <w:t>项目</w:t>
            </w:r>
            <w:r>
              <w:rPr>
                <w:rFonts w:hint="eastAsia"/>
                <w:lang w:bidi="ar"/>
              </w:rPr>
              <w:t>划片过程</w:t>
            </w:r>
            <w:r>
              <w:rPr>
                <w:lang w:bidi="ar"/>
              </w:rPr>
              <w:t>会产生</w:t>
            </w:r>
            <w:r>
              <w:rPr>
                <w:rFonts w:hint="eastAsia"/>
                <w:lang w:bidi="ar"/>
              </w:rPr>
              <w:t>少量</w:t>
            </w:r>
            <w:r>
              <w:rPr>
                <w:lang w:bidi="ar"/>
              </w:rPr>
              <w:t>硅屑，产生量约</w:t>
            </w:r>
            <w:r>
              <w:rPr>
                <w:rFonts w:hint="eastAsia"/>
                <w:lang w:bidi="ar"/>
              </w:rPr>
              <w:t>0.0</w:t>
            </w:r>
            <w:r>
              <w:rPr>
                <w:lang w:bidi="ar"/>
              </w:rPr>
              <w:t>05t/a</w:t>
            </w:r>
            <w:r>
              <w:rPr>
                <w:rFonts w:hint="eastAsia"/>
                <w:lang w:bidi="ar"/>
              </w:rPr>
              <w:t>，</w:t>
            </w:r>
            <w:r>
              <w:rPr>
                <w:lang w:bidi="ar"/>
              </w:rPr>
              <w:t>收集后交由</w:t>
            </w:r>
            <w:r>
              <w:rPr>
                <w:rFonts w:hint="eastAsia"/>
                <w:lang w:bidi="ar"/>
              </w:rPr>
              <w:t>专业</w:t>
            </w:r>
            <w:r>
              <w:rPr>
                <w:lang w:bidi="ar"/>
              </w:rPr>
              <w:t>回收公司回收处理。</w:t>
            </w:r>
          </w:p>
          <w:p>
            <w:pPr>
              <w:adjustRightInd w:val="0"/>
              <w:snapToGrid w:val="0"/>
              <w:spacing w:line="360" w:lineRule="auto"/>
              <w:ind w:firstLine="420" w:firstLineChars="200"/>
              <w:rPr>
                <w:lang w:bidi="ar"/>
              </w:rPr>
            </w:pPr>
            <w:r>
              <w:rPr>
                <w:rFonts w:hint="eastAsia"/>
                <w:lang w:bidi="ar"/>
              </w:rPr>
              <w:t>塑封</w:t>
            </w:r>
            <w:r>
              <w:rPr>
                <w:lang w:bidi="ar"/>
              </w:rPr>
              <w:t>废料：项目塑封过程会产生少量塑封废料，</w:t>
            </w:r>
            <w:r>
              <w:rPr>
                <w:rFonts w:hint="eastAsia"/>
                <w:lang w:bidi="ar"/>
              </w:rPr>
              <w:t>产生量</w:t>
            </w:r>
            <w:r>
              <w:rPr>
                <w:lang w:bidi="ar"/>
              </w:rPr>
              <w:t>约</w:t>
            </w:r>
            <w:r>
              <w:rPr>
                <w:rFonts w:hint="eastAsia"/>
                <w:lang w:bidi="ar"/>
              </w:rPr>
              <w:t>2t/a，，</w:t>
            </w:r>
            <w:r>
              <w:rPr>
                <w:lang w:bidi="ar"/>
              </w:rPr>
              <w:t>收集后交由</w:t>
            </w:r>
            <w:r>
              <w:rPr>
                <w:rFonts w:hint="eastAsia"/>
                <w:lang w:bidi="ar"/>
              </w:rPr>
              <w:t>专业</w:t>
            </w:r>
            <w:r>
              <w:rPr>
                <w:lang w:bidi="ar"/>
              </w:rPr>
              <w:t>回收公司回收处理。</w:t>
            </w:r>
          </w:p>
          <w:p>
            <w:pPr>
              <w:adjustRightInd w:val="0"/>
              <w:snapToGrid w:val="0"/>
              <w:spacing w:line="360" w:lineRule="auto"/>
              <w:ind w:firstLine="420" w:firstLineChars="200"/>
              <w:rPr>
                <w:bCs/>
                <w:szCs w:val="21"/>
                <w:lang w:bidi="ar"/>
              </w:rPr>
            </w:pPr>
            <w:r>
              <w:rPr>
                <w:lang w:bidi="ar"/>
              </w:rPr>
              <w:t>废次品</w:t>
            </w:r>
            <w:r>
              <w:rPr>
                <w:rFonts w:hint="eastAsia"/>
                <w:lang w:bidi="ar"/>
              </w:rPr>
              <w:t>：</w:t>
            </w:r>
            <w:r>
              <w:rPr>
                <w:lang w:bidi="ar"/>
              </w:rPr>
              <w:t>根据建设单位提供的资料，废次品产生量约0.5t/a，收集后交由专</w:t>
            </w:r>
            <w:r>
              <w:rPr>
                <w:rFonts w:hint="eastAsia"/>
                <w:lang w:bidi="ar"/>
              </w:rPr>
              <w:t>业</w:t>
            </w:r>
            <w:r>
              <w:rPr>
                <w:lang w:bidi="ar"/>
              </w:rPr>
              <w:t>回收公司</w:t>
            </w:r>
            <w:r>
              <w:rPr>
                <w:rFonts w:hint="eastAsia"/>
                <w:lang w:bidi="ar"/>
              </w:rPr>
              <w:t>回收</w:t>
            </w:r>
            <w:r>
              <w:rPr>
                <w:lang w:bidi="ar"/>
              </w:rPr>
              <w:t>处理</w:t>
            </w:r>
            <w:r>
              <w:rPr>
                <w:bCs/>
                <w:szCs w:val="21"/>
                <w:lang w:bidi="ar"/>
              </w:rPr>
              <w:t>。</w:t>
            </w:r>
          </w:p>
          <w:p>
            <w:pPr>
              <w:snapToGrid w:val="0"/>
              <w:spacing w:line="360" w:lineRule="auto"/>
              <w:ind w:firstLine="420" w:firstLineChars="200"/>
              <w:rPr>
                <w:bCs/>
                <w:szCs w:val="21"/>
              </w:rPr>
            </w:pPr>
            <w:r>
              <w:rPr>
                <w:rFonts w:hint="eastAsia"/>
                <w:bCs/>
                <w:szCs w:val="21"/>
              </w:rPr>
              <w:t>废包装材料</w:t>
            </w:r>
            <w:r>
              <w:rPr>
                <w:bCs/>
                <w:szCs w:val="21"/>
              </w:rPr>
              <w:t>：</w:t>
            </w:r>
            <w:r>
              <w:rPr>
                <w:rFonts w:hint="eastAsia"/>
                <w:bCs/>
                <w:szCs w:val="21"/>
              </w:rPr>
              <w:t>项目</w:t>
            </w:r>
            <w:r>
              <w:rPr>
                <w:bCs/>
                <w:szCs w:val="21"/>
              </w:rPr>
              <w:t>原料使用和成品包装过程会产生一定量的废包装材料，根据建设单位</w:t>
            </w:r>
            <w:r>
              <w:rPr>
                <w:rFonts w:hint="eastAsia"/>
                <w:bCs/>
                <w:szCs w:val="21"/>
              </w:rPr>
              <w:t>提供</w:t>
            </w:r>
            <w:r>
              <w:rPr>
                <w:bCs/>
                <w:szCs w:val="21"/>
              </w:rPr>
              <w:t>的资料，废</w:t>
            </w:r>
            <w:r>
              <w:rPr>
                <w:rFonts w:hint="eastAsia"/>
                <w:bCs/>
                <w:szCs w:val="21"/>
              </w:rPr>
              <w:t>包装</w:t>
            </w:r>
            <w:r>
              <w:rPr>
                <w:bCs/>
                <w:szCs w:val="21"/>
              </w:rPr>
              <w:t>材料产生量约0.5t/a</w:t>
            </w:r>
            <w:r>
              <w:rPr>
                <w:rFonts w:hint="eastAsia"/>
                <w:bCs/>
                <w:szCs w:val="21"/>
              </w:rPr>
              <w:t>，</w:t>
            </w:r>
            <w:r>
              <w:rPr>
                <w:lang w:bidi="ar"/>
              </w:rPr>
              <w:t>收集后交由专</w:t>
            </w:r>
            <w:r>
              <w:rPr>
                <w:rFonts w:hint="eastAsia"/>
                <w:lang w:bidi="ar"/>
              </w:rPr>
              <w:t>业</w:t>
            </w:r>
            <w:r>
              <w:rPr>
                <w:lang w:bidi="ar"/>
              </w:rPr>
              <w:t>回收公司</w:t>
            </w:r>
            <w:r>
              <w:rPr>
                <w:rFonts w:hint="eastAsia"/>
                <w:lang w:bidi="ar"/>
              </w:rPr>
              <w:t>回收</w:t>
            </w:r>
            <w:r>
              <w:rPr>
                <w:lang w:bidi="ar"/>
              </w:rPr>
              <w:t>处理</w:t>
            </w:r>
            <w:r>
              <w:rPr>
                <w:bCs/>
                <w:szCs w:val="21"/>
              </w:rPr>
              <w:t>。</w:t>
            </w:r>
          </w:p>
          <w:p>
            <w:pPr>
              <w:pStyle w:val="84"/>
              <w:spacing w:line="360" w:lineRule="auto"/>
              <w:ind w:firstLine="422" w:firstLineChars="200"/>
              <w:jc w:val="both"/>
            </w:pPr>
            <w:r>
              <w:t>危险废物</w:t>
            </w:r>
          </w:p>
          <w:p>
            <w:pPr>
              <w:pStyle w:val="84"/>
              <w:adjustRightInd w:val="0"/>
              <w:snapToGrid w:val="0"/>
              <w:spacing w:line="360" w:lineRule="auto"/>
              <w:ind w:firstLine="420" w:firstLineChars="200"/>
              <w:jc w:val="both"/>
              <w:rPr>
                <w:b w:val="0"/>
                <w:bCs/>
              </w:rPr>
            </w:pPr>
            <w:r>
              <w:rPr>
                <w:rFonts w:hint="eastAsia"/>
                <w:b w:val="0"/>
              </w:rPr>
              <w:t>废活性炭</w:t>
            </w:r>
            <w:r>
              <w:rPr>
                <w:b w:val="0"/>
              </w:rPr>
              <w:t>：本项目</w:t>
            </w:r>
            <w:r>
              <w:rPr>
                <w:rFonts w:hint="eastAsia"/>
                <w:b w:val="0"/>
              </w:rPr>
              <w:t>废气采用“喷淋塔+干式</w:t>
            </w:r>
            <w:r>
              <w:rPr>
                <w:b w:val="0"/>
              </w:rPr>
              <w:t>除雾器</w:t>
            </w:r>
            <w:r>
              <w:rPr>
                <w:rFonts w:hint="eastAsia"/>
                <w:b w:val="0"/>
              </w:rPr>
              <w:t>+两级活性炭</w:t>
            </w:r>
            <w:r>
              <w:rPr>
                <w:b w:val="0"/>
              </w:rPr>
              <w:t>吸附</w:t>
            </w:r>
            <w:r>
              <w:rPr>
                <w:rFonts w:hint="eastAsia"/>
                <w:b w:val="0"/>
              </w:rPr>
              <w:t>”装置</w:t>
            </w:r>
            <w:r>
              <w:rPr>
                <w:b w:val="0"/>
              </w:rPr>
              <w:t>处理，会产生一定量的废活性炭，</w:t>
            </w:r>
            <w:r>
              <w:rPr>
                <w:rFonts w:hint="eastAsia"/>
                <w:b w:val="0"/>
                <w:bCs/>
                <w:kern w:val="2"/>
                <w:szCs w:val="21"/>
              </w:rPr>
              <w:t>根</w:t>
            </w:r>
            <w:r>
              <w:rPr>
                <w:b w:val="0"/>
                <w:bCs/>
                <w:kern w:val="2"/>
                <w:szCs w:val="21"/>
              </w:rPr>
              <w:t>据前文分析，项目生产过程</w:t>
            </w:r>
            <w:r>
              <w:rPr>
                <w:rFonts w:hint="eastAsia"/>
                <w:b w:val="0"/>
                <w:bCs/>
                <w:kern w:val="2"/>
                <w:szCs w:val="21"/>
              </w:rPr>
              <w:t>有机废气总去除</w:t>
            </w:r>
            <w:r>
              <w:rPr>
                <w:b w:val="0"/>
                <w:bCs/>
                <w:kern w:val="2"/>
                <w:szCs w:val="21"/>
              </w:rPr>
              <w:t>量为0.983t/a，</w:t>
            </w:r>
            <w:r>
              <w:rPr>
                <w:rFonts w:hint="eastAsia"/>
                <w:b w:val="0"/>
                <w:bCs/>
                <w:kern w:val="2"/>
                <w:szCs w:val="21"/>
              </w:rPr>
              <w:t>项目拟采用</w:t>
            </w:r>
            <w:r>
              <w:rPr>
                <w:b w:val="0"/>
                <w:bCs/>
                <w:kern w:val="2"/>
                <w:szCs w:val="21"/>
              </w:rPr>
              <w:t>蜂窝状活性炭，</w:t>
            </w:r>
            <w:r>
              <w:rPr>
                <w:rFonts w:hint="eastAsia"/>
                <w:b w:val="0"/>
                <w:bCs/>
                <w:kern w:val="2"/>
                <w:szCs w:val="21"/>
              </w:rPr>
              <w:t>根据</w:t>
            </w:r>
            <w:r>
              <w:rPr>
                <w:b w:val="0"/>
                <w:bCs/>
                <w:kern w:val="2"/>
                <w:szCs w:val="21"/>
              </w:rPr>
              <w:t>《广东省工业源挥发性有机物减排量核算方法（试行）》，</w:t>
            </w:r>
            <w:r>
              <w:rPr>
                <w:b w:val="0"/>
                <w:bCs/>
                <w:kern w:val="2"/>
                <w:szCs w:val="21"/>
                <w:lang w:bidi="en-US"/>
              </w:rPr>
              <w:t>蜂窝状活性炭</w:t>
            </w:r>
            <w:r>
              <w:rPr>
                <w:rFonts w:hint="eastAsia"/>
                <w:b w:val="0"/>
                <w:bCs/>
                <w:kern w:val="2"/>
                <w:szCs w:val="21"/>
                <w:lang w:bidi="en-US"/>
              </w:rPr>
              <w:t>吸附比例</w:t>
            </w:r>
            <w:r>
              <w:rPr>
                <w:b w:val="0"/>
                <w:bCs/>
                <w:kern w:val="2"/>
                <w:szCs w:val="21"/>
                <w:lang w:bidi="en-US"/>
              </w:rPr>
              <w:t>为20%</w:t>
            </w:r>
            <w:r>
              <w:rPr>
                <w:rFonts w:hint="eastAsia"/>
                <w:b w:val="0"/>
                <w:bCs/>
                <w:kern w:val="2"/>
                <w:szCs w:val="21"/>
                <w:lang w:bidi="en-US"/>
              </w:rPr>
              <w:t>，则</w:t>
            </w:r>
            <w:r>
              <w:rPr>
                <w:b w:val="0"/>
                <w:bCs/>
                <w:kern w:val="2"/>
                <w:szCs w:val="21"/>
                <w:lang w:bidi="en-US"/>
              </w:rPr>
              <w:t>项目有机废气</w:t>
            </w:r>
            <w:r>
              <w:rPr>
                <w:rFonts w:hint="eastAsia"/>
                <w:b w:val="0"/>
                <w:bCs/>
                <w:kern w:val="2"/>
                <w:szCs w:val="21"/>
                <w:lang w:bidi="en-US"/>
              </w:rPr>
              <w:t>治理</w:t>
            </w:r>
            <w:r>
              <w:rPr>
                <w:b w:val="0"/>
                <w:bCs/>
                <w:kern w:val="2"/>
                <w:szCs w:val="21"/>
                <w:lang w:bidi="en-US"/>
              </w:rPr>
              <w:t>所需活性炭理论量约</w:t>
            </w:r>
            <w:r>
              <w:rPr>
                <w:rFonts w:hint="eastAsia"/>
                <w:b w:val="0"/>
                <w:bCs/>
                <w:kern w:val="2"/>
                <w:szCs w:val="21"/>
                <w:lang w:bidi="en-US"/>
              </w:rPr>
              <w:t>4.92t/a，</w:t>
            </w:r>
            <w:r>
              <w:rPr>
                <w:b w:val="0"/>
                <w:bCs/>
                <w:kern w:val="2"/>
                <w:szCs w:val="21"/>
                <w:lang w:bidi="en-US"/>
              </w:rPr>
              <w:t>则废活性炭产生量约</w:t>
            </w:r>
            <w:r>
              <w:rPr>
                <w:rFonts w:hint="eastAsia"/>
                <w:b w:val="0"/>
                <w:bCs/>
                <w:kern w:val="2"/>
                <w:szCs w:val="21"/>
                <w:lang w:bidi="en-US"/>
              </w:rPr>
              <w:t>5.90t/</w:t>
            </w:r>
            <w:r>
              <w:rPr>
                <w:b w:val="0"/>
                <w:bCs/>
                <w:kern w:val="2"/>
                <w:szCs w:val="21"/>
                <w:lang w:bidi="en-US"/>
              </w:rPr>
              <w:t>a</w:t>
            </w:r>
            <w:r>
              <w:rPr>
                <w:rFonts w:hint="eastAsia"/>
                <w:b w:val="0"/>
                <w:bCs/>
                <w:kern w:val="2"/>
                <w:szCs w:val="21"/>
                <w:lang w:bidi="en-US"/>
              </w:rPr>
              <w:t>（活性炭</w:t>
            </w:r>
            <w:r>
              <w:rPr>
                <w:b w:val="0"/>
                <w:bCs/>
                <w:kern w:val="2"/>
                <w:szCs w:val="21"/>
                <w:lang w:bidi="en-US"/>
              </w:rPr>
              <w:t>量</w:t>
            </w:r>
            <w:r>
              <w:rPr>
                <w:rFonts w:hint="eastAsia"/>
                <w:b w:val="0"/>
                <w:bCs/>
                <w:kern w:val="2"/>
                <w:szCs w:val="21"/>
                <w:lang w:bidi="en-US"/>
              </w:rPr>
              <w:t>+吸附</w:t>
            </w:r>
            <w:r>
              <w:rPr>
                <w:b w:val="0"/>
                <w:bCs/>
                <w:kern w:val="2"/>
                <w:szCs w:val="21"/>
                <w:lang w:bidi="en-US"/>
              </w:rPr>
              <w:t>的有机废气量</w:t>
            </w:r>
            <w:r>
              <w:rPr>
                <w:rFonts w:hint="eastAsia"/>
                <w:b w:val="0"/>
                <w:bCs/>
                <w:kern w:val="2"/>
                <w:szCs w:val="21"/>
                <w:lang w:bidi="en-US"/>
              </w:rPr>
              <w:t>）</w:t>
            </w:r>
            <w:r>
              <w:rPr>
                <w:rFonts w:hint="eastAsia"/>
                <w:b w:val="0"/>
                <w:bCs/>
              </w:rPr>
              <w:t>，</w:t>
            </w:r>
            <w:r>
              <w:rPr>
                <w:b w:val="0"/>
                <w:bCs/>
              </w:rPr>
              <w:t>废活性炭属于危险废物（废物类别：HW49其他废物，废物代码：900-039-49），委托有资质单位处置。</w:t>
            </w:r>
          </w:p>
          <w:p>
            <w:pPr>
              <w:adjustRightInd w:val="0"/>
              <w:snapToGrid w:val="0"/>
              <w:spacing w:line="360" w:lineRule="auto"/>
              <w:ind w:firstLine="420" w:firstLineChars="200"/>
              <w:rPr>
                <w:szCs w:val="21"/>
              </w:rPr>
            </w:pPr>
            <w:r>
              <w:rPr>
                <w:lang w:bidi="ar"/>
              </w:rPr>
              <w:t>废</w:t>
            </w:r>
            <w:r>
              <w:rPr>
                <w:rFonts w:hint="eastAsia"/>
                <w:lang w:bidi="ar"/>
              </w:rPr>
              <w:t>化学品包装桶</w:t>
            </w:r>
            <w:r>
              <w:rPr>
                <w:lang w:bidi="ar"/>
              </w:rPr>
              <w:t>：本项目</w:t>
            </w:r>
            <w:r>
              <w:rPr>
                <w:rFonts w:hint="eastAsia"/>
                <w:lang w:bidi="ar"/>
              </w:rPr>
              <w:t>锡膏、</w:t>
            </w:r>
            <w:r>
              <w:rPr>
                <w:lang w:bidi="ar"/>
              </w:rPr>
              <w:t>环氧树脂胶等化学品在使用过程中会产生一定量的废包装</w:t>
            </w:r>
            <w:r>
              <w:rPr>
                <w:rFonts w:hint="eastAsia"/>
                <w:lang w:bidi="ar"/>
              </w:rPr>
              <w:t>桶</w:t>
            </w:r>
            <w:r>
              <w:rPr>
                <w:lang w:bidi="ar"/>
              </w:rPr>
              <w:t>，根据建设单位提供的资料，</w:t>
            </w:r>
            <w:r>
              <w:rPr>
                <w:rFonts w:hint="eastAsia"/>
                <w:lang w:bidi="ar"/>
              </w:rPr>
              <w:t>废化学品</w:t>
            </w:r>
            <w:r>
              <w:rPr>
                <w:lang w:bidi="ar"/>
              </w:rPr>
              <w:t>包装</w:t>
            </w:r>
            <w:r>
              <w:rPr>
                <w:rFonts w:hint="eastAsia"/>
                <w:lang w:bidi="ar"/>
              </w:rPr>
              <w:t>桶</w:t>
            </w:r>
            <w:r>
              <w:rPr>
                <w:lang w:bidi="ar"/>
              </w:rPr>
              <w:t>产生量约0.1t/a，</w:t>
            </w:r>
            <w:r>
              <w:rPr>
                <w:szCs w:val="21"/>
              </w:rPr>
              <w:t>属于危险废物，危废编号（</w:t>
            </w:r>
            <w:r>
              <w:rPr>
                <w:rFonts w:hint="eastAsia"/>
                <w:szCs w:val="21"/>
              </w:rPr>
              <w:t>HW</w:t>
            </w:r>
            <w:r>
              <w:rPr>
                <w:szCs w:val="21"/>
              </w:rPr>
              <w:t>49</w:t>
            </w:r>
            <w:r>
              <w:rPr>
                <w:rFonts w:hint="eastAsia"/>
                <w:szCs w:val="21"/>
              </w:rPr>
              <w:t>其他废物</w:t>
            </w:r>
            <w:r>
              <w:rPr>
                <w:szCs w:val="21"/>
              </w:rPr>
              <w:t>，900-041-49），收集后交由有危险废物处理资质</w:t>
            </w:r>
            <w:r>
              <w:rPr>
                <w:rFonts w:hint="eastAsia"/>
                <w:szCs w:val="21"/>
              </w:rPr>
              <w:t>的</w:t>
            </w:r>
            <w:r>
              <w:rPr>
                <w:szCs w:val="21"/>
              </w:rPr>
              <w:t>单位处理。</w:t>
            </w:r>
          </w:p>
          <w:p>
            <w:pPr>
              <w:adjustRightInd w:val="0"/>
              <w:snapToGrid w:val="0"/>
              <w:spacing w:line="360" w:lineRule="auto"/>
              <w:ind w:firstLine="420" w:firstLineChars="200"/>
              <w:rPr>
                <w:szCs w:val="21"/>
              </w:rPr>
            </w:pPr>
            <w:r>
              <w:rPr>
                <w:rFonts w:hint="eastAsia"/>
                <w:szCs w:val="21"/>
              </w:rPr>
              <w:t>根据</w:t>
            </w:r>
            <w:r>
              <w:rPr>
                <w:szCs w:val="21"/>
              </w:rPr>
              <w:t>《</w:t>
            </w:r>
            <w:r>
              <w:rPr>
                <w:rFonts w:hint="eastAsia"/>
                <w:szCs w:val="21"/>
              </w:rPr>
              <w:t>国家</w:t>
            </w:r>
            <w:r>
              <w:rPr>
                <w:szCs w:val="21"/>
              </w:rPr>
              <w:t>危险废物名录》</w:t>
            </w:r>
            <w:r>
              <w:rPr>
                <w:rFonts w:hint="eastAsia"/>
                <w:szCs w:val="21"/>
              </w:rPr>
              <w:t>（2021年版）和</w:t>
            </w:r>
            <w:r>
              <w:rPr>
                <w:szCs w:val="21"/>
              </w:rPr>
              <w:t>《一般固体废物分类与代码》</w:t>
            </w:r>
            <w:r>
              <w:rPr>
                <w:rFonts w:hint="eastAsia"/>
                <w:szCs w:val="21"/>
              </w:rPr>
              <w:t>（</w:t>
            </w:r>
            <w:r>
              <w:rPr>
                <w:szCs w:val="21"/>
              </w:rPr>
              <w:t>GB/T</w:t>
            </w:r>
            <w:r>
              <w:rPr>
                <w:rFonts w:hint="eastAsia"/>
                <w:szCs w:val="21"/>
              </w:rPr>
              <w:t xml:space="preserve"> </w:t>
            </w:r>
            <w:r>
              <w:rPr>
                <w:szCs w:val="21"/>
              </w:rPr>
              <w:t>39198-2020</w:t>
            </w:r>
            <w:r>
              <w:rPr>
                <w:rFonts w:hint="eastAsia"/>
                <w:szCs w:val="21"/>
              </w:rPr>
              <w:t>），</w:t>
            </w:r>
            <w:r>
              <w:rPr>
                <w:szCs w:val="21"/>
              </w:rPr>
              <w:t>项目</w:t>
            </w:r>
            <w:r>
              <w:rPr>
                <w:rFonts w:hint="eastAsia"/>
                <w:szCs w:val="21"/>
              </w:rPr>
              <w:t>固体</w:t>
            </w:r>
            <w:r>
              <w:rPr>
                <w:szCs w:val="21"/>
              </w:rPr>
              <w:t>废物产生和处置情况汇总如下表</w:t>
            </w:r>
            <w:r>
              <w:rPr>
                <w:rFonts w:hint="eastAsia"/>
                <w:szCs w:val="21"/>
              </w:rPr>
              <w:t>所示</w:t>
            </w:r>
            <w:r>
              <w:rPr>
                <w:szCs w:val="21"/>
              </w:rPr>
              <w:t>。</w:t>
            </w:r>
          </w:p>
          <w:p>
            <w:pPr>
              <w:numPr>
                <w:ilvl w:val="0"/>
                <w:numId w:val="5"/>
              </w:numPr>
              <w:adjustRightInd w:val="0"/>
              <w:snapToGrid w:val="0"/>
              <w:spacing w:line="360" w:lineRule="auto"/>
              <w:ind w:left="0"/>
              <w:jc w:val="center"/>
              <w:rPr>
                <w:b/>
              </w:rPr>
            </w:pPr>
            <w:r>
              <w:rPr>
                <w:b/>
              </w:rPr>
              <w:t>项目固废一览表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91"/>
              <w:gridCol w:w="845"/>
              <w:gridCol w:w="1020"/>
              <w:gridCol w:w="2041"/>
              <w:gridCol w:w="665"/>
              <w:gridCol w:w="527"/>
              <w:gridCol w:w="704"/>
              <w:gridCol w:w="431"/>
              <w:gridCol w:w="419"/>
              <w:gridCol w:w="717"/>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 w:type="pct"/>
                  <w:vAlign w:val="center"/>
                </w:tcPr>
                <w:p>
                  <w:pPr>
                    <w:widowControl/>
                    <w:jc w:val="center"/>
                    <w:rPr>
                      <w:b/>
                      <w:kern w:val="0"/>
                      <w:szCs w:val="21"/>
                    </w:rPr>
                  </w:pPr>
                  <w:r>
                    <w:rPr>
                      <w:b/>
                      <w:kern w:val="0"/>
                      <w:szCs w:val="21"/>
                    </w:rPr>
                    <w:t>序号</w:t>
                  </w:r>
                </w:p>
              </w:tc>
              <w:tc>
                <w:tcPr>
                  <w:tcW w:w="502" w:type="pct"/>
                  <w:vAlign w:val="center"/>
                </w:tcPr>
                <w:p>
                  <w:pPr>
                    <w:widowControl/>
                    <w:jc w:val="center"/>
                    <w:rPr>
                      <w:b/>
                      <w:kern w:val="0"/>
                      <w:szCs w:val="21"/>
                    </w:rPr>
                  </w:pPr>
                  <w:r>
                    <w:rPr>
                      <w:b/>
                      <w:kern w:val="0"/>
                      <w:szCs w:val="21"/>
                    </w:rPr>
                    <w:t>产生环节</w:t>
                  </w:r>
                </w:p>
              </w:tc>
              <w:tc>
                <w:tcPr>
                  <w:tcW w:w="606" w:type="pct"/>
                  <w:vAlign w:val="center"/>
                </w:tcPr>
                <w:p>
                  <w:pPr>
                    <w:widowControl/>
                    <w:jc w:val="center"/>
                    <w:rPr>
                      <w:b/>
                      <w:kern w:val="0"/>
                      <w:szCs w:val="21"/>
                    </w:rPr>
                  </w:pPr>
                  <w:r>
                    <w:rPr>
                      <w:b/>
                      <w:kern w:val="0"/>
                      <w:szCs w:val="21"/>
                    </w:rPr>
                    <w:t>废物名称</w:t>
                  </w:r>
                </w:p>
              </w:tc>
              <w:tc>
                <w:tcPr>
                  <w:tcW w:w="1212" w:type="pct"/>
                  <w:vAlign w:val="center"/>
                </w:tcPr>
                <w:p>
                  <w:pPr>
                    <w:widowControl/>
                    <w:jc w:val="center"/>
                    <w:rPr>
                      <w:b/>
                      <w:kern w:val="0"/>
                      <w:szCs w:val="21"/>
                    </w:rPr>
                  </w:pPr>
                  <w:r>
                    <w:rPr>
                      <w:b/>
                      <w:kern w:val="0"/>
                      <w:szCs w:val="21"/>
                    </w:rPr>
                    <w:t>废物属性</w:t>
                  </w:r>
                </w:p>
              </w:tc>
              <w:tc>
                <w:tcPr>
                  <w:tcW w:w="395" w:type="pct"/>
                  <w:vAlign w:val="center"/>
                </w:tcPr>
                <w:p>
                  <w:pPr>
                    <w:widowControl/>
                    <w:jc w:val="center"/>
                    <w:rPr>
                      <w:b/>
                      <w:kern w:val="0"/>
                      <w:szCs w:val="21"/>
                    </w:rPr>
                  </w:pPr>
                  <w:r>
                    <w:rPr>
                      <w:b/>
                      <w:kern w:val="0"/>
                      <w:szCs w:val="21"/>
                    </w:rPr>
                    <w:t>产生量</w:t>
                  </w:r>
                </w:p>
                <w:p>
                  <w:pPr>
                    <w:widowControl/>
                    <w:jc w:val="center"/>
                    <w:rPr>
                      <w:b/>
                      <w:kern w:val="0"/>
                      <w:szCs w:val="21"/>
                    </w:rPr>
                  </w:pPr>
                  <w:r>
                    <w:rPr>
                      <w:b/>
                      <w:kern w:val="0"/>
                      <w:szCs w:val="21"/>
                    </w:rPr>
                    <w:t>（t/a）</w:t>
                  </w:r>
                </w:p>
              </w:tc>
              <w:tc>
                <w:tcPr>
                  <w:tcW w:w="313" w:type="pct"/>
                  <w:vAlign w:val="center"/>
                </w:tcPr>
                <w:p>
                  <w:pPr>
                    <w:widowControl/>
                    <w:jc w:val="center"/>
                    <w:rPr>
                      <w:b/>
                      <w:kern w:val="0"/>
                      <w:szCs w:val="21"/>
                    </w:rPr>
                  </w:pPr>
                  <w:r>
                    <w:rPr>
                      <w:b/>
                      <w:kern w:val="0"/>
                      <w:szCs w:val="21"/>
                    </w:rPr>
                    <w:t>形态</w:t>
                  </w:r>
                </w:p>
              </w:tc>
              <w:tc>
                <w:tcPr>
                  <w:tcW w:w="418" w:type="pct"/>
                  <w:vAlign w:val="center"/>
                </w:tcPr>
                <w:p>
                  <w:pPr>
                    <w:widowControl/>
                    <w:jc w:val="center"/>
                    <w:rPr>
                      <w:b/>
                      <w:kern w:val="0"/>
                      <w:szCs w:val="21"/>
                    </w:rPr>
                  </w:pPr>
                  <w:r>
                    <w:rPr>
                      <w:b/>
                      <w:kern w:val="0"/>
                      <w:szCs w:val="21"/>
                    </w:rPr>
                    <w:t>主要成分</w:t>
                  </w:r>
                </w:p>
              </w:tc>
              <w:tc>
                <w:tcPr>
                  <w:tcW w:w="256" w:type="pct"/>
                  <w:vAlign w:val="center"/>
                </w:tcPr>
                <w:p>
                  <w:pPr>
                    <w:widowControl/>
                    <w:jc w:val="center"/>
                    <w:rPr>
                      <w:b/>
                      <w:kern w:val="0"/>
                      <w:szCs w:val="21"/>
                    </w:rPr>
                  </w:pPr>
                  <w:r>
                    <w:rPr>
                      <w:b/>
                      <w:kern w:val="0"/>
                      <w:szCs w:val="21"/>
                    </w:rPr>
                    <w:t>有害成分</w:t>
                  </w:r>
                </w:p>
              </w:tc>
              <w:tc>
                <w:tcPr>
                  <w:tcW w:w="249" w:type="pct"/>
                  <w:vAlign w:val="center"/>
                </w:tcPr>
                <w:p>
                  <w:pPr>
                    <w:widowControl/>
                    <w:jc w:val="center"/>
                    <w:rPr>
                      <w:b/>
                      <w:kern w:val="0"/>
                      <w:szCs w:val="21"/>
                    </w:rPr>
                  </w:pPr>
                  <w:r>
                    <w:rPr>
                      <w:b/>
                      <w:kern w:val="0"/>
                      <w:szCs w:val="21"/>
                    </w:rPr>
                    <w:t>危险</w:t>
                  </w:r>
                </w:p>
                <w:p>
                  <w:pPr>
                    <w:widowControl/>
                    <w:jc w:val="center"/>
                    <w:rPr>
                      <w:b/>
                      <w:kern w:val="0"/>
                      <w:szCs w:val="21"/>
                    </w:rPr>
                  </w:pPr>
                  <w:r>
                    <w:rPr>
                      <w:b/>
                      <w:kern w:val="0"/>
                      <w:szCs w:val="21"/>
                    </w:rPr>
                    <w:t>特性</w:t>
                  </w:r>
                </w:p>
              </w:tc>
              <w:tc>
                <w:tcPr>
                  <w:tcW w:w="426" w:type="pct"/>
                  <w:vAlign w:val="center"/>
                </w:tcPr>
                <w:p>
                  <w:pPr>
                    <w:widowControl/>
                    <w:jc w:val="center"/>
                    <w:rPr>
                      <w:b/>
                      <w:kern w:val="0"/>
                      <w:szCs w:val="21"/>
                    </w:rPr>
                  </w:pPr>
                  <w:r>
                    <w:rPr>
                      <w:b/>
                      <w:kern w:val="0"/>
                      <w:szCs w:val="21"/>
                    </w:rPr>
                    <w:t>贮存方式</w:t>
                  </w:r>
                </w:p>
              </w:tc>
              <w:tc>
                <w:tcPr>
                  <w:tcW w:w="449" w:type="pct"/>
                  <w:vAlign w:val="center"/>
                </w:tcPr>
                <w:p>
                  <w:pPr>
                    <w:widowControl/>
                    <w:jc w:val="center"/>
                    <w:rPr>
                      <w:b/>
                      <w:kern w:val="0"/>
                      <w:szCs w:val="21"/>
                    </w:rPr>
                  </w:pPr>
                  <w:r>
                    <w:rPr>
                      <w:b/>
                      <w:kern w:val="0"/>
                      <w:szCs w:val="21"/>
                    </w:rPr>
                    <w:t>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73" w:type="pct"/>
                  <w:vAlign w:val="center"/>
                </w:tcPr>
                <w:p>
                  <w:pPr>
                    <w:widowControl/>
                    <w:jc w:val="center"/>
                    <w:rPr>
                      <w:kern w:val="0"/>
                      <w:szCs w:val="21"/>
                    </w:rPr>
                  </w:pPr>
                  <w:r>
                    <w:rPr>
                      <w:kern w:val="0"/>
                      <w:szCs w:val="21"/>
                    </w:rPr>
                    <w:t>1</w:t>
                  </w:r>
                </w:p>
              </w:tc>
              <w:tc>
                <w:tcPr>
                  <w:tcW w:w="502" w:type="pct"/>
                  <w:vAlign w:val="center"/>
                </w:tcPr>
                <w:p>
                  <w:pPr>
                    <w:tabs>
                      <w:tab w:val="left" w:pos="1081"/>
                    </w:tabs>
                    <w:jc w:val="center"/>
                    <w:rPr>
                      <w:bCs/>
                      <w:kern w:val="0"/>
                      <w:szCs w:val="21"/>
                    </w:rPr>
                  </w:pPr>
                  <w:r>
                    <w:rPr>
                      <w:bCs/>
                      <w:kern w:val="0"/>
                      <w:szCs w:val="21"/>
                    </w:rPr>
                    <w:t>员工生活</w:t>
                  </w:r>
                </w:p>
              </w:tc>
              <w:tc>
                <w:tcPr>
                  <w:tcW w:w="606" w:type="pct"/>
                  <w:vAlign w:val="center"/>
                </w:tcPr>
                <w:p>
                  <w:pPr>
                    <w:tabs>
                      <w:tab w:val="left" w:pos="1081"/>
                    </w:tabs>
                    <w:jc w:val="center"/>
                    <w:rPr>
                      <w:bCs/>
                      <w:kern w:val="0"/>
                      <w:szCs w:val="21"/>
                    </w:rPr>
                  </w:pPr>
                  <w:r>
                    <w:rPr>
                      <w:bCs/>
                      <w:kern w:val="0"/>
                      <w:szCs w:val="21"/>
                    </w:rPr>
                    <w:t>生活垃圾</w:t>
                  </w:r>
                </w:p>
              </w:tc>
              <w:tc>
                <w:tcPr>
                  <w:tcW w:w="1212" w:type="pct"/>
                  <w:vAlign w:val="center"/>
                </w:tcPr>
                <w:p>
                  <w:pPr>
                    <w:jc w:val="center"/>
                    <w:rPr>
                      <w:bCs/>
                      <w:kern w:val="0"/>
                      <w:szCs w:val="21"/>
                    </w:rPr>
                  </w:pPr>
                  <w:r>
                    <w:rPr>
                      <w:bCs/>
                      <w:kern w:val="0"/>
                      <w:szCs w:val="21"/>
                    </w:rPr>
                    <w:t>生活垃圾</w:t>
                  </w:r>
                </w:p>
              </w:tc>
              <w:tc>
                <w:tcPr>
                  <w:tcW w:w="395" w:type="pct"/>
                  <w:vAlign w:val="center"/>
                </w:tcPr>
                <w:p>
                  <w:pPr>
                    <w:jc w:val="center"/>
                    <w:rPr>
                      <w:bCs/>
                      <w:kern w:val="0"/>
                      <w:szCs w:val="21"/>
                    </w:rPr>
                  </w:pPr>
                  <w:r>
                    <w:rPr>
                      <w:bCs/>
                      <w:kern w:val="0"/>
                      <w:szCs w:val="21"/>
                    </w:rPr>
                    <w:t>55.8</w:t>
                  </w:r>
                </w:p>
              </w:tc>
              <w:tc>
                <w:tcPr>
                  <w:tcW w:w="313" w:type="pct"/>
                  <w:vAlign w:val="center"/>
                </w:tcPr>
                <w:p>
                  <w:pPr>
                    <w:jc w:val="center"/>
                    <w:rPr>
                      <w:bCs/>
                      <w:kern w:val="0"/>
                      <w:szCs w:val="21"/>
                    </w:rPr>
                  </w:pPr>
                  <w:r>
                    <w:rPr>
                      <w:bCs/>
                      <w:kern w:val="0"/>
                      <w:szCs w:val="21"/>
                    </w:rPr>
                    <w:t>固态</w:t>
                  </w:r>
                </w:p>
              </w:tc>
              <w:tc>
                <w:tcPr>
                  <w:tcW w:w="418" w:type="pct"/>
                  <w:vAlign w:val="center"/>
                </w:tcPr>
                <w:p>
                  <w:pPr>
                    <w:topLinePunct/>
                    <w:snapToGrid w:val="0"/>
                    <w:jc w:val="center"/>
                    <w:rPr>
                      <w:kern w:val="0"/>
                      <w:szCs w:val="21"/>
                    </w:rPr>
                  </w:pPr>
                  <w:r>
                    <w:rPr>
                      <w:kern w:val="0"/>
                      <w:szCs w:val="21"/>
                    </w:rPr>
                    <w:t>纸、塑料</w:t>
                  </w:r>
                  <w:r>
                    <w:rPr>
                      <w:rFonts w:hint="eastAsia"/>
                      <w:kern w:val="0"/>
                      <w:szCs w:val="21"/>
                    </w:rPr>
                    <w:t>等</w:t>
                  </w:r>
                </w:p>
              </w:tc>
              <w:tc>
                <w:tcPr>
                  <w:tcW w:w="256" w:type="pct"/>
                  <w:vAlign w:val="center"/>
                </w:tcPr>
                <w:p>
                  <w:pPr>
                    <w:topLinePunct/>
                    <w:snapToGrid w:val="0"/>
                    <w:jc w:val="center"/>
                    <w:rPr>
                      <w:kern w:val="0"/>
                      <w:szCs w:val="21"/>
                    </w:rPr>
                  </w:pPr>
                  <w:r>
                    <w:rPr>
                      <w:kern w:val="0"/>
                      <w:szCs w:val="21"/>
                    </w:rPr>
                    <w:t>/</w:t>
                  </w:r>
                </w:p>
              </w:tc>
              <w:tc>
                <w:tcPr>
                  <w:tcW w:w="249" w:type="pct"/>
                  <w:vAlign w:val="center"/>
                </w:tcPr>
                <w:p>
                  <w:pPr>
                    <w:jc w:val="center"/>
                    <w:rPr>
                      <w:szCs w:val="21"/>
                    </w:rPr>
                  </w:pPr>
                  <w:r>
                    <w:rPr>
                      <w:szCs w:val="21"/>
                    </w:rPr>
                    <w:t>/</w:t>
                  </w:r>
                </w:p>
              </w:tc>
              <w:tc>
                <w:tcPr>
                  <w:tcW w:w="426" w:type="pct"/>
                  <w:vAlign w:val="center"/>
                </w:tcPr>
                <w:p>
                  <w:pPr>
                    <w:widowControl/>
                    <w:jc w:val="center"/>
                    <w:rPr>
                      <w:kern w:val="0"/>
                      <w:szCs w:val="21"/>
                    </w:rPr>
                  </w:pPr>
                  <w:r>
                    <w:rPr>
                      <w:kern w:val="0"/>
                      <w:szCs w:val="21"/>
                    </w:rPr>
                    <w:t>生活垃圾堆放点</w:t>
                  </w:r>
                </w:p>
              </w:tc>
              <w:tc>
                <w:tcPr>
                  <w:tcW w:w="449" w:type="pct"/>
                  <w:vAlign w:val="center"/>
                </w:tcPr>
                <w:p>
                  <w:pPr>
                    <w:widowControl/>
                    <w:jc w:val="center"/>
                    <w:rPr>
                      <w:kern w:val="0"/>
                      <w:szCs w:val="21"/>
                    </w:rPr>
                  </w:pPr>
                  <w:r>
                    <w:rPr>
                      <w:kern w:val="0"/>
                      <w:szCs w:val="21"/>
                    </w:rPr>
                    <w:t>交由环卫部门统一清运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 w:type="pct"/>
                  <w:vAlign w:val="center"/>
                </w:tcPr>
                <w:p>
                  <w:pPr>
                    <w:widowControl/>
                    <w:jc w:val="center"/>
                    <w:rPr>
                      <w:kern w:val="0"/>
                      <w:szCs w:val="21"/>
                    </w:rPr>
                  </w:pPr>
                  <w:r>
                    <w:rPr>
                      <w:kern w:val="0"/>
                      <w:szCs w:val="21"/>
                    </w:rPr>
                    <w:t>2</w:t>
                  </w:r>
                </w:p>
              </w:tc>
              <w:tc>
                <w:tcPr>
                  <w:tcW w:w="502" w:type="pct"/>
                  <w:vAlign w:val="center"/>
                </w:tcPr>
                <w:p>
                  <w:pPr>
                    <w:tabs>
                      <w:tab w:val="left" w:pos="1081"/>
                    </w:tabs>
                    <w:jc w:val="center"/>
                    <w:rPr>
                      <w:bCs/>
                      <w:kern w:val="0"/>
                      <w:szCs w:val="21"/>
                    </w:rPr>
                  </w:pPr>
                  <w:r>
                    <w:rPr>
                      <w:rFonts w:hint="eastAsia"/>
                      <w:bCs/>
                      <w:kern w:val="0"/>
                      <w:szCs w:val="21"/>
                    </w:rPr>
                    <w:t>划片</w:t>
                  </w:r>
                </w:p>
              </w:tc>
              <w:tc>
                <w:tcPr>
                  <w:tcW w:w="606" w:type="pct"/>
                  <w:vAlign w:val="center"/>
                </w:tcPr>
                <w:p>
                  <w:pPr>
                    <w:tabs>
                      <w:tab w:val="left" w:pos="1081"/>
                    </w:tabs>
                    <w:jc w:val="center"/>
                    <w:rPr>
                      <w:bCs/>
                      <w:kern w:val="0"/>
                      <w:szCs w:val="21"/>
                    </w:rPr>
                  </w:pPr>
                  <w:r>
                    <w:rPr>
                      <w:rFonts w:hint="eastAsia"/>
                      <w:bCs/>
                      <w:kern w:val="0"/>
                      <w:szCs w:val="21"/>
                    </w:rPr>
                    <w:t>硅屑</w:t>
                  </w:r>
                </w:p>
              </w:tc>
              <w:tc>
                <w:tcPr>
                  <w:tcW w:w="1212" w:type="pct"/>
                  <w:vAlign w:val="center"/>
                </w:tcPr>
                <w:p>
                  <w:pPr>
                    <w:jc w:val="center"/>
                    <w:rPr>
                      <w:bCs/>
                      <w:kern w:val="0"/>
                      <w:szCs w:val="21"/>
                    </w:rPr>
                  </w:pPr>
                  <w:r>
                    <w:rPr>
                      <w:bCs/>
                      <w:kern w:val="0"/>
                      <w:szCs w:val="21"/>
                    </w:rPr>
                    <w:t>一般工业固体废物（</w:t>
                  </w:r>
                  <w:r>
                    <w:rPr>
                      <w:bCs/>
                    </w:rPr>
                    <w:t>397-999-99</w:t>
                  </w:r>
                  <w:r>
                    <w:rPr>
                      <w:bCs/>
                      <w:kern w:val="0"/>
                      <w:szCs w:val="21"/>
                    </w:rPr>
                    <w:t>）</w:t>
                  </w:r>
                </w:p>
              </w:tc>
              <w:tc>
                <w:tcPr>
                  <w:tcW w:w="395" w:type="pct"/>
                  <w:vAlign w:val="center"/>
                </w:tcPr>
                <w:p>
                  <w:pPr>
                    <w:jc w:val="center"/>
                    <w:rPr>
                      <w:bCs/>
                      <w:kern w:val="0"/>
                      <w:szCs w:val="21"/>
                    </w:rPr>
                  </w:pPr>
                  <w:r>
                    <w:rPr>
                      <w:bCs/>
                      <w:kern w:val="0"/>
                      <w:szCs w:val="21"/>
                    </w:rPr>
                    <w:t>0.005</w:t>
                  </w:r>
                </w:p>
              </w:tc>
              <w:tc>
                <w:tcPr>
                  <w:tcW w:w="313" w:type="pct"/>
                  <w:vAlign w:val="center"/>
                </w:tcPr>
                <w:p>
                  <w:pPr>
                    <w:jc w:val="center"/>
                    <w:rPr>
                      <w:bCs/>
                      <w:kern w:val="0"/>
                      <w:szCs w:val="21"/>
                    </w:rPr>
                  </w:pPr>
                  <w:r>
                    <w:rPr>
                      <w:bCs/>
                      <w:kern w:val="0"/>
                      <w:szCs w:val="21"/>
                    </w:rPr>
                    <w:t>固态</w:t>
                  </w:r>
                </w:p>
              </w:tc>
              <w:tc>
                <w:tcPr>
                  <w:tcW w:w="418" w:type="pct"/>
                  <w:vAlign w:val="center"/>
                </w:tcPr>
                <w:p>
                  <w:pPr>
                    <w:topLinePunct/>
                    <w:snapToGrid w:val="0"/>
                    <w:jc w:val="center"/>
                    <w:rPr>
                      <w:kern w:val="0"/>
                      <w:szCs w:val="21"/>
                    </w:rPr>
                  </w:pPr>
                  <w:r>
                    <w:rPr>
                      <w:kern w:val="0"/>
                      <w:szCs w:val="21"/>
                    </w:rPr>
                    <w:t>塑料</w:t>
                  </w:r>
                </w:p>
              </w:tc>
              <w:tc>
                <w:tcPr>
                  <w:tcW w:w="256" w:type="pct"/>
                  <w:vAlign w:val="center"/>
                </w:tcPr>
                <w:p>
                  <w:pPr>
                    <w:topLinePunct/>
                    <w:snapToGrid w:val="0"/>
                    <w:jc w:val="center"/>
                    <w:rPr>
                      <w:kern w:val="0"/>
                      <w:szCs w:val="21"/>
                    </w:rPr>
                  </w:pPr>
                  <w:r>
                    <w:rPr>
                      <w:kern w:val="0"/>
                      <w:szCs w:val="21"/>
                    </w:rPr>
                    <w:t>/</w:t>
                  </w:r>
                </w:p>
              </w:tc>
              <w:tc>
                <w:tcPr>
                  <w:tcW w:w="249" w:type="pct"/>
                  <w:vAlign w:val="center"/>
                </w:tcPr>
                <w:p>
                  <w:pPr>
                    <w:jc w:val="center"/>
                    <w:rPr>
                      <w:szCs w:val="21"/>
                    </w:rPr>
                  </w:pPr>
                  <w:r>
                    <w:rPr>
                      <w:szCs w:val="21"/>
                    </w:rPr>
                    <w:t>/</w:t>
                  </w:r>
                </w:p>
              </w:tc>
              <w:tc>
                <w:tcPr>
                  <w:tcW w:w="426" w:type="pct"/>
                  <w:vAlign w:val="center"/>
                </w:tcPr>
                <w:p>
                  <w:pPr>
                    <w:widowControl/>
                    <w:jc w:val="center"/>
                    <w:rPr>
                      <w:kern w:val="0"/>
                      <w:szCs w:val="21"/>
                    </w:rPr>
                  </w:pPr>
                  <w:r>
                    <w:rPr>
                      <w:rFonts w:hint="eastAsia"/>
                      <w:kern w:val="0"/>
                      <w:szCs w:val="21"/>
                    </w:rPr>
                    <w:t>胶袋</w:t>
                  </w:r>
                </w:p>
              </w:tc>
              <w:tc>
                <w:tcPr>
                  <w:tcW w:w="449" w:type="pct"/>
                  <w:vMerge w:val="restart"/>
                  <w:vAlign w:val="center"/>
                </w:tcPr>
                <w:p>
                  <w:pPr>
                    <w:widowControl/>
                    <w:jc w:val="center"/>
                    <w:rPr>
                      <w:kern w:val="0"/>
                      <w:szCs w:val="21"/>
                    </w:rPr>
                  </w:pPr>
                  <w:r>
                    <w:rPr>
                      <w:lang w:bidi="ar"/>
                    </w:rPr>
                    <w:t>交由专</w:t>
                  </w:r>
                  <w:r>
                    <w:rPr>
                      <w:rFonts w:hint="eastAsia"/>
                      <w:lang w:bidi="ar"/>
                    </w:rPr>
                    <w:t>业</w:t>
                  </w:r>
                  <w:r>
                    <w:rPr>
                      <w:lang w:bidi="ar"/>
                    </w:rPr>
                    <w:t>回收公司</w:t>
                  </w:r>
                  <w:r>
                    <w:rPr>
                      <w:rFonts w:hint="eastAsia"/>
                      <w:lang w:bidi="ar"/>
                    </w:rPr>
                    <w:t>回收</w:t>
                  </w:r>
                  <w:r>
                    <w:rPr>
                      <w:lang w:bidi="ar"/>
                    </w:rPr>
                    <w:t>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 w:type="pct"/>
                  <w:vAlign w:val="center"/>
                </w:tcPr>
                <w:p>
                  <w:pPr>
                    <w:widowControl/>
                    <w:jc w:val="center"/>
                    <w:rPr>
                      <w:kern w:val="0"/>
                      <w:szCs w:val="21"/>
                    </w:rPr>
                  </w:pPr>
                  <w:r>
                    <w:rPr>
                      <w:kern w:val="0"/>
                      <w:szCs w:val="21"/>
                    </w:rPr>
                    <w:t>3</w:t>
                  </w:r>
                </w:p>
              </w:tc>
              <w:tc>
                <w:tcPr>
                  <w:tcW w:w="502" w:type="pct"/>
                  <w:vAlign w:val="center"/>
                </w:tcPr>
                <w:p>
                  <w:pPr>
                    <w:tabs>
                      <w:tab w:val="left" w:pos="1081"/>
                    </w:tabs>
                    <w:jc w:val="center"/>
                    <w:rPr>
                      <w:bCs/>
                      <w:kern w:val="0"/>
                      <w:szCs w:val="21"/>
                    </w:rPr>
                  </w:pPr>
                  <w:r>
                    <w:rPr>
                      <w:bCs/>
                      <w:kern w:val="0"/>
                      <w:szCs w:val="21"/>
                    </w:rPr>
                    <w:t>原料使用</w:t>
                  </w:r>
                  <w:r>
                    <w:rPr>
                      <w:rFonts w:hint="eastAsia"/>
                      <w:bCs/>
                      <w:kern w:val="0"/>
                      <w:szCs w:val="21"/>
                    </w:rPr>
                    <w:t>、</w:t>
                  </w:r>
                  <w:r>
                    <w:rPr>
                      <w:bCs/>
                      <w:kern w:val="0"/>
                      <w:szCs w:val="21"/>
                    </w:rPr>
                    <w:t>成品包装</w:t>
                  </w:r>
                </w:p>
              </w:tc>
              <w:tc>
                <w:tcPr>
                  <w:tcW w:w="606" w:type="pct"/>
                  <w:vAlign w:val="center"/>
                </w:tcPr>
                <w:p>
                  <w:pPr>
                    <w:tabs>
                      <w:tab w:val="left" w:pos="1081"/>
                    </w:tabs>
                    <w:jc w:val="center"/>
                    <w:rPr>
                      <w:bCs/>
                      <w:kern w:val="0"/>
                      <w:szCs w:val="21"/>
                    </w:rPr>
                  </w:pPr>
                  <w:r>
                    <w:rPr>
                      <w:bCs/>
                      <w:kern w:val="0"/>
                      <w:szCs w:val="21"/>
                    </w:rPr>
                    <w:t>包装废物</w:t>
                  </w:r>
                </w:p>
              </w:tc>
              <w:tc>
                <w:tcPr>
                  <w:tcW w:w="1212" w:type="pct"/>
                  <w:vAlign w:val="center"/>
                </w:tcPr>
                <w:p>
                  <w:pPr>
                    <w:jc w:val="center"/>
                    <w:rPr>
                      <w:bCs/>
                      <w:kern w:val="0"/>
                      <w:szCs w:val="21"/>
                    </w:rPr>
                  </w:pPr>
                  <w:r>
                    <w:rPr>
                      <w:bCs/>
                      <w:kern w:val="0"/>
                      <w:szCs w:val="21"/>
                    </w:rPr>
                    <w:t>一般工业固体废物（</w:t>
                  </w:r>
                  <w:r>
                    <w:rPr>
                      <w:bCs/>
                    </w:rPr>
                    <w:t>397-999-07</w:t>
                  </w:r>
                  <w:r>
                    <w:rPr>
                      <w:bCs/>
                      <w:kern w:val="0"/>
                      <w:szCs w:val="21"/>
                    </w:rPr>
                    <w:t>）</w:t>
                  </w:r>
                </w:p>
              </w:tc>
              <w:tc>
                <w:tcPr>
                  <w:tcW w:w="395" w:type="pct"/>
                  <w:vAlign w:val="center"/>
                </w:tcPr>
                <w:p>
                  <w:pPr>
                    <w:jc w:val="center"/>
                    <w:rPr>
                      <w:bCs/>
                      <w:kern w:val="0"/>
                      <w:szCs w:val="21"/>
                    </w:rPr>
                  </w:pPr>
                  <w:r>
                    <w:rPr>
                      <w:bCs/>
                      <w:kern w:val="0"/>
                      <w:szCs w:val="21"/>
                    </w:rPr>
                    <w:t>0.5</w:t>
                  </w:r>
                </w:p>
              </w:tc>
              <w:tc>
                <w:tcPr>
                  <w:tcW w:w="313" w:type="pct"/>
                  <w:vAlign w:val="center"/>
                </w:tcPr>
                <w:p>
                  <w:pPr>
                    <w:jc w:val="center"/>
                    <w:rPr>
                      <w:bCs/>
                      <w:kern w:val="0"/>
                      <w:szCs w:val="21"/>
                    </w:rPr>
                  </w:pPr>
                  <w:r>
                    <w:rPr>
                      <w:bCs/>
                      <w:kern w:val="0"/>
                      <w:szCs w:val="21"/>
                    </w:rPr>
                    <w:t>固态</w:t>
                  </w:r>
                </w:p>
              </w:tc>
              <w:tc>
                <w:tcPr>
                  <w:tcW w:w="418" w:type="pct"/>
                  <w:vAlign w:val="center"/>
                </w:tcPr>
                <w:p>
                  <w:pPr>
                    <w:topLinePunct/>
                    <w:snapToGrid w:val="0"/>
                    <w:jc w:val="center"/>
                    <w:rPr>
                      <w:kern w:val="0"/>
                      <w:szCs w:val="21"/>
                    </w:rPr>
                  </w:pPr>
                  <w:r>
                    <w:rPr>
                      <w:kern w:val="0"/>
                      <w:szCs w:val="21"/>
                    </w:rPr>
                    <w:t>塑料、绳</w:t>
                  </w:r>
                </w:p>
              </w:tc>
              <w:tc>
                <w:tcPr>
                  <w:tcW w:w="256" w:type="pct"/>
                  <w:vAlign w:val="center"/>
                </w:tcPr>
                <w:p>
                  <w:pPr>
                    <w:topLinePunct/>
                    <w:snapToGrid w:val="0"/>
                    <w:jc w:val="center"/>
                    <w:rPr>
                      <w:kern w:val="0"/>
                      <w:szCs w:val="21"/>
                    </w:rPr>
                  </w:pPr>
                  <w:r>
                    <w:rPr>
                      <w:kern w:val="0"/>
                      <w:szCs w:val="21"/>
                    </w:rPr>
                    <w:t>/</w:t>
                  </w:r>
                </w:p>
              </w:tc>
              <w:tc>
                <w:tcPr>
                  <w:tcW w:w="249" w:type="pct"/>
                  <w:vAlign w:val="center"/>
                </w:tcPr>
                <w:p>
                  <w:pPr>
                    <w:jc w:val="center"/>
                    <w:rPr>
                      <w:szCs w:val="21"/>
                    </w:rPr>
                  </w:pPr>
                  <w:r>
                    <w:rPr>
                      <w:szCs w:val="21"/>
                    </w:rPr>
                    <w:t>/</w:t>
                  </w:r>
                </w:p>
              </w:tc>
              <w:tc>
                <w:tcPr>
                  <w:tcW w:w="426" w:type="pct"/>
                  <w:vAlign w:val="center"/>
                </w:tcPr>
                <w:p>
                  <w:pPr>
                    <w:widowControl/>
                    <w:jc w:val="center"/>
                    <w:rPr>
                      <w:kern w:val="0"/>
                      <w:szCs w:val="21"/>
                    </w:rPr>
                  </w:pPr>
                  <w:r>
                    <w:rPr>
                      <w:rFonts w:hint="eastAsia"/>
                      <w:kern w:val="0"/>
                      <w:szCs w:val="21"/>
                    </w:rPr>
                    <w:t>胶袋</w:t>
                  </w:r>
                </w:p>
              </w:tc>
              <w:tc>
                <w:tcPr>
                  <w:tcW w:w="449" w:type="pct"/>
                  <w:vMerge w:val="continue"/>
                  <w:vAlign w:val="center"/>
                </w:tcPr>
                <w:p>
                  <w:pPr>
                    <w:widowControl/>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 w:type="pct"/>
                  <w:vAlign w:val="center"/>
                </w:tcPr>
                <w:p>
                  <w:pPr>
                    <w:widowControl/>
                    <w:jc w:val="center"/>
                    <w:rPr>
                      <w:kern w:val="0"/>
                      <w:szCs w:val="21"/>
                    </w:rPr>
                  </w:pPr>
                  <w:r>
                    <w:rPr>
                      <w:rFonts w:hint="eastAsia"/>
                      <w:kern w:val="0"/>
                      <w:szCs w:val="21"/>
                    </w:rPr>
                    <w:t>4</w:t>
                  </w:r>
                </w:p>
              </w:tc>
              <w:tc>
                <w:tcPr>
                  <w:tcW w:w="502" w:type="pct"/>
                  <w:vAlign w:val="center"/>
                </w:tcPr>
                <w:p>
                  <w:pPr>
                    <w:tabs>
                      <w:tab w:val="left" w:pos="1081"/>
                    </w:tabs>
                    <w:jc w:val="center"/>
                    <w:rPr>
                      <w:bCs/>
                      <w:kern w:val="0"/>
                      <w:szCs w:val="21"/>
                    </w:rPr>
                  </w:pPr>
                  <w:r>
                    <w:rPr>
                      <w:rFonts w:hint="eastAsia"/>
                      <w:bCs/>
                      <w:kern w:val="0"/>
                      <w:szCs w:val="21"/>
                    </w:rPr>
                    <w:t>检测</w:t>
                  </w:r>
                </w:p>
              </w:tc>
              <w:tc>
                <w:tcPr>
                  <w:tcW w:w="606" w:type="pct"/>
                  <w:vAlign w:val="center"/>
                </w:tcPr>
                <w:p>
                  <w:pPr>
                    <w:tabs>
                      <w:tab w:val="left" w:pos="1081"/>
                    </w:tabs>
                    <w:jc w:val="center"/>
                    <w:rPr>
                      <w:bCs/>
                      <w:kern w:val="0"/>
                      <w:szCs w:val="21"/>
                    </w:rPr>
                  </w:pPr>
                  <w:r>
                    <w:rPr>
                      <w:rFonts w:hint="eastAsia"/>
                      <w:bCs/>
                      <w:kern w:val="0"/>
                      <w:szCs w:val="21"/>
                    </w:rPr>
                    <w:t>废次品</w:t>
                  </w:r>
                </w:p>
              </w:tc>
              <w:tc>
                <w:tcPr>
                  <w:tcW w:w="1212" w:type="pct"/>
                  <w:vAlign w:val="center"/>
                </w:tcPr>
                <w:p>
                  <w:pPr>
                    <w:jc w:val="center"/>
                    <w:rPr>
                      <w:bCs/>
                      <w:kern w:val="0"/>
                      <w:szCs w:val="21"/>
                    </w:rPr>
                  </w:pPr>
                  <w:r>
                    <w:rPr>
                      <w:bCs/>
                      <w:kern w:val="0"/>
                      <w:szCs w:val="21"/>
                    </w:rPr>
                    <w:t>一般工业固体废物（</w:t>
                  </w:r>
                  <w:r>
                    <w:rPr>
                      <w:bCs/>
                    </w:rPr>
                    <w:t>397-999-99</w:t>
                  </w:r>
                  <w:r>
                    <w:rPr>
                      <w:bCs/>
                      <w:kern w:val="0"/>
                      <w:szCs w:val="21"/>
                    </w:rPr>
                    <w:t>）</w:t>
                  </w:r>
                </w:p>
              </w:tc>
              <w:tc>
                <w:tcPr>
                  <w:tcW w:w="395" w:type="pct"/>
                  <w:vAlign w:val="center"/>
                </w:tcPr>
                <w:p>
                  <w:pPr>
                    <w:jc w:val="center"/>
                    <w:rPr>
                      <w:bCs/>
                      <w:kern w:val="0"/>
                      <w:szCs w:val="21"/>
                    </w:rPr>
                  </w:pPr>
                  <w:r>
                    <w:rPr>
                      <w:rFonts w:hint="eastAsia"/>
                      <w:bCs/>
                      <w:kern w:val="0"/>
                      <w:szCs w:val="21"/>
                    </w:rPr>
                    <w:t>0.5</w:t>
                  </w:r>
                </w:p>
              </w:tc>
              <w:tc>
                <w:tcPr>
                  <w:tcW w:w="313" w:type="pct"/>
                  <w:vAlign w:val="center"/>
                </w:tcPr>
                <w:p>
                  <w:pPr>
                    <w:jc w:val="center"/>
                    <w:rPr>
                      <w:bCs/>
                      <w:kern w:val="0"/>
                      <w:szCs w:val="21"/>
                    </w:rPr>
                  </w:pPr>
                  <w:r>
                    <w:rPr>
                      <w:bCs/>
                      <w:kern w:val="0"/>
                      <w:szCs w:val="21"/>
                    </w:rPr>
                    <w:t>固态</w:t>
                  </w:r>
                </w:p>
              </w:tc>
              <w:tc>
                <w:tcPr>
                  <w:tcW w:w="418" w:type="pct"/>
                  <w:vAlign w:val="center"/>
                </w:tcPr>
                <w:p>
                  <w:pPr>
                    <w:topLinePunct/>
                    <w:snapToGrid w:val="0"/>
                    <w:jc w:val="center"/>
                    <w:rPr>
                      <w:kern w:val="0"/>
                      <w:szCs w:val="21"/>
                    </w:rPr>
                  </w:pPr>
                  <w:r>
                    <w:rPr>
                      <w:rFonts w:hint="eastAsia"/>
                      <w:kern w:val="0"/>
                      <w:szCs w:val="21"/>
                    </w:rPr>
                    <w:t>芯片</w:t>
                  </w:r>
                </w:p>
              </w:tc>
              <w:tc>
                <w:tcPr>
                  <w:tcW w:w="256" w:type="pct"/>
                  <w:vAlign w:val="center"/>
                </w:tcPr>
                <w:p>
                  <w:pPr>
                    <w:topLinePunct/>
                    <w:snapToGrid w:val="0"/>
                    <w:jc w:val="center"/>
                    <w:rPr>
                      <w:kern w:val="0"/>
                      <w:szCs w:val="21"/>
                    </w:rPr>
                  </w:pPr>
                  <w:r>
                    <w:rPr>
                      <w:kern w:val="0"/>
                      <w:szCs w:val="21"/>
                    </w:rPr>
                    <w:t>/</w:t>
                  </w:r>
                </w:p>
              </w:tc>
              <w:tc>
                <w:tcPr>
                  <w:tcW w:w="249" w:type="pct"/>
                  <w:vAlign w:val="center"/>
                </w:tcPr>
                <w:p>
                  <w:pPr>
                    <w:jc w:val="center"/>
                    <w:rPr>
                      <w:szCs w:val="21"/>
                    </w:rPr>
                  </w:pPr>
                  <w:r>
                    <w:rPr>
                      <w:szCs w:val="21"/>
                    </w:rPr>
                    <w:t>/</w:t>
                  </w:r>
                </w:p>
              </w:tc>
              <w:tc>
                <w:tcPr>
                  <w:tcW w:w="426" w:type="pct"/>
                  <w:vAlign w:val="center"/>
                </w:tcPr>
                <w:p>
                  <w:pPr>
                    <w:widowControl/>
                    <w:jc w:val="center"/>
                    <w:rPr>
                      <w:kern w:val="0"/>
                      <w:szCs w:val="21"/>
                    </w:rPr>
                  </w:pPr>
                  <w:r>
                    <w:rPr>
                      <w:rFonts w:hint="eastAsia"/>
                      <w:kern w:val="0"/>
                      <w:szCs w:val="21"/>
                    </w:rPr>
                    <w:t>胶袋</w:t>
                  </w:r>
                </w:p>
              </w:tc>
              <w:tc>
                <w:tcPr>
                  <w:tcW w:w="449" w:type="pct"/>
                  <w:vMerge w:val="continue"/>
                  <w:vAlign w:val="center"/>
                </w:tcPr>
                <w:p>
                  <w:pPr>
                    <w:widowControl/>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 w:type="pct"/>
                  <w:vAlign w:val="center"/>
                </w:tcPr>
                <w:p>
                  <w:pPr>
                    <w:widowControl/>
                    <w:jc w:val="center"/>
                    <w:rPr>
                      <w:kern w:val="0"/>
                      <w:szCs w:val="21"/>
                    </w:rPr>
                  </w:pPr>
                  <w:r>
                    <w:rPr>
                      <w:rFonts w:hint="eastAsia"/>
                      <w:kern w:val="0"/>
                      <w:szCs w:val="21"/>
                    </w:rPr>
                    <w:t>6</w:t>
                  </w:r>
                </w:p>
              </w:tc>
              <w:tc>
                <w:tcPr>
                  <w:tcW w:w="502" w:type="pct"/>
                  <w:vAlign w:val="center"/>
                </w:tcPr>
                <w:p>
                  <w:pPr>
                    <w:tabs>
                      <w:tab w:val="left" w:pos="1081"/>
                    </w:tabs>
                    <w:jc w:val="center"/>
                    <w:rPr>
                      <w:bCs/>
                      <w:kern w:val="0"/>
                      <w:szCs w:val="21"/>
                    </w:rPr>
                  </w:pPr>
                  <w:r>
                    <w:rPr>
                      <w:rFonts w:hint="eastAsia"/>
                      <w:bCs/>
                      <w:kern w:val="0"/>
                      <w:szCs w:val="21"/>
                    </w:rPr>
                    <w:t>塑封</w:t>
                  </w:r>
                </w:p>
              </w:tc>
              <w:tc>
                <w:tcPr>
                  <w:tcW w:w="606" w:type="pct"/>
                  <w:vAlign w:val="center"/>
                </w:tcPr>
                <w:p>
                  <w:pPr>
                    <w:tabs>
                      <w:tab w:val="left" w:pos="1081"/>
                    </w:tabs>
                    <w:jc w:val="center"/>
                    <w:rPr>
                      <w:bCs/>
                      <w:kern w:val="0"/>
                      <w:szCs w:val="21"/>
                    </w:rPr>
                  </w:pPr>
                  <w:r>
                    <w:rPr>
                      <w:rFonts w:hint="eastAsia"/>
                      <w:bCs/>
                      <w:kern w:val="0"/>
                      <w:szCs w:val="21"/>
                    </w:rPr>
                    <w:t>塑封废料</w:t>
                  </w:r>
                </w:p>
              </w:tc>
              <w:tc>
                <w:tcPr>
                  <w:tcW w:w="1212" w:type="pct"/>
                  <w:vAlign w:val="center"/>
                </w:tcPr>
                <w:p>
                  <w:pPr>
                    <w:jc w:val="center"/>
                    <w:rPr>
                      <w:bCs/>
                      <w:kern w:val="0"/>
                      <w:szCs w:val="21"/>
                    </w:rPr>
                  </w:pPr>
                  <w:r>
                    <w:rPr>
                      <w:bCs/>
                      <w:kern w:val="0"/>
                      <w:szCs w:val="21"/>
                    </w:rPr>
                    <w:t>一般工业固体废物（</w:t>
                  </w:r>
                  <w:r>
                    <w:rPr>
                      <w:bCs/>
                    </w:rPr>
                    <w:t>397-999-06</w:t>
                  </w:r>
                  <w:r>
                    <w:rPr>
                      <w:bCs/>
                      <w:kern w:val="0"/>
                      <w:szCs w:val="21"/>
                    </w:rPr>
                    <w:t>）</w:t>
                  </w:r>
                </w:p>
              </w:tc>
              <w:tc>
                <w:tcPr>
                  <w:tcW w:w="395" w:type="pct"/>
                  <w:vAlign w:val="center"/>
                </w:tcPr>
                <w:p>
                  <w:pPr>
                    <w:jc w:val="center"/>
                    <w:rPr>
                      <w:bCs/>
                      <w:kern w:val="0"/>
                      <w:szCs w:val="21"/>
                    </w:rPr>
                  </w:pPr>
                  <w:r>
                    <w:rPr>
                      <w:bCs/>
                      <w:kern w:val="0"/>
                      <w:szCs w:val="21"/>
                    </w:rPr>
                    <w:t>2</w:t>
                  </w:r>
                </w:p>
              </w:tc>
              <w:tc>
                <w:tcPr>
                  <w:tcW w:w="313" w:type="pct"/>
                  <w:vAlign w:val="center"/>
                </w:tcPr>
                <w:p>
                  <w:pPr>
                    <w:jc w:val="center"/>
                    <w:rPr>
                      <w:bCs/>
                      <w:kern w:val="0"/>
                      <w:szCs w:val="21"/>
                    </w:rPr>
                  </w:pPr>
                  <w:r>
                    <w:rPr>
                      <w:bCs/>
                      <w:kern w:val="0"/>
                      <w:szCs w:val="21"/>
                    </w:rPr>
                    <w:t>固态</w:t>
                  </w:r>
                </w:p>
              </w:tc>
              <w:tc>
                <w:tcPr>
                  <w:tcW w:w="418" w:type="pct"/>
                  <w:vAlign w:val="center"/>
                </w:tcPr>
                <w:p>
                  <w:pPr>
                    <w:topLinePunct/>
                    <w:snapToGrid w:val="0"/>
                    <w:jc w:val="center"/>
                    <w:rPr>
                      <w:kern w:val="0"/>
                      <w:szCs w:val="21"/>
                    </w:rPr>
                  </w:pPr>
                  <w:r>
                    <w:rPr>
                      <w:rFonts w:hint="eastAsia"/>
                      <w:kern w:val="0"/>
                      <w:szCs w:val="21"/>
                    </w:rPr>
                    <w:t>金属</w:t>
                  </w:r>
                </w:p>
              </w:tc>
              <w:tc>
                <w:tcPr>
                  <w:tcW w:w="256" w:type="pct"/>
                  <w:vAlign w:val="center"/>
                </w:tcPr>
                <w:p>
                  <w:pPr>
                    <w:topLinePunct/>
                    <w:snapToGrid w:val="0"/>
                    <w:jc w:val="center"/>
                    <w:rPr>
                      <w:kern w:val="0"/>
                      <w:szCs w:val="21"/>
                    </w:rPr>
                  </w:pPr>
                  <w:r>
                    <w:rPr>
                      <w:rFonts w:hint="eastAsia"/>
                      <w:kern w:val="0"/>
                      <w:szCs w:val="21"/>
                    </w:rPr>
                    <w:t>/</w:t>
                  </w:r>
                </w:p>
              </w:tc>
              <w:tc>
                <w:tcPr>
                  <w:tcW w:w="249" w:type="pct"/>
                  <w:vAlign w:val="center"/>
                </w:tcPr>
                <w:p>
                  <w:pPr>
                    <w:jc w:val="center"/>
                    <w:rPr>
                      <w:szCs w:val="21"/>
                    </w:rPr>
                  </w:pPr>
                  <w:r>
                    <w:rPr>
                      <w:rFonts w:hint="eastAsia"/>
                      <w:szCs w:val="21"/>
                    </w:rPr>
                    <w:t>/</w:t>
                  </w:r>
                </w:p>
              </w:tc>
              <w:tc>
                <w:tcPr>
                  <w:tcW w:w="426" w:type="pct"/>
                  <w:vAlign w:val="center"/>
                </w:tcPr>
                <w:p>
                  <w:pPr>
                    <w:widowControl/>
                    <w:jc w:val="center"/>
                    <w:rPr>
                      <w:kern w:val="0"/>
                      <w:szCs w:val="21"/>
                    </w:rPr>
                  </w:pPr>
                  <w:r>
                    <w:rPr>
                      <w:rFonts w:hint="eastAsia"/>
                      <w:kern w:val="0"/>
                      <w:szCs w:val="21"/>
                    </w:rPr>
                    <w:t>胶袋</w:t>
                  </w:r>
                </w:p>
              </w:tc>
              <w:tc>
                <w:tcPr>
                  <w:tcW w:w="449" w:type="pct"/>
                  <w:vMerge w:val="continue"/>
                  <w:vAlign w:val="center"/>
                </w:tcPr>
                <w:p>
                  <w:pPr>
                    <w:widowControl/>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 w:type="pct"/>
                  <w:vAlign w:val="center"/>
                </w:tcPr>
                <w:p>
                  <w:pPr>
                    <w:widowControl/>
                    <w:jc w:val="center"/>
                    <w:rPr>
                      <w:kern w:val="0"/>
                      <w:szCs w:val="21"/>
                    </w:rPr>
                  </w:pPr>
                  <w:r>
                    <w:rPr>
                      <w:kern w:val="0"/>
                      <w:szCs w:val="21"/>
                    </w:rPr>
                    <w:t>7</w:t>
                  </w:r>
                </w:p>
              </w:tc>
              <w:tc>
                <w:tcPr>
                  <w:tcW w:w="502" w:type="pct"/>
                  <w:vAlign w:val="center"/>
                </w:tcPr>
                <w:p>
                  <w:pPr>
                    <w:tabs>
                      <w:tab w:val="left" w:pos="1081"/>
                    </w:tabs>
                    <w:jc w:val="center"/>
                    <w:rPr>
                      <w:bCs/>
                      <w:kern w:val="0"/>
                      <w:szCs w:val="21"/>
                    </w:rPr>
                  </w:pPr>
                  <w:r>
                    <w:rPr>
                      <w:rFonts w:hint="eastAsia"/>
                      <w:bCs/>
                      <w:kern w:val="0"/>
                      <w:szCs w:val="21"/>
                    </w:rPr>
                    <w:t>有机</w:t>
                  </w:r>
                  <w:r>
                    <w:rPr>
                      <w:bCs/>
                      <w:kern w:val="0"/>
                      <w:szCs w:val="21"/>
                    </w:rPr>
                    <w:t>废气处理</w:t>
                  </w:r>
                </w:p>
              </w:tc>
              <w:tc>
                <w:tcPr>
                  <w:tcW w:w="606" w:type="pct"/>
                  <w:vAlign w:val="center"/>
                </w:tcPr>
                <w:p>
                  <w:pPr>
                    <w:tabs>
                      <w:tab w:val="left" w:pos="1081"/>
                    </w:tabs>
                    <w:jc w:val="center"/>
                    <w:rPr>
                      <w:bCs/>
                      <w:kern w:val="0"/>
                      <w:szCs w:val="21"/>
                    </w:rPr>
                  </w:pPr>
                  <w:r>
                    <w:rPr>
                      <w:bCs/>
                      <w:kern w:val="0"/>
                      <w:szCs w:val="21"/>
                    </w:rPr>
                    <w:t>废活性炭</w:t>
                  </w:r>
                </w:p>
              </w:tc>
              <w:tc>
                <w:tcPr>
                  <w:tcW w:w="1212" w:type="pct"/>
                  <w:vAlign w:val="center"/>
                </w:tcPr>
                <w:p>
                  <w:pPr>
                    <w:jc w:val="center"/>
                    <w:rPr>
                      <w:bCs/>
                      <w:kern w:val="0"/>
                      <w:szCs w:val="21"/>
                    </w:rPr>
                  </w:pPr>
                  <w:r>
                    <w:rPr>
                      <w:bCs/>
                      <w:kern w:val="0"/>
                      <w:szCs w:val="21"/>
                    </w:rPr>
                    <w:t>危险废物（</w:t>
                  </w:r>
                  <w:r>
                    <w:rPr>
                      <w:bCs/>
                    </w:rPr>
                    <w:t>HW49-900-039-49</w:t>
                  </w:r>
                  <w:r>
                    <w:rPr>
                      <w:bCs/>
                      <w:kern w:val="0"/>
                      <w:szCs w:val="21"/>
                    </w:rPr>
                    <w:t>）</w:t>
                  </w:r>
                </w:p>
              </w:tc>
              <w:tc>
                <w:tcPr>
                  <w:tcW w:w="395" w:type="pct"/>
                  <w:vAlign w:val="center"/>
                </w:tcPr>
                <w:p>
                  <w:pPr>
                    <w:jc w:val="center"/>
                    <w:rPr>
                      <w:bCs/>
                      <w:kern w:val="0"/>
                      <w:szCs w:val="21"/>
                    </w:rPr>
                  </w:pPr>
                  <w:r>
                    <w:rPr>
                      <w:bCs/>
                      <w:kern w:val="0"/>
                      <w:szCs w:val="21"/>
                    </w:rPr>
                    <w:t>5.90</w:t>
                  </w:r>
                </w:p>
              </w:tc>
              <w:tc>
                <w:tcPr>
                  <w:tcW w:w="313" w:type="pct"/>
                  <w:vAlign w:val="center"/>
                </w:tcPr>
                <w:p>
                  <w:pPr>
                    <w:jc w:val="center"/>
                    <w:rPr>
                      <w:bCs/>
                      <w:kern w:val="0"/>
                      <w:szCs w:val="21"/>
                    </w:rPr>
                  </w:pPr>
                  <w:r>
                    <w:rPr>
                      <w:bCs/>
                      <w:kern w:val="0"/>
                      <w:szCs w:val="21"/>
                    </w:rPr>
                    <w:t>固态</w:t>
                  </w:r>
                </w:p>
              </w:tc>
              <w:tc>
                <w:tcPr>
                  <w:tcW w:w="418" w:type="pct"/>
                  <w:vAlign w:val="center"/>
                </w:tcPr>
                <w:p>
                  <w:pPr>
                    <w:topLinePunct/>
                    <w:snapToGrid w:val="0"/>
                    <w:jc w:val="center"/>
                    <w:rPr>
                      <w:kern w:val="0"/>
                      <w:szCs w:val="21"/>
                    </w:rPr>
                  </w:pPr>
                  <w:r>
                    <w:rPr>
                      <w:kern w:val="0"/>
                      <w:szCs w:val="21"/>
                    </w:rPr>
                    <w:t>炭、有机废气</w:t>
                  </w:r>
                </w:p>
              </w:tc>
              <w:tc>
                <w:tcPr>
                  <w:tcW w:w="256" w:type="pct"/>
                  <w:vAlign w:val="center"/>
                </w:tcPr>
                <w:p>
                  <w:pPr>
                    <w:topLinePunct/>
                    <w:snapToGrid w:val="0"/>
                    <w:jc w:val="center"/>
                    <w:rPr>
                      <w:kern w:val="0"/>
                      <w:szCs w:val="21"/>
                    </w:rPr>
                  </w:pPr>
                  <w:r>
                    <w:rPr>
                      <w:kern w:val="0"/>
                      <w:szCs w:val="21"/>
                    </w:rPr>
                    <w:t>有机废气</w:t>
                  </w:r>
                </w:p>
              </w:tc>
              <w:tc>
                <w:tcPr>
                  <w:tcW w:w="249" w:type="pct"/>
                  <w:vAlign w:val="center"/>
                </w:tcPr>
                <w:p>
                  <w:pPr>
                    <w:jc w:val="center"/>
                    <w:rPr>
                      <w:szCs w:val="21"/>
                    </w:rPr>
                  </w:pPr>
                  <w:r>
                    <w:rPr>
                      <w:szCs w:val="21"/>
                    </w:rPr>
                    <w:t>T</w:t>
                  </w:r>
                </w:p>
              </w:tc>
              <w:tc>
                <w:tcPr>
                  <w:tcW w:w="426" w:type="pct"/>
                  <w:vMerge w:val="restart"/>
                  <w:vAlign w:val="center"/>
                </w:tcPr>
                <w:p>
                  <w:pPr>
                    <w:widowControl/>
                    <w:jc w:val="center"/>
                    <w:rPr>
                      <w:kern w:val="0"/>
                      <w:szCs w:val="21"/>
                    </w:rPr>
                  </w:pPr>
                  <w:r>
                    <w:rPr>
                      <w:rFonts w:hint="eastAsia"/>
                      <w:kern w:val="0"/>
                      <w:szCs w:val="21"/>
                    </w:rPr>
                    <w:t>密封胶袋</w:t>
                  </w:r>
                </w:p>
              </w:tc>
              <w:tc>
                <w:tcPr>
                  <w:tcW w:w="449" w:type="pct"/>
                  <w:vMerge w:val="restart"/>
                  <w:vAlign w:val="center"/>
                </w:tcPr>
                <w:p>
                  <w:pPr>
                    <w:widowControl/>
                    <w:jc w:val="center"/>
                    <w:rPr>
                      <w:kern w:val="0"/>
                      <w:szCs w:val="21"/>
                    </w:rPr>
                  </w:pPr>
                  <w:r>
                    <w:rPr>
                      <w:rFonts w:hint="eastAsia"/>
                      <w:kern w:val="0"/>
                      <w:szCs w:val="21"/>
                    </w:rPr>
                    <w:t>交由</w:t>
                  </w:r>
                  <w:r>
                    <w:rPr>
                      <w:kern w:val="0"/>
                      <w:szCs w:val="21"/>
                    </w:rPr>
                    <w:t>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 w:type="pct"/>
                  <w:vAlign w:val="center"/>
                </w:tcPr>
                <w:p>
                  <w:pPr>
                    <w:widowControl/>
                    <w:jc w:val="center"/>
                    <w:rPr>
                      <w:kern w:val="0"/>
                      <w:szCs w:val="21"/>
                    </w:rPr>
                  </w:pPr>
                  <w:r>
                    <w:rPr>
                      <w:rFonts w:hint="eastAsia"/>
                      <w:kern w:val="0"/>
                      <w:szCs w:val="21"/>
                    </w:rPr>
                    <w:t>8</w:t>
                  </w:r>
                </w:p>
              </w:tc>
              <w:tc>
                <w:tcPr>
                  <w:tcW w:w="502" w:type="pct"/>
                  <w:vAlign w:val="center"/>
                </w:tcPr>
                <w:p>
                  <w:pPr>
                    <w:tabs>
                      <w:tab w:val="left" w:pos="1081"/>
                    </w:tabs>
                    <w:jc w:val="center"/>
                    <w:rPr>
                      <w:bCs/>
                      <w:kern w:val="0"/>
                      <w:szCs w:val="21"/>
                    </w:rPr>
                  </w:pPr>
                  <w:r>
                    <w:rPr>
                      <w:rFonts w:hint="eastAsia"/>
                      <w:bCs/>
                      <w:kern w:val="0"/>
                      <w:szCs w:val="21"/>
                    </w:rPr>
                    <w:t>化学品</w:t>
                  </w:r>
                  <w:r>
                    <w:rPr>
                      <w:bCs/>
                      <w:kern w:val="0"/>
                      <w:szCs w:val="21"/>
                    </w:rPr>
                    <w:t>使用</w:t>
                  </w:r>
                </w:p>
              </w:tc>
              <w:tc>
                <w:tcPr>
                  <w:tcW w:w="606" w:type="pct"/>
                  <w:vAlign w:val="center"/>
                </w:tcPr>
                <w:p>
                  <w:pPr>
                    <w:tabs>
                      <w:tab w:val="left" w:pos="1081"/>
                    </w:tabs>
                    <w:jc w:val="center"/>
                    <w:rPr>
                      <w:bCs/>
                      <w:kern w:val="0"/>
                      <w:szCs w:val="21"/>
                    </w:rPr>
                  </w:pPr>
                  <w:r>
                    <w:rPr>
                      <w:rFonts w:hint="eastAsia"/>
                      <w:bCs/>
                      <w:kern w:val="0"/>
                      <w:szCs w:val="21"/>
                    </w:rPr>
                    <w:t>废化学品</w:t>
                  </w:r>
                  <w:r>
                    <w:rPr>
                      <w:bCs/>
                      <w:kern w:val="0"/>
                      <w:szCs w:val="21"/>
                    </w:rPr>
                    <w:t>包装桶</w:t>
                  </w:r>
                </w:p>
              </w:tc>
              <w:tc>
                <w:tcPr>
                  <w:tcW w:w="1212" w:type="pct"/>
                  <w:vAlign w:val="center"/>
                </w:tcPr>
                <w:p>
                  <w:pPr>
                    <w:jc w:val="center"/>
                    <w:rPr>
                      <w:bCs/>
                      <w:kern w:val="0"/>
                      <w:szCs w:val="21"/>
                    </w:rPr>
                  </w:pPr>
                  <w:r>
                    <w:rPr>
                      <w:bCs/>
                      <w:kern w:val="0"/>
                      <w:szCs w:val="21"/>
                    </w:rPr>
                    <w:t>危险废物（</w:t>
                  </w:r>
                  <w:r>
                    <w:rPr>
                      <w:bCs/>
                    </w:rPr>
                    <w:t>HW49-900-041-49</w:t>
                  </w:r>
                  <w:r>
                    <w:rPr>
                      <w:bCs/>
                      <w:kern w:val="0"/>
                      <w:szCs w:val="21"/>
                    </w:rPr>
                    <w:t>）</w:t>
                  </w:r>
                </w:p>
              </w:tc>
              <w:tc>
                <w:tcPr>
                  <w:tcW w:w="395" w:type="pct"/>
                  <w:vAlign w:val="center"/>
                </w:tcPr>
                <w:p>
                  <w:pPr>
                    <w:jc w:val="center"/>
                    <w:rPr>
                      <w:bCs/>
                      <w:kern w:val="0"/>
                      <w:szCs w:val="21"/>
                    </w:rPr>
                  </w:pPr>
                  <w:r>
                    <w:rPr>
                      <w:rFonts w:hint="eastAsia"/>
                      <w:bCs/>
                      <w:kern w:val="0"/>
                      <w:szCs w:val="21"/>
                    </w:rPr>
                    <w:t>0.</w:t>
                  </w:r>
                  <w:r>
                    <w:rPr>
                      <w:bCs/>
                      <w:kern w:val="0"/>
                      <w:szCs w:val="21"/>
                    </w:rPr>
                    <w:t>1</w:t>
                  </w:r>
                </w:p>
              </w:tc>
              <w:tc>
                <w:tcPr>
                  <w:tcW w:w="313" w:type="pct"/>
                  <w:vAlign w:val="center"/>
                </w:tcPr>
                <w:p>
                  <w:pPr>
                    <w:jc w:val="center"/>
                    <w:rPr>
                      <w:bCs/>
                      <w:kern w:val="0"/>
                      <w:szCs w:val="21"/>
                    </w:rPr>
                  </w:pPr>
                  <w:r>
                    <w:rPr>
                      <w:bCs/>
                      <w:kern w:val="0"/>
                      <w:szCs w:val="21"/>
                    </w:rPr>
                    <w:t>固态</w:t>
                  </w:r>
                </w:p>
              </w:tc>
              <w:tc>
                <w:tcPr>
                  <w:tcW w:w="418" w:type="pct"/>
                  <w:vAlign w:val="center"/>
                </w:tcPr>
                <w:p>
                  <w:pPr>
                    <w:topLinePunct/>
                    <w:snapToGrid w:val="0"/>
                    <w:jc w:val="center"/>
                    <w:rPr>
                      <w:kern w:val="0"/>
                      <w:szCs w:val="21"/>
                    </w:rPr>
                  </w:pPr>
                  <w:r>
                    <w:rPr>
                      <w:rFonts w:hint="eastAsia"/>
                      <w:kern w:val="0"/>
                      <w:szCs w:val="21"/>
                    </w:rPr>
                    <w:t>化学品、</w:t>
                  </w:r>
                  <w:r>
                    <w:rPr>
                      <w:kern w:val="0"/>
                      <w:szCs w:val="21"/>
                    </w:rPr>
                    <w:t>塑料</w:t>
                  </w:r>
                </w:p>
              </w:tc>
              <w:tc>
                <w:tcPr>
                  <w:tcW w:w="256" w:type="pct"/>
                  <w:vAlign w:val="center"/>
                </w:tcPr>
                <w:p>
                  <w:pPr>
                    <w:topLinePunct/>
                    <w:snapToGrid w:val="0"/>
                    <w:jc w:val="center"/>
                    <w:rPr>
                      <w:kern w:val="0"/>
                      <w:szCs w:val="21"/>
                    </w:rPr>
                  </w:pPr>
                  <w:r>
                    <w:rPr>
                      <w:rFonts w:hint="eastAsia"/>
                      <w:kern w:val="0"/>
                      <w:szCs w:val="21"/>
                    </w:rPr>
                    <w:t>化学品</w:t>
                  </w:r>
                </w:p>
              </w:tc>
              <w:tc>
                <w:tcPr>
                  <w:tcW w:w="249" w:type="pct"/>
                  <w:vAlign w:val="center"/>
                </w:tcPr>
                <w:p>
                  <w:pPr>
                    <w:jc w:val="center"/>
                    <w:rPr>
                      <w:szCs w:val="21"/>
                    </w:rPr>
                  </w:pPr>
                  <w:r>
                    <w:rPr>
                      <w:rFonts w:hint="eastAsia"/>
                      <w:szCs w:val="21"/>
                    </w:rPr>
                    <w:t>T/In</w:t>
                  </w:r>
                </w:p>
              </w:tc>
              <w:tc>
                <w:tcPr>
                  <w:tcW w:w="426" w:type="pct"/>
                  <w:vMerge w:val="continue"/>
                  <w:vAlign w:val="center"/>
                </w:tcPr>
                <w:p>
                  <w:pPr>
                    <w:widowControl/>
                    <w:jc w:val="center"/>
                    <w:rPr>
                      <w:kern w:val="0"/>
                      <w:szCs w:val="21"/>
                    </w:rPr>
                  </w:pPr>
                </w:p>
              </w:tc>
              <w:tc>
                <w:tcPr>
                  <w:tcW w:w="449" w:type="pct"/>
                  <w:vMerge w:val="continue"/>
                  <w:vAlign w:val="center"/>
                </w:tcPr>
                <w:p>
                  <w:pPr>
                    <w:widowControl/>
                    <w:jc w:val="center"/>
                    <w:rPr>
                      <w:kern w:val="0"/>
                      <w:szCs w:val="21"/>
                    </w:rPr>
                  </w:pPr>
                </w:p>
              </w:tc>
            </w:tr>
          </w:tbl>
          <w:p>
            <w:pPr>
              <w:tabs>
                <w:tab w:val="left" w:pos="1081"/>
              </w:tabs>
              <w:adjustRightInd w:val="0"/>
              <w:spacing w:line="360" w:lineRule="auto"/>
              <w:rPr>
                <w:szCs w:val="21"/>
              </w:rPr>
            </w:pPr>
            <w:r>
              <w:rPr>
                <w:szCs w:val="21"/>
              </w:rPr>
              <w:t>注：T指毒性，I指易燃性</w:t>
            </w:r>
            <w:r>
              <w:rPr>
                <w:rFonts w:hint="eastAsia"/>
                <w:szCs w:val="21"/>
              </w:rPr>
              <w:t>，In指</w:t>
            </w:r>
            <w:r>
              <w:rPr>
                <w:szCs w:val="21"/>
              </w:rPr>
              <w:t>感染性。</w:t>
            </w:r>
          </w:p>
          <w:p>
            <w:pPr>
              <w:snapToGrid w:val="0"/>
              <w:spacing w:line="360" w:lineRule="auto"/>
              <w:ind w:firstLine="422" w:firstLineChars="200"/>
              <w:rPr>
                <w:b/>
                <w:szCs w:val="21"/>
              </w:rPr>
            </w:pPr>
            <w:r>
              <w:rPr>
                <w:b/>
                <w:szCs w:val="21"/>
              </w:rPr>
              <w:t>2、管理情况</w:t>
            </w:r>
          </w:p>
          <w:p>
            <w:pPr>
              <w:spacing w:line="360" w:lineRule="auto"/>
              <w:ind w:firstLine="420" w:firstLineChars="200"/>
              <w:rPr>
                <w:szCs w:val="21"/>
              </w:rPr>
            </w:pPr>
            <w:r>
              <w:rPr>
                <w:szCs w:val="21"/>
              </w:rPr>
              <w:t>1）生活垃圾</w:t>
            </w:r>
          </w:p>
          <w:p>
            <w:pPr>
              <w:spacing w:line="360" w:lineRule="auto"/>
              <w:ind w:firstLine="420" w:firstLineChars="200"/>
              <w:rPr>
                <w:szCs w:val="21"/>
              </w:rPr>
            </w:pPr>
            <w:r>
              <w:rPr>
                <w:szCs w:val="21"/>
              </w:rPr>
              <w:t>生活垃圾主要成份是废纸、布类、皮革、瓜果皮核、饮料包装瓶、塑料等。生活垃圾按照指定地点堆放，每日由环卫部门清理运走，并对堆放点进行定期的清洁消毒，杀灭害虫。</w:t>
            </w:r>
          </w:p>
          <w:p>
            <w:pPr>
              <w:spacing w:line="360" w:lineRule="auto"/>
              <w:ind w:firstLine="420" w:firstLineChars="200"/>
              <w:rPr>
                <w:szCs w:val="21"/>
              </w:rPr>
            </w:pPr>
            <w:r>
              <w:rPr>
                <w:szCs w:val="21"/>
              </w:rPr>
              <w:t>2）一般工业固废</w:t>
            </w:r>
          </w:p>
          <w:p>
            <w:pPr>
              <w:snapToGrid w:val="0"/>
              <w:spacing w:line="360" w:lineRule="auto"/>
              <w:ind w:firstLine="420" w:firstLineChars="200"/>
              <w:rPr>
                <w:bCs/>
                <w:szCs w:val="21"/>
              </w:rPr>
            </w:pPr>
            <w:r>
              <w:rPr>
                <w:bCs/>
                <w:szCs w:val="21"/>
              </w:rPr>
              <w:t>项目生产过程中产生的一般工业固体废物主要为边角料、次品及包装废物</w:t>
            </w:r>
            <w:r>
              <w:rPr>
                <w:rFonts w:hint="eastAsia"/>
                <w:bCs/>
                <w:szCs w:val="21"/>
              </w:rPr>
              <w:t>和</w:t>
            </w:r>
            <w:r>
              <w:rPr>
                <w:bCs/>
                <w:szCs w:val="21"/>
              </w:rPr>
              <w:t>收集的粉尘，</w:t>
            </w:r>
            <w:r>
              <w:rPr>
                <w:szCs w:val="21"/>
              </w:rPr>
              <w:t>交由</w:t>
            </w:r>
            <w:r>
              <w:rPr>
                <w:rFonts w:hint="eastAsia"/>
                <w:szCs w:val="21"/>
              </w:rPr>
              <w:t>专业</w:t>
            </w:r>
            <w:r>
              <w:rPr>
                <w:szCs w:val="21"/>
              </w:rPr>
              <w:t>回收单位回收利用</w:t>
            </w:r>
            <w:r>
              <w:rPr>
                <w:bCs/>
                <w:szCs w:val="21"/>
              </w:rPr>
              <w:t>，建设单位在厂内设置有专门的存放区进行临时存放。</w:t>
            </w:r>
          </w:p>
          <w:p>
            <w:pPr>
              <w:pStyle w:val="44"/>
              <w:spacing w:line="360" w:lineRule="auto"/>
              <w:ind w:firstLine="420" w:firstLineChars="200"/>
              <w:jc w:val="both"/>
              <w:rPr>
                <w:rFonts w:ascii="Times New Roman" w:hAnsi="Times New Roman"/>
                <w:color w:val="auto"/>
                <w:sz w:val="21"/>
                <w:szCs w:val="21"/>
              </w:rPr>
            </w:pPr>
            <w:r>
              <w:rPr>
                <w:rFonts w:ascii="Times New Roman" w:hAnsi="Times New Roman"/>
                <w:color w:val="auto"/>
                <w:sz w:val="21"/>
                <w:szCs w:val="21"/>
              </w:rPr>
              <w:t>厂内一般固废临时贮存应注意：</w:t>
            </w:r>
          </w:p>
          <w:p>
            <w:pPr>
              <w:pStyle w:val="44"/>
              <w:spacing w:line="360" w:lineRule="auto"/>
              <w:ind w:firstLine="420" w:firstLineChars="200"/>
              <w:jc w:val="both"/>
              <w:rPr>
                <w:rFonts w:ascii="Times New Roman" w:hAnsi="Times New Roman"/>
                <w:color w:val="auto"/>
                <w:sz w:val="21"/>
                <w:szCs w:val="21"/>
              </w:rPr>
            </w:pPr>
            <w:r>
              <w:rPr>
                <w:rFonts w:ascii="Times New Roman" w:hAnsi="Times New Roman"/>
                <w:color w:val="auto"/>
                <w:sz w:val="21"/>
                <w:szCs w:val="21"/>
              </w:rPr>
              <w:t>A、对固体废物实行从产生、收集、运输、贮存直至最终处理实行全过程管理，加强固体废物运输过程的事故风险防范，按照有关法律、法规的要求，对固体废弃物全过程管理应报当地环保行政主管部门等批准。</w:t>
            </w:r>
          </w:p>
          <w:p>
            <w:pPr>
              <w:pStyle w:val="44"/>
              <w:spacing w:line="360" w:lineRule="auto"/>
              <w:ind w:firstLine="420" w:firstLineChars="200"/>
              <w:jc w:val="both"/>
              <w:rPr>
                <w:rFonts w:ascii="Times New Roman" w:hAnsi="Times New Roman"/>
                <w:color w:val="auto"/>
                <w:sz w:val="21"/>
                <w:szCs w:val="21"/>
              </w:rPr>
            </w:pPr>
            <w:r>
              <w:rPr>
                <w:rFonts w:ascii="Times New Roman" w:hAnsi="Times New Roman"/>
                <w:color w:val="auto"/>
                <w:sz w:val="21"/>
                <w:szCs w:val="21"/>
              </w:rPr>
              <w:t>B、加强固体废物规范化管理，固体废物分类定点堆放，堆放场所远离办公区和周围环境敏感点。为了减少雨水侵蚀造成的二次污染。</w:t>
            </w:r>
          </w:p>
          <w:p>
            <w:pPr>
              <w:spacing w:line="360" w:lineRule="auto"/>
              <w:ind w:firstLine="420" w:firstLineChars="200"/>
              <w:rPr>
                <w:bCs/>
                <w:szCs w:val="21"/>
              </w:rPr>
            </w:pPr>
            <w:r>
              <w:rPr>
                <w:bCs/>
                <w:szCs w:val="21"/>
              </w:rPr>
              <w:t>3）危险废物</w:t>
            </w:r>
          </w:p>
          <w:p>
            <w:pPr>
              <w:spacing w:line="360" w:lineRule="auto"/>
              <w:ind w:firstLine="420" w:firstLineChars="200"/>
              <w:rPr>
                <w:bCs/>
                <w:szCs w:val="21"/>
              </w:rPr>
            </w:pPr>
            <w:r>
              <w:rPr>
                <w:bCs/>
                <w:szCs w:val="21"/>
              </w:rPr>
              <w:t>项目运营期间产生的危险废物主要为</w:t>
            </w:r>
            <w:r>
              <w:rPr>
                <w:snapToGrid w:val="0"/>
                <w:kern w:val="0"/>
                <w:szCs w:val="21"/>
              </w:rPr>
              <w:t>废活性炭</w:t>
            </w:r>
            <w:r>
              <w:rPr>
                <w:rFonts w:hint="eastAsia"/>
                <w:snapToGrid w:val="0"/>
                <w:kern w:val="0"/>
                <w:szCs w:val="21"/>
              </w:rPr>
              <w:t>、废化学品</w:t>
            </w:r>
            <w:r>
              <w:rPr>
                <w:snapToGrid w:val="0"/>
                <w:kern w:val="0"/>
                <w:szCs w:val="21"/>
              </w:rPr>
              <w:t>包装桶</w:t>
            </w:r>
            <w:r>
              <w:rPr>
                <w:bCs/>
                <w:szCs w:val="21"/>
              </w:rPr>
              <w:t>，交由有资质单位处置。</w:t>
            </w:r>
          </w:p>
          <w:p>
            <w:pPr>
              <w:numPr>
                <w:ilvl w:val="0"/>
                <w:numId w:val="5"/>
              </w:numPr>
              <w:adjustRightInd w:val="0"/>
              <w:snapToGrid w:val="0"/>
              <w:spacing w:line="360" w:lineRule="auto"/>
              <w:ind w:left="0"/>
              <w:jc w:val="center"/>
              <w:rPr>
                <w:b/>
                <w:szCs w:val="21"/>
              </w:rPr>
            </w:pPr>
            <w:r>
              <w:rPr>
                <w:b/>
                <w:szCs w:val="21"/>
              </w:rPr>
              <w:t>项目危险废物贮存场所（设施）基本情况</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1201"/>
              <w:gridCol w:w="1368"/>
              <w:gridCol w:w="1196"/>
              <w:gridCol w:w="786"/>
              <w:gridCol w:w="712"/>
              <w:gridCol w:w="707"/>
              <w:gridCol w:w="712"/>
              <w:gridCol w:w="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4" w:type="pct"/>
                  <w:vAlign w:val="center"/>
                </w:tcPr>
                <w:p>
                  <w:pPr>
                    <w:pStyle w:val="81"/>
                    <w:jc w:val="center"/>
                    <w:rPr>
                      <w:rFonts w:ascii="Times New Roman" w:hAnsi="Times New Roman" w:cs="Times New Roman"/>
                      <w:b/>
                    </w:rPr>
                  </w:pPr>
                  <w:r>
                    <w:rPr>
                      <w:rFonts w:ascii="Times New Roman" w:hAnsi="Times New Roman" w:cs="Times New Roman"/>
                      <w:b/>
                    </w:rPr>
                    <w:t>贮存场所（设施）</w:t>
                  </w:r>
                </w:p>
                <w:p>
                  <w:pPr>
                    <w:pStyle w:val="81"/>
                    <w:jc w:val="center"/>
                    <w:rPr>
                      <w:rFonts w:ascii="Times New Roman" w:hAnsi="Times New Roman" w:cs="Times New Roman"/>
                      <w:b/>
                    </w:rPr>
                  </w:pPr>
                  <w:r>
                    <w:rPr>
                      <w:rFonts w:ascii="Times New Roman" w:hAnsi="Times New Roman" w:cs="Times New Roman"/>
                      <w:b/>
                    </w:rPr>
                    <w:t>名称</w:t>
                  </w:r>
                </w:p>
              </w:tc>
              <w:tc>
                <w:tcPr>
                  <w:tcW w:w="714" w:type="pct"/>
                  <w:vAlign w:val="center"/>
                </w:tcPr>
                <w:p>
                  <w:pPr>
                    <w:pStyle w:val="81"/>
                    <w:jc w:val="center"/>
                    <w:rPr>
                      <w:rFonts w:ascii="Times New Roman" w:hAnsi="Times New Roman" w:cs="Times New Roman"/>
                      <w:b/>
                    </w:rPr>
                  </w:pPr>
                  <w:r>
                    <w:rPr>
                      <w:rFonts w:ascii="Times New Roman" w:hAnsi="Times New Roman" w:cs="Times New Roman"/>
                      <w:b/>
                    </w:rPr>
                    <w:t>危险废物名称</w:t>
                  </w:r>
                </w:p>
              </w:tc>
              <w:tc>
                <w:tcPr>
                  <w:tcW w:w="813" w:type="pct"/>
                  <w:vAlign w:val="center"/>
                </w:tcPr>
                <w:p>
                  <w:pPr>
                    <w:pStyle w:val="81"/>
                    <w:jc w:val="center"/>
                    <w:rPr>
                      <w:rFonts w:ascii="Times New Roman" w:hAnsi="Times New Roman" w:cs="Times New Roman"/>
                      <w:b/>
                    </w:rPr>
                  </w:pPr>
                  <w:r>
                    <w:rPr>
                      <w:rFonts w:ascii="Times New Roman" w:hAnsi="Times New Roman" w:cs="Times New Roman"/>
                      <w:b/>
                    </w:rPr>
                    <w:t>危险废物类别</w:t>
                  </w:r>
                </w:p>
              </w:tc>
              <w:tc>
                <w:tcPr>
                  <w:tcW w:w="711" w:type="pct"/>
                  <w:vAlign w:val="center"/>
                </w:tcPr>
                <w:p>
                  <w:pPr>
                    <w:pStyle w:val="81"/>
                    <w:jc w:val="center"/>
                    <w:rPr>
                      <w:rFonts w:ascii="Times New Roman" w:hAnsi="Times New Roman" w:cs="Times New Roman"/>
                      <w:b/>
                    </w:rPr>
                  </w:pPr>
                  <w:r>
                    <w:rPr>
                      <w:rFonts w:ascii="Times New Roman" w:hAnsi="Times New Roman" w:cs="Times New Roman"/>
                      <w:b/>
                    </w:rPr>
                    <w:t>危险废物代码</w:t>
                  </w:r>
                </w:p>
              </w:tc>
              <w:tc>
                <w:tcPr>
                  <w:tcW w:w="467" w:type="pct"/>
                  <w:vAlign w:val="center"/>
                </w:tcPr>
                <w:p>
                  <w:pPr>
                    <w:pStyle w:val="81"/>
                    <w:jc w:val="center"/>
                    <w:rPr>
                      <w:rFonts w:ascii="Times New Roman" w:hAnsi="Times New Roman" w:cs="Times New Roman"/>
                      <w:b/>
                    </w:rPr>
                  </w:pPr>
                  <w:r>
                    <w:rPr>
                      <w:rFonts w:ascii="Times New Roman" w:hAnsi="Times New Roman" w:cs="Times New Roman"/>
                      <w:b/>
                    </w:rPr>
                    <w:t>位置</w:t>
                  </w:r>
                </w:p>
              </w:tc>
              <w:tc>
                <w:tcPr>
                  <w:tcW w:w="423" w:type="pct"/>
                  <w:vAlign w:val="center"/>
                </w:tcPr>
                <w:p>
                  <w:pPr>
                    <w:pStyle w:val="81"/>
                    <w:jc w:val="center"/>
                    <w:rPr>
                      <w:rFonts w:ascii="Times New Roman" w:hAnsi="Times New Roman" w:cs="Times New Roman"/>
                      <w:b/>
                    </w:rPr>
                  </w:pPr>
                  <w:r>
                    <w:rPr>
                      <w:rFonts w:ascii="Times New Roman" w:hAnsi="Times New Roman" w:cs="Times New Roman"/>
                      <w:b/>
                    </w:rPr>
                    <w:t>占地面积</w:t>
                  </w:r>
                </w:p>
              </w:tc>
              <w:tc>
                <w:tcPr>
                  <w:tcW w:w="420" w:type="pct"/>
                  <w:vAlign w:val="center"/>
                </w:tcPr>
                <w:p>
                  <w:pPr>
                    <w:pStyle w:val="81"/>
                    <w:jc w:val="center"/>
                    <w:rPr>
                      <w:rFonts w:ascii="Times New Roman" w:hAnsi="Times New Roman" w:cs="Times New Roman"/>
                      <w:b/>
                    </w:rPr>
                  </w:pPr>
                  <w:r>
                    <w:rPr>
                      <w:rFonts w:ascii="Times New Roman" w:hAnsi="Times New Roman" w:cs="Times New Roman"/>
                      <w:b/>
                    </w:rPr>
                    <w:t>贮存方式</w:t>
                  </w:r>
                </w:p>
              </w:tc>
              <w:tc>
                <w:tcPr>
                  <w:tcW w:w="423" w:type="pct"/>
                  <w:vAlign w:val="center"/>
                </w:tcPr>
                <w:p>
                  <w:pPr>
                    <w:pStyle w:val="81"/>
                    <w:jc w:val="center"/>
                    <w:rPr>
                      <w:rFonts w:ascii="Times New Roman" w:hAnsi="Times New Roman" w:cs="Times New Roman"/>
                      <w:b/>
                    </w:rPr>
                  </w:pPr>
                  <w:r>
                    <w:rPr>
                      <w:rFonts w:ascii="Times New Roman" w:hAnsi="Times New Roman" w:cs="Times New Roman"/>
                      <w:b/>
                    </w:rPr>
                    <w:t>贮存能力</w:t>
                  </w:r>
                </w:p>
              </w:tc>
              <w:tc>
                <w:tcPr>
                  <w:tcW w:w="594" w:type="pct"/>
                  <w:vAlign w:val="center"/>
                </w:tcPr>
                <w:p>
                  <w:pPr>
                    <w:pStyle w:val="81"/>
                    <w:jc w:val="center"/>
                    <w:rPr>
                      <w:rFonts w:ascii="Times New Roman" w:hAnsi="Times New Roman" w:cs="Times New Roman"/>
                      <w:b/>
                    </w:rPr>
                  </w:pPr>
                  <w:r>
                    <w:rPr>
                      <w:rFonts w:ascii="Times New Roman" w:hAnsi="Times New Roman" w:cs="Times New Roman"/>
                      <w:b/>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4" w:type="pct"/>
                  <w:vMerge w:val="restart"/>
                  <w:vAlign w:val="center"/>
                </w:tcPr>
                <w:p>
                  <w:pPr>
                    <w:pStyle w:val="81"/>
                    <w:jc w:val="center"/>
                    <w:rPr>
                      <w:rFonts w:ascii="Times New Roman" w:hAnsi="Times New Roman" w:cs="Times New Roman"/>
                    </w:rPr>
                  </w:pPr>
                  <w:r>
                    <w:rPr>
                      <w:rFonts w:ascii="Times New Roman" w:hAnsi="Times New Roman" w:cs="Times New Roman"/>
                    </w:rPr>
                    <w:t>危废间</w:t>
                  </w:r>
                </w:p>
              </w:tc>
              <w:tc>
                <w:tcPr>
                  <w:tcW w:w="714" w:type="pct"/>
                  <w:vAlign w:val="center"/>
                </w:tcPr>
                <w:p>
                  <w:pPr>
                    <w:tabs>
                      <w:tab w:val="left" w:pos="1081"/>
                    </w:tabs>
                    <w:jc w:val="center"/>
                    <w:rPr>
                      <w:bCs/>
                      <w:kern w:val="0"/>
                      <w:szCs w:val="21"/>
                    </w:rPr>
                  </w:pPr>
                  <w:r>
                    <w:rPr>
                      <w:bCs/>
                      <w:kern w:val="0"/>
                      <w:szCs w:val="21"/>
                    </w:rPr>
                    <w:t>废活性炭</w:t>
                  </w:r>
                </w:p>
              </w:tc>
              <w:tc>
                <w:tcPr>
                  <w:tcW w:w="813" w:type="pct"/>
                  <w:vAlign w:val="center"/>
                </w:tcPr>
                <w:p>
                  <w:pPr>
                    <w:jc w:val="center"/>
                    <w:rPr>
                      <w:bCs/>
                      <w:kern w:val="0"/>
                      <w:szCs w:val="21"/>
                    </w:rPr>
                  </w:pPr>
                  <w:r>
                    <w:rPr>
                      <w:bCs/>
                      <w:kern w:val="0"/>
                      <w:szCs w:val="21"/>
                    </w:rPr>
                    <w:t>HW49其他废物</w:t>
                  </w:r>
                </w:p>
              </w:tc>
              <w:tc>
                <w:tcPr>
                  <w:tcW w:w="711" w:type="pct"/>
                  <w:vAlign w:val="center"/>
                </w:tcPr>
                <w:p>
                  <w:pPr>
                    <w:jc w:val="center"/>
                    <w:rPr>
                      <w:kern w:val="0"/>
                      <w:szCs w:val="21"/>
                    </w:rPr>
                  </w:pPr>
                  <w:r>
                    <w:rPr>
                      <w:kern w:val="0"/>
                      <w:szCs w:val="21"/>
                    </w:rPr>
                    <w:t>900-039-49</w:t>
                  </w:r>
                </w:p>
              </w:tc>
              <w:tc>
                <w:tcPr>
                  <w:tcW w:w="467" w:type="pct"/>
                  <w:vMerge w:val="restart"/>
                  <w:vAlign w:val="center"/>
                </w:tcPr>
                <w:p>
                  <w:pPr>
                    <w:pStyle w:val="81"/>
                    <w:jc w:val="center"/>
                    <w:rPr>
                      <w:rFonts w:ascii="Times New Roman" w:hAnsi="Times New Roman" w:cs="Times New Roman"/>
                    </w:rPr>
                  </w:pPr>
                  <w:r>
                    <w:rPr>
                      <w:rFonts w:hint="eastAsia" w:ascii="Times New Roman" w:hAnsi="Times New Roman" w:cs="Times New Roman"/>
                    </w:rPr>
                    <w:t>厂房B北</w:t>
                  </w:r>
                </w:p>
              </w:tc>
              <w:tc>
                <w:tcPr>
                  <w:tcW w:w="423" w:type="pct"/>
                  <w:vMerge w:val="restart"/>
                  <w:vAlign w:val="center"/>
                </w:tcPr>
                <w:p>
                  <w:pPr>
                    <w:pStyle w:val="81"/>
                    <w:jc w:val="center"/>
                    <w:rPr>
                      <w:rFonts w:ascii="Times New Roman" w:hAnsi="Times New Roman" w:cs="Times New Roman"/>
                    </w:rPr>
                  </w:pPr>
                  <w:r>
                    <w:rPr>
                      <w:rFonts w:ascii="Times New Roman" w:hAnsi="Times New Roman" w:cs="Times New Roman"/>
                    </w:rPr>
                    <w:t>5m</w:t>
                  </w:r>
                  <w:r>
                    <w:rPr>
                      <w:rFonts w:ascii="Times New Roman" w:hAnsi="Times New Roman" w:cs="Times New Roman"/>
                      <w:vertAlign w:val="superscript"/>
                    </w:rPr>
                    <w:t>2</w:t>
                  </w:r>
                </w:p>
              </w:tc>
              <w:tc>
                <w:tcPr>
                  <w:tcW w:w="420" w:type="pct"/>
                  <w:vAlign w:val="center"/>
                </w:tcPr>
                <w:p>
                  <w:pPr>
                    <w:pStyle w:val="81"/>
                    <w:jc w:val="center"/>
                    <w:rPr>
                      <w:rFonts w:ascii="Times New Roman" w:hAnsi="Times New Roman" w:cs="Times New Roman"/>
                    </w:rPr>
                  </w:pPr>
                  <w:r>
                    <w:rPr>
                      <w:rFonts w:hint="eastAsia" w:ascii="Times New Roman" w:hAnsi="Times New Roman" w:cs="Times New Roman"/>
                    </w:rPr>
                    <w:t>密封</w:t>
                  </w:r>
                  <w:r>
                    <w:rPr>
                      <w:rFonts w:ascii="Times New Roman" w:hAnsi="Times New Roman" w:cs="Times New Roman"/>
                    </w:rPr>
                    <w:t>胶袋</w:t>
                  </w:r>
                </w:p>
              </w:tc>
              <w:tc>
                <w:tcPr>
                  <w:tcW w:w="423" w:type="pct"/>
                  <w:vAlign w:val="center"/>
                </w:tcPr>
                <w:p>
                  <w:pPr>
                    <w:pStyle w:val="81"/>
                    <w:jc w:val="center"/>
                    <w:rPr>
                      <w:rFonts w:ascii="Times New Roman" w:hAnsi="Times New Roman" w:cs="Times New Roman"/>
                    </w:rPr>
                  </w:pPr>
                  <w:r>
                    <w:rPr>
                      <w:rFonts w:ascii="Times New Roman" w:hAnsi="Times New Roman" w:cs="Times New Roman"/>
                    </w:rPr>
                    <w:t>3t</w:t>
                  </w:r>
                </w:p>
              </w:tc>
              <w:tc>
                <w:tcPr>
                  <w:tcW w:w="594" w:type="pct"/>
                  <w:vAlign w:val="center"/>
                </w:tcPr>
                <w:p>
                  <w:pPr>
                    <w:pStyle w:val="81"/>
                    <w:jc w:val="center"/>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4" w:type="pct"/>
                  <w:vMerge w:val="continue"/>
                  <w:vAlign w:val="center"/>
                </w:tcPr>
                <w:p>
                  <w:pPr>
                    <w:pStyle w:val="81"/>
                    <w:jc w:val="center"/>
                    <w:rPr>
                      <w:rFonts w:ascii="Times New Roman" w:hAnsi="Times New Roman" w:cs="Times New Roman"/>
                    </w:rPr>
                  </w:pPr>
                </w:p>
              </w:tc>
              <w:tc>
                <w:tcPr>
                  <w:tcW w:w="714" w:type="pct"/>
                  <w:vAlign w:val="center"/>
                </w:tcPr>
                <w:p>
                  <w:pPr>
                    <w:tabs>
                      <w:tab w:val="left" w:pos="1081"/>
                    </w:tabs>
                    <w:jc w:val="center"/>
                    <w:rPr>
                      <w:bCs/>
                      <w:kern w:val="0"/>
                      <w:szCs w:val="21"/>
                    </w:rPr>
                  </w:pPr>
                  <w:r>
                    <w:rPr>
                      <w:rFonts w:hint="eastAsia"/>
                      <w:bCs/>
                      <w:kern w:val="0"/>
                      <w:szCs w:val="21"/>
                    </w:rPr>
                    <w:t>废化学品包装桶</w:t>
                  </w:r>
                </w:p>
              </w:tc>
              <w:tc>
                <w:tcPr>
                  <w:tcW w:w="813" w:type="pct"/>
                  <w:vAlign w:val="center"/>
                </w:tcPr>
                <w:p>
                  <w:pPr>
                    <w:jc w:val="center"/>
                    <w:rPr>
                      <w:bCs/>
                      <w:kern w:val="0"/>
                      <w:szCs w:val="21"/>
                    </w:rPr>
                  </w:pPr>
                  <w:r>
                    <w:rPr>
                      <w:bCs/>
                      <w:kern w:val="0"/>
                      <w:szCs w:val="21"/>
                    </w:rPr>
                    <w:t>HW49其他废物</w:t>
                  </w:r>
                </w:p>
              </w:tc>
              <w:tc>
                <w:tcPr>
                  <w:tcW w:w="711" w:type="pct"/>
                  <w:vAlign w:val="center"/>
                </w:tcPr>
                <w:p>
                  <w:pPr>
                    <w:jc w:val="center"/>
                    <w:rPr>
                      <w:kern w:val="0"/>
                      <w:szCs w:val="21"/>
                    </w:rPr>
                  </w:pPr>
                  <w:r>
                    <w:rPr>
                      <w:rFonts w:hint="eastAsia"/>
                      <w:kern w:val="0"/>
                      <w:szCs w:val="21"/>
                    </w:rPr>
                    <w:t>900-041-49</w:t>
                  </w:r>
                </w:p>
              </w:tc>
              <w:tc>
                <w:tcPr>
                  <w:tcW w:w="467" w:type="pct"/>
                  <w:vMerge w:val="continue"/>
                  <w:vAlign w:val="center"/>
                </w:tcPr>
                <w:p>
                  <w:pPr>
                    <w:pStyle w:val="81"/>
                    <w:jc w:val="center"/>
                    <w:rPr>
                      <w:rFonts w:ascii="Times New Roman" w:hAnsi="Times New Roman" w:cs="Times New Roman"/>
                    </w:rPr>
                  </w:pPr>
                </w:p>
              </w:tc>
              <w:tc>
                <w:tcPr>
                  <w:tcW w:w="423" w:type="pct"/>
                  <w:vMerge w:val="continue"/>
                  <w:vAlign w:val="center"/>
                </w:tcPr>
                <w:p>
                  <w:pPr>
                    <w:pStyle w:val="81"/>
                    <w:jc w:val="center"/>
                    <w:rPr>
                      <w:rFonts w:ascii="Times New Roman" w:hAnsi="Times New Roman" w:cs="Times New Roman"/>
                    </w:rPr>
                  </w:pPr>
                </w:p>
              </w:tc>
              <w:tc>
                <w:tcPr>
                  <w:tcW w:w="420" w:type="pct"/>
                  <w:vAlign w:val="center"/>
                </w:tcPr>
                <w:p>
                  <w:pPr>
                    <w:pStyle w:val="81"/>
                    <w:jc w:val="center"/>
                    <w:rPr>
                      <w:rFonts w:ascii="Times New Roman" w:hAnsi="Times New Roman" w:cs="Times New Roman"/>
                    </w:rPr>
                  </w:pPr>
                  <w:r>
                    <w:rPr>
                      <w:rFonts w:hint="eastAsia" w:ascii="Times New Roman" w:hAnsi="Times New Roman" w:cs="Times New Roman"/>
                    </w:rPr>
                    <w:t>密封</w:t>
                  </w:r>
                  <w:r>
                    <w:rPr>
                      <w:rFonts w:ascii="Times New Roman" w:hAnsi="Times New Roman" w:cs="Times New Roman"/>
                    </w:rPr>
                    <w:t>胶袋</w:t>
                  </w:r>
                </w:p>
              </w:tc>
              <w:tc>
                <w:tcPr>
                  <w:tcW w:w="423" w:type="pct"/>
                  <w:vAlign w:val="center"/>
                </w:tcPr>
                <w:p>
                  <w:pPr>
                    <w:pStyle w:val="81"/>
                    <w:jc w:val="center"/>
                    <w:rPr>
                      <w:rFonts w:ascii="Times New Roman" w:hAnsi="Times New Roman" w:cs="Times New Roman"/>
                    </w:rPr>
                  </w:pPr>
                  <w:r>
                    <w:rPr>
                      <w:rFonts w:hint="eastAsia" w:ascii="Times New Roman" w:hAnsi="Times New Roman" w:cs="Times New Roman"/>
                    </w:rPr>
                    <w:t>0.</w:t>
                  </w:r>
                  <w:r>
                    <w:rPr>
                      <w:rFonts w:ascii="Times New Roman" w:hAnsi="Times New Roman" w:cs="Times New Roman"/>
                    </w:rPr>
                    <w:t>1</w:t>
                  </w:r>
                  <w:r>
                    <w:rPr>
                      <w:rFonts w:hint="eastAsia" w:ascii="Times New Roman" w:hAnsi="Times New Roman" w:cs="Times New Roman"/>
                    </w:rPr>
                    <w:t>t</w:t>
                  </w:r>
                </w:p>
              </w:tc>
              <w:tc>
                <w:tcPr>
                  <w:tcW w:w="594" w:type="pct"/>
                  <w:vAlign w:val="center"/>
                </w:tcPr>
                <w:p>
                  <w:pPr>
                    <w:pStyle w:val="81"/>
                    <w:jc w:val="center"/>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年</w:t>
                  </w:r>
                </w:p>
              </w:tc>
            </w:tr>
          </w:tbl>
          <w:p>
            <w:pPr>
              <w:adjustRightInd w:val="0"/>
              <w:snapToGrid w:val="0"/>
              <w:spacing w:line="360" w:lineRule="auto"/>
              <w:ind w:firstLine="420" w:firstLineChars="200"/>
              <w:jc w:val="left"/>
              <w:rPr>
                <w:bCs/>
                <w:szCs w:val="21"/>
              </w:rPr>
            </w:pPr>
            <w:r>
              <w:rPr>
                <w:bCs/>
                <w:szCs w:val="21"/>
              </w:rPr>
              <w:t>项目危险废物经收集后交由有危险废物回收处理资质的单位外运处理。建设单位应委托具有相应资质的运输单位和利用处置经营单位，签订委托合同，依法委托运输、利用处置危险废物。在委托时，应详细核实运输单位、车辆、驾驶员及押运员的资质，并根据废物特性，选择运输工具，严防二次污染；应详细核实经营单位资质，严禁委托不具资质或资质不符的单位处置。转移前，产生单位应制定转移计划，向环保主管部门报备并领取联单；转移后，应按照转移实际，做到一转移一联单，并及时向环保主管部门提交转移联单，联单保存应在五年以上。</w:t>
            </w:r>
          </w:p>
          <w:p>
            <w:pPr>
              <w:spacing w:line="360" w:lineRule="auto"/>
              <w:ind w:firstLine="420" w:firstLineChars="200"/>
              <w:rPr>
                <w:bCs/>
                <w:szCs w:val="21"/>
              </w:rPr>
            </w:pPr>
            <w:r>
              <w:rPr>
                <w:bCs/>
                <w:szCs w:val="21"/>
              </w:rPr>
              <w:t>加强对危险废物的管理，对危险废物的产生、利用、收集、运输、贮存、处置等环节建立追踪性的帐目和手续，并纳入环保部门的监督管理。</w:t>
            </w:r>
          </w:p>
          <w:p>
            <w:pPr>
              <w:spacing w:line="360" w:lineRule="auto"/>
              <w:ind w:firstLine="420" w:firstLineChars="200"/>
              <w:rPr>
                <w:bCs/>
                <w:szCs w:val="21"/>
              </w:rPr>
            </w:pPr>
            <w:r>
              <w:rPr>
                <w:bCs/>
                <w:szCs w:val="21"/>
              </w:rPr>
              <w:t>危险废物的运输和贮存注意事项如下：</w:t>
            </w:r>
          </w:p>
          <w:p>
            <w:pPr>
              <w:spacing w:line="360" w:lineRule="auto"/>
              <w:ind w:firstLine="420" w:firstLineChars="200"/>
              <w:rPr>
                <w:bCs/>
                <w:szCs w:val="21"/>
              </w:rPr>
            </w:pPr>
            <w:r>
              <w:rPr>
                <w:bCs/>
                <w:szCs w:val="21"/>
              </w:rPr>
              <w:t>A、贮存</w:t>
            </w:r>
          </w:p>
          <w:p>
            <w:pPr>
              <w:spacing w:line="360" w:lineRule="auto"/>
              <w:ind w:firstLine="420" w:firstLineChars="200"/>
              <w:rPr>
                <w:bCs/>
                <w:szCs w:val="21"/>
              </w:rPr>
            </w:pPr>
            <w:r>
              <w:rPr>
                <w:bCs/>
                <w:szCs w:val="21"/>
              </w:rPr>
              <w:t>项目生产过程中将产生一定量的危险废物，应严格按照《危险废物贮存污染控制标准》（GB18597-2001）及2013年修改单相关要求进行分类收集后置于专用桶中，暂存放在项目的危险废物暂存间内。同时该危险废物贮存间应严格按照《危险废物贮存污染控制标准》（GBl8597-2001）及2013年修改单要求进行。</w:t>
            </w:r>
          </w:p>
          <w:p>
            <w:pPr>
              <w:spacing w:line="360" w:lineRule="auto"/>
              <w:ind w:firstLine="420" w:firstLineChars="200"/>
              <w:rPr>
                <w:bCs/>
                <w:szCs w:val="21"/>
              </w:rPr>
            </w:pPr>
            <w:r>
              <w:rPr>
                <w:bCs/>
                <w:szCs w:val="21"/>
              </w:rPr>
              <w:t>B、运输</w:t>
            </w:r>
          </w:p>
          <w:p>
            <w:pPr>
              <w:spacing w:line="360" w:lineRule="auto"/>
              <w:ind w:firstLine="420" w:firstLineChars="200"/>
              <w:rPr>
                <w:bCs/>
                <w:szCs w:val="21"/>
              </w:rPr>
            </w:pPr>
            <w:r>
              <w:rPr>
                <w:bCs/>
                <w:szCs w:val="21"/>
              </w:rPr>
              <w:t>项目产生的危险废物，拟交由有资质单位回收处理，由处理单位派专用车辆定期上门接收，运输至资质单位废物处理场进行处理。</w:t>
            </w:r>
          </w:p>
          <w:p>
            <w:pPr>
              <w:spacing w:line="360" w:lineRule="auto"/>
              <w:ind w:firstLine="420" w:firstLineChars="200"/>
              <w:rPr>
                <w:bCs/>
                <w:szCs w:val="21"/>
              </w:rPr>
            </w:pPr>
            <w:r>
              <w:rPr>
                <w:bCs/>
                <w:szCs w:val="21"/>
              </w:rPr>
              <w:t>C、处置</w:t>
            </w:r>
          </w:p>
          <w:p>
            <w:pPr>
              <w:spacing w:line="360" w:lineRule="auto"/>
              <w:ind w:firstLine="420" w:firstLineChars="200"/>
              <w:rPr>
                <w:bCs/>
                <w:szCs w:val="21"/>
              </w:rPr>
            </w:pPr>
            <w:r>
              <w:rPr>
                <w:bCs/>
                <w:szCs w:val="21"/>
              </w:rPr>
              <w:t>项目产生的危险废物交由有资质单位根据各危险废物的性质进行无害化处置。环评针对危险废物的储存提出项目设置的危险废物临时堆放间需满足以下要求：</w:t>
            </w:r>
          </w:p>
          <w:p>
            <w:pPr>
              <w:spacing w:line="360" w:lineRule="auto"/>
              <w:ind w:firstLine="420" w:firstLineChars="200"/>
              <w:rPr>
                <w:bCs/>
                <w:szCs w:val="21"/>
              </w:rPr>
            </w:pPr>
            <w:r>
              <w:rPr>
                <w:rFonts w:hint="eastAsia" w:ascii="宋体" w:hAnsi="宋体" w:cs="宋体"/>
                <w:bCs/>
                <w:szCs w:val="21"/>
              </w:rPr>
              <w:t>①</w:t>
            </w:r>
            <w:r>
              <w:rPr>
                <w:bCs/>
                <w:szCs w:val="21"/>
              </w:rPr>
              <w:t>基础必须防渗，防渗层必须为砼结构，或至少为1m厚粘土层（渗透系数≤10</w:t>
            </w:r>
            <w:r>
              <w:rPr>
                <w:bCs/>
                <w:szCs w:val="21"/>
                <w:vertAlign w:val="superscript"/>
              </w:rPr>
              <w:t>-7</w:t>
            </w:r>
            <w:r>
              <w:rPr>
                <w:bCs/>
                <w:szCs w:val="21"/>
              </w:rPr>
              <w:t>cm/s），或2mm厚高密度聚乙烯，或至少为2mm厚的其他人工材料，渗透系数≤10</w:t>
            </w:r>
            <w:r>
              <w:rPr>
                <w:bCs/>
                <w:szCs w:val="21"/>
                <w:vertAlign w:val="superscript"/>
              </w:rPr>
              <w:t>-10</w:t>
            </w:r>
            <w:r>
              <w:rPr>
                <w:bCs/>
                <w:szCs w:val="21"/>
              </w:rPr>
              <w:t>cm/s。</w:t>
            </w:r>
          </w:p>
          <w:p>
            <w:pPr>
              <w:spacing w:line="360" w:lineRule="auto"/>
              <w:ind w:firstLine="420" w:firstLineChars="200"/>
              <w:rPr>
                <w:bCs/>
                <w:szCs w:val="21"/>
              </w:rPr>
            </w:pPr>
            <w:r>
              <w:rPr>
                <w:rFonts w:hint="eastAsia" w:ascii="宋体" w:hAnsi="宋体" w:cs="宋体"/>
                <w:bCs/>
                <w:szCs w:val="21"/>
              </w:rPr>
              <w:t>②</w:t>
            </w:r>
            <w:r>
              <w:rPr>
                <w:bCs/>
                <w:szCs w:val="21"/>
              </w:rPr>
              <w:t>堆放危险废物的高度应根据地面承载能力确定。</w:t>
            </w:r>
          </w:p>
          <w:p>
            <w:pPr>
              <w:spacing w:line="360" w:lineRule="auto"/>
              <w:ind w:firstLine="420" w:firstLineChars="200"/>
              <w:rPr>
                <w:bCs/>
                <w:szCs w:val="21"/>
              </w:rPr>
            </w:pPr>
            <w:r>
              <w:rPr>
                <w:rFonts w:hint="eastAsia" w:ascii="宋体" w:hAnsi="宋体" w:cs="宋体"/>
                <w:bCs/>
                <w:szCs w:val="21"/>
              </w:rPr>
              <w:t>③</w:t>
            </w:r>
            <w:r>
              <w:rPr>
                <w:bCs/>
                <w:szCs w:val="21"/>
              </w:rPr>
              <w:t>衬里放在一个基础或底座上。</w:t>
            </w:r>
          </w:p>
          <w:p>
            <w:pPr>
              <w:spacing w:line="360" w:lineRule="auto"/>
              <w:ind w:firstLine="420" w:firstLineChars="200"/>
              <w:rPr>
                <w:bCs/>
                <w:szCs w:val="21"/>
              </w:rPr>
            </w:pPr>
            <w:r>
              <w:rPr>
                <w:rFonts w:hint="eastAsia" w:ascii="宋体" w:hAnsi="宋体" w:cs="宋体"/>
                <w:bCs/>
                <w:szCs w:val="21"/>
              </w:rPr>
              <w:t>④</w:t>
            </w:r>
            <w:r>
              <w:rPr>
                <w:bCs/>
                <w:szCs w:val="21"/>
              </w:rPr>
              <w:t>衬里要能够覆盖危险废物或其溶出物可能涉及到的范围。</w:t>
            </w:r>
          </w:p>
          <w:p>
            <w:pPr>
              <w:spacing w:line="360" w:lineRule="auto"/>
              <w:ind w:firstLine="420" w:firstLineChars="200"/>
              <w:rPr>
                <w:bCs/>
                <w:szCs w:val="21"/>
              </w:rPr>
            </w:pPr>
            <w:r>
              <w:rPr>
                <w:rFonts w:hint="eastAsia" w:ascii="宋体" w:hAnsi="宋体" w:cs="宋体"/>
                <w:bCs/>
                <w:szCs w:val="21"/>
              </w:rPr>
              <w:t>⑤</w:t>
            </w:r>
            <w:r>
              <w:rPr>
                <w:bCs/>
                <w:szCs w:val="21"/>
              </w:rPr>
              <w:t>衬里材料与堆放危险废物相容。</w:t>
            </w:r>
          </w:p>
          <w:p>
            <w:pPr>
              <w:spacing w:line="360" w:lineRule="auto"/>
              <w:ind w:firstLine="420" w:firstLineChars="200"/>
              <w:rPr>
                <w:bCs/>
                <w:szCs w:val="21"/>
              </w:rPr>
            </w:pPr>
            <w:r>
              <w:rPr>
                <w:rFonts w:hint="eastAsia" w:ascii="宋体" w:hAnsi="宋体" w:cs="宋体"/>
                <w:bCs/>
                <w:szCs w:val="21"/>
              </w:rPr>
              <w:t>⑥</w:t>
            </w:r>
            <w:r>
              <w:rPr>
                <w:bCs/>
                <w:szCs w:val="21"/>
              </w:rPr>
              <w:t>在衬里上设计、建造浸出液收集清除系统。</w:t>
            </w:r>
          </w:p>
          <w:p>
            <w:pPr>
              <w:spacing w:line="360" w:lineRule="auto"/>
              <w:ind w:firstLine="420" w:firstLineChars="200"/>
              <w:rPr>
                <w:bCs/>
                <w:szCs w:val="21"/>
              </w:rPr>
            </w:pPr>
            <w:r>
              <w:rPr>
                <w:rFonts w:hint="eastAsia" w:ascii="宋体" w:hAnsi="宋体" w:cs="宋体"/>
                <w:bCs/>
                <w:szCs w:val="21"/>
              </w:rPr>
              <w:t>⑦</w:t>
            </w:r>
            <w:r>
              <w:rPr>
                <w:bCs/>
                <w:szCs w:val="21"/>
              </w:rPr>
              <w:t>应设计建造径流疏导系统，保证能防止25年一遇的暴雨不会流到危险废物临时堆放场内。</w:t>
            </w:r>
          </w:p>
          <w:p>
            <w:pPr>
              <w:spacing w:line="360" w:lineRule="auto"/>
              <w:ind w:firstLine="420" w:firstLineChars="200"/>
              <w:rPr>
                <w:bCs/>
                <w:szCs w:val="21"/>
              </w:rPr>
            </w:pPr>
            <w:r>
              <w:rPr>
                <w:rFonts w:hint="eastAsia" w:ascii="宋体" w:hAnsi="宋体" w:cs="宋体"/>
                <w:bCs/>
                <w:szCs w:val="21"/>
              </w:rPr>
              <w:t>⑧</w:t>
            </w:r>
            <w:r>
              <w:rPr>
                <w:bCs/>
                <w:szCs w:val="21"/>
              </w:rPr>
              <w:t>危险废物临时堆放场要做好防风、防雨、防晒。</w:t>
            </w:r>
          </w:p>
          <w:p>
            <w:pPr>
              <w:spacing w:line="360" w:lineRule="auto"/>
              <w:ind w:firstLine="420" w:firstLineChars="200"/>
              <w:rPr>
                <w:bCs/>
                <w:szCs w:val="21"/>
              </w:rPr>
            </w:pPr>
            <w:r>
              <w:rPr>
                <w:rFonts w:hint="eastAsia" w:ascii="宋体" w:hAnsi="宋体" w:cs="宋体"/>
                <w:bCs/>
                <w:szCs w:val="21"/>
              </w:rPr>
              <w:t>⑨</w:t>
            </w:r>
            <w:r>
              <w:rPr>
                <w:bCs/>
                <w:szCs w:val="21"/>
              </w:rPr>
              <w:t>不相容的危险废物不能堆放在一起。</w:t>
            </w:r>
          </w:p>
          <w:p>
            <w:pPr>
              <w:spacing w:line="360" w:lineRule="auto"/>
              <w:ind w:firstLine="420" w:firstLineChars="200"/>
              <w:rPr>
                <w:bCs/>
                <w:szCs w:val="21"/>
              </w:rPr>
            </w:pPr>
            <w:r>
              <w:rPr>
                <w:rFonts w:hint="eastAsia" w:ascii="宋体" w:hAnsi="宋体" w:cs="宋体"/>
                <w:bCs/>
                <w:szCs w:val="21"/>
              </w:rPr>
              <w:t>⑩</w:t>
            </w:r>
            <w:r>
              <w:rPr>
                <w:bCs/>
                <w:szCs w:val="21"/>
              </w:rPr>
              <w:t>项目危险废物用密闭容器储存在危险废物暂存区内，并在相应的储存区域内设置围堰。</w:t>
            </w:r>
          </w:p>
          <w:p>
            <w:pPr>
              <w:spacing w:line="360" w:lineRule="auto"/>
              <w:ind w:firstLine="420" w:firstLineChars="200"/>
              <w:rPr>
                <w:bCs/>
                <w:szCs w:val="21"/>
              </w:rPr>
            </w:pPr>
            <w:r>
              <w:rPr>
                <w:bCs/>
                <w:szCs w:val="21"/>
              </w:rPr>
              <w:t>经采用上述措施后，本项目产生的固体废物对周围环境基本无影响。</w:t>
            </w:r>
          </w:p>
          <w:p>
            <w:pPr>
              <w:snapToGrid w:val="0"/>
              <w:spacing w:line="360" w:lineRule="auto"/>
              <w:ind w:firstLine="422" w:firstLineChars="200"/>
              <w:rPr>
                <w:b/>
                <w:szCs w:val="21"/>
              </w:rPr>
            </w:pPr>
            <w:r>
              <w:rPr>
                <w:b/>
                <w:szCs w:val="21"/>
              </w:rPr>
              <w:t>五、地下水、土壤</w:t>
            </w:r>
          </w:p>
          <w:p>
            <w:pPr>
              <w:adjustRightInd w:val="0"/>
              <w:snapToGrid w:val="0"/>
              <w:spacing w:line="360" w:lineRule="auto"/>
              <w:ind w:right="57" w:rightChars="27" w:firstLine="465"/>
              <w:rPr>
                <w:bCs/>
                <w:szCs w:val="21"/>
              </w:rPr>
            </w:pPr>
            <w:r>
              <w:rPr>
                <w:rFonts w:hint="eastAsia"/>
                <w:szCs w:val="21"/>
              </w:rPr>
              <w:t>地下水污染主要是由于污染物迁移穿过包气带进入含水层造成；土壤污染主要由</w:t>
            </w:r>
            <w:r>
              <w:rPr>
                <w:rFonts w:hint="eastAsia"/>
                <w:bCs/>
                <w:szCs w:val="21"/>
              </w:rPr>
              <w:t>大气沉降、地面漫流、垂直入渗等。</w:t>
            </w:r>
            <w:r>
              <w:rPr>
                <w:rFonts w:hint="eastAsia"/>
                <w:szCs w:val="21"/>
              </w:rPr>
              <w:t>项目</w:t>
            </w:r>
            <w:r>
              <w:rPr>
                <w:rFonts w:hint="eastAsia" w:hAnsi="宋体"/>
                <w:szCs w:val="21"/>
              </w:rPr>
              <w:t>主要从事半导体</w:t>
            </w:r>
            <w:r>
              <w:rPr>
                <w:rFonts w:hAnsi="宋体"/>
                <w:szCs w:val="21"/>
              </w:rPr>
              <w:t>分立器件</w:t>
            </w:r>
            <w:r>
              <w:rPr>
                <w:rFonts w:hint="eastAsia" w:hAnsi="宋体"/>
                <w:szCs w:val="21"/>
              </w:rPr>
              <w:t>的生产</w:t>
            </w:r>
            <w:r>
              <w:rPr>
                <w:rFonts w:hint="eastAsia"/>
                <w:szCs w:val="21"/>
              </w:rPr>
              <w:t>，</w:t>
            </w:r>
            <w:r>
              <w:rPr>
                <w:szCs w:val="21"/>
              </w:rPr>
              <w:t>项目</w:t>
            </w:r>
            <w:r>
              <w:rPr>
                <w:rFonts w:hint="eastAsia"/>
                <w:bCs/>
                <w:szCs w:val="21"/>
              </w:rPr>
              <w:t>场地内均进行了硬底化处理，不与土壤直接接触，故本项目不存在土壤污染途径。</w:t>
            </w:r>
          </w:p>
          <w:p>
            <w:pPr>
              <w:adjustRightInd w:val="0"/>
              <w:snapToGrid w:val="0"/>
              <w:spacing w:line="360" w:lineRule="auto"/>
              <w:ind w:right="57" w:rightChars="27" w:firstLine="465"/>
              <w:rPr>
                <w:bCs/>
                <w:szCs w:val="21"/>
              </w:rPr>
            </w:pPr>
            <w:r>
              <w:rPr>
                <w:rFonts w:hint="eastAsia"/>
                <w:bCs/>
                <w:szCs w:val="21"/>
              </w:rPr>
              <w:t>本项目用水来自市政供水，不取用地下水，不会造成水位下降。</w:t>
            </w:r>
            <w:r>
              <w:rPr>
                <w:rFonts w:hint="eastAsia"/>
                <w:szCs w:val="21"/>
              </w:rPr>
              <w:t>员工</w:t>
            </w:r>
            <w:r>
              <w:rPr>
                <w:rFonts w:hint="eastAsia"/>
                <w:bCs/>
                <w:szCs w:val="21"/>
              </w:rPr>
              <w:t>生活污水经化粪池预处理后排入市政管网，禁止采用渗井、渗坑等方式排放，不会因废水排放引起地下水水位、水量变化，故本项目不存在地下水污染途径。</w:t>
            </w:r>
          </w:p>
          <w:p>
            <w:pPr>
              <w:adjustRightInd w:val="0"/>
              <w:snapToGrid w:val="0"/>
              <w:spacing w:line="360" w:lineRule="auto"/>
              <w:ind w:right="57" w:rightChars="27" w:firstLine="465"/>
              <w:rPr>
                <w:b/>
                <w:szCs w:val="21"/>
              </w:rPr>
            </w:pPr>
            <w:r>
              <w:rPr>
                <w:rFonts w:hint="eastAsia"/>
                <w:bCs/>
                <w:szCs w:val="21"/>
              </w:rPr>
              <w:t>综上，本项目不存在地下水和土壤污染途径，建成后对地下水、土壤基本无影响。</w:t>
            </w:r>
          </w:p>
          <w:p>
            <w:pPr>
              <w:snapToGrid w:val="0"/>
              <w:spacing w:line="360" w:lineRule="auto"/>
              <w:ind w:firstLine="422" w:firstLineChars="200"/>
              <w:rPr>
                <w:b/>
                <w:szCs w:val="21"/>
              </w:rPr>
            </w:pPr>
            <w:r>
              <w:rPr>
                <w:b/>
                <w:szCs w:val="21"/>
              </w:rPr>
              <w:t>六、环境风险</w:t>
            </w:r>
          </w:p>
          <w:p>
            <w:pPr>
              <w:snapToGrid w:val="0"/>
              <w:spacing w:line="360" w:lineRule="auto"/>
              <w:ind w:firstLine="422" w:firstLineChars="200"/>
              <w:rPr>
                <w:b/>
                <w:szCs w:val="21"/>
              </w:rPr>
            </w:pPr>
            <w:r>
              <w:rPr>
                <w:b/>
                <w:szCs w:val="21"/>
              </w:rPr>
              <w:t>1、环境风险识别</w:t>
            </w:r>
          </w:p>
          <w:p>
            <w:pPr>
              <w:snapToGrid w:val="0"/>
              <w:spacing w:line="360" w:lineRule="auto"/>
              <w:ind w:firstLine="422" w:firstLineChars="200"/>
              <w:rPr>
                <w:b/>
                <w:bCs/>
              </w:rPr>
            </w:pPr>
            <w:r>
              <w:rPr>
                <w:b/>
                <w:bCs/>
              </w:rPr>
              <w:t>1）物质危险性识别</w:t>
            </w:r>
          </w:p>
          <w:p>
            <w:pPr>
              <w:widowControl/>
              <w:adjustRightInd w:val="0"/>
              <w:snapToGrid w:val="0"/>
              <w:spacing w:line="360" w:lineRule="auto"/>
              <w:ind w:firstLine="420" w:firstLineChars="200"/>
              <w:jc w:val="left"/>
              <w:rPr>
                <w:kern w:val="0"/>
                <w:szCs w:val="21"/>
              </w:rPr>
            </w:pPr>
            <w:r>
              <w:rPr>
                <w:bCs/>
                <w:szCs w:val="21"/>
              </w:rPr>
              <w:t>对照《建设项目环境风险评价技术导则》（HJ169-2018）附录B、《危险化学品重大危险源辨识》（GB18218-2018）的表1、2以及《企业突发环境事件风险分级方法》（HJ941-2018）附录A，</w:t>
            </w:r>
            <w:r>
              <w:rPr>
                <w:kern w:val="0"/>
                <w:szCs w:val="21"/>
              </w:rPr>
              <w:t>项目生产过程</w:t>
            </w:r>
            <w:r>
              <w:rPr>
                <w:rFonts w:hint="eastAsia"/>
                <w:kern w:val="0"/>
                <w:szCs w:val="21"/>
              </w:rPr>
              <w:t>涉及的</w:t>
            </w:r>
            <w:r>
              <w:rPr>
                <w:kern w:val="0"/>
                <w:szCs w:val="21"/>
              </w:rPr>
              <w:t>危险物质主要有</w:t>
            </w:r>
            <w:r>
              <w:rPr>
                <w:rFonts w:hint="eastAsia"/>
                <w:kern w:val="0"/>
                <w:szCs w:val="21"/>
              </w:rPr>
              <w:t>锡膏</w:t>
            </w:r>
            <w:r>
              <w:rPr>
                <w:kern w:val="0"/>
                <w:szCs w:val="21"/>
              </w:rPr>
              <w:t>、</w:t>
            </w:r>
            <w:r>
              <w:rPr>
                <w:rFonts w:hint="eastAsia"/>
                <w:kern w:val="0"/>
                <w:szCs w:val="21"/>
              </w:rPr>
              <w:t>环氧树脂</w:t>
            </w:r>
            <w:r>
              <w:rPr>
                <w:kern w:val="0"/>
                <w:szCs w:val="21"/>
              </w:rPr>
              <w:t>胶，根据其最大储存量及临界量计算Q值。</w:t>
            </w:r>
          </w:p>
          <w:p>
            <w:pPr>
              <w:widowControl/>
              <w:numPr>
                <w:ilvl w:val="0"/>
                <w:numId w:val="5"/>
              </w:numPr>
              <w:spacing w:line="360" w:lineRule="auto"/>
              <w:ind w:left="0"/>
              <w:jc w:val="center"/>
              <w:rPr>
                <w:b/>
                <w:bCs/>
                <w:kern w:val="0"/>
              </w:rPr>
            </w:pPr>
            <w:r>
              <w:rPr>
                <w:b/>
                <w:bCs/>
              </w:rPr>
              <w:t>项目</w:t>
            </w:r>
            <w:r>
              <w:rPr>
                <w:b/>
                <w:bCs/>
                <w:kern w:val="0"/>
              </w:rPr>
              <w:t>Q值计算</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680"/>
              <w:gridCol w:w="1644"/>
              <w:gridCol w:w="1619"/>
              <w:gridCol w:w="1481"/>
              <w:gridCol w:w="1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Align w:val="center"/>
                </w:tcPr>
                <w:p>
                  <w:pPr>
                    <w:widowControl/>
                    <w:jc w:val="center"/>
                    <w:rPr>
                      <w:kern w:val="0"/>
                      <w:szCs w:val="21"/>
                    </w:rPr>
                  </w:pPr>
                  <w:r>
                    <w:rPr>
                      <w:b/>
                      <w:bCs/>
                      <w:kern w:val="0"/>
                      <w:szCs w:val="21"/>
                    </w:rPr>
                    <w:t>序号</w:t>
                  </w:r>
                </w:p>
              </w:tc>
              <w:tc>
                <w:tcPr>
                  <w:tcW w:w="998" w:type="pct"/>
                  <w:vAlign w:val="center"/>
                </w:tcPr>
                <w:p>
                  <w:pPr>
                    <w:widowControl/>
                    <w:jc w:val="center"/>
                    <w:rPr>
                      <w:kern w:val="0"/>
                      <w:szCs w:val="21"/>
                    </w:rPr>
                  </w:pPr>
                  <w:r>
                    <w:rPr>
                      <w:b/>
                      <w:bCs/>
                      <w:kern w:val="0"/>
                      <w:szCs w:val="21"/>
                    </w:rPr>
                    <w:t>风险物质名称</w:t>
                  </w:r>
                </w:p>
              </w:tc>
              <w:tc>
                <w:tcPr>
                  <w:tcW w:w="977" w:type="pct"/>
                  <w:vAlign w:val="center"/>
                </w:tcPr>
                <w:p>
                  <w:pPr>
                    <w:widowControl/>
                    <w:jc w:val="center"/>
                    <w:rPr>
                      <w:kern w:val="0"/>
                      <w:szCs w:val="21"/>
                    </w:rPr>
                  </w:pPr>
                  <w:r>
                    <w:rPr>
                      <w:b/>
                      <w:bCs/>
                      <w:kern w:val="0"/>
                      <w:szCs w:val="21"/>
                    </w:rPr>
                    <w:t>年用量（t）</w:t>
                  </w:r>
                </w:p>
              </w:tc>
              <w:tc>
                <w:tcPr>
                  <w:tcW w:w="962" w:type="pct"/>
                  <w:vAlign w:val="center"/>
                </w:tcPr>
                <w:p>
                  <w:pPr>
                    <w:widowControl/>
                    <w:jc w:val="center"/>
                    <w:rPr>
                      <w:kern w:val="0"/>
                      <w:szCs w:val="21"/>
                    </w:rPr>
                  </w:pPr>
                  <w:r>
                    <w:rPr>
                      <w:b/>
                      <w:bCs/>
                      <w:kern w:val="0"/>
                      <w:szCs w:val="21"/>
                    </w:rPr>
                    <w:t>最大储存量（t）</w:t>
                  </w:r>
                </w:p>
              </w:tc>
              <w:tc>
                <w:tcPr>
                  <w:tcW w:w="880" w:type="pct"/>
                  <w:vAlign w:val="center"/>
                </w:tcPr>
                <w:p>
                  <w:pPr>
                    <w:widowControl/>
                    <w:jc w:val="center"/>
                    <w:rPr>
                      <w:b/>
                      <w:bCs/>
                      <w:kern w:val="0"/>
                      <w:szCs w:val="21"/>
                    </w:rPr>
                  </w:pPr>
                  <w:r>
                    <w:rPr>
                      <w:b/>
                      <w:bCs/>
                      <w:kern w:val="0"/>
                      <w:szCs w:val="21"/>
                    </w:rPr>
                    <w:t>临界量（t）</w:t>
                  </w:r>
                </w:p>
              </w:tc>
              <w:tc>
                <w:tcPr>
                  <w:tcW w:w="770" w:type="pct"/>
                  <w:vAlign w:val="center"/>
                </w:tcPr>
                <w:p>
                  <w:pPr>
                    <w:widowControl/>
                    <w:jc w:val="center"/>
                    <w:rPr>
                      <w:kern w:val="0"/>
                      <w:szCs w:val="21"/>
                    </w:rPr>
                  </w:pPr>
                  <w:r>
                    <w:rPr>
                      <w:b/>
                      <w:bCs/>
                      <w:kern w:val="0"/>
                      <w:szCs w:val="21"/>
                    </w:rPr>
                    <w:t>Q值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Align w:val="center"/>
                </w:tcPr>
                <w:p>
                  <w:pPr>
                    <w:widowControl/>
                    <w:jc w:val="center"/>
                    <w:rPr>
                      <w:kern w:val="0"/>
                      <w:szCs w:val="21"/>
                    </w:rPr>
                  </w:pPr>
                  <w:r>
                    <w:rPr>
                      <w:kern w:val="0"/>
                      <w:szCs w:val="21"/>
                    </w:rPr>
                    <w:t>1</w:t>
                  </w:r>
                </w:p>
              </w:tc>
              <w:tc>
                <w:tcPr>
                  <w:tcW w:w="998" w:type="pct"/>
                  <w:vAlign w:val="center"/>
                </w:tcPr>
                <w:p>
                  <w:pPr>
                    <w:widowControl/>
                    <w:jc w:val="center"/>
                    <w:rPr>
                      <w:kern w:val="0"/>
                      <w:szCs w:val="21"/>
                    </w:rPr>
                  </w:pPr>
                  <w:r>
                    <w:rPr>
                      <w:rFonts w:hint="eastAsia"/>
                      <w:kern w:val="0"/>
                      <w:szCs w:val="21"/>
                    </w:rPr>
                    <w:t>锡膏</w:t>
                  </w:r>
                </w:p>
              </w:tc>
              <w:tc>
                <w:tcPr>
                  <w:tcW w:w="977" w:type="pct"/>
                  <w:vAlign w:val="center"/>
                </w:tcPr>
                <w:p>
                  <w:pPr>
                    <w:widowControl/>
                    <w:jc w:val="center"/>
                    <w:rPr>
                      <w:kern w:val="0"/>
                      <w:szCs w:val="21"/>
                    </w:rPr>
                  </w:pPr>
                  <w:r>
                    <w:rPr>
                      <w:kern w:val="0"/>
                      <w:szCs w:val="21"/>
                    </w:rPr>
                    <w:t>0.06</w:t>
                  </w:r>
                </w:p>
              </w:tc>
              <w:tc>
                <w:tcPr>
                  <w:tcW w:w="962" w:type="pct"/>
                  <w:vAlign w:val="center"/>
                </w:tcPr>
                <w:p>
                  <w:pPr>
                    <w:widowControl/>
                    <w:jc w:val="center"/>
                    <w:rPr>
                      <w:kern w:val="0"/>
                      <w:szCs w:val="21"/>
                    </w:rPr>
                  </w:pPr>
                  <w:r>
                    <w:rPr>
                      <w:kern w:val="0"/>
                      <w:szCs w:val="21"/>
                    </w:rPr>
                    <w:t>0.005</w:t>
                  </w:r>
                </w:p>
              </w:tc>
              <w:tc>
                <w:tcPr>
                  <w:tcW w:w="880" w:type="pct"/>
                  <w:vAlign w:val="center"/>
                </w:tcPr>
                <w:p>
                  <w:pPr>
                    <w:widowControl/>
                    <w:jc w:val="center"/>
                    <w:rPr>
                      <w:kern w:val="0"/>
                      <w:szCs w:val="21"/>
                    </w:rPr>
                  </w:pPr>
                  <w:r>
                    <w:rPr>
                      <w:kern w:val="0"/>
                      <w:szCs w:val="21"/>
                    </w:rPr>
                    <w:t>200</w:t>
                  </w:r>
                </w:p>
              </w:tc>
              <w:tc>
                <w:tcPr>
                  <w:tcW w:w="770" w:type="pct"/>
                  <w:vAlign w:val="center"/>
                </w:tcPr>
                <w:p>
                  <w:pPr>
                    <w:widowControl/>
                    <w:jc w:val="center"/>
                    <w:rPr>
                      <w:kern w:val="0"/>
                      <w:szCs w:val="21"/>
                    </w:rPr>
                  </w:pPr>
                  <w:r>
                    <w:rPr>
                      <w:szCs w:val="21"/>
                    </w:rPr>
                    <w:t>0.000025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Align w:val="center"/>
                </w:tcPr>
                <w:p>
                  <w:pPr>
                    <w:widowControl/>
                    <w:jc w:val="center"/>
                    <w:rPr>
                      <w:kern w:val="0"/>
                      <w:szCs w:val="21"/>
                    </w:rPr>
                  </w:pPr>
                  <w:r>
                    <w:rPr>
                      <w:rFonts w:hint="eastAsia"/>
                      <w:kern w:val="0"/>
                      <w:szCs w:val="21"/>
                    </w:rPr>
                    <w:t>2</w:t>
                  </w:r>
                </w:p>
              </w:tc>
              <w:tc>
                <w:tcPr>
                  <w:tcW w:w="998" w:type="pct"/>
                  <w:vAlign w:val="center"/>
                </w:tcPr>
                <w:p>
                  <w:pPr>
                    <w:widowControl/>
                    <w:jc w:val="center"/>
                    <w:rPr>
                      <w:kern w:val="0"/>
                      <w:szCs w:val="21"/>
                    </w:rPr>
                  </w:pPr>
                  <w:r>
                    <w:rPr>
                      <w:rFonts w:hint="eastAsia"/>
                      <w:kern w:val="0"/>
                      <w:szCs w:val="21"/>
                    </w:rPr>
                    <w:t>环氧树脂</w:t>
                  </w:r>
                  <w:r>
                    <w:rPr>
                      <w:kern w:val="0"/>
                      <w:szCs w:val="21"/>
                    </w:rPr>
                    <w:t>胶</w:t>
                  </w:r>
                </w:p>
              </w:tc>
              <w:tc>
                <w:tcPr>
                  <w:tcW w:w="977" w:type="pct"/>
                  <w:vAlign w:val="center"/>
                </w:tcPr>
                <w:p>
                  <w:pPr>
                    <w:widowControl/>
                    <w:jc w:val="center"/>
                    <w:rPr>
                      <w:kern w:val="0"/>
                      <w:szCs w:val="21"/>
                    </w:rPr>
                  </w:pPr>
                  <w:r>
                    <w:rPr>
                      <w:rFonts w:hint="eastAsia"/>
                      <w:kern w:val="0"/>
                      <w:szCs w:val="21"/>
                    </w:rPr>
                    <w:t>0.0</w:t>
                  </w:r>
                  <w:r>
                    <w:rPr>
                      <w:kern w:val="0"/>
                      <w:szCs w:val="21"/>
                    </w:rPr>
                    <w:t>1</w:t>
                  </w:r>
                </w:p>
              </w:tc>
              <w:tc>
                <w:tcPr>
                  <w:tcW w:w="962" w:type="pct"/>
                  <w:vAlign w:val="center"/>
                </w:tcPr>
                <w:p>
                  <w:pPr>
                    <w:widowControl/>
                    <w:jc w:val="center"/>
                    <w:rPr>
                      <w:kern w:val="0"/>
                      <w:szCs w:val="21"/>
                    </w:rPr>
                  </w:pPr>
                  <w:r>
                    <w:rPr>
                      <w:rFonts w:hint="eastAsia"/>
                      <w:kern w:val="0"/>
                      <w:szCs w:val="21"/>
                    </w:rPr>
                    <w:t>0.00</w:t>
                  </w:r>
                  <w:r>
                    <w:rPr>
                      <w:kern w:val="0"/>
                      <w:szCs w:val="21"/>
                    </w:rPr>
                    <w:t>0</w:t>
                  </w:r>
                  <w:r>
                    <w:rPr>
                      <w:rFonts w:hint="eastAsia"/>
                      <w:kern w:val="0"/>
                      <w:szCs w:val="21"/>
                    </w:rPr>
                    <w:t>5</w:t>
                  </w:r>
                </w:p>
              </w:tc>
              <w:tc>
                <w:tcPr>
                  <w:tcW w:w="880" w:type="pct"/>
                  <w:vAlign w:val="center"/>
                </w:tcPr>
                <w:p>
                  <w:pPr>
                    <w:widowControl/>
                    <w:jc w:val="center"/>
                    <w:rPr>
                      <w:kern w:val="0"/>
                      <w:szCs w:val="21"/>
                    </w:rPr>
                  </w:pPr>
                  <w:r>
                    <w:rPr>
                      <w:kern w:val="0"/>
                      <w:szCs w:val="21"/>
                    </w:rPr>
                    <w:t>200</w:t>
                  </w:r>
                </w:p>
              </w:tc>
              <w:tc>
                <w:tcPr>
                  <w:tcW w:w="770" w:type="pct"/>
                  <w:vAlign w:val="center"/>
                </w:tcPr>
                <w:p>
                  <w:pPr>
                    <w:jc w:val="center"/>
                    <w:rPr>
                      <w:szCs w:val="21"/>
                    </w:rPr>
                  </w:pPr>
                  <w:r>
                    <w:rPr>
                      <w:szCs w:val="21"/>
                    </w:rPr>
                    <w:t>0.0000025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0" w:type="pct"/>
                  <w:gridSpan w:val="5"/>
                  <w:vAlign w:val="center"/>
                </w:tcPr>
                <w:p>
                  <w:pPr>
                    <w:widowControl/>
                    <w:jc w:val="center"/>
                    <w:rPr>
                      <w:kern w:val="0"/>
                      <w:szCs w:val="21"/>
                    </w:rPr>
                  </w:pPr>
                  <w:r>
                    <w:rPr>
                      <w:kern w:val="0"/>
                      <w:szCs w:val="21"/>
                    </w:rPr>
                    <w:t>合计</w:t>
                  </w:r>
                </w:p>
              </w:tc>
              <w:tc>
                <w:tcPr>
                  <w:tcW w:w="770" w:type="pct"/>
                  <w:vAlign w:val="center"/>
                </w:tcPr>
                <w:p>
                  <w:pPr>
                    <w:snapToGrid w:val="0"/>
                    <w:jc w:val="center"/>
                    <w:rPr>
                      <w:kern w:val="0"/>
                      <w:szCs w:val="21"/>
                    </w:rPr>
                  </w:pPr>
                  <w:r>
                    <w:rPr>
                      <w:kern w:val="0"/>
                      <w:szCs w:val="21"/>
                    </w:rPr>
                    <w:t>0.0000275</w:t>
                  </w:r>
                </w:p>
              </w:tc>
            </w:tr>
          </w:tbl>
          <w:p>
            <w:pPr>
              <w:widowControl/>
              <w:spacing w:line="360" w:lineRule="auto"/>
              <w:ind w:firstLine="420" w:firstLineChars="200"/>
              <w:jc w:val="left"/>
              <w:rPr>
                <w:bCs/>
                <w:kern w:val="0"/>
                <w:szCs w:val="21"/>
              </w:rPr>
            </w:pPr>
            <w:r>
              <w:rPr>
                <w:bCs/>
                <w:kern w:val="0"/>
                <w:szCs w:val="21"/>
              </w:rPr>
              <w:t>由上表可知，项目危险物质数量与临界量比值Q小于1，项目环境风险潜势等级为</w:t>
            </w:r>
            <w:r>
              <w:rPr>
                <w:rFonts w:hint="eastAsia" w:ascii="宋体" w:hAnsi="宋体" w:cs="宋体"/>
                <w:bCs/>
                <w:kern w:val="0"/>
                <w:szCs w:val="21"/>
              </w:rPr>
              <w:t>Ⅰ</w:t>
            </w:r>
            <w:r>
              <w:rPr>
                <w:bCs/>
                <w:kern w:val="0"/>
                <w:szCs w:val="21"/>
              </w:rPr>
              <w:t>级，因此，项目环境风险评价工作等级为简单分析。</w:t>
            </w:r>
          </w:p>
          <w:p>
            <w:pPr>
              <w:snapToGrid w:val="0"/>
              <w:spacing w:line="360" w:lineRule="auto"/>
              <w:ind w:firstLine="422" w:firstLineChars="200"/>
              <w:rPr>
                <w:b/>
                <w:bCs/>
              </w:rPr>
            </w:pPr>
            <w:r>
              <w:rPr>
                <w:b/>
                <w:bCs/>
              </w:rPr>
              <w:t xml:space="preserve">2）生产系统危险性识别 </w:t>
            </w:r>
          </w:p>
          <w:p>
            <w:pPr>
              <w:snapToGrid w:val="0"/>
              <w:spacing w:line="360" w:lineRule="auto"/>
              <w:ind w:firstLine="420" w:firstLineChars="200"/>
            </w:pPr>
            <w:r>
              <w:t xml:space="preserve">项目所用的原辅材料和产品均属于可燃物质，相应的原料仓库和成品仓库存在火灾等风险。 </w:t>
            </w:r>
          </w:p>
          <w:p>
            <w:pPr>
              <w:snapToGrid w:val="0"/>
              <w:spacing w:line="360" w:lineRule="auto"/>
              <w:ind w:firstLine="422" w:firstLineChars="200"/>
            </w:pPr>
            <w:r>
              <w:rPr>
                <w:b/>
                <w:bCs/>
              </w:rPr>
              <w:t>3）环境风险类型及危害分析</w:t>
            </w:r>
            <w:r>
              <w:t xml:space="preserve"> </w:t>
            </w:r>
          </w:p>
          <w:p>
            <w:pPr>
              <w:snapToGrid w:val="0"/>
              <w:spacing w:line="360" w:lineRule="auto"/>
              <w:ind w:firstLine="420" w:firstLineChars="200"/>
            </w:pPr>
            <w:r>
              <w:t>本项目涉及的环境风险类型为火灾事故下引发的伴生/次生污染物排放以及废气处理设施故障。</w:t>
            </w:r>
          </w:p>
          <w:p>
            <w:pPr>
              <w:snapToGrid w:val="0"/>
              <w:spacing w:line="360" w:lineRule="auto"/>
              <w:ind w:firstLine="420"/>
            </w:pPr>
            <w:r>
              <w:rPr>
                <w:rFonts w:hint="eastAsia" w:ascii="宋体" w:hAnsi="宋体" w:cs="宋体"/>
              </w:rPr>
              <w:t>①</w:t>
            </w:r>
            <w:r>
              <w:t>厂区火灾：项目原料和产品均属于可燃物质，当发生火灾事故时，由于火灾产生的颗粒物会飞扬，气体排放随风向外扩散，在不利风向时，周围是企业及员工及村庄等均会受到不同程度的影响，另外，在火灾、爆炸的灭火过程中，消防喷水、泡沫喷淋等均会产生废水，以上消防废液含有大量的石油类，若直接通过市政雨水或污水管网进入纳污水体或市政污水处理厂，含高浓度的消防排水势必对水体造成不利的影响，进入污水厂则可能因冲击负荷过大，造成污水厂处理设施的停运，导致严重污染环境的后果。</w:t>
            </w:r>
          </w:p>
          <w:p>
            <w:pPr>
              <w:snapToGrid w:val="0"/>
              <w:spacing w:line="360" w:lineRule="auto"/>
              <w:ind w:firstLine="420"/>
            </w:pPr>
            <w:r>
              <w:rPr>
                <w:rFonts w:hint="eastAsia" w:ascii="宋体" w:hAnsi="宋体" w:cs="宋体"/>
              </w:rPr>
              <w:t>②</w:t>
            </w:r>
            <w:r>
              <w:t>废气处理设施故障：项目废气处理设施出现故障，将导致废气未经处理直接排入到大气中，对环境空气造成影响。</w:t>
            </w:r>
          </w:p>
          <w:p>
            <w:pPr>
              <w:snapToGrid w:val="0"/>
              <w:spacing w:line="360" w:lineRule="auto"/>
              <w:ind w:firstLine="422" w:firstLineChars="200"/>
              <w:rPr>
                <w:b/>
                <w:szCs w:val="21"/>
              </w:rPr>
            </w:pPr>
            <w:r>
              <w:rPr>
                <w:b/>
                <w:szCs w:val="21"/>
              </w:rPr>
              <w:t>2、环境风险防范措施及应急要求</w:t>
            </w:r>
          </w:p>
          <w:p>
            <w:pPr>
              <w:widowControl/>
              <w:spacing w:line="360" w:lineRule="auto"/>
              <w:ind w:firstLine="420" w:firstLineChars="200"/>
              <w:jc w:val="left"/>
              <w:rPr>
                <w:bCs/>
                <w:kern w:val="0"/>
                <w:szCs w:val="21"/>
              </w:rPr>
            </w:pPr>
            <w:r>
              <w:rPr>
                <w:bCs/>
                <w:kern w:val="0"/>
                <w:szCs w:val="21"/>
              </w:rPr>
              <w:t>针对本项目可能的环境风险，提出以下防范措施和事故应急措施：</w:t>
            </w:r>
          </w:p>
          <w:p>
            <w:pPr>
              <w:widowControl/>
              <w:spacing w:line="360" w:lineRule="auto"/>
              <w:ind w:firstLine="420" w:firstLineChars="200"/>
              <w:jc w:val="left"/>
              <w:rPr>
                <w:bCs/>
                <w:kern w:val="0"/>
                <w:szCs w:val="21"/>
              </w:rPr>
            </w:pPr>
            <w:r>
              <w:rPr>
                <w:bCs/>
                <w:kern w:val="0"/>
                <w:szCs w:val="21"/>
              </w:rPr>
              <w:t>1）风险防范措施</w:t>
            </w:r>
          </w:p>
          <w:p>
            <w:pPr>
              <w:widowControl/>
              <w:spacing w:line="360" w:lineRule="auto"/>
              <w:ind w:firstLine="420" w:firstLineChars="200"/>
              <w:jc w:val="left"/>
              <w:rPr>
                <w:bCs/>
                <w:kern w:val="0"/>
                <w:szCs w:val="21"/>
              </w:rPr>
            </w:pPr>
            <w:r>
              <w:rPr>
                <w:rFonts w:hint="eastAsia" w:ascii="宋体" w:hAnsi="宋体" w:cs="宋体"/>
                <w:bCs/>
                <w:kern w:val="0"/>
                <w:szCs w:val="21"/>
              </w:rPr>
              <w:t>①</w:t>
            </w:r>
            <w:r>
              <w:rPr>
                <w:bCs/>
                <w:kern w:val="0"/>
                <w:szCs w:val="21"/>
              </w:rPr>
              <w:t>制定严格的生产操作规程，加强作业工人的环境风险教育，杜绝工作失误造成的事故；</w:t>
            </w:r>
          </w:p>
          <w:p>
            <w:pPr>
              <w:widowControl/>
              <w:spacing w:line="360" w:lineRule="auto"/>
              <w:ind w:firstLine="420" w:firstLineChars="200"/>
              <w:jc w:val="left"/>
              <w:rPr>
                <w:bCs/>
                <w:kern w:val="0"/>
                <w:szCs w:val="21"/>
              </w:rPr>
            </w:pPr>
            <w:r>
              <w:rPr>
                <w:rFonts w:hint="eastAsia" w:ascii="宋体" w:hAnsi="宋体" w:cs="宋体"/>
                <w:bCs/>
                <w:kern w:val="0"/>
                <w:szCs w:val="21"/>
              </w:rPr>
              <w:t>②</w:t>
            </w:r>
            <w:r>
              <w:rPr>
                <w:bCs/>
                <w:kern w:val="0"/>
                <w:szCs w:val="21"/>
              </w:rPr>
              <w:t>在车间和仓库明显位置张贴禁用明火的告示，并对地面进行硬底化，墙体设置围堰。</w:t>
            </w:r>
          </w:p>
          <w:p>
            <w:pPr>
              <w:widowControl/>
              <w:spacing w:line="360" w:lineRule="auto"/>
              <w:ind w:firstLine="420" w:firstLineChars="200"/>
              <w:jc w:val="left"/>
              <w:rPr>
                <w:bCs/>
                <w:kern w:val="0"/>
                <w:szCs w:val="21"/>
              </w:rPr>
            </w:pPr>
            <w:r>
              <w:rPr>
                <w:rFonts w:hint="eastAsia" w:ascii="宋体" w:hAnsi="宋体" w:cs="宋体"/>
                <w:bCs/>
                <w:kern w:val="0"/>
                <w:szCs w:val="21"/>
              </w:rPr>
              <w:t>③</w:t>
            </w:r>
            <w:r>
              <w:rPr>
                <w:bCs/>
                <w:kern w:val="0"/>
                <w:szCs w:val="21"/>
              </w:rPr>
              <w:t>设置移动式式泡沫灭火器和消防沙箱，车间设置缓坡，危废间设置围堰；</w:t>
            </w:r>
          </w:p>
          <w:p>
            <w:pPr>
              <w:widowControl/>
              <w:spacing w:line="360" w:lineRule="auto"/>
              <w:ind w:firstLine="420" w:firstLineChars="200"/>
              <w:jc w:val="left"/>
              <w:rPr>
                <w:bCs/>
                <w:kern w:val="0"/>
                <w:szCs w:val="21"/>
              </w:rPr>
            </w:pPr>
            <w:r>
              <w:rPr>
                <w:rFonts w:hint="eastAsia" w:ascii="宋体" w:hAnsi="宋体" w:cs="宋体"/>
                <w:bCs/>
                <w:kern w:val="0"/>
                <w:szCs w:val="21"/>
              </w:rPr>
              <w:t>④</w:t>
            </w:r>
            <w:r>
              <w:rPr>
                <w:bCs/>
                <w:kern w:val="0"/>
                <w:szCs w:val="21"/>
              </w:rPr>
              <w:t>危险废物在运输和装卸时，应轻拿轻放，防止撞击；</w:t>
            </w:r>
          </w:p>
          <w:p>
            <w:pPr>
              <w:widowControl/>
              <w:spacing w:line="360" w:lineRule="auto"/>
              <w:ind w:firstLine="420" w:firstLineChars="200"/>
              <w:jc w:val="left"/>
              <w:rPr>
                <w:bCs/>
                <w:kern w:val="0"/>
                <w:szCs w:val="21"/>
              </w:rPr>
            </w:pPr>
            <w:r>
              <w:rPr>
                <w:rFonts w:hint="eastAsia" w:ascii="宋体" w:hAnsi="宋体" w:cs="宋体"/>
                <w:bCs/>
                <w:kern w:val="0"/>
                <w:szCs w:val="21"/>
              </w:rPr>
              <w:t>⑤</w:t>
            </w:r>
            <w:r>
              <w:rPr>
                <w:bCs/>
                <w:kern w:val="0"/>
                <w:szCs w:val="21"/>
              </w:rPr>
              <w:t xml:space="preserve">雨污分流，雨污排放口设置闸门，在发生泄漏等环境风险事故时，要立即关闭闸门，并配备沙袋，发生火灾事故时，利用沙袋和厂区围墙形成围堰堵截消防废水，防止泄漏的物质和消防废水流入地表水体； </w:t>
            </w:r>
          </w:p>
          <w:p>
            <w:pPr>
              <w:widowControl/>
              <w:spacing w:line="360" w:lineRule="auto"/>
              <w:ind w:firstLine="420" w:firstLineChars="200"/>
              <w:jc w:val="left"/>
              <w:rPr>
                <w:bCs/>
                <w:kern w:val="0"/>
                <w:szCs w:val="21"/>
              </w:rPr>
            </w:pPr>
            <w:r>
              <w:rPr>
                <w:rFonts w:hint="eastAsia" w:ascii="宋体" w:hAnsi="宋体" w:cs="宋体"/>
                <w:bCs/>
                <w:kern w:val="0"/>
                <w:szCs w:val="21"/>
              </w:rPr>
              <w:t>⑥</w:t>
            </w:r>
            <w:r>
              <w:rPr>
                <w:bCs/>
                <w:kern w:val="0"/>
                <w:szCs w:val="21"/>
              </w:rPr>
              <w:t>在危废仓库四周设置地沟避免泄漏物料流入水体，泄漏的物料经收集后作为废液送至相应委外单位处理，收集的消防废水委托有处理能力的单位处理；</w:t>
            </w:r>
          </w:p>
          <w:p>
            <w:pPr>
              <w:widowControl/>
              <w:spacing w:line="360" w:lineRule="auto"/>
              <w:ind w:firstLine="420" w:firstLineChars="200"/>
              <w:jc w:val="left"/>
              <w:rPr>
                <w:bCs/>
                <w:kern w:val="0"/>
                <w:szCs w:val="21"/>
              </w:rPr>
            </w:pPr>
            <w:r>
              <w:rPr>
                <w:rFonts w:hint="eastAsia" w:ascii="宋体" w:hAnsi="宋体" w:cs="宋体"/>
                <w:bCs/>
                <w:kern w:val="0"/>
                <w:szCs w:val="21"/>
              </w:rPr>
              <w:t>⑦</w:t>
            </w:r>
            <w:r>
              <w:rPr>
                <w:bCs/>
                <w:kern w:val="0"/>
                <w:szCs w:val="21"/>
              </w:rPr>
              <w:t>当废气净化装置风机故障时，部门人员立即开启备用风机，保证废气净化装置正常运作，防止超标废气排放，同时组织相关人员对风机进行维修或更换；</w:t>
            </w:r>
          </w:p>
          <w:p>
            <w:pPr>
              <w:widowControl/>
              <w:spacing w:line="360" w:lineRule="auto"/>
              <w:ind w:firstLine="420" w:firstLineChars="200"/>
              <w:jc w:val="left"/>
              <w:rPr>
                <w:bCs/>
                <w:kern w:val="0"/>
                <w:szCs w:val="21"/>
              </w:rPr>
            </w:pPr>
            <w:r>
              <w:rPr>
                <w:rFonts w:hint="eastAsia" w:ascii="宋体" w:hAnsi="宋体" w:cs="宋体"/>
                <w:bCs/>
                <w:kern w:val="0"/>
                <w:szCs w:val="21"/>
              </w:rPr>
              <w:t>⑧</w:t>
            </w:r>
            <w:r>
              <w:rPr>
                <w:bCs/>
                <w:kern w:val="0"/>
                <w:szCs w:val="21"/>
              </w:rPr>
              <w:t>对于废气处理设施所有的易损部件（如皮带、轴承）等，废气处理设施负责人要及时委托采购人员购买备用件，一旦发生损坏及时更换。</w:t>
            </w:r>
          </w:p>
          <w:p>
            <w:pPr>
              <w:widowControl/>
              <w:spacing w:line="360" w:lineRule="auto"/>
              <w:ind w:firstLine="420" w:firstLineChars="200"/>
              <w:jc w:val="left"/>
              <w:rPr>
                <w:bCs/>
                <w:kern w:val="0"/>
                <w:szCs w:val="21"/>
              </w:rPr>
            </w:pPr>
            <w:r>
              <w:rPr>
                <w:bCs/>
                <w:kern w:val="0"/>
                <w:szCs w:val="21"/>
              </w:rPr>
              <w:t>2）事故应急措施</w:t>
            </w:r>
          </w:p>
          <w:p>
            <w:pPr>
              <w:widowControl/>
              <w:spacing w:line="360" w:lineRule="auto"/>
              <w:ind w:firstLine="420" w:firstLineChars="200"/>
              <w:jc w:val="left"/>
              <w:rPr>
                <w:bCs/>
                <w:kern w:val="0"/>
                <w:szCs w:val="21"/>
              </w:rPr>
            </w:pPr>
            <w:r>
              <w:rPr>
                <w:rFonts w:hint="eastAsia" w:ascii="宋体" w:hAnsi="宋体" w:cs="宋体"/>
                <w:bCs/>
                <w:kern w:val="0"/>
                <w:szCs w:val="21"/>
              </w:rPr>
              <w:t>①</w:t>
            </w:r>
            <w:r>
              <w:rPr>
                <w:bCs/>
                <w:kern w:val="0"/>
                <w:szCs w:val="21"/>
              </w:rPr>
              <w:t>建设单位制定详细、可行的事故应急预案，一旦发生泄漏、火灾等事故，应立即采取合理的事故应急处理措施，并向有关环境管理部门汇报情况，协助环境管理部门进行应急监测等工作；</w:t>
            </w:r>
          </w:p>
          <w:p>
            <w:pPr>
              <w:widowControl/>
              <w:spacing w:line="360" w:lineRule="auto"/>
              <w:ind w:firstLine="420" w:firstLineChars="200"/>
              <w:jc w:val="left"/>
              <w:rPr>
                <w:bCs/>
                <w:kern w:val="0"/>
                <w:szCs w:val="21"/>
              </w:rPr>
            </w:pPr>
            <w:r>
              <w:rPr>
                <w:rFonts w:hint="eastAsia" w:ascii="宋体" w:hAnsi="宋体" w:cs="宋体"/>
                <w:bCs/>
                <w:kern w:val="0"/>
                <w:szCs w:val="21"/>
              </w:rPr>
              <w:t>②</w:t>
            </w:r>
            <w:r>
              <w:rPr>
                <w:bCs/>
                <w:kern w:val="0"/>
                <w:szCs w:val="21"/>
              </w:rPr>
              <w:t>生产车间及仓库内应配备灭火器、消防砂箱和防毒面具等消防应急设备，并定期检查设备有效性；</w:t>
            </w:r>
          </w:p>
          <w:p>
            <w:pPr>
              <w:widowControl/>
              <w:spacing w:line="360" w:lineRule="auto"/>
              <w:ind w:firstLine="420" w:firstLineChars="200"/>
              <w:jc w:val="left"/>
              <w:rPr>
                <w:bCs/>
                <w:kern w:val="0"/>
                <w:szCs w:val="21"/>
              </w:rPr>
            </w:pPr>
            <w:r>
              <w:rPr>
                <w:rFonts w:hint="eastAsia" w:ascii="宋体" w:hAnsi="宋体" w:cs="宋体"/>
                <w:bCs/>
                <w:kern w:val="0"/>
                <w:szCs w:val="21"/>
              </w:rPr>
              <w:t>③</w:t>
            </w:r>
            <w:r>
              <w:rPr>
                <w:bCs/>
                <w:kern w:val="0"/>
                <w:szCs w:val="21"/>
              </w:rPr>
              <w:t xml:space="preserve">在仓库地面铺设防渗防腐材料，一旦发生泄漏事故时，避免泄漏物质下渗，同时应立即切断一切火源，对原料间喷施泡沫覆盖泄漏物，降低蒸汽危害，并尽快封堵泄漏源； </w:t>
            </w:r>
          </w:p>
          <w:p>
            <w:pPr>
              <w:widowControl/>
              <w:adjustRightInd w:val="0"/>
              <w:snapToGrid w:val="0"/>
              <w:spacing w:line="360" w:lineRule="auto"/>
              <w:ind w:firstLine="420" w:firstLineChars="200"/>
              <w:rPr>
                <w:bCs/>
                <w:kern w:val="0"/>
                <w:szCs w:val="21"/>
              </w:rPr>
            </w:pPr>
            <w:r>
              <w:rPr>
                <w:rFonts w:hint="eastAsia" w:ascii="宋体" w:hAnsi="宋体" w:cs="宋体"/>
                <w:bCs/>
                <w:kern w:val="0"/>
                <w:szCs w:val="21"/>
              </w:rPr>
              <w:t>④</w:t>
            </w:r>
            <w:r>
              <w:rPr>
                <w:bCs/>
                <w:kern w:val="0"/>
                <w:szCs w:val="21"/>
              </w:rPr>
              <w:t>事故处理完毕后应采用防爆泵将泄漏液转移至槽车或专用的收集容器内，交相关处理单位处置。</w:t>
            </w:r>
          </w:p>
          <w:p>
            <w:pPr>
              <w:snapToGrid w:val="0"/>
              <w:spacing w:line="360" w:lineRule="auto"/>
              <w:ind w:firstLine="422" w:firstLineChars="200"/>
              <w:rPr>
                <w:b/>
                <w:szCs w:val="21"/>
              </w:rPr>
            </w:pPr>
            <w:r>
              <w:rPr>
                <w:b/>
                <w:szCs w:val="21"/>
              </w:rPr>
              <w:t>3、分析结论</w:t>
            </w:r>
          </w:p>
          <w:p>
            <w:pPr>
              <w:snapToGrid w:val="0"/>
              <w:spacing w:line="360" w:lineRule="auto"/>
              <w:ind w:firstLine="420" w:firstLineChars="200"/>
              <w:rPr>
                <w:b/>
                <w:bCs/>
                <w:kern w:val="0"/>
              </w:rPr>
            </w:pPr>
            <w:r>
              <w:rPr>
                <w:caps/>
                <w:szCs w:val="21"/>
              </w:rPr>
              <w:t>本项目环境风险等级较低，通过采取相应的风险防范措施，项目的环境风险可控。建设单位应编制突发环境事件应急预案，一旦发生事故，建设单位应立即执行采取合理的事故应急处理措施，将事故影响降到最低限度</w:t>
            </w:r>
            <w:r>
              <w:rPr>
                <w:bCs/>
                <w:szCs w:val="21"/>
              </w:rPr>
              <w:t>。</w:t>
            </w:r>
          </w:p>
          <w:p>
            <w:pPr>
              <w:pStyle w:val="80"/>
              <w:spacing w:line="360" w:lineRule="auto"/>
              <w:ind w:firstLine="422"/>
              <w:rPr>
                <w:b/>
                <w:sz w:val="21"/>
                <w:szCs w:val="21"/>
              </w:rPr>
            </w:pPr>
          </w:p>
          <w:p/>
        </w:tc>
      </w:tr>
    </w:tbl>
    <w:p>
      <w:pPr>
        <w:tabs>
          <w:tab w:val="left" w:pos="2064"/>
        </w:tabs>
        <w:adjustRightInd w:val="0"/>
        <w:snapToGrid w:val="0"/>
        <w:spacing w:line="360" w:lineRule="auto"/>
        <w:rPr>
          <w:b/>
          <w:kern w:val="0"/>
          <w:sz w:val="28"/>
          <w:szCs w:val="28"/>
        </w:rPr>
      </w:pPr>
    </w:p>
    <w:p>
      <w:pPr>
        <w:tabs>
          <w:tab w:val="left" w:pos="2064"/>
        </w:tabs>
        <w:rPr>
          <w:sz w:val="28"/>
          <w:szCs w:val="28"/>
        </w:rPr>
        <w:sectPr>
          <w:pgSz w:w="11907" w:h="16840"/>
          <w:pgMar w:top="720" w:right="1275" w:bottom="720" w:left="1276" w:header="851" w:footer="851" w:gutter="0"/>
          <w:cols w:space="720" w:num="1"/>
          <w:docGrid w:linePitch="312" w:charSpace="0"/>
        </w:sectPr>
      </w:pPr>
      <w:r>
        <w:rPr>
          <w:sz w:val="28"/>
          <w:szCs w:val="28"/>
        </w:rPr>
        <w:tab/>
      </w:r>
    </w:p>
    <w:p>
      <w:pPr>
        <w:pStyle w:val="26"/>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五、</w:t>
      </w:r>
      <w:bookmarkStart w:id="2" w:name="_Hlk54167917"/>
      <w:r>
        <w:rPr>
          <w:rFonts w:ascii="Times New Roman" w:hAnsi="Times New Roman" w:eastAsia="黑体"/>
          <w:snapToGrid w:val="0"/>
          <w:sz w:val="30"/>
          <w:szCs w:val="30"/>
        </w:rPr>
        <w:t>环境保护措施监督检查清单</w:t>
      </w:r>
      <w:bookmarkEnd w:id="2"/>
    </w:p>
    <w:tbl>
      <w:tblPr>
        <w:tblStyle w:val="29"/>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18"/>
        <w:gridCol w:w="1413"/>
        <w:gridCol w:w="1307"/>
        <w:gridCol w:w="2469"/>
        <w:gridCol w:w="26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88" w:type="pct"/>
            <w:tcBorders>
              <w:tl2br w:val="single" w:color="auto" w:sz="4" w:space="0"/>
            </w:tcBorders>
          </w:tcPr>
          <w:p>
            <w:pPr>
              <w:adjustRightInd w:val="0"/>
              <w:snapToGrid w:val="0"/>
              <w:ind w:firstLine="840"/>
              <w:rPr>
                <w:szCs w:val="21"/>
              </w:rPr>
            </w:pPr>
            <w:r>
              <w:rPr>
                <w:szCs w:val="21"/>
              </w:rPr>
              <w:t>内容</w:t>
            </w:r>
          </w:p>
          <w:p>
            <w:pPr>
              <w:adjustRightInd w:val="0"/>
              <w:snapToGrid w:val="0"/>
              <w:rPr>
                <w:szCs w:val="21"/>
              </w:rPr>
            </w:pPr>
            <w:r>
              <w:rPr>
                <w:szCs w:val="21"/>
              </w:rPr>
              <w:t>要素</w:t>
            </w:r>
          </w:p>
        </w:tc>
        <w:tc>
          <w:tcPr>
            <w:tcW w:w="728" w:type="pct"/>
            <w:vAlign w:val="center"/>
          </w:tcPr>
          <w:p>
            <w:pPr>
              <w:adjustRightInd w:val="0"/>
              <w:snapToGrid w:val="0"/>
              <w:jc w:val="center"/>
              <w:rPr>
                <w:szCs w:val="21"/>
              </w:rPr>
            </w:pPr>
            <w:r>
              <w:rPr>
                <w:szCs w:val="21"/>
              </w:rPr>
              <w:t>排放口(编号、</w:t>
            </w:r>
          </w:p>
          <w:p>
            <w:pPr>
              <w:adjustRightInd w:val="0"/>
              <w:snapToGrid w:val="0"/>
              <w:jc w:val="center"/>
              <w:rPr>
                <w:szCs w:val="21"/>
              </w:rPr>
            </w:pPr>
            <w:r>
              <w:rPr>
                <w:szCs w:val="21"/>
              </w:rPr>
              <w:t>名称)/污染源</w:t>
            </w:r>
          </w:p>
        </w:tc>
        <w:tc>
          <w:tcPr>
            <w:tcW w:w="673" w:type="pct"/>
            <w:vAlign w:val="center"/>
          </w:tcPr>
          <w:p>
            <w:pPr>
              <w:adjustRightInd w:val="0"/>
              <w:snapToGrid w:val="0"/>
              <w:jc w:val="center"/>
              <w:rPr>
                <w:szCs w:val="21"/>
              </w:rPr>
            </w:pPr>
            <w:r>
              <w:rPr>
                <w:szCs w:val="21"/>
              </w:rPr>
              <w:t>污染物项目</w:t>
            </w:r>
          </w:p>
        </w:tc>
        <w:tc>
          <w:tcPr>
            <w:tcW w:w="1272" w:type="pct"/>
            <w:vAlign w:val="center"/>
          </w:tcPr>
          <w:p>
            <w:pPr>
              <w:adjustRightInd w:val="0"/>
              <w:snapToGrid w:val="0"/>
              <w:jc w:val="center"/>
              <w:rPr>
                <w:szCs w:val="21"/>
              </w:rPr>
            </w:pPr>
            <w:r>
              <w:rPr>
                <w:szCs w:val="21"/>
              </w:rPr>
              <w:t>环境保护措施</w:t>
            </w:r>
          </w:p>
        </w:tc>
        <w:tc>
          <w:tcPr>
            <w:tcW w:w="1339" w:type="pct"/>
            <w:vAlign w:val="center"/>
          </w:tcPr>
          <w:p>
            <w:pPr>
              <w:adjustRightInd w:val="0"/>
              <w:snapToGrid w:val="0"/>
              <w:jc w:val="center"/>
              <w:rPr>
                <w:szCs w:val="21"/>
              </w:rPr>
            </w:pPr>
            <w:r>
              <w:rPr>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88" w:type="pct"/>
            <w:vMerge w:val="restart"/>
            <w:vAlign w:val="center"/>
          </w:tcPr>
          <w:p>
            <w:pPr>
              <w:adjustRightInd w:val="0"/>
              <w:snapToGrid w:val="0"/>
              <w:jc w:val="center"/>
              <w:rPr>
                <w:szCs w:val="21"/>
              </w:rPr>
            </w:pPr>
            <w:r>
              <w:rPr>
                <w:szCs w:val="21"/>
              </w:rPr>
              <w:t>大气环境</w:t>
            </w:r>
          </w:p>
        </w:tc>
        <w:tc>
          <w:tcPr>
            <w:tcW w:w="728" w:type="pct"/>
            <w:vMerge w:val="restart"/>
            <w:vAlign w:val="center"/>
          </w:tcPr>
          <w:p>
            <w:pPr>
              <w:adjustRightInd w:val="0"/>
              <w:snapToGrid w:val="0"/>
              <w:jc w:val="center"/>
              <w:rPr>
                <w:szCs w:val="21"/>
              </w:rPr>
            </w:pPr>
            <w:r>
              <w:rPr>
                <w:szCs w:val="21"/>
              </w:rPr>
              <w:t>DA001</w:t>
            </w:r>
            <w:r>
              <w:rPr>
                <w:rFonts w:hint="eastAsia"/>
                <w:szCs w:val="21"/>
              </w:rPr>
              <w:t>厂房A废弃排放口</w:t>
            </w:r>
            <w:r>
              <w:rPr>
                <w:szCs w:val="21"/>
              </w:rPr>
              <w:t>/</w:t>
            </w:r>
            <w:r>
              <w:rPr>
                <w:rFonts w:hint="eastAsia"/>
                <w:szCs w:val="21"/>
              </w:rPr>
              <w:t>粘片、</w:t>
            </w:r>
            <w:r>
              <w:rPr>
                <w:szCs w:val="21"/>
              </w:rPr>
              <w:t>点胶、塑封固化</w:t>
            </w:r>
          </w:p>
        </w:tc>
        <w:tc>
          <w:tcPr>
            <w:tcW w:w="673" w:type="pct"/>
            <w:vAlign w:val="center"/>
          </w:tcPr>
          <w:p>
            <w:pPr>
              <w:adjustRightInd w:val="0"/>
              <w:snapToGrid w:val="0"/>
              <w:jc w:val="center"/>
              <w:rPr>
                <w:szCs w:val="21"/>
              </w:rPr>
            </w:pPr>
            <w:r>
              <w:rPr>
                <w:rFonts w:hint="eastAsia"/>
                <w:szCs w:val="21"/>
              </w:rPr>
              <w:t>颗粒物、</w:t>
            </w:r>
            <w:r>
              <w:rPr>
                <w:szCs w:val="21"/>
              </w:rPr>
              <w:t>锡及其化合物</w:t>
            </w:r>
          </w:p>
        </w:tc>
        <w:tc>
          <w:tcPr>
            <w:tcW w:w="1272" w:type="pct"/>
            <w:vMerge w:val="restart"/>
            <w:vAlign w:val="center"/>
          </w:tcPr>
          <w:p>
            <w:pPr>
              <w:adjustRightInd w:val="0"/>
              <w:snapToGrid w:val="0"/>
              <w:jc w:val="center"/>
              <w:rPr>
                <w:szCs w:val="21"/>
              </w:rPr>
            </w:pPr>
            <w:r>
              <w:rPr>
                <w:rFonts w:hint="eastAsia"/>
              </w:rPr>
              <w:t>粘片、</w:t>
            </w:r>
            <w:r>
              <w:t>点胶废气</w:t>
            </w:r>
            <w:r>
              <w:rPr>
                <w:rFonts w:hint="eastAsia"/>
              </w:rPr>
              <w:t>经</w:t>
            </w:r>
            <w:r>
              <w:t>集气罩收集后与</w:t>
            </w:r>
            <w:r>
              <w:rPr>
                <w:rFonts w:hint="eastAsia"/>
              </w:rPr>
              <w:t>集气管</w:t>
            </w:r>
            <w:r>
              <w:t>收集的</w:t>
            </w:r>
            <w:r>
              <w:rPr>
                <w:rFonts w:hint="eastAsia"/>
              </w:rPr>
              <w:t>塑封固化</w:t>
            </w:r>
            <w:r>
              <w:t>废气一起引至“</w:t>
            </w:r>
            <w:r>
              <w:rPr>
                <w:rFonts w:hint="eastAsia"/>
              </w:rPr>
              <w:t>喷淋塔+干式</w:t>
            </w:r>
            <w:r>
              <w:t>除雾器</w:t>
            </w:r>
            <w:r>
              <w:rPr>
                <w:rFonts w:hint="eastAsia"/>
              </w:rPr>
              <w:t>+两级活性炭</w:t>
            </w:r>
            <w:r>
              <w:t>吸附装置”处理后高空排放</w:t>
            </w:r>
          </w:p>
        </w:tc>
        <w:tc>
          <w:tcPr>
            <w:tcW w:w="1339" w:type="pct"/>
            <w:vAlign w:val="center"/>
          </w:tcPr>
          <w:p>
            <w:pPr>
              <w:widowControl/>
              <w:jc w:val="center"/>
              <w:rPr>
                <w:bCs/>
                <w:szCs w:val="21"/>
              </w:rPr>
            </w:pPr>
            <w:r>
              <w:rPr>
                <w:bCs/>
                <w:szCs w:val="21"/>
              </w:rPr>
              <w:t>《大气污染物排放限值》（DB44/27-2001）第二时段二级标准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88" w:type="pct"/>
            <w:vMerge w:val="continue"/>
            <w:vAlign w:val="center"/>
          </w:tcPr>
          <w:p>
            <w:pPr>
              <w:adjustRightInd w:val="0"/>
              <w:snapToGrid w:val="0"/>
              <w:jc w:val="center"/>
              <w:rPr>
                <w:szCs w:val="21"/>
              </w:rPr>
            </w:pPr>
          </w:p>
        </w:tc>
        <w:tc>
          <w:tcPr>
            <w:tcW w:w="728" w:type="pct"/>
            <w:vMerge w:val="continue"/>
            <w:vAlign w:val="center"/>
          </w:tcPr>
          <w:p>
            <w:pPr>
              <w:adjustRightInd w:val="0"/>
              <w:snapToGrid w:val="0"/>
              <w:jc w:val="center"/>
              <w:rPr>
                <w:szCs w:val="21"/>
              </w:rPr>
            </w:pPr>
          </w:p>
        </w:tc>
        <w:tc>
          <w:tcPr>
            <w:tcW w:w="673" w:type="pct"/>
            <w:vAlign w:val="center"/>
          </w:tcPr>
          <w:p>
            <w:pPr>
              <w:adjustRightInd w:val="0"/>
              <w:snapToGrid w:val="0"/>
              <w:jc w:val="center"/>
              <w:rPr>
                <w:szCs w:val="21"/>
              </w:rPr>
            </w:pPr>
            <w:r>
              <w:rPr>
                <w:rFonts w:hint="eastAsia"/>
                <w:szCs w:val="21"/>
              </w:rPr>
              <w:t>TVOC</w:t>
            </w:r>
          </w:p>
        </w:tc>
        <w:tc>
          <w:tcPr>
            <w:tcW w:w="1272" w:type="pct"/>
            <w:vMerge w:val="continue"/>
            <w:vAlign w:val="center"/>
          </w:tcPr>
          <w:p>
            <w:pPr>
              <w:adjustRightInd w:val="0"/>
              <w:snapToGrid w:val="0"/>
              <w:jc w:val="center"/>
            </w:pPr>
          </w:p>
        </w:tc>
        <w:tc>
          <w:tcPr>
            <w:tcW w:w="1339" w:type="pct"/>
            <w:vAlign w:val="center"/>
          </w:tcPr>
          <w:p>
            <w:pPr>
              <w:widowControl/>
              <w:jc w:val="center"/>
              <w:rPr>
                <w:bCs/>
                <w:szCs w:val="21"/>
              </w:rPr>
            </w:pPr>
            <w:r>
              <w:rPr>
                <w:rFonts w:hint="eastAsia"/>
                <w:bCs/>
                <w:szCs w:val="21"/>
              </w:rPr>
              <w:t>《固定污染源挥发性有机物综合排放标准》（DB44/2367-2022）表1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988" w:type="pct"/>
            <w:vMerge w:val="continue"/>
            <w:vAlign w:val="center"/>
          </w:tcPr>
          <w:p>
            <w:pPr>
              <w:adjustRightInd w:val="0"/>
              <w:snapToGrid w:val="0"/>
              <w:jc w:val="center"/>
              <w:rPr>
                <w:szCs w:val="21"/>
              </w:rPr>
            </w:pPr>
          </w:p>
        </w:tc>
        <w:tc>
          <w:tcPr>
            <w:tcW w:w="728" w:type="pct"/>
            <w:vMerge w:val="restart"/>
            <w:vAlign w:val="center"/>
          </w:tcPr>
          <w:p>
            <w:pPr>
              <w:adjustRightInd w:val="0"/>
              <w:snapToGrid w:val="0"/>
              <w:jc w:val="center"/>
              <w:rPr>
                <w:szCs w:val="21"/>
              </w:rPr>
            </w:pPr>
            <w:r>
              <w:rPr>
                <w:rFonts w:hint="eastAsia"/>
                <w:szCs w:val="21"/>
              </w:rPr>
              <w:t>D</w:t>
            </w:r>
            <w:r>
              <w:rPr>
                <w:szCs w:val="21"/>
              </w:rPr>
              <w:t>A002</w:t>
            </w:r>
            <w:r>
              <w:rPr>
                <w:rFonts w:hint="eastAsia"/>
                <w:szCs w:val="21"/>
              </w:rPr>
              <w:t>厂房B</w:t>
            </w:r>
            <w:r>
              <w:rPr>
                <w:szCs w:val="21"/>
              </w:rPr>
              <w:t>废气排放口</w:t>
            </w:r>
            <w:r>
              <w:rPr>
                <w:rFonts w:hint="eastAsia"/>
                <w:szCs w:val="21"/>
              </w:rPr>
              <w:t>/粘片、</w:t>
            </w:r>
            <w:r>
              <w:rPr>
                <w:szCs w:val="21"/>
              </w:rPr>
              <w:t>塑封固化</w:t>
            </w:r>
          </w:p>
        </w:tc>
        <w:tc>
          <w:tcPr>
            <w:tcW w:w="673" w:type="pct"/>
            <w:vAlign w:val="center"/>
          </w:tcPr>
          <w:p>
            <w:pPr>
              <w:adjustRightInd w:val="0"/>
              <w:snapToGrid w:val="0"/>
              <w:jc w:val="center"/>
              <w:rPr>
                <w:szCs w:val="21"/>
              </w:rPr>
            </w:pPr>
            <w:r>
              <w:rPr>
                <w:rFonts w:hint="eastAsia"/>
                <w:szCs w:val="21"/>
              </w:rPr>
              <w:t>颗粒物、</w:t>
            </w:r>
            <w:r>
              <w:rPr>
                <w:szCs w:val="21"/>
              </w:rPr>
              <w:t>锡及其化合物</w:t>
            </w:r>
          </w:p>
        </w:tc>
        <w:tc>
          <w:tcPr>
            <w:tcW w:w="1272" w:type="pct"/>
            <w:vMerge w:val="restart"/>
            <w:vAlign w:val="center"/>
          </w:tcPr>
          <w:p>
            <w:pPr>
              <w:adjustRightInd w:val="0"/>
              <w:snapToGrid w:val="0"/>
              <w:jc w:val="center"/>
              <w:rPr>
                <w:szCs w:val="21"/>
              </w:rPr>
            </w:pPr>
            <w:r>
              <w:rPr>
                <w:rFonts w:hint="eastAsia"/>
              </w:rPr>
              <w:t>粘片</w:t>
            </w:r>
            <w:r>
              <w:t>废气</w:t>
            </w:r>
            <w:r>
              <w:rPr>
                <w:rFonts w:hint="eastAsia"/>
              </w:rPr>
              <w:t>经</w:t>
            </w:r>
            <w:r>
              <w:t>集气罩收集后与</w:t>
            </w:r>
            <w:r>
              <w:rPr>
                <w:rFonts w:hint="eastAsia"/>
              </w:rPr>
              <w:t>集气管</w:t>
            </w:r>
            <w:r>
              <w:t>收集的</w:t>
            </w:r>
            <w:r>
              <w:rPr>
                <w:rFonts w:hint="eastAsia"/>
              </w:rPr>
              <w:t>塑封固化</w:t>
            </w:r>
            <w:r>
              <w:t>废气一起引至“</w:t>
            </w:r>
            <w:r>
              <w:rPr>
                <w:rFonts w:hint="eastAsia"/>
              </w:rPr>
              <w:t>喷淋塔+干式</w:t>
            </w:r>
            <w:r>
              <w:t>除雾器</w:t>
            </w:r>
            <w:r>
              <w:rPr>
                <w:rFonts w:hint="eastAsia"/>
              </w:rPr>
              <w:t>+两级活性炭</w:t>
            </w:r>
            <w:r>
              <w:t>吸附装置”处理后高空排放</w:t>
            </w:r>
          </w:p>
        </w:tc>
        <w:tc>
          <w:tcPr>
            <w:tcW w:w="1339" w:type="pct"/>
            <w:vAlign w:val="center"/>
          </w:tcPr>
          <w:p>
            <w:pPr>
              <w:widowControl/>
              <w:jc w:val="center"/>
              <w:rPr>
                <w:bCs/>
                <w:szCs w:val="21"/>
              </w:rPr>
            </w:pPr>
            <w:r>
              <w:rPr>
                <w:bCs/>
                <w:szCs w:val="21"/>
              </w:rPr>
              <w:t>《大气污染物排放限值》（DB44/27-2001）第二时段二级标准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88" w:type="pct"/>
            <w:vMerge w:val="continue"/>
            <w:vAlign w:val="center"/>
          </w:tcPr>
          <w:p>
            <w:pPr>
              <w:adjustRightInd w:val="0"/>
              <w:snapToGrid w:val="0"/>
              <w:jc w:val="center"/>
              <w:rPr>
                <w:szCs w:val="21"/>
              </w:rPr>
            </w:pPr>
          </w:p>
        </w:tc>
        <w:tc>
          <w:tcPr>
            <w:tcW w:w="728" w:type="pct"/>
            <w:vMerge w:val="continue"/>
            <w:vAlign w:val="center"/>
          </w:tcPr>
          <w:p>
            <w:pPr>
              <w:adjustRightInd w:val="0"/>
              <w:snapToGrid w:val="0"/>
              <w:jc w:val="center"/>
              <w:rPr>
                <w:szCs w:val="21"/>
              </w:rPr>
            </w:pPr>
          </w:p>
        </w:tc>
        <w:tc>
          <w:tcPr>
            <w:tcW w:w="673" w:type="pct"/>
            <w:vAlign w:val="center"/>
          </w:tcPr>
          <w:p>
            <w:pPr>
              <w:adjustRightInd w:val="0"/>
              <w:snapToGrid w:val="0"/>
              <w:jc w:val="center"/>
              <w:rPr>
                <w:szCs w:val="21"/>
              </w:rPr>
            </w:pPr>
            <w:r>
              <w:rPr>
                <w:rFonts w:hint="eastAsia"/>
                <w:szCs w:val="21"/>
              </w:rPr>
              <w:t>TVOC</w:t>
            </w:r>
          </w:p>
        </w:tc>
        <w:tc>
          <w:tcPr>
            <w:tcW w:w="1272" w:type="pct"/>
            <w:vMerge w:val="continue"/>
            <w:vAlign w:val="center"/>
          </w:tcPr>
          <w:p>
            <w:pPr>
              <w:adjustRightInd w:val="0"/>
              <w:snapToGrid w:val="0"/>
              <w:jc w:val="center"/>
            </w:pPr>
          </w:p>
        </w:tc>
        <w:tc>
          <w:tcPr>
            <w:tcW w:w="1339" w:type="pct"/>
            <w:vAlign w:val="center"/>
          </w:tcPr>
          <w:p>
            <w:pPr>
              <w:widowControl/>
              <w:jc w:val="center"/>
              <w:rPr>
                <w:bCs/>
                <w:szCs w:val="21"/>
              </w:rPr>
            </w:pPr>
            <w:r>
              <w:rPr>
                <w:rFonts w:hint="eastAsia"/>
                <w:bCs/>
                <w:szCs w:val="21"/>
              </w:rPr>
              <w:t>《固定污染源挥发性有机物综合排放标准》（DB44/2367-2022）表1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88" w:type="pct"/>
            <w:vMerge w:val="continue"/>
            <w:vAlign w:val="center"/>
          </w:tcPr>
          <w:p>
            <w:pPr>
              <w:adjustRightInd w:val="0"/>
              <w:snapToGrid w:val="0"/>
              <w:jc w:val="center"/>
              <w:rPr>
                <w:szCs w:val="21"/>
              </w:rPr>
            </w:pPr>
          </w:p>
        </w:tc>
        <w:tc>
          <w:tcPr>
            <w:tcW w:w="728" w:type="pct"/>
            <w:vMerge w:val="restart"/>
            <w:vAlign w:val="center"/>
          </w:tcPr>
          <w:p>
            <w:pPr>
              <w:adjustRightInd w:val="0"/>
              <w:snapToGrid w:val="0"/>
              <w:jc w:val="center"/>
              <w:rPr>
                <w:szCs w:val="21"/>
              </w:rPr>
            </w:pPr>
            <w:r>
              <w:rPr>
                <w:rFonts w:hint="eastAsia"/>
                <w:szCs w:val="21"/>
              </w:rPr>
              <w:t>厂界</w:t>
            </w:r>
            <w:r>
              <w:rPr>
                <w:szCs w:val="21"/>
              </w:rPr>
              <w:t>无组织</w:t>
            </w:r>
          </w:p>
        </w:tc>
        <w:tc>
          <w:tcPr>
            <w:tcW w:w="673" w:type="pct"/>
            <w:vAlign w:val="center"/>
          </w:tcPr>
          <w:p>
            <w:pPr>
              <w:adjustRightInd w:val="0"/>
              <w:snapToGrid w:val="0"/>
              <w:jc w:val="center"/>
              <w:rPr>
                <w:szCs w:val="21"/>
              </w:rPr>
            </w:pPr>
            <w:r>
              <w:rPr>
                <w:rFonts w:hint="eastAsia"/>
                <w:szCs w:val="21"/>
              </w:rPr>
              <w:t>V</w:t>
            </w:r>
            <w:r>
              <w:rPr>
                <w:szCs w:val="21"/>
              </w:rPr>
              <w:t>OCs</w:t>
            </w:r>
          </w:p>
        </w:tc>
        <w:tc>
          <w:tcPr>
            <w:tcW w:w="1272" w:type="pct"/>
            <w:vMerge w:val="restart"/>
            <w:vAlign w:val="center"/>
          </w:tcPr>
          <w:p>
            <w:pPr>
              <w:adjustRightInd w:val="0"/>
              <w:snapToGrid w:val="0"/>
              <w:jc w:val="center"/>
              <w:rPr>
                <w:szCs w:val="21"/>
              </w:rPr>
            </w:pPr>
            <w:r>
              <w:rPr>
                <w:szCs w:val="21"/>
              </w:rPr>
              <w:t>加强车间密闭</w:t>
            </w:r>
          </w:p>
        </w:tc>
        <w:tc>
          <w:tcPr>
            <w:tcW w:w="1339" w:type="pct"/>
            <w:vAlign w:val="center"/>
          </w:tcPr>
          <w:p>
            <w:pPr>
              <w:widowControl/>
              <w:jc w:val="center"/>
              <w:rPr>
                <w:bCs/>
                <w:szCs w:val="21"/>
              </w:rPr>
            </w:pPr>
            <w:r>
              <w:rPr>
                <w:rFonts w:hint="eastAsia"/>
                <w:szCs w:val="21"/>
              </w:rPr>
              <w:t>《家具制造行业挥发性有机化合物排放标准》（DB44/814-2010）无组织排放监控点浓度限值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988" w:type="pct"/>
            <w:vMerge w:val="continue"/>
            <w:vAlign w:val="center"/>
          </w:tcPr>
          <w:p>
            <w:pPr>
              <w:adjustRightInd w:val="0"/>
              <w:snapToGrid w:val="0"/>
              <w:jc w:val="center"/>
              <w:rPr>
                <w:szCs w:val="21"/>
              </w:rPr>
            </w:pPr>
          </w:p>
        </w:tc>
        <w:tc>
          <w:tcPr>
            <w:tcW w:w="728" w:type="pct"/>
            <w:vMerge w:val="continue"/>
            <w:vAlign w:val="center"/>
          </w:tcPr>
          <w:p>
            <w:pPr>
              <w:adjustRightInd w:val="0"/>
              <w:snapToGrid w:val="0"/>
              <w:jc w:val="center"/>
              <w:rPr>
                <w:szCs w:val="21"/>
              </w:rPr>
            </w:pPr>
          </w:p>
        </w:tc>
        <w:tc>
          <w:tcPr>
            <w:tcW w:w="673" w:type="pct"/>
            <w:vAlign w:val="center"/>
          </w:tcPr>
          <w:p>
            <w:pPr>
              <w:adjustRightInd w:val="0"/>
              <w:snapToGrid w:val="0"/>
              <w:jc w:val="center"/>
              <w:rPr>
                <w:szCs w:val="21"/>
              </w:rPr>
            </w:pPr>
            <w:r>
              <w:rPr>
                <w:szCs w:val="21"/>
              </w:rPr>
              <w:t>颗粒物</w:t>
            </w:r>
          </w:p>
        </w:tc>
        <w:tc>
          <w:tcPr>
            <w:tcW w:w="1272" w:type="pct"/>
            <w:vMerge w:val="continue"/>
            <w:vAlign w:val="center"/>
          </w:tcPr>
          <w:p>
            <w:pPr>
              <w:adjustRightInd w:val="0"/>
              <w:snapToGrid w:val="0"/>
              <w:jc w:val="center"/>
              <w:rPr>
                <w:szCs w:val="21"/>
              </w:rPr>
            </w:pPr>
          </w:p>
        </w:tc>
        <w:tc>
          <w:tcPr>
            <w:tcW w:w="1339" w:type="pct"/>
            <w:vAlign w:val="center"/>
          </w:tcPr>
          <w:p>
            <w:pPr>
              <w:widowControl/>
              <w:jc w:val="center"/>
              <w:rPr>
                <w:szCs w:val="21"/>
              </w:rPr>
            </w:pPr>
            <w:r>
              <w:rPr>
                <w:bCs/>
                <w:kern w:val="0"/>
                <w:szCs w:val="21"/>
              </w:rPr>
              <w:t>广东省《大气污染物排放限值》（DB44/27-2001）第二时段无组织排放监控浓度限值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88" w:type="pct"/>
            <w:vMerge w:val="continue"/>
            <w:vAlign w:val="center"/>
          </w:tcPr>
          <w:p>
            <w:pPr>
              <w:adjustRightInd w:val="0"/>
              <w:snapToGrid w:val="0"/>
              <w:jc w:val="center"/>
              <w:rPr>
                <w:szCs w:val="21"/>
              </w:rPr>
            </w:pPr>
          </w:p>
        </w:tc>
        <w:tc>
          <w:tcPr>
            <w:tcW w:w="728" w:type="pct"/>
            <w:vAlign w:val="center"/>
          </w:tcPr>
          <w:p>
            <w:pPr>
              <w:adjustRightInd w:val="0"/>
              <w:snapToGrid w:val="0"/>
              <w:jc w:val="center"/>
              <w:rPr>
                <w:szCs w:val="21"/>
              </w:rPr>
            </w:pPr>
            <w:r>
              <w:rPr>
                <w:rFonts w:hint="eastAsia"/>
                <w:szCs w:val="21"/>
              </w:rPr>
              <w:t>厂区内</w:t>
            </w:r>
            <w:r>
              <w:rPr>
                <w:szCs w:val="21"/>
              </w:rPr>
              <w:t>无组织</w:t>
            </w:r>
          </w:p>
        </w:tc>
        <w:tc>
          <w:tcPr>
            <w:tcW w:w="673" w:type="pct"/>
            <w:vAlign w:val="center"/>
          </w:tcPr>
          <w:p>
            <w:pPr>
              <w:adjustRightInd w:val="0"/>
              <w:snapToGrid w:val="0"/>
              <w:jc w:val="center"/>
              <w:rPr>
                <w:szCs w:val="21"/>
              </w:rPr>
            </w:pPr>
            <w:r>
              <w:rPr>
                <w:szCs w:val="21"/>
              </w:rPr>
              <w:t>非甲烷总烃</w:t>
            </w:r>
          </w:p>
        </w:tc>
        <w:tc>
          <w:tcPr>
            <w:tcW w:w="1272" w:type="pct"/>
            <w:vAlign w:val="center"/>
          </w:tcPr>
          <w:p>
            <w:pPr>
              <w:adjustRightInd w:val="0"/>
              <w:snapToGrid w:val="0"/>
              <w:jc w:val="center"/>
              <w:rPr>
                <w:szCs w:val="21"/>
              </w:rPr>
            </w:pPr>
            <w:r>
              <w:rPr>
                <w:szCs w:val="21"/>
              </w:rPr>
              <w:t>加强车间密闭</w:t>
            </w:r>
          </w:p>
        </w:tc>
        <w:tc>
          <w:tcPr>
            <w:tcW w:w="1339" w:type="pct"/>
            <w:vAlign w:val="center"/>
          </w:tcPr>
          <w:p>
            <w:pPr>
              <w:widowControl/>
              <w:jc w:val="center"/>
              <w:rPr>
                <w:bCs/>
                <w:szCs w:val="21"/>
              </w:rPr>
            </w:pPr>
            <w:r>
              <w:rPr>
                <w:rFonts w:hint="eastAsia"/>
                <w:bCs/>
                <w:szCs w:val="21"/>
              </w:rPr>
              <w:t>《固定污染源挥发性有机物综合排放标准》（DB44/2367-2022）表</w:t>
            </w:r>
            <w:r>
              <w:rPr>
                <w:bCs/>
                <w:szCs w:val="21"/>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88" w:type="pct"/>
            <w:vAlign w:val="center"/>
          </w:tcPr>
          <w:p>
            <w:pPr>
              <w:adjustRightInd w:val="0"/>
              <w:snapToGrid w:val="0"/>
              <w:jc w:val="center"/>
              <w:rPr>
                <w:szCs w:val="21"/>
              </w:rPr>
            </w:pPr>
            <w:r>
              <w:rPr>
                <w:szCs w:val="21"/>
              </w:rPr>
              <w:t>地表水环境</w:t>
            </w:r>
          </w:p>
        </w:tc>
        <w:tc>
          <w:tcPr>
            <w:tcW w:w="728" w:type="pct"/>
            <w:vAlign w:val="center"/>
          </w:tcPr>
          <w:p>
            <w:pPr>
              <w:adjustRightInd w:val="0"/>
              <w:snapToGrid w:val="0"/>
              <w:jc w:val="center"/>
              <w:rPr>
                <w:szCs w:val="21"/>
              </w:rPr>
            </w:pPr>
            <w:r>
              <w:rPr>
                <w:szCs w:val="21"/>
              </w:rPr>
              <w:t>DW001生活污水排放口</w:t>
            </w:r>
          </w:p>
        </w:tc>
        <w:tc>
          <w:tcPr>
            <w:tcW w:w="673" w:type="pct"/>
            <w:vAlign w:val="center"/>
          </w:tcPr>
          <w:p>
            <w:pPr>
              <w:adjustRightInd w:val="0"/>
              <w:snapToGrid w:val="0"/>
              <w:jc w:val="center"/>
            </w:pPr>
            <w:r>
              <w:t>COD</w:t>
            </w:r>
            <w:r>
              <w:rPr>
                <w:vertAlign w:val="subscript"/>
              </w:rPr>
              <w:t>Cr</w:t>
            </w:r>
            <w:r>
              <w:t>、BOD</w:t>
            </w:r>
            <w:r>
              <w:rPr>
                <w:vertAlign w:val="subscript"/>
              </w:rPr>
              <w:t>5</w:t>
            </w:r>
            <w:r>
              <w:t>、SS</w:t>
            </w:r>
          </w:p>
          <w:p>
            <w:pPr>
              <w:adjustRightInd w:val="0"/>
              <w:snapToGrid w:val="0"/>
              <w:jc w:val="center"/>
            </w:pPr>
            <w:r>
              <w:t>NH</w:t>
            </w:r>
            <w:r>
              <w:rPr>
                <w:vertAlign w:val="subscript"/>
              </w:rPr>
              <w:t>3</w:t>
            </w:r>
            <w:r>
              <w:t>-N</w:t>
            </w:r>
          </w:p>
          <w:p>
            <w:pPr>
              <w:adjustRightInd w:val="0"/>
              <w:snapToGrid w:val="0"/>
              <w:jc w:val="center"/>
            </w:pPr>
            <w:r>
              <w:rPr>
                <w:rFonts w:hint="eastAsia"/>
              </w:rPr>
              <w:t>动植物油</w:t>
            </w:r>
          </w:p>
        </w:tc>
        <w:tc>
          <w:tcPr>
            <w:tcW w:w="1272" w:type="pct"/>
            <w:vAlign w:val="center"/>
          </w:tcPr>
          <w:p>
            <w:pPr>
              <w:adjustRightInd w:val="0"/>
              <w:snapToGrid w:val="0"/>
              <w:jc w:val="center"/>
              <w:rPr>
                <w:szCs w:val="21"/>
              </w:rPr>
            </w:pPr>
            <w:r>
              <w:rPr>
                <w:kern w:val="0"/>
                <w:szCs w:val="21"/>
              </w:rPr>
              <w:t>经三级化粪池</w:t>
            </w:r>
            <w:r>
              <w:rPr>
                <w:rFonts w:hint="eastAsia"/>
                <w:kern w:val="0"/>
                <w:szCs w:val="21"/>
              </w:rPr>
              <w:t>、</w:t>
            </w:r>
            <w:r>
              <w:rPr>
                <w:kern w:val="0"/>
                <w:szCs w:val="21"/>
              </w:rPr>
              <w:t>隔油隔渣池预处理后通过市政污水管网排入</w:t>
            </w:r>
            <w:r>
              <w:rPr>
                <w:bCs/>
                <w:kern w:val="0"/>
                <w:sz w:val="22"/>
                <w:szCs w:val="22"/>
                <w:lang w:bidi="ar"/>
              </w:rPr>
              <w:t>园洲镇第四污水处理厂</w:t>
            </w:r>
            <w:r>
              <w:rPr>
                <w:kern w:val="0"/>
                <w:szCs w:val="21"/>
              </w:rPr>
              <w:t>处理</w:t>
            </w:r>
          </w:p>
        </w:tc>
        <w:tc>
          <w:tcPr>
            <w:tcW w:w="1339" w:type="pct"/>
            <w:vAlign w:val="center"/>
          </w:tcPr>
          <w:p>
            <w:pPr>
              <w:adjustRightInd w:val="0"/>
              <w:snapToGrid w:val="0"/>
              <w:jc w:val="center"/>
              <w:rPr>
                <w:szCs w:val="21"/>
              </w:rPr>
            </w:pPr>
            <w:r>
              <w:rPr>
                <w:rFonts w:hint="eastAsia"/>
                <w:szCs w:val="21"/>
              </w:rPr>
              <w:t>氨氮、总磷排放执行国家《地表水环境质量》（GB3838-2002）Ⅴ类标准，其余指标执行国家《城镇污水处理厂污染物排放标》（GB18918-2002）一级 A 标准与广东省《水污染物排放限值》较严值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88" w:type="pct"/>
            <w:vAlign w:val="center"/>
          </w:tcPr>
          <w:p>
            <w:pPr>
              <w:adjustRightInd w:val="0"/>
              <w:snapToGrid w:val="0"/>
              <w:jc w:val="center"/>
              <w:rPr>
                <w:szCs w:val="21"/>
              </w:rPr>
            </w:pPr>
            <w:r>
              <w:rPr>
                <w:szCs w:val="21"/>
              </w:rPr>
              <w:t>声环境</w:t>
            </w:r>
          </w:p>
        </w:tc>
        <w:tc>
          <w:tcPr>
            <w:tcW w:w="728" w:type="pct"/>
            <w:vAlign w:val="center"/>
          </w:tcPr>
          <w:p>
            <w:pPr>
              <w:adjustRightInd w:val="0"/>
              <w:snapToGrid w:val="0"/>
              <w:jc w:val="center"/>
              <w:rPr>
                <w:szCs w:val="21"/>
              </w:rPr>
            </w:pPr>
            <w:r>
              <w:rPr>
                <w:szCs w:val="21"/>
              </w:rPr>
              <w:t>生产设备</w:t>
            </w:r>
          </w:p>
        </w:tc>
        <w:tc>
          <w:tcPr>
            <w:tcW w:w="673" w:type="pct"/>
            <w:vAlign w:val="center"/>
          </w:tcPr>
          <w:p>
            <w:pPr>
              <w:adjustRightInd w:val="0"/>
              <w:snapToGrid w:val="0"/>
              <w:jc w:val="center"/>
              <w:rPr>
                <w:szCs w:val="21"/>
              </w:rPr>
            </w:pPr>
            <w:r>
              <w:rPr>
                <w:szCs w:val="21"/>
              </w:rPr>
              <w:t>机械噪声</w:t>
            </w:r>
          </w:p>
        </w:tc>
        <w:tc>
          <w:tcPr>
            <w:tcW w:w="1272" w:type="pct"/>
            <w:vAlign w:val="center"/>
          </w:tcPr>
          <w:p>
            <w:pPr>
              <w:jc w:val="center"/>
              <w:rPr>
                <w:szCs w:val="21"/>
              </w:rPr>
            </w:pPr>
            <w:r>
              <w:rPr>
                <w:szCs w:val="21"/>
              </w:rPr>
              <w:t>隔音、消音、安装减振</w:t>
            </w:r>
            <w:r>
              <w:rPr>
                <w:kern w:val="0"/>
                <w:szCs w:val="21"/>
              </w:rPr>
              <w:t>垫</w:t>
            </w:r>
            <w:r>
              <w:rPr>
                <w:szCs w:val="21"/>
              </w:rPr>
              <w:t>、合理布局等措施</w:t>
            </w:r>
          </w:p>
        </w:tc>
        <w:tc>
          <w:tcPr>
            <w:tcW w:w="1339" w:type="pct"/>
            <w:vAlign w:val="center"/>
          </w:tcPr>
          <w:p>
            <w:pPr>
              <w:pStyle w:val="88"/>
              <w:snapToGrid w:val="0"/>
              <w:spacing w:line="240" w:lineRule="auto"/>
              <w:rPr>
                <w:szCs w:val="21"/>
              </w:rPr>
            </w:pPr>
            <w:r>
              <w:rPr>
                <w:sz w:val="21"/>
                <w:szCs w:val="21"/>
              </w:rPr>
              <w:t>《工业企业厂界环境噪声排放标准》（GB12348-2008）2类标准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988" w:type="pct"/>
            <w:vAlign w:val="center"/>
          </w:tcPr>
          <w:p>
            <w:pPr>
              <w:adjustRightInd w:val="0"/>
              <w:snapToGrid w:val="0"/>
              <w:jc w:val="center"/>
              <w:rPr>
                <w:szCs w:val="21"/>
              </w:rPr>
            </w:pPr>
            <w:r>
              <w:rPr>
                <w:szCs w:val="21"/>
              </w:rPr>
              <w:t>电磁辐射</w:t>
            </w:r>
          </w:p>
        </w:tc>
        <w:tc>
          <w:tcPr>
            <w:tcW w:w="4012" w:type="pct"/>
            <w:gridSpan w:val="4"/>
            <w:vAlign w:val="center"/>
          </w:tcPr>
          <w:p>
            <w:pPr>
              <w:adjustRightInd w:val="0"/>
              <w:snapToGrid w:val="0"/>
              <w:jc w:val="left"/>
              <w:rPr>
                <w:szCs w:val="21"/>
              </w:rPr>
            </w:pPr>
            <w:r>
              <w:rPr>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88" w:type="pct"/>
            <w:vAlign w:val="center"/>
          </w:tcPr>
          <w:p>
            <w:pPr>
              <w:adjustRightInd w:val="0"/>
              <w:snapToGrid w:val="0"/>
              <w:jc w:val="center"/>
              <w:rPr>
                <w:szCs w:val="21"/>
              </w:rPr>
            </w:pPr>
            <w:r>
              <w:rPr>
                <w:szCs w:val="21"/>
              </w:rPr>
              <w:t>固体废物</w:t>
            </w:r>
          </w:p>
        </w:tc>
        <w:tc>
          <w:tcPr>
            <w:tcW w:w="4012" w:type="pct"/>
            <w:gridSpan w:val="4"/>
            <w:vAlign w:val="center"/>
          </w:tcPr>
          <w:p>
            <w:pPr>
              <w:adjustRightInd w:val="0"/>
              <w:snapToGrid w:val="0"/>
              <w:rPr>
                <w:szCs w:val="21"/>
              </w:rPr>
            </w:pPr>
            <w:r>
              <w:rPr>
                <w:rFonts w:hint="eastAsia"/>
                <w:kern w:val="0"/>
                <w:szCs w:val="21"/>
              </w:rPr>
              <w:t>硅屑</w:t>
            </w:r>
            <w:r>
              <w:rPr>
                <w:kern w:val="0"/>
                <w:szCs w:val="21"/>
              </w:rPr>
              <w:t>、</w:t>
            </w:r>
            <w:r>
              <w:rPr>
                <w:rFonts w:hint="eastAsia"/>
                <w:kern w:val="0"/>
                <w:szCs w:val="21"/>
              </w:rPr>
              <w:t>废次品、</w:t>
            </w:r>
            <w:r>
              <w:rPr>
                <w:kern w:val="0"/>
                <w:szCs w:val="21"/>
              </w:rPr>
              <w:t>塑封废料和包装废物</w:t>
            </w:r>
            <w:r>
              <w:rPr>
                <w:rFonts w:hint="eastAsia"/>
                <w:szCs w:val="21"/>
              </w:rPr>
              <w:t>分类</w:t>
            </w:r>
            <w:r>
              <w:rPr>
                <w:lang w:bidi="ar"/>
              </w:rPr>
              <w:t>收集后交由专</w:t>
            </w:r>
            <w:r>
              <w:rPr>
                <w:rFonts w:hint="eastAsia"/>
                <w:lang w:bidi="ar"/>
              </w:rPr>
              <w:t>业</w:t>
            </w:r>
            <w:r>
              <w:rPr>
                <w:lang w:bidi="ar"/>
              </w:rPr>
              <w:t>回收公司</w:t>
            </w:r>
            <w:r>
              <w:rPr>
                <w:rFonts w:hint="eastAsia"/>
                <w:lang w:bidi="ar"/>
              </w:rPr>
              <w:t>回收</w:t>
            </w:r>
            <w:r>
              <w:rPr>
                <w:lang w:bidi="ar"/>
              </w:rPr>
              <w:t>处理</w:t>
            </w:r>
            <w:r>
              <w:rPr>
                <w:szCs w:val="21"/>
              </w:rPr>
              <w:t>，</w:t>
            </w:r>
            <w:r>
              <w:rPr>
                <w:rFonts w:hint="eastAsia"/>
                <w:szCs w:val="21"/>
              </w:rPr>
              <w:t>废</w:t>
            </w:r>
            <w:r>
              <w:rPr>
                <w:szCs w:val="21"/>
              </w:rPr>
              <w:t>包装桶、废活性炭委托有资质单位处置，</w:t>
            </w:r>
            <w:r>
              <w:rPr>
                <w:kern w:val="0"/>
                <w:szCs w:val="21"/>
              </w:rPr>
              <w:t>员工生活垃圾交由环卫部门统一清运。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988" w:type="pct"/>
            <w:vAlign w:val="center"/>
          </w:tcPr>
          <w:p>
            <w:pPr>
              <w:adjustRightInd w:val="0"/>
              <w:snapToGrid w:val="0"/>
              <w:jc w:val="center"/>
              <w:rPr>
                <w:szCs w:val="21"/>
              </w:rPr>
            </w:pPr>
            <w:r>
              <w:rPr>
                <w:szCs w:val="21"/>
              </w:rPr>
              <w:t>土壤及地下水</w:t>
            </w:r>
          </w:p>
          <w:p>
            <w:pPr>
              <w:adjustRightInd w:val="0"/>
              <w:snapToGrid w:val="0"/>
              <w:jc w:val="center"/>
              <w:rPr>
                <w:szCs w:val="21"/>
              </w:rPr>
            </w:pPr>
            <w:r>
              <w:rPr>
                <w:szCs w:val="21"/>
              </w:rPr>
              <w:t>污染防治措施</w:t>
            </w:r>
          </w:p>
        </w:tc>
        <w:tc>
          <w:tcPr>
            <w:tcW w:w="4012" w:type="pct"/>
            <w:gridSpan w:val="4"/>
            <w:vAlign w:val="center"/>
          </w:tcPr>
          <w:p>
            <w:pPr>
              <w:adjustRightInd w:val="0"/>
              <w:snapToGrid w:val="0"/>
              <w:jc w:val="left"/>
              <w:rPr>
                <w:szCs w:val="21"/>
              </w:rPr>
            </w:pPr>
            <w:r>
              <w:rPr>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988" w:type="pct"/>
            <w:vAlign w:val="center"/>
          </w:tcPr>
          <w:p>
            <w:pPr>
              <w:adjustRightInd w:val="0"/>
              <w:snapToGrid w:val="0"/>
              <w:jc w:val="center"/>
              <w:rPr>
                <w:szCs w:val="21"/>
              </w:rPr>
            </w:pPr>
            <w:r>
              <w:rPr>
                <w:szCs w:val="21"/>
              </w:rPr>
              <w:t>生态保护措施</w:t>
            </w:r>
          </w:p>
        </w:tc>
        <w:tc>
          <w:tcPr>
            <w:tcW w:w="4012" w:type="pct"/>
            <w:gridSpan w:val="4"/>
            <w:vAlign w:val="center"/>
          </w:tcPr>
          <w:p>
            <w:pPr>
              <w:adjustRightInd w:val="0"/>
              <w:snapToGrid w:val="0"/>
              <w:jc w:val="left"/>
              <w:rPr>
                <w:szCs w:val="21"/>
              </w:rPr>
            </w:pPr>
            <w:r>
              <w:rPr>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988" w:type="pct"/>
            <w:vAlign w:val="center"/>
          </w:tcPr>
          <w:p>
            <w:pPr>
              <w:adjustRightInd w:val="0"/>
              <w:snapToGrid w:val="0"/>
              <w:jc w:val="center"/>
              <w:rPr>
                <w:spacing w:val="-8"/>
                <w:szCs w:val="21"/>
              </w:rPr>
            </w:pPr>
            <w:r>
              <w:rPr>
                <w:spacing w:val="-8"/>
                <w:szCs w:val="21"/>
              </w:rPr>
              <w:t>环境风险</w:t>
            </w:r>
          </w:p>
          <w:p>
            <w:pPr>
              <w:adjustRightInd w:val="0"/>
              <w:snapToGrid w:val="0"/>
              <w:jc w:val="center"/>
              <w:rPr>
                <w:spacing w:val="-8"/>
                <w:szCs w:val="21"/>
              </w:rPr>
            </w:pPr>
            <w:r>
              <w:rPr>
                <w:spacing w:val="-8"/>
                <w:szCs w:val="21"/>
              </w:rPr>
              <w:t>防范措施</w:t>
            </w:r>
          </w:p>
        </w:tc>
        <w:tc>
          <w:tcPr>
            <w:tcW w:w="4012" w:type="pct"/>
            <w:gridSpan w:val="4"/>
            <w:vAlign w:val="center"/>
          </w:tcPr>
          <w:p>
            <w:pPr>
              <w:adjustRightInd w:val="0"/>
              <w:snapToGrid w:val="0"/>
              <w:jc w:val="left"/>
              <w:rPr>
                <w:szCs w:val="21"/>
              </w:rPr>
            </w:pPr>
            <w:r>
              <w:rPr>
                <w:szCs w:val="21"/>
              </w:rPr>
              <w:t>强化防火主观意识，建立健全防火安全规章制度并严格执行，消除着火源。防范火灾环境事故的发生。强化安全生产及环境保护意识的教育，提高职工的素质，加强操作人员的上岗前的培训，进行安全生产、消防、环保、工业卫生等方面的技术培训教育；定期检查安全消防设施的完好性，确保其处于即用状态，以备在事故发生时，能及时、高效率的发挥作用；</w:t>
            </w:r>
            <w:r>
              <w:rPr>
                <w:rFonts w:hint="eastAsia"/>
                <w:szCs w:val="21"/>
              </w:rPr>
              <w:t>仓库</w:t>
            </w:r>
            <w:r>
              <w:rPr>
                <w:szCs w:val="21"/>
              </w:rPr>
              <w:t>和危废暂存间设置围堰，定期维护废气治理设施。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88" w:type="pct"/>
            <w:vAlign w:val="center"/>
          </w:tcPr>
          <w:p>
            <w:pPr>
              <w:adjustRightInd w:val="0"/>
              <w:snapToGrid w:val="0"/>
              <w:jc w:val="center"/>
              <w:rPr>
                <w:spacing w:val="-8"/>
                <w:szCs w:val="21"/>
              </w:rPr>
            </w:pPr>
            <w:r>
              <w:rPr>
                <w:spacing w:val="-8"/>
                <w:szCs w:val="21"/>
              </w:rPr>
              <w:t>其他环境</w:t>
            </w:r>
          </w:p>
          <w:p>
            <w:pPr>
              <w:adjustRightInd w:val="0"/>
              <w:snapToGrid w:val="0"/>
              <w:jc w:val="center"/>
              <w:rPr>
                <w:spacing w:val="-8"/>
                <w:szCs w:val="21"/>
              </w:rPr>
            </w:pPr>
            <w:r>
              <w:rPr>
                <w:spacing w:val="-8"/>
                <w:szCs w:val="21"/>
              </w:rPr>
              <w:t>管理要求</w:t>
            </w:r>
          </w:p>
        </w:tc>
        <w:tc>
          <w:tcPr>
            <w:tcW w:w="4012" w:type="pct"/>
            <w:gridSpan w:val="4"/>
            <w:vAlign w:val="center"/>
          </w:tcPr>
          <w:p>
            <w:pPr>
              <w:adjustRightInd w:val="0"/>
              <w:snapToGrid w:val="0"/>
              <w:jc w:val="left"/>
              <w:rPr>
                <w:szCs w:val="21"/>
              </w:rPr>
            </w:pPr>
            <w:r>
              <w:rPr>
                <w:szCs w:val="21"/>
              </w:rPr>
              <w:t>无</w:t>
            </w:r>
          </w:p>
        </w:tc>
      </w:tr>
    </w:tbl>
    <w:p>
      <w:pPr>
        <w:pStyle w:val="26"/>
        <w:jc w:val="center"/>
        <w:outlineLvl w:val="0"/>
        <w:rPr>
          <w:rFonts w:ascii="Times New Roman" w:hAnsi="Times New Roman" w:eastAsia="黑体"/>
          <w:snapToGrid w:val="0"/>
          <w:sz w:val="30"/>
          <w:szCs w:val="30"/>
        </w:rPr>
      </w:pPr>
      <w:r>
        <w:rPr>
          <w:rFonts w:ascii="Times New Roman" w:hAnsi="Times New Roman"/>
          <w:snapToGrid w:val="0"/>
        </w:rPr>
        <w:br w:type="page"/>
      </w:r>
      <w:r>
        <w:rPr>
          <w:rFonts w:ascii="Times New Roman" w:hAnsi="Times New Roman" w:eastAsia="黑体"/>
          <w:snapToGrid w:val="0"/>
          <w:sz w:val="30"/>
          <w:szCs w:val="30"/>
        </w:rPr>
        <w:t>六、结论</w:t>
      </w:r>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71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tcPr>
          <w:p>
            <w:pPr>
              <w:spacing w:line="360" w:lineRule="auto"/>
              <w:ind w:firstLine="404" w:firstLineChars="200"/>
              <w:jc w:val="left"/>
              <w:rPr>
                <w:spacing w:val="-4"/>
                <w:kern w:val="0"/>
                <w:szCs w:val="21"/>
              </w:rPr>
            </w:pPr>
            <w:r>
              <w:rPr>
                <w:spacing w:val="-4"/>
                <w:kern w:val="0"/>
                <w:szCs w:val="21"/>
              </w:rPr>
              <w:t>综上所述，项目性质与周边环境功能区划相符，符合规划布局要求，选址合理可行。建设项目应认真执行环保“三同时”管理规定，把项目对环境的影响控制在最低限度。建设单位只要严格执行环保管理相关规定，落实本环评提出的各项环保措施，严格执行“三同时”制度，在确保环保设施正常运转和污染物稳定达标排放的前期下，则项目的建设将不会对周围环境造成明显的影响，从环境保护角度分析，项目建设是可行的。</w:t>
            </w:r>
          </w:p>
          <w:p>
            <w:pPr>
              <w:spacing w:line="500" w:lineRule="exact"/>
              <w:ind w:firstLine="404" w:firstLineChars="200"/>
              <w:rPr>
                <w:bCs/>
                <w:szCs w:val="21"/>
              </w:rPr>
            </w:pPr>
            <w:r>
              <w:rPr>
                <w:spacing w:val="-4"/>
                <w:kern w:val="0"/>
                <w:szCs w:val="21"/>
              </w:rPr>
              <w:t xml:space="preserve">建设单位须严格遵守环保“三同时”制度，各项治理措施需经验收合格后，方可正式投入使用。  </w:t>
            </w: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ind w:firstLine="420" w:firstLineChars="200"/>
              <w:rPr>
                <w:bCs/>
                <w:szCs w:val="21"/>
              </w:rPr>
            </w:pPr>
          </w:p>
          <w:p>
            <w:pPr>
              <w:spacing w:line="500" w:lineRule="exact"/>
              <w:rPr>
                <w:sz w:val="24"/>
              </w:rPr>
            </w:pPr>
          </w:p>
        </w:tc>
      </w:tr>
    </w:tbl>
    <w:p>
      <w:pPr>
        <w:sectPr>
          <w:pgSz w:w="11906" w:h="16838"/>
          <w:pgMar w:top="720" w:right="1133" w:bottom="720" w:left="1276" w:header="851" w:footer="851" w:gutter="0"/>
          <w:cols w:space="720" w:num="1"/>
          <w:docGrid w:linePitch="312" w:charSpace="0"/>
        </w:sectPr>
      </w:pPr>
    </w:p>
    <w:p>
      <w:pPr>
        <w:pStyle w:val="26"/>
        <w:adjustRightInd w:val="0"/>
        <w:snapToGrid w:val="0"/>
        <w:spacing w:before="0" w:beforeAutospacing="0" w:after="0" w:afterAutospacing="0" w:line="360" w:lineRule="auto"/>
        <w:outlineLvl w:val="0"/>
        <w:rPr>
          <w:rFonts w:ascii="Times New Roman" w:hAnsi="Times New Roman" w:eastAsia="黑体"/>
          <w:snapToGrid w:val="0"/>
          <w:sz w:val="32"/>
          <w:szCs w:val="32"/>
        </w:rPr>
      </w:pPr>
      <w:r>
        <w:rPr>
          <w:rFonts w:ascii="Times New Roman" w:hAnsi="Times New Roman" w:eastAsia="黑体"/>
          <w:snapToGrid w:val="0"/>
          <w:sz w:val="32"/>
          <w:szCs w:val="32"/>
        </w:rPr>
        <w:t>附表</w:t>
      </w:r>
    </w:p>
    <w:p>
      <w:pPr>
        <w:pStyle w:val="26"/>
        <w:adjustRightInd w:val="0"/>
        <w:snapToGrid w:val="0"/>
        <w:spacing w:before="0" w:beforeAutospacing="0" w:after="0" w:afterAutospacing="0" w:line="360" w:lineRule="auto"/>
        <w:jc w:val="center"/>
        <w:outlineLvl w:val="0"/>
        <w:rPr>
          <w:rFonts w:ascii="Times New Roman" w:hAnsi="Times New Roman" w:eastAsia="方正小标宋_GBK"/>
          <w:snapToGrid w:val="0"/>
          <w:sz w:val="38"/>
          <w:szCs w:val="38"/>
        </w:rPr>
      </w:pPr>
      <w:r>
        <w:rPr>
          <w:rFonts w:ascii="Times New Roman" w:hAnsi="Times New Roman" w:eastAsia="方正小标宋_GBK"/>
          <w:snapToGrid w:val="0"/>
          <w:sz w:val="38"/>
          <w:szCs w:val="38"/>
        </w:rPr>
        <w:t>建设项目污染物排放量汇总表</w:t>
      </w:r>
      <w:r>
        <w:rPr>
          <w:rFonts w:hint="eastAsia" w:ascii="Times New Roman" w:hAnsi="Times New Roman" w:eastAsia="方正小标宋_GBK"/>
          <w:snapToGrid w:val="0"/>
          <w:sz w:val="38"/>
          <w:szCs w:val="38"/>
        </w:rPr>
        <w:t>（t/a）</w:t>
      </w:r>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16"/>
        <w:gridCol w:w="1709"/>
        <w:gridCol w:w="1552"/>
        <w:gridCol w:w="1265"/>
        <w:gridCol w:w="1690"/>
        <w:gridCol w:w="1546"/>
        <w:gridCol w:w="1750"/>
        <w:gridCol w:w="1748"/>
        <w:gridCol w:w="112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tcBorders>
              <w:tl2br w:val="single" w:color="auto" w:sz="4" w:space="0"/>
            </w:tcBorders>
            <w:tcMar>
              <w:left w:w="28" w:type="dxa"/>
              <w:right w:w="28" w:type="dxa"/>
            </w:tcMar>
            <w:vAlign w:val="center"/>
          </w:tcPr>
          <w:p>
            <w:pPr>
              <w:pStyle w:val="68"/>
              <w:spacing w:beforeLines="0" w:afterLines="0" w:line="240" w:lineRule="auto"/>
              <w:jc w:val="right"/>
              <w:rPr>
                <w:rFonts w:ascii="Times New Roman"/>
                <w:snapToGrid w:val="0"/>
                <w:spacing w:val="-6"/>
                <w:kern w:val="21"/>
                <w:szCs w:val="21"/>
              </w:rPr>
            </w:pPr>
            <w:r>
              <w:rPr>
                <w:rFonts w:ascii="Times New Roman"/>
                <w:snapToGrid w:val="0"/>
                <w:spacing w:val="-6"/>
                <w:kern w:val="21"/>
                <w:szCs w:val="21"/>
              </w:rPr>
              <w:t>项目</w:t>
            </w:r>
          </w:p>
          <w:p>
            <w:pPr>
              <w:pStyle w:val="68"/>
              <w:spacing w:beforeLines="0" w:afterLines="0" w:line="240" w:lineRule="auto"/>
              <w:jc w:val="left"/>
              <w:rPr>
                <w:rFonts w:ascii="Times New Roman"/>
                <w:snapToGrid w:val="0"/>
                <w:spacing w:val="-6"/>
                <w:kern w:val="21"/>
                <w:szCs w:val="21"/>
              </w:rPr>
            </w:pPr>
            <w:r>
              <w:rPr>
                <w:rFonts w:ascii="Times New Roman"/>
                <w:snapToGrid w:val="0"/>
                <w:spacing w:val="-6"/>
                <w:kern w:val="21"/>
                <w:szCs w:val="21"/>
              </w:rPr>
              <w:t>分类</w:t>
            </w:r>
          </w:p>
        </w:tc>
        <w:tc>
          <w:tcPr>
            <w:tcW w:w="619" w:type="pct"/>
            <w:tcMar>
              <w:left w:w="28" w:type="dxa"/>
              <w:right w:w="28" w:type="dxa"/>
            </w:tcMar>
            <w:vAlign w:val="center"/>
          </w:tcPr>
          <w:p>
            <w:pPr>
              <w:pStyle w:val="68"/>
              <w:spacing w:beforeLines="0" w:afterLines="0" w:line="240" w:lineRule="auto"/>
              <w:rPr>
                <w:rFonts w:ascii="Times New Roman"/>
                <w:snapToGrid w:val="0"/>
                <w:spacing w:val="-6"/>
                <w:kern w:val="21"/>
                <w:szCs w:val="21"/>
              </w:rPr>
            </w:pPr>
            <w:r>
              <w:rPr>
                <w:rFonts w:ascii="Times New Roman"/>
                <w:snapToGrid w:val="0"/>
                <w:spacing w:val="-6"/>
                <w:kern w:val="21"/>
                <w:szCs w:val="21"/>
              </w:rPr>
              <w:t>污染物名称</w:t>
            </w:r>
          </w:p>
        </w:tc>
        <w:tc>
          <w:tcPr>
            <w:tcW w:w="562" w:type="pct"/>
            <w:tcMar>
              <w:left w:w="28" w:type="dxa"/>
              <w:right w:w="28" w:type="dxa"/>
            </w:tcMar>
            <w:vAlign w:val="center"/>
          </w:tcPr>
          <w:p>
            <w:pPr>
              <w:pStyle w:val="68"/>
              <w:spacing w:beforeLines="0" w:afterLines="0" w:line="240" w:lineRule="auto"/>
              <w:rPr>
                <w:rFonts w:ascii="Times New Roman"/>
                <w:snapToGrid w:val="0"/>
                <w:spacing w:val="-6"/>
                <w:kern w:val="21"/>
                <w:szCs w:val="21"/>
              </w:rPr>
            </w:pPr>
            <w:r>
              <w:rPr>
                <w:rFonts w:ascii="Times New Roman"/>
                <w:snapToGrid w:val="0"/>
                <w:spacing w:val="-6"/>
                <w:kern w:val="21"/>
                <w:szCs w:val="21"/>
              </w:rPr>
              <w:t>现有工程</w:t>
            </w:r>
          </w:p>
          <w:p>
            <w:pPr>
              <w:pStyle w:val="68"/>
              <w:spacing w:beforeLines="0" w:afterLines="0" w:line="240" w:lineRule="auto"/>
              <w:rPr>
                <w:rFonts w:ascii="Times New Roman"/>
                <w:snapToGrid w:val="0"/>
                <w:spacing w:val="-6"/>
                <w:kern w:val="21"/>
                <w:szCs w:val="21"/>
              </w:rPr>
            </w:pPr>
            <w:r>
              <w:rPr>
                <w:rFonts w:ascii="Times New Roman"/>
                <w:snapToGrid w:val="0"/>
                <w:spacing w:val="-6"/>
                <w:kern w:val="21"/>
                <w:szCs w:val="21"/>
              </w:rPr>
              <w:t>排放量（固体废物产生量）</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kern w:val="2"/>
                <w:szCs w:val="21"/>
              </w:rPr>
              <w:t>①</w:t>
            </w:r>
            <w:r>
              <w:rPr>
                <w:rFonts w:ascii="Times New Roman"/>
                <w:snapToGrid w:val="0"/>
                <w:spacing w:val="-6"/>
                <w:kern w:val="21"/>
                <w:szCs w:val="21"/>
              </w:rPr>
              <w:fldChar w:fldCharType="end"/>
            </w:r>
          </w:p>
        </w:tc>
        <w:tc>
          <w:tcPr>
            <w:tcW w:w="458" w:type="pct"/>
            <w:tcMar>
              <w:left w:w="28" w:type="dxa"/>
              <w:right w:w="28" w:type="dxa"/>
            </w:tcMar>
            <w:vAlign w:val="center"/>
          </w:tcPr>
          <w:p>
            <w:pPr>
              <w:pStyle w:val="68"/>
              <w:spacing w:beforeLines="0" w:afterLines="0" w:line="240" w:lineRule="auto"/>
              <w:rPr>
                <w:rFonts w:ascii="Times New Roman"/>
                <w:snapToGrid w:val="0"/>
                <w:spacing w:val="-6"/>
                <w:kern w:val="21"/>
                <w:szCs w:val="21"/>
              </w:rPr>
            </w:pPr>
            <w:r>
              <w:rPr>
                <w:rFonts w:ascii="Times New Roman"/>
                <w:snapToGrid w:val="0"/>
                <w:spacing w:val="-6"/>
                <w:kern w:val="21"/>
                <w:szCs w:val="21"/>
              </w:rPr>
              <w:t>现有工程</w:t>
            </w:r>
          </w:p>
          <w:p>
            <w:pPr>
              <w:pStyle w:val="68"/>
              <w:spacing w:beforeLines="0" w:afterLines="0" w:line="240" w:lineRule="auto"/>
              <w:rPr>
                <w:rFonts w:ascii="Times New Roman"/>
                <w:snapToGrid w:val="0"/>
                <w:spacing w:val="-6"/>
                <w:kern w:val="21"/>
                <w:szCs w:val="21"/>
              </w:rPr>
            </w:pPr>
            <w:r>
              <w:rPr>
                <w:rFonts w:ascii="Times New Roman"/>
                <w:snapToGrid w:val="0"/>
                <w:spacing w:val="-6"/>
                <w:kern w:val="21"/>
                <w:szCs w:val="21"/>
              </w:rPr>
              <w:t>许可排放量</w:t>
            </w:r>
          </w:p>
          <w:p>
            <w:pPr>
              <w:pStyle w:val="68"/>
              <w:spacing w:beforeLines="0" w:afterLines="0"/>
              <w:rPr>
                <w:rFonts w:ascii="Times New Roman"/>
                <w:snapToGrid w:val="0"/>
                <w:spacing w:val="-6"/>
                <w:kern w:val="21"/>
                <w:szCs w:val="21"/>
              </w:rPr>
            </w:pPr>
            <w:r>
              <w:rPr>
                <w:rFonts w:ascii="Times New Roman"/>
                <w:snapToGrid w:val="0"/>
                <w:spacing w:val="-6"/>
                <w:kern w:val="21"/>
                <w:szCs w:val="21"/>
              </w:rPr>
              <w:fldChar w:fldCharType="begin"/>
            </w:r>
            <w:r>
              <w:rPr>
                <w:rFonts w:ascii="Times New Roman"/>
                <w:snapToGrid w:val="0"/>
                <w:spacing w:val="-6"/>
                <w:kern w:val="21"/>
                <w:szCs w:val="21"/>
              </w:rPr>
              <w:instrText xml:space="preserve"> = 2 \* GB3 \* MERGEFORMAT </w:instrText>
            </w:r>
            <w:r>
              <w:rPr>
                <w:rFonts w:ascii="Times New Roman"/>
                <w:snapToGrid w:val="0"/>
                <w:spacing w:val="-6"/>
                <w:kern w:val="21"/>
                <w:szCs w:val="21"/>
              </w:rPr>
              <w:fldChar w:fldCharType="separate"/>
            </w:r>
            <w:r>
              <w:rPr>
                <w:rFonts w:hint="eastAsia" w:hAnsi="宋体" w:cs="宋体"/>
                <w:snapToGrid w:val="0"/>
                <w:spacing w:val="-6"/>
                <w:kern w:val="21"/>
                <w:szCs w:val="21"/>
              </w:rPr>
              <w:t>②</w:t>
            </w:r>
            <w:r>
              <w:rPr>
                <w:rFonts w:ascii="Times New Roman"/>
                <w:snapToGrid w:val="0"/>
                <w:spacing w:val="-6"/>
                <w:kern w:val="21"/>
                <w:szCs w:val="21"/>
              </w:rPr>
              <w:fldChar w:fldCharType="end"/>
            </w:r>
          </w:p>
        </w:tc>
        <w:tc>
          <w:tcPr>
            <w:tcW w:w="612" w:type="pct"/>
            <w:tcMar>
              <w:left w:w="28" w:type="dxa"/>
              <w:right w:w="28" w:type="dxa"/>
            </w:tcMar>
            <w:vAlign w:val="center"/>
          </w:tcPr>
          <w:p>
            <w:pPr>
              <w:pStyle w:val="68"/>
              <w:spacing w:beforeLines="0" w:afterLines="0" w:line="240" w:lineRule="auto"/>
              <w:rPr>
                <w:rFonts w:ascii="Times New Roman"/>
                <w:snapToGrid w:val="0"/>
                <w:spacing w:val="-6"/>
                <w:kern w:val="21"/>
                <w:szCs w:val="21"/>
              </w:rPr>
            </w:pPr>
            <w:r>
              <w:rPr>
                <w:rFonts w:ascii="Times New Roman"/>
                <w:snapToGrid w:val="0"/>
                <w:spacing w:val="-6"/>
                <w:kern w:val="21"/>
                <w:szCs w:val="21"/>
              </w:rPr>
              <w:t>在建工程</w:t>
            </w:r>
          </w:p>
          <w:p>
            <w:pPr>
              <w:pStyle w:val="68"/>
              <w:spacing w:beforeLines="0" w:afterLines="0" w:line="240" w:lineRule="auto"/>
              <w:rPr>
                <w:rFonts w:ascii="Times New Roman"/>
                <w:snapToGrid w:val="0"/>
                <w:spacing w:val="-6"/>
                <w:kern w:val="21"/>
                <w:szCs w:val="21"/>
              </w:rPr>
            </w:pPr>
            <w:r>
              <w:rPr>
                <w:rFonts w:ascii="Times New Roman"/>
                <w:snapToGrid w:val="0"/>
                <w:spacing w:val="-6"/>
                <w:kern w:val="21"/>
                <w:szCs w:val="21"/>
              </w:rPr>
              <w:t>排放量（固体废物产生量）</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hAnsi="宋体" w:cs="宋体"/>
                <w:kern w:val="2"/>
                <w:szCs w:val="21"/>
              </w:rPr>
              <w:t>③</w:t>
            </w:r>
            <w:r>
              <w:rPr>
                <w:rFonts w:ascii="Times New Roman"/>
                <w:snapToGrid w:val="0"/>
                <w:spacing w:val="-6"/>
                <w:kern w:val="21"/>
                <w:szCs w:val="21"/>
              </w:rPr>
              <w:fldChar w:fldCharType="end"/>
            </w:r>
          </w:p>
        </w:tc>
        <w:tc>
          <w:tcPr>
            <w:tcW w:w="560" w:type="pct"/>
            <w:tcMar>
              <w:left w:w="28" w:type="dxa"/>
              <w:right w:w="28" w:type="dxa"/>
            </w:tcMar>
            <w:vAlign w:val="center"/>
          </w:tcPr>
          <w:p>
            <w:pPr>
              <w:pStyle w:val="68"/>
              <w:spacing w:beforeLines="0" w:afterLines="0" w:line="240" w:lineRule="auto"/>
              <w:rPr>
                <w:rFonts w:ascii="Times New Roman"/>
                <w:snapToGrid w:val="0"/>
                <w:spacing w:val="-6"/>
                <w:kern w:val="21"/>
                <w:szCs w:val="21"/>
              </w:rPr>
            </w:pPr>
            <w:r>
              <w:rPr>
                <w:rFonts w:ascii="Times New Roman"/>
                <w:snapToGrid w:val="0"/>
                <w:spacing w:val="-6"/>
                <w:kern w:val="21"/>
                <w:szCs w:val="21"/>
              </w:rPr>
              <w:t>本项目</w:t>
            </w:r>
          </w:p>
          <w:p>
            <w:pPr>
              <w:pStyle w:val="68"/>
              <w:spacing w:beforeLines="0" w:afterLines="0" w:line="240" w:lineRule="auto"/>
              <w:rPr>
                <w:rFonts w:ascii="Times New Roman"/>
                <w:snapToGrid w:val="0"/>
                <w:spacing w:val="-6"/>
                <w:kern w:val="21"/>
                <w:szCs w:val="21"/>
              </w:rPr>
            </w:pPr>
            <w:r>
              <w:rPr>
                <w:rFonts w:ascii="Times New Roman"/>
                <w:snapToGrid w:val="0"/>
                <w:spacing w:val="-6"/>
                <w:kern w:val="21"/>
                <w:szCs w:val="21"/>
              </w:rPr>
              <w:t>排放量（固体废物产生量）</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hAnsi="宋体" w:cs="宋体"/>
                <w:kern w:val="2"/>
                <w:szCs w:val="21"/>
              </w:rPr>
              <w:t>④</w:t>
            </w:r>
            <w:r>
              <w:rPr>
                <w:rFonts w:ascii="Times New Roman"/>
                <w:snapToGrid w:val="0"/>
                <w:spacing w:val="-6"/>
                <w:kern w:val="21"/>
                <w:szCs w:val="21"/>
              </w:rPr>
              <w:fldChar w:fldCharType="end"/>
            </w:r>
          </w:p>
        </w:tc>
        <w:tc>
          <w:tcPr>
            <w:tcW w:w="634" w:type="pct"/>
            <w:tcMar>
              <w:left w:w="28" w:type="dxa"/>
              <w:right w:w="28" w:type="dxa"/>
            </w:tcMar>
            <w:vAlign w:val="center"/>
          </w:tcPr>
          <w:p>
            <w:pPr>
              <w:pStyle w:val="68"/>
              <w:spacing w:beforeLines="0" w:afterLines="0" w:line="240" w:lineRule="auto"/>
              <w:rPr>
                <w:rFonts w:ascii="Times New Roman"/>
                <w:snapToGrid w:val="0"/>
                <w:spacing w:val="-16"/>
                <w:kern w:val="21"/>
                <w:szCs w:val="21"/>
              </w:rPr>
            </w:pPr>
            <w:r>
              <w:rPr>
                <w:rFonts w:ascii="Times New Roman"/>
                <w:snapToGrid w:val="0"/>
                <w:spacing w:val="-16"/>
                <w:kern w:val="21"/>
                <w:szCs w:val="21"/>
              </w:rPr>
              <w:t>以新带老削减量</w:t>
            </w:r>
          </w:p>
          <w:p>
            <w:pPr>
              <w:pStyle w:val="68"/>
              <w:spacing w:beforeLines="0" w:afterLines="0" w:line="240" w:lineRule="auto"/>
              <w:rPr>
                <w:rFonts w:ascii="Times New Roman"/>
                <w:snapToGrid w:val="0"/>
                <w:spacing w:val="-16"/>
                <w:kern w:val="21"/>
                <w:szCs w:val="21"/>
              </w:rPr>
            </w:pPr>
            <w:r>
              <w:rPr>
                <w:rFonts w:ascii="Times New Roman"/>
                <w:snapToGrid w:val="0"/>
                <w:spacing w:val="-16"/>
                <w:kern w:val="21"/>
                <w:szCs w:val="21"/>
              </w:rPr>
              <w:t>（新建项目不填）</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hint="eastAsia" w:hAnsi="宋体" w:cs="宋体"/>
                <w:kern w:val="2"/>
                <w:szCs w:val="21"/>
              </w:rPr>
              <w:t>⑤</w:t>
            </w:r>
            <w:r>
              <w:rPr>
                <w:rFonts w:ascii="Times New Roman"/>
                <w:snapToGrid w:val="0"/>
                <w:spacing w:val="-16"/>
                <w:kern w:val="21"/>
                <w:szCs w:val="21"/>
              </w:rPr>
              <w:fldChar w:fldCharType="end"/>
            </w:r>
          </w:p>
        </w:tc>
        <w:tc>
          <w:tcPr>
            <w:tcW w:w="633" w:type="pct"/>
            <w:tcMar>
              <w:left w:w="28" w:type="dxa"/>
              <w:right w:w="28" w:type="dxa"/>
            </w:tcMar>
            <w:vAlign w:val="center"/>
          </w:tcPr>
          <w:p>
            <w:pPr>
              <w:pStyle w:val="68"/>
              <w:spacing w:beforeLines="0" w:afterLines="0" w:line="240" w:lineRule="auto"/>
              <w:rPr>
                <w:rFonts w:ascii="Times New Roman"/>
                <w:snapToGrid w:val="0"/>
                <w:spacing w:val="-16"/>
                <w:kern w:val="21"/>
                <w:szCs w:val="21"/>
              </w:rPr>
            </w:pPr>
            <w:r>
              <w:rPr>
                <w:rFonts w:ascii="Times New Roman"/>
                <w:snapToGrid w:val="0"/>
                <w:spacing w:val="-16"/>
                <w:kern w:val="21"/>
                <w:szCs w:val="21"/>
              </w:rPr>
              <w:t>本项目建成后</w:t>
            </w:r>
          </w:p>
          <w:p>
            <w:pPr>
              <w:pStyle w:val="68"/>
              <w:spacing w:beforeLines="0" w:afterLines="0" w:line="240" w:lineRule="auto"/>
              <w:rPr>
                <w:rFonts w:ascii="Times New Roman"/>
                <w:snapToGrid w:val="0"/>
                <w:spacing w:val="-16"/>
                <w:kern w:val="21"/>
                <w:szCs w:val="21"/>
              </w:rPr>
            </w:pPr>
            <w:r>
              <w:rPr>
                <w:rFonts w:ascii="Times New Roman"/>
                <w:snapToGrid w:val="0"/>
                <w:spacing w:val="-16"/>
                <w:kern w:val="21"/>
                <w:szCs w:val="21"/>
              </w:rPr>
              <w:t>全厂排放量（固体废物产生量）</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kern w:val="2"/>
                <w:szCs w:val="21"/>
              </w:rPr>
              <w:t>⑥</w:t>
            </w:r>
            <w:r>
              <w:rPr>
                <w:rFonts w:ascii="Times New Roman"/>
                <w:snapToGrid w:val="0"/>
                <w:spacing w:val="-16"/>
                <w:kern w:val="21"/>
                <w:szCs w:val="21"/>
              </w:rPr>
              <w:fldChar w:fldCharType="end"/>
            </w:r>
          </w:p>
        </w:tc>
        <w:tc>
          <w:tcPr>
            <w:tcW w:w="409" w:type="pct"/>
            <w:tcMar>
              <w:left w:w="28" w:type="dxa"/>
              <w:right w:w="28" w:type="dxa"/>
            </w:tcMar>
            <w:vAlign w:val="center"/>
          </w:tcPr>
          <w:p>
            <w:pPr>
              <w:pStyle w:val="68"/>
              <w:spacing w:beforeLines="0" w:afterLines="0" w:line="240" w:lineRule="auto"/>
              <w:rPr>
                <w:rFonts w:ascii="Times New Roman"/>
                <w:snapToGrid w:val="0"/>
                <w:spacing w:val="-6"/>
                <w:kern w:val="21"/>
                <w:szCs w:val="21"/>
              </w:rPr>
            </w:pPr>
            <w:r>
              <w:rPr>
                <w:rFonts w:ascii="Times New Roman"/>
                <w:snapToGrid w:val="0"/>
                <w:spacing w:val="-6"/>
                <w:kern w:val="21"/>
                <w:szCs w:val="21"/>
              </w:rPr>
              <w:t>变化量</w:t>
            </w:r>
          </w:p>
          <w:p>
            <w:pPr>
              <w:pStyle w:val="68"/>
              <w:spacing w:beforeLines="0" w:afterLines="0" w:line="240" w:lineRule="auto"/>
              <w:rPr>
                <w:rFonts w:ascii="Times New Roman"/>
                <w:snapToGrid w:val="0"/>
                <w:spacing w:val="-6"/>
                <w:kern w:val="21"/>
                <w:szCs w:val="21"/>
              </w:rPr>
            </w:pP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hAnsi="宋体" w:cs="宋体"/>
                <w:kern w:val="2"/>
                <w:szCs w:val="21"/>
              </w:rPr>
              <w:t>⑦</w:t>
            </w:r>
            <w:r>
              <w:rPr>
                <w:rFonts w:ascii="Times New Roman"/>
                <w:snapToGrid w:val="0"/>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Merge w:val="restar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废气</w:t>
            </w:r>
          </w:p>
        </w:tc>
        <w:tc>
          <w:tcPr>
            <w:tcW w:w="619"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挥发性有机物</w:t>
            </w:r>
          </w:p>
        </w:tc>
        <w:tc>
          <w:tcPr>
            <w:tcW w:w="56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458"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1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560"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0.597</w:t>
            </w:r>
          </w:p>
        </w:tc>
        <w:tc>
          <w:tcPr>
            <w:tcW w:w="634"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33"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0.597</w:t>
            </w:r>
          </w:p>
        </w:tc>
        <w:tc>
          <w:tcPr>
            <w:tcW w:w="409"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+0.597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Merge w:val="continue"/>
            <w:vAlign w:val="center"/>
          </w:tcPr>
          <w:p>
            <w:pPr>
              <w:pStyle w:val="68"/>
              <w:spacing w:beforeLines="0" w:afterLines="0" w:line="240" w:lineRule="auto"/>
              <w:rPr>
                <w:rFonts w:ascii="Times New Roman"/>
                <w:snapToGrid w:val="0"/>
                <w:kern w:val="21"/>
                <w:szCs w:val="21"/>
              </w:rPr>
            </w:pPr>
          </w:p>
        </w:tc>
        <w:tc>
          <w:tcPr>
            <w:tcW w:w="619"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锡及其</w:t>
            </w:r>
            <w:r>
              <w:rPr>
                <w:rFonts w:ascii="Times New Roman"/>
                <w:snapToGrid w:val="0"/>
                <w:kern w:val="21"/>
                <w:szCs w:val="21"/>
              </w:rPr>
              <w:t>化合物</w:t>
            </w:r>
          </w:p>
        </w:tc>
        <w:tc>
          <w:tcPr>
            <w:tcW w:w="56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458"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1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560"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0.000836</w:t>
            </w:r>
          </w:p>
        </w:tc>
        <w:tc>
          <w:tcPr>
            <w:tcW w:w="634"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633"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0.000836</w:t>
            </w:r>
          </w:p>
        </w:tc>
        <w:tc>
          <w:tcPr>
            <w:tcW w:w="409"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w:t>
            </w:r>
            <w:r>
              <w:rPr>
                <w:rFonts w:hint="eastAsia" w:ascii="Times New Roman"/>
                <w:snapToGrid w:val="0"/>
                <w:kern w:val="21"/>
                <w:szCs w:val="21"/>
              </w:rPr>
              <w:t>0.000836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Merge w:val="continue"/>
            <w:vAlign w:val="center"/>
          </w:tcPr>
          <w:p>
            <w:pPr>
              <w:pStyle w:val="68"/>
              <w:spacing w:beforeLines="0" w:afterLines="0" w:line="240" w:lineRule="auto"/>
              <w:rPr>
                <w:rFonts w:ascii="Times New Roman"/>
                <w:snapToGrid w:val="0"/>
                <w:kern w:val="21"/>
                <w:szCs w:val="21"/>
              </w:rPr>
            </w:pPr>
          </w:p>
        </w:tc>
        <w:tc>
          <w:tcPr>
            <w:tcW w:w="619"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颗粒物</w:t>
            </w:r>
          </w:p>
        </w:tc>
        <w:tc>
          <w:tcPr>
            <w:tcW w:w="56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458"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1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560"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0.000912</w:t>
            </w:r>
          </w:p>
        </w:tc>
        <w:tc>
          <w:tcPr>
            <w:tcW w:w="634"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33"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0.000912</w:t>
            </w:r>
          </w:p>
        </w:tc>
        <w:tc>
          <w:tcPr>
            <w:tcW w:w="409"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w:t>
            </w:r>
            <w:r>
              <w:rPr>
                <w:rFonts w:hint="eastAsia" w:ascii="Times New Roman"/>
                <w:snapToGrid w:val="0"/>
                <w:kern w:val="21"/>
                <w:szCs w:val="21"/>
              </w:rPr>
              <w:t>0.000912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Merge w:val="restar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废水</w:t>
            </w:r>
          </w:p>
        </w:tc>
        <w:tc>
          <w:tcPr>
            <w:tcW w:w="619"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废水量</w:t>
            </w:r>
          </w:p>
        </w:tc>
        <w:tc>
          <w:tcPr>
            <w:tcW w:w="56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458"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1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560"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7812</w:t>
            </w:r>
          </w:p>
        </w:tc>
        <w:tc>
          <w:tcPr>
            <w:tcW w:w="634"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33"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7812</w:t>
            </w:r>
          </w:p>
        </w:tc>
        <w:tc>
          <w:tcPr>
            <w:tcW w:w="409"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+7812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Merge w:val="continue"/>
            <w:vAlign w:val="center"/>
          </w:tcPr>
          <w:p>
            <w:pPr>
              <w:pStyle w:val="68"/>
              <w:spacing w:beforeLines="0" w:afterLines="0" w:line="240" w:lineRule="auto"/>
              <w:rPr>
                <w:rFonts w:ascii="Times New Roman"/>
                <w:snapToGrid w:val="0"/>
                <w:kern w:val="21"/>
                <w:szCs w:val="21"/>
              </w:rPr>
            </w:pPr>
          </w:p>
        </w:tc>
        <w:tc>
          <w:tcPr>
            <w:tcW w:w="619"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COD</w:t>
            </w:r>
            <w:r>
              <w:rPr>
                <w:rFonts w:ascii="Times New Roman"/>
                <w:snapToGrid w:val="0"/>
                <w:kern w:val="21"/>
                <w:szCs w:val="21"/>
                <w:vertAlign w:val="subscript"/>
              </w:rPr>
              <w:t>Cr</w:t>
            </w:r>
          </w:p>
        </w:tc>
        <w:tc>
          <w:tcPr>
            <w:tcW w:w="56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458"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1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560"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0.312</w:t>
            </w:r>
          </w:p>
        </w:tc>
        <w:tc>
          <w:tcPr>
            <w:tcW w:w="634"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33"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0.312</w:t>
            </w:r>
          </w:p>
        </w:tc>
        <w:tc>
          <w:tcPr>
            <w:tcW w:w="409"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+0.312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Merge w:val="continue"/>
            <w:vAlign w:val="center"/>
          </w:tcPr>
          <w:p>
            <w:pPr>
              <w:pStyle w:val="68"/>
              <w:spacing w:beforeLines="0" w:afterLines="0" w:line="240" w:lineRule="auto"/>
              <w:rPr>
                <w:rFonts w:ascii="Times New Roman"/>
                <w:snapToGrid w:val="0"/>
                <w:kern w:val="21"/>
                <w:szCs w:val="21"/>
              </w:rPr>
            </w:pPr>
          </w:p>
        </w:tc>
        <w:tc>
          <w:tcPr>
            <w:tcW w:w="619"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NH</w:t>
            </w:r>
            <w:r>
              <w:rPr>
                <w:rFonts w:ascii="Times New Roman"/>
                <w:snapToGrid w:val="0"/>
                <w:kern w:val="21"/>
                <w:szCs w:val="21"/>
                <w:vertAlign w:val="subscript"/>
              </w:rPr>
              <w:t>3</w:t>
            </w:r>
            <w:r>
              <w:rPr>
                <w:rFonts w:ascii="Times New Roman"/>
                <w:snapToGrid w:val="0"/>
                <w:kern w:val="21"/>
                <w:szCs w:val="21"/>
              </w:rPr>
              <w:t>-N</w:t>
            </w:r>
          </w:p>
        </w:tc>
        <w:tc>
          <w:tcPr>
            <w:tcW w:w="56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458"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1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560"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0.016</w:t>
            </w:r>
          </w:p>
        </w:tc>
        <w:tc>
          <w:tcPr>
            <w:tcW w:w="634"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33"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0.016</w:t>
            </w:r>
          </w:p>
        </w:tc>
        <w:tc>
          <w:tcPr>
            <w:tcW w:w="409"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+0.016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Merge w:val="restar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一般工业</w:t>
            </w:r>
          </w:p>
          <w:p>
            <w:pPr>
              <w:pStyle w:val="68"/>
              <w:spacing w:beforeLines="0" w:afterLines="0" w:line="240" w:lineRule="auto"/>
              <w:rPr>
                <w:rFonts w:ascii="Times New Roman"/>
                <w:snapToGrid w:val="0"/>
                <w:kern w:val="21"/>
                <w:szCs w:val="21"/>
              </w:rPr>
            </w:pPr>
            <w:r>
              <w:rPr>
                <w:rFonts w:ascii="Times New Roman"/>
                <w:snapToGrid w:val="0"/>
                <w:kern w:val="21"/>
                <w:szCs w:val="21"/>
              </w:rPr>
              <w:t>固体废物</w:t>
            </w:r>
          </w:p>
        </w:tc>
        <w:tc>
          <w:tcPr>
            <w:tcW w:w="619" w:type="pct"/>
            <w:vAlign w:val="center"/>
          </w:tcPr>
          <w:p>
            <w:pPr>
              <w:tabs>
                <w:tab w:val="left" w:pos="1081"/>
              </w:tabs>
              <w:jc w:val="center"/>
              <w:rPr>
                <w:bCs/>
                <w:kern w:val="0"/>
                <w:szCs w:val="21"/>
              </w:rPr>
            </w:pPr>
            <w:r>
              <w:rPr>
                <w:rFonts w:hint="eastAsia"/>
                <w:bCs/>
                <w:kern w:val="0"/>
                <w:szCs w:val="21"/>
              </w:rPr>
              <w:t>硅屑</w:t>
            </w:r>
          </w:p>
        </w:tc>
        <w:tc>
          <w:tcPr>
            <w:tcW w:w="56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458"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1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560" w:type="pct"/>
            <w:vAlign w:val="center"/>
          </w:tcPr>
          <w:p>
            <w:pPr>
              <w:jc w:val="center"/>
              <w:rPr>
                <w:snapToGrid w:val="0"/>
                <w:kern w:val="21"/>
                <w:szCs w:val="21"/>
              </w:rPr>
            </w:pPr>
            <w:r>
              <w:rPr>
                <w:bCs/>
                <w:kern w:val="0"/>
                <w:szCs w:val="21"/>
              </w:rPr>
              <w:t>0.005</w:t>
            </w:r>
          </w:p>
        </w:tc>
        <w:tc>
          <w:tcPr>
            <w:tcW w:w="634"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33" w:type="pct"/>
            <w:vAlign w:val="center"/>
          </w:tcPr>
          <w:p>
            <w:pPr>
              <w:jc w:val="center"/>
              <w:rPr>
                <w:snapToGrid w:val="0"/>
                <w:kern w:val="21"/>
                <w:szCs w:val="21"/>
              </w:rPr>
            </w:pPr>
            <w:r>
              <w:rPr>
                <w:bCs/>
                <w:kern w:val="0"/>
                <w:szCs w:val="21"/>
              </w:rPr>
              <w:t>0.005</w:t>
            </w:r>
          </w:p>
        </w:tc>
        <w:tc>
          <w:tcPr>
            <w:tcW w:w="409" w:type="pct"/>
            <w:vAlign w:val="center"/>
          </w:tcPr>
          <w:p>
            <w:pPr>
              <w:jc w:val="center"/>
              <w:rPr>
                <w:snapToGrid w:val="0"/>
                <w:kern w:val="21"/>
                <w:szCs w:val="21"/>
              </w:rPr>
            </w:pPr>
            <w:r>
              <w:rPr>
                <w:bCs/>
                <w:kern w:val="0"/>
                <w:szCs w:val="21"/>
              </w:rPr>
              <w:t>+0.005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Merge w:val="continue"/>
            <w:vAlign w:val="center"/>
          </w:tcPr>
          <w:p>
            <w:pPr>
              <w:pStyle w:val="68"/>
              <w:spacing w:beforeLines="0" w:afterLines="0" w:line="240" w:lineRule="auto"/>
              <w:rPr>
                <w:rFonts w:ascii="Times New Roman"/>
                <w:snapToGrid w:val="0"/>
                <w:kern w:val="21"/>
                <w:szCs w:val="21"/>
              </w:rPr>
            </w:pPr>
          </w:p>
        </w:tc>
        <w:tc>
          <w:tcPr>
            <w:tcW w:w="619" w:type="pct"/>
            <w:vAlign w:val="center"/>
          </w:tcPr>
          <w:p>
            <w:pPr>
              <w:tabs>
                <w:tab w:val="left" w:pos="1081"/>
              </w:tabs>
              <w:jc w:val="center"/>
              <w:rPr>
                <w:bCs/>
                <w:kern w:val="0"/>
                <w:szCs w:val="21"/>
              </w:rPr>
            </w:pPr>
            <w:r>
              <w:rPr>
                <w:bCs/>
                <w:kern w:val="0"/>
                <w:szCs w:val="21"/>
              </w:rPr>
              <w:t>包装废物</w:t>
            </w:r>
          </w:p>
        </w:tc>
        <w:tc>
          <w:tcPr>
            <w:tcW w:w="56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458"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1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560" w:type="pct"/>
            <w:vAlign w:val="center"/>
          </w:tcPr>
          <w:p>
            <w:pPr>
              <w:jc w:val="center"/>
              <w:rPr>
                <w:bCs/>
                <w:kern w:val="0"/>
                <w:szCs w:val="21"/>
              </w:rPr>
            </w:pPr>
            <w:r>
              <w:rPr>
                <w:rFonts w:hint="eastAsia"/>
                <w:bCs/>
                <w:kern w:val="0"/>
                <w:szCs w:val="21"/>
              </w:rPr>
              <w:t>0.5</w:t>
            </w:r>
          </w:p>
        </w:tc>
        <w:tc>
          <w:tcPr>
            <w:tcW w:w="634"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633" w:type="pct"/>
            <w:vAlign w:val="center"/>
          </w:tcPr>
          <w:p>
            <w:pPr>
              <w:jc w:val="center"/>
              <w:rPr>
                <w:bCs/>
                <w:kern w:val="0"/>
                <w:szCs w:val="21"/>
              </w:rPr>
            </w:pPr>
            <w:r>
              <w:rPr>
                <w:rFonts w:hint="eastAsia"/>
                <w:bCs/>
                <w:kern w:val="0"/>
                <w:szCs w:val="21"/>
              </w:rPr>
              <w:t>0.5</w:t>
            </w:r>
          </w:p>
        </w:tc>
        <w:tc>
          <w:tcPr>
            <w:tcW w:w="409" w:type="pct"/>
            <w:vAlign w:val="center"/>
          </w:tcPr>
          <w:p>
            <w:pPr>
              <w:jc w:val="center"/>
              <w:rPr>
                <w:bCs/>
                <w:kern w:val="0"/>
                <w:szCs w:val="21"/>
              </w:rPr>
            </w:pPr>
            <w:r>
              <w:rPr>
                <w:bCs/>
                <w:kern w:val="0"/>
                <w:szCs w:val="21"/>
              </w:rPr>
              <w:t>+</w:t>
            </w:r>
            <w:r>
              <w:rPr>
                <w:rFonts w:hint="eastAsia"/>
                <w:bCs/>
                <w:kern w:val="0"/>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Merge w:val="continue"/>
            <w:vAlign w:val="center"/>
          </w:tcPr>
          <w:p>
            <w:pPr>
              <w:pStyle w:val="68"/>
              <w:spacing w:beforeLines="0" w:afterLines="0" w:line="240" w:lineRule="auto"/>
              <w:rPr>
                <w:rFonts w:ascii="Times New Roman"/>
                <w:snapToGrid w:val="0"/>
                <w:kern w:val="21"/>
                <w:szCs w:val="21"/>
              </w:rPr>
            </w:pPr>
          </w:p>
        </w:tc>
        <w:tc>
          <w:tcPr>
            <w:tcW w:w="619" w:type="pct"/>
            <w:vAlign w:val="center"/>
          </w:tcPr>
          <w:p>
            <w:pPr>
              <w:tabs>
                <w:tab w:val="left" w:pos="1081"/>
              </w:tabs>
              <w:jc w:val="center"/>
              <w:rPr>
                <w:bCs/>
                <w:kern w:val="0"/>
                <w:szCs w:val="21"/>
              </w:rPr>
            </w:pPr>
            <w:r>
              <w:rPr>
                <w:rFonts w:hint="eastAsia"/>
                <w:bCs/>
                <w:kern w:val="0"/>
                <w:szCs w:val="21"/>
              </w:rPr>
              <w:t>废次品</w:t>
            </w:r>
          </w:p>
        </w:tc>
        <w:tc>
          <w:tcPr>
            <w:tcW w:w="56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458"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1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560" w:type="pct"/>
            <w:vAlign w:val="center"/>
          </w:tcPr>
          <w:p>
            <w:pPr>
              <w:jc w:val="center"/>
              <w:rPr>
                <w:snapToGrid w:val="0"/>
                <w:kern w:val="21"/>
                <w:szCs w:val="21"/>
              </w:rPr>
            </w:pPr>
            <w:r>
              <w:rPr>
                <w:bCs/>
                <w:kern w:val="0"/>
                <w:szCs w:val="21"/>
              </w:rPr>
              <w:t>0.5</w:t>
            </w:r>
          </w:p>
        </w:tc>
        <w:tc>
          <w:tcPr>
            <w:tcW w:w="634"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33" w:type="pct"/>
            <w:vAlign w:val="center"/>
          </w:tcPr>
          <w:p>
            <w:pPr>
              <w:jc w:val="center"/>
              <w:rPr>
                <w:snapToGrid w:val="0"/>
                <w:kern w:val="21"/>
                <w:szCs w:val="21"/>
              </w:rPr>
            </w:pPr>
            <w:r>
              <w:rPr>
                <w:bCs/>
                <w:kern w:val="0"/>
                <w:szCs w:val="21"/>
              </w:rPr>
              <w:t>0.5</w:t>
            </w:r>
          </w:p>
        </w:tc>
        <w:tc>
          <w:tcPr>
            <w:tcW w:w="409" w:type="pct"/>
            <w:vAlign w:val="center"/>
          </w:tcPr>
          <w:p>
            <w:pPr>
              <w:jc w:val="center"/>
              <w:rPr>
                <w:snapToGrid w:val="0"/>
                <w:kern w:val="21"/>
                <w:szCs w:val="21"/>
              </w:rPr>
            </w:pPr>
            <w:r>
              <w:rPr>
                <w:bCs/>
                <w:kern w:val="0"/>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Merge w:val="continue"/>
            <w:vAlign w:val="center"/>
          </w:tcPr>
          <w:p>
            <w:pPr>
              <w:pStyle w:val="68"/>
              <w:spacing w:beforeLines="0" w:afterLines="0" w:line="240" w:lineRule="auto"/>
              <w:rPr>
                <w:rFonts w:ascii="Times New Roman"/>
                <w:snapToGrid w:val="0"/>
                <w:kern w:val="21"/>
                <w:szCs w:val="21"/>
              </w:rPr>
            </w:pPr>
          </w:p>
        </w:tc>
        <w:tc>
          <w:tcPr>
            <w:tcW w:w="619" w:type="pct"/>
            <w:vAlign w:val="center"/>
          </w:tcPr>
          <w:p>
            <w:pPr>
              <w:tabs>
                <w:tab w:val="left" w:pos="1081"/>
              </w:tabs>
              <w:jc w:val="center"/>
              <w:rPr>
                <w:bCs/>
                <w:kern w:val="0"/>
                <w:szCs w:val="21"/>
              </w:rPr>
            </w:pPr>
            <w:r>
              <w:rPr>
                <w:rFonts w:hint="eastAsia"/>
                <w:bCs/>
                <w:kern w:val="0"/>
                <w:szCs w:val="21"/>
              </w:rPr>
              <w:t>塑封废料</w:t>
            </w:r>
          </w:p>
        </w:tc>
        <w:tc>
          <w:tcPr>
            <w:tcW w:w="56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458"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1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560" w:type="pct"/>
            <w:vAlign w:val="center"/>
          </w:tcPr>
          <w:p>
            <w:pPr>
              <w:jc w:val="center"/>
              <w:rPr>
                <w:snapToGrid w:val="0"/>
                <w:kern w:val="21"/>
                <w:szCs w:val="21"/>
              </w:rPr>
            </w:pPr>
            <w:r>
              <w:rPr>
                <w:bCs/>
                <w:kern w:val="0"/>
                <w:szCs w:val="21"/>
              </w:rPr>
              <w:t>2.0</w:t>
            </w:r>
          </w:p>
        </w:tc>
        <w:tc>
          <w:tcPr>
            <w:tcW w:w="634"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33" w:type="pct"/>
            <w:vAlign w:val="center"/>
          </w:tcPr>
          <w:p>
            <w:pPr>
              <w:jc w:val="center"/>
              <w:rPr>
                <w:snapToGrid w:val="0"/>
                <w:kern w:val="21"/>
                <w:szCs w:val="21"/>
              </w:rPr>
            </w:pPr>
            <w:r>
              <w:rPr>
                <w:bCs/>
                <w:kern w:val="0"/>
                <w:szCs w:val="21"/>
              </w:rPr>
              <w:t>2.0</w:t>
            </w:r>
          </w:p>
        </w:tc>
        <w:tc>
          <w:tcPr>
            <w:tcW w:w="409" w:type="pct"/>
            <w:vAlign w:val="center"/>
          </w:tcPr>
          <w:p>
            <w:pPr>
              <w:jc w:val="center"/>
              <w:rPr>
                <w:snapToGrid w:val="0"/>
                <w:kern w:val="21"/>
                <w:szCs w:val="21"/>
              </w:rPr>
            </w:pPr>
            <w:r>
              <w:rPr>
                <w:bCs/>
                <w:kern w:val="0"/>
                <w:szCs w:val="21"/>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Merge w:val="restart"/>
            <w:vAlign w:val="center"/>
          </w:tcPr>
          <w:p>
            <w:pPr>
              <w:pStyle w:val="68"/>
              <w:spacing w:before="24" w:after="24" w:line="240" w:lineRule="auto"/>
              <w:rPr>
                <w:rFonts w:ascii="Times New Roman"/>
                <w:snapToGrid w:val="0"/>
                <w:kern w:val="21"/>
                <w:szCs w:val="21"/>
              </w:rPr>
            </w:pPr>
            <w:r>
              <w:rPr>
                <w:rFonts w:ascii="Times New Roman"/>
                <w:snapToGrid w:val="0"/>
                <w:kern w:val="21"/>
                <w:szCs w:val="21"/>
              </w:rPr>
              <w:t>危险废物</w:t>
            </w:r>
          </w:p>
        </w:tc>
        <w:tc>
          <w:tcPr>
            <w:tcW w:w="619"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废活性炭</w:t>
            </w:r>
          </w:p>
        </w:tc>
        <w:tc>
          <w:tcPr>
            <w:tcW w:w="56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458"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612" w:type="pct"/>
            <w:vAlign w:val="center"/>
          </w:tcPr>
          <w:p>
            <w:pPr>
              <w:pStyle w:val="68"/>
              <w:spacing w:beforeLines="0" w:afterLines="0" w:line="240" w:lineRule="auto"/>
              <w:rPr>
                <w:rFonts w:ascii="Times New Roman"/>
                <w:snapToGrid w:val="0"/>
                <w:kern w:val="21"/>
                <w:szCs w:val="21"/>
              </w:rPr>
            </w:pPr>
            <w:r>
              <w:rPr>
                <w:rFonts w:ascii="Times New Roman"/>
                <w:snapToGrid w:val="0"/>
                <w:kern w:val="21"/>
                <w:szCs w:val="21"/>
              </w:rPr>
              <w:t>0</w:t>
            </w:r>
          </w:p>
        </w:tc>
        <w:tc>
          <w:tcPr>
            <w:tcW w:w="560" w:type="pct"/>
            <w:vAlign w:val="center"/>
          </w:tcPr>
          <w:p>
            <w:pPr>
              <w:jc w:val="center"/>
              <w:rPr>
                <w:bCs/>
                <w:kern w:val="0"/>
                <w:szCs w:val="21"/>
              </w:rPr>
            </w:pPr>
            <w:r>
              <w:rPr>
                <w:snapToGrid w:val="0"/>
                <w:kern w:val="21"/>
                <w:szCs w:val="21"/>
              </w:rPr>
              <w:t>5.90</w:t>
            </w:r>
          </w:p>
        </w:tc>
        <w:tc>
          <w:tcPr>
            <w:tcW w:w="634" w:type="pct"/>
            <w:vAlign w:val="center"/>
          </w:tcPr>
          <w:p>
            <w:pPr>
              <w:jc w:val="center"/>
              <w:rPr>
                <w:snapToGrid w:val="0"/>
                <w:kern w:val="21"/>
                <w:szCs w:val="21"/>
              </w:rPr>
            </w:pPr>
            <w:r>
              <w:rPr>
                <w:snapToGrid w:val="0"/>
                <w:kern w:val="21"/>
                <w:szCs w:val="21"/>
              </w:rPr>
              <w:t>0</w:t>
            </w:r>
          </w:p>
        </w:tc>
        <w:tc>
          <w:tcPr>
            <w:tcW w:w="633" w:type="pct"/>
            <w:vAlign w:val="center"/>
          </w:tcPr>
          <w:p>
            <w:pPr>
              <w:jc w:val="center"/>
              <w:rPr>
                <w:bCs/>
                <w:kern w:val="0"/>
                <w:szCs w:val="21"/>
              </w:rPr>
            </w:pPr>
            <w:r>
              <w:rPr>
                <w:snapToGrid w:val="0"/>
                <w:kern w:val="21"/>
                <w:szCs w:val="21"/>
              </w:rPr>
              <w:t>5.90</w:t>
            </w:r>
          </w:p>
        </w:tc>
        <w:tc>
          <w:tcPr>
            <w:tcW w:w="409" w:type="pct"/>
            <w:vAlign w:val="center"/>
          </w:tcPr>
          <w:p>
            <w:pPr>
              <w:jc w:val="center"/>
              <w:rPr>
                <w:bCs/>
                <w:kern w:val="0"/>
                <w:szCs w:val="21"/>
              </w:rPr>
            </w:pPr>
            <w:r>
              <w:rPr>
                <w:snapToGrid w:val="0"/>
                <w:kern w:val="21"/>
                <w:szCs w:val="21"/>
              </w:rPr>
              <w:t>+5.90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Merge w:val="continue"/>
            <w:vAlign w:val="center"/>
          </w:tcPr>
          <w:p>
            <w:pPr>
              <w:pStyle w:val="68"/>
              <w:spacing w:before="24" w:after="24" w:line="240" w:lineRule="auto"/>
              <w:rPr>
                <w:rFonts w:ascii="Times New Roman"/>
                <w:snapToGrid w:val="0"/>
                <w:kern w:val="21"/>
                <w:szCs w:val="21"/>
              </w:rPr>
            </w:pPr>
          </w:p>
        </w:tc>
        <w:tc>
          <w:tcPr>
            <w:tcW w:w="619"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废化学品包装桶</w:t>
            </w:r>
          </w:p>
        </w:tc>
        <w:tc>
          <w:tcPr>
            <w:tcW w:w="562"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458"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612"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560" w:type="pct"/>
            <w:vAlign w:val="center"/>
          </w:tcPr>
          <w:p>
            <w:pPr>
              <w:jc w:val="center"/>
              <w:rPr>
                <w:snapToGrid w:val="0"/>
                <w:kern w:val="21"/>
                <w:szCs w:val="21"/>
              </w:rPr>
            </w:pPr>
            <w:r>
              <w:rPr>
                <w:snapToGrid w:val="0"/>
                <w:kern w:val="21"/>
                <w:szCs w:val="21"/>
              </w:rPr>
              <w:t>0.1</w:t>
            </w:r>
          </w:p>
        </w:tc>
        <w:tc>
          <w:tcPr>
            <w:tcW w:w="634" w:type="pct"/>
            <w:vAlign w:val="center"/>
          </w:tcPr>
          <w:p>
            <w:pPr>
              <w:jc w:val="center"/>
              <w:rPr>
                <w:snapToGrid w:val="0"/>
                <w:kern w:val="21"/>
                <w:szCs w:val="21"/>
              </w:rPr>
            </w:pPr>
            <w:r>
              <w:rPr>
                <w:rFonts w:hint="eastAsia"/>
                <w:snapToGrid w:val="0"/>
                <w:kern w:val="21"/>
                <w:szCs w:val="21"/>
              </w:rPr>
              <w:t>0</w:t>
            </w:r>
          </w:p>
        </w:tc>
        <w:tc>
          <w:tcPr>
            <w:tcW w:w="633" w:type="pct"/>
            <w:vAlign w:val="center"/>
          </w:tcPr>
          <w:p>
            <w:pPr>
              <w:jc w:val="center"/>
              <w:rPr>
                <w:snapToGrid w:val="0"/>
                <w:kern w:val="21"/>
                <w:szCs w:val="21"/>
              </w:rPr>
            </w:pPr>
            <w:r>
              <w:rPr>
                <w:snapToGrid w:val="0"/>
                <w:kern w:val="21"/>
                <w:szCs w:val="21"/>
              </w:rPr>
              <w:t>0.1</w:t>
            </w:r>
          </w:p>
        </w:tc>
        <w:tc>
          <w:tcPr>
            <w:tcW w:w="409" w:type="pct"/>
            <w:vAlign w:val="center"/>
          </w:tcPr>
          <w:p>
            <w:pPr>
              <w:jc w:val="center"/>
              <w:rPr>
                <w:snapToGrid w:val="0"/>
                <w:kern w:val="21"/>
                <w:szCs w:val="21"/>
              </w:rPr>
            </w:pPr>
            <w:r>
              <w:rPr>
                <w:snapToGrid w:val="0"/>
                <w:kern w:val="21"/>
                <w:szCs w:val="21"/>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3" w:type="pct"/>
            <w:vAlign w:val="center"/>
          </w:tcPr>
          <w:p>
            <w:pPr>
              <w:pStyle w:val="68"/>
              <w:spacing w:before="24" w:after="24" w:line="240" w:lineRule="auto"/>
              <w:rPr>
                <w:rFonts w:ascii="Times New Roman"/>
                <w:snapToGrid w:val="0"/>
                <w:kern w:val="21"/>
                <w:szCs w:val="21"/>
              </w:rPr>
            </w:pPr>
            <w:r>
              <w:rPr>
                <w:rFonts w:hint="eastAsia" w:ascii="Times New Roman"/>
                <w:snapToGrid w:val="0"/>
                <w:kern w:val="21"/>
                <w:szCs w:val="21"/>
              </w:rPr>
              <w:t>生活</w:t>
            </w:r>
            <w:r>
              <w:rPr>
                <w:rFonts w:ascii="Times New Roman"/>
                <w:snapToGrid w:val="0"/>
                <w:kern w:val="21"/>
                <w:szCs w:val="21"/>
              </w:rPr>
              <w:t>垃圾</w:t>
            </w:r>
          </w:p>
        </w:tc>
        <w:tc>
          <w:tcPr>
            <w:tcW w:w="619"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生活</w:t>
            </w:r>
            <w:r>
              <w:rPr>
                <w:rFonts w:ascii="Times New Roman"/>
                <w:snapToGrid w:val="0"/>
                <w:kern w:val="21"/>
                <w:szCs w:val="21"/>
              </w:rPr>
              <w:t>垃圾</w:t>
            </w:r>
          </w:p>
        </w:tc>
        <w:tc>
          <w:tcPr>
            <w:tcW w:w="562"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458"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612" w:type="pct"/>
            <w:vAlign w:val="center"/>
          </w:tcPr>
          <w:p>
            <w:pPr>
              <w:pStyle w:val="68"/>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560" w:type="pct"/>
            <w:vAlign w:val="center"/>
          </w:tcPr>
          <w:p>
            <w:pPr>
              <w:jc w:val="center"/>
              <w:rPr>
                <w:snapToGrid w:val="0"/>
                <w:kern w:val="21"/>
                <w:szCs w:val="21"/>
              </w:rPr>
            </w:pPr>
            <w:r>
              <w:rPr>
                <w:rFonts w:hint="eastAsia"/>
                <w:snapToGrid w:val="0"/>
                <w:kern w:val="21"/>
                <w:szCs w:val="21"/>
              </w:rPr>
              <w:t>55.8</w:t>
            </w:r>
          </w:p>
        </w:tc>
        <w:tc>
          <w:tcPr>
            <w:tcW w:w="634" w:type="pct"/>
            <w:vAlign w:val="center"/>
          </w:tcPr>
          <w:p>
            <w:pPr>
              <w:jc w:val="center"/>
              <w:rPr>
                <w:snapToGrid w:val="0"/>
                <w:kern w:val="21"/>
                <w:szCs w:val="21"/>
              </w:rPr>
            </w:pPr>
            <w:r>
              <w:rPr>
                <w:rFonts w:hint="eastAsia"/>
                <w:snapToGrid w:val="0"/>
                <w:kern w:val="21"/>
                <w:szCs w:val="21"/>
              </w:rPr>
              <w:t>0</w:t>
            </w:r>
          </w:p>
        </w:tc>
        <w:tc>
          <w:tcPr>
            <w:tcW w:w="633" w:type="pct"/>
            <w:vAlign w:val="center"/>
          </w:tcPr>
          <w:p>
            <w:pPr>
              <w:jc w:val="center"/>
              <w:rPr>
                <w:snapToGrid w:val="0"/>
                <w:kern w:val="21"/>
                <w:szCs w:val="21"/>
              </w:rPr>
            </w:pPr>
            <w:r>
              <w:rPr>
                <w:rFonts w:hint="eastAsia"/>
                <w:snapToGrid w:val="0"/>
                <w:kern w:val="21"/>
                <w:szCs w:val="21"/>
              </w:rPr>
              <w:t>55.8</w:t>
            </w:r>
          </w:p>
        </w:tc>
        <w:tc>
          <w:tcPr>
            <w:tcW w:w="409" w:type="pct"/>
            <w:vAlign w:val="center"/>
          </w:tcPr>
          <w:p>
            <w:pPr>
              <w:jc w:val="center"/>
              <w:rPr>
                <w:snapToGrid w:val="0"/>
                <w:kern w:val="21"/>
                <w:szCs w:val="21"/>
              </w:rPr>
            </w:pPr>
            <w:r>
              <w:rPr>
                <w:snapToGrid w:val="0"/>
                <w:kern w:val="21"/>
                <w:szCs w:val="21"/>
              </w:rPr>
              <w:t>+</w:t>
            </w:r>
            <w:r>
              <w:rPr>
                <w:rFonts w:hint="eastAsia"/>
                <w:snapToGrid w:val="0"/>
                <w:kern w:val="21"/>
                <w:szCs w:val="21"/>
              </w:rPr>
              <w:t>55.8</w:t>
            </w:r>
          </w:p>
        </w:tc>
      </w:tr>
    </w:tbl>
    <w:p>
      <w:pPr>
        <w:pStyle w:val="68"/>
        <w:spacing w:before="192" w:beforeLines="80" w:after="24"/>
        <w:jc w:val="left"/>
        <w:rPr>
          <w:rFonts w:ascii="Times New Roman"/>
          <w:snapToGrid w:val="0"/>
          <w:spacing w:val="-6"/>
          <w:kern w:val="21"/>
          <w:szCs w:val="21"/>
        </w:rPr>
      </w:pPr>
      <w:r>
        <w:rPr>
          <w:rFonts w:ascii="Times New Roman"/>
          <w:snapToGrid w:val="0"/>
          <w:kern w:val="21"/>
          <w:szCs w:val="21"/>
        </w:rPr>
        <w:t>注：</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szCs w:val="21"/>
        </w:rPr>
        <w:t>①</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hAnsi="宋体" w:cs="宋体"/>
          <w:szCs w:val="21"/>
        </w:rPr>
        <w:t>③</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hAnsi="宋体" w:cs="宋体"/>
          <w:szCs w:val="21"/>
        </w:rPr>
        <w:t>④</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hint="eastAsia" w:hAnsi="宋体" w:cs="宋体"/>
          <w:szCs w:val="21"/>
        </w:rPr>
        <w:t>⑤</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hAnsi="宋体" w:cs="宋体"/>
          <w:szCs w:val="21"/>
        </w:rPr>
        <w:t>⑦</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szCs w:val="21"/>
        </w:rPr>
        <w:t>①</w:t>
      </w:r>
      <w:r>
        <w:rPr>
          <w:rFonts w:ascii="Times New Roman"/>
          <w:snapToGrid w:val="0"/>
          <w:spacing w:val="-6"/>
          <w:kern w:val="21"/>
          <w:szCs w:val="21"/>
        </w:rPr>
        <w:fldChar w:fldCharType="end"/>
      </w:r>
    </w:p>
    <w:p>
      <w:pPr>
        <w:sectPr>
          <w:footerReference r:id="rId6" w:type="default"/>
          <w:pgSz w:w="16838" w:h="11906" w:orient="landscape"/>
          <w:pgMar w:top="1276" w:right="1529" w:bottom="720" w:left="1560" w:header="851" w:footer="851" w:gutter="0"/>
          <w:cols w:space="720" w:num="1"/>
          <w:docGrid w:linePitch="312" w:charSpace="0"/>
        </w:sectPr>
      </w:pPr>
    </w:p>
    <w:p>
      <w:pPr>
        <w:pStyle w:val="26"/>
        <w:adjustRightInd w:val="0"/>
        <w:snapToGrid w:val="0"/>
        <w:spacing w:before="0" w:beforeAutospacing="0" w:after="0" w:afterAutospacing="0"/>
        <w:jc w:val="both"/>
        <w:rPr>
          <w:rFonts w:ascii="Times New Roman" w:hAnsi="Times New Roman"/>
          <w:b/>
          <w:bCs/>
        </w:rPr>
      </w:pPr>
      <w:bookmarkStart w:id="3" w:name="_GoBack"/>
      <w:bookmarkEnd w:id="3"/>
    </w:p>
    <w:sectPr>
      <w:footerReference r:id="rId7" w:type="default"/>
      <w:pgSz w:w="11906" w:h="16838"/>
      <w:pgMar w:top="1134" w:right="1274" w:bottom="1276"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Consolas">
    <w:panose1 w:val="020B0609020204030204"/>
    <w:charset w:val="00"/>
    <w:family w:val="modern"/>
    <w:pitch w:val="default"/>
    <w:sig w:usb0="E00006FF" w:usb1="0000FCFF" w:usb2="00000001" w:usb3="00000000" w:csb0="6000019F" w:csb1="DFD7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G Times (WN)">
    <w:altName w:val="Times New Roman"/>
    <w:panose1 w:val="00000000000000000000"/>
    <w:charset w:val="00"/>
    <w:family w:val="auto"/>
    <w:pitch w:val="default"/>
    <w:sig w:usb0="00000000" w:usb1="00000000" w:usb2="00000000" w:usb3="00000000" w:csb0="00040001" w:csb1="00000000"/>
  </w:font>
  <w:font w:name="Wingdings 2">
    <w:panose1 w:val="05020102010507070707"/>
    <w:charset w:val="02"/>
    <w:family w:val="roman"/>
    <w:pitch w:val="default"/>
    <w:sig w:usb0="00000000" w:usb1="00000000" w:usb2="00000000" w:usb3="00000000" w:csb0="80000000" w:csb1="00000000"/>
  </w:font>
  <w:font w:name="方正小标宋_GBK">
    <w:altName w:val="Arial Unicode MS"/>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33"/>
      </w:rPr>
    </w:pPr>
    <w:r>
      <w:fldChar w:fldCharType="begin"/>
    </w:r>
    <w:r>
      <w:rPr>
        <w:rStyle w:val="33"/>
      </w:rPr>
      <w:instrText xml:space="preserve">PAGE  </w:instrText>
    </w:r>
    <w:r>
      <w:fldChar w:fldCharType="end"/>
    </w:r>
  </w:p>
  <w:p>
    <w:pPr>
      <w:pStyle w:val="2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outside" w:y="1"/>
      <w:rPr>
        <w:rStyle w:val="33"/>
        <w:rFonts w:ascii="宋体" w:hAnsi="宋体"/>
        <w:sz w:val="28"/>
        <w:szCs w:val="28"/>
      </w:rPr>
    </w:pPr>
    <w:r>
      <w:rPr>
        <w:rStyle w:val="33"/>
        <w:rFonts w:hint="eastAsia" w:ascii="宋体" w:hAnsi="宋体"/>
        <w:sz w:val="28"/>
        <w:szCs w:val="28"/>
      </w:rPr>
      <w:t>—</w:t>
    </w:r>
    <w:r>
      <w:rPr>
        <w:rStyle w:val="33"/>
        <w:rFonts w:hint="eastAsia" w:ascii="宋体" w:hAnsi="宋体"/>
        <w:sz w:val="20"/>
      </w:rPr>
      <w:t xml:space="preserve">  </w:t>
    </w:r>
    <w:r>
      <w:rPr>
        <w:rFonts w:ascii="宋体" w:hAnsi="宋体"/>
        <w:sz w:val="26"/>
        <w:szCs w:val="26"/>
      </w:rPr>
      <w:fldChar w:fldCharType="begin"/>
    </w:r>
    <w:r>
      <w:rPr>
        <w:rStyle w:val="33"/>
        <w:rFonts w:ascii="宋体" w:hAnsi="宋体"/>
        <w:sz w:val="26"/>
        <w:szCs w:val="26"/>
      </w:rPr>
      <w:instrText xml:space="preserve">PAGE  </w:instrText>
    </w:r>
    <w:r>
      <w:rPr>
        <w:rFonts w:ascii="宋体" w:hAnsi="宋体"/>
        <w:sz w:val="26"/>
        <w:szCs w:val="26"/>
      </w:rPr>
      <w:fldChar w:fldCharType="separate"/>
    </w:r>
    <w:r>
      <w:rPr>
        <w:rStyle w:val="33"/>
        <w:rFonts w:ascii="宋体" w:hAnsi="宋体"/>
        <w:sz w:val="26"/>
        <w:szCs w:val="26"/>
      </w:rPr>
      <w:t>51</w:t>
    </w:r>
    <w:r>
      <w:rPr>
        <w:rFonts w:ascii="宋体" w:hAnsi="宋体"/>
        <w:sz w:val="26"/>
        <w:szCs w:val="26"/>
      </w:rPr>
      <w:fldChar w:fldCharType="end"/>
    </w:r>
    <w:r>
      <w:rPr>
        <w:rStyle w:val="33"/>
        <w:rFonts w:hint="eastAsia" w:ascii="宋体" w:hAnsi="宋体"/>
        <w:sz w:val="20"/>
      </w:rPr>
      <w:t xml:space="preserve">  </w:t>
    </w:r>
    <w:r>
      <w:rPr>
        <w:rStyle w:val="33"/>
        <w:rFonts w:hint="eastAsia" w:ascii="宋体" w:hAnsi="宋体"/>
        <w:sz w:val="28"/>
        <w:szCs w:val="28"/>
      </w:rPr>
      <w:t>—</w:t>
    </w:r>
  </w:p>
  <w:p>
    <w:pPr>
      <w:pStyle w:val="23"/>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33"/>
        <w:rFonts w:ascii="宋体" w:hAnsi="宋体"/>
        <w:sz w:val="28"/>
        <w:szCs w:val="28"/>
      </w:rPr>
    </w:pPr>
    <w:r>
      <w:rPr>
        <w:rStyle w:val="33"/>
        <w:rFonts w:hint="eastAsia" w:ascii="宋体" w:hAnsi="宋体"/>
        <w:sz w:val="28"/>
        <w:szCs w:val="28"/>
      </w:rPr>
      <w:t>—</w:t>
    </w:r>
    <w:r>
      <w:rPr>
        <w:rStyle w:val="33"/>
        <w:rFonts w:hint="eastAsia" w:ascii="宋体" w:hAnsi="宋体"/>
        <w:sz w:val="20"/>
      </w:rPr>
      <w:t xml:space="preserve">  </w:t>
    </w:r>
    <w:r>
      <w:rPr>
        <w:rFonts w:ascii="宋体" w:hAnsi="宋体"/>
        <w:sz w:val="26"/>
        <w:szCs w:val="26"/>
      </w:rPr>
      <w:fldChar w:fldCharType="begin"/>
    </w:r>
    <w:r>
      <w:rPr>
        <w:rStyle w:val="33"/>
        <w:rFonts w:ascii="宋体" w:hAnsi="宋体"/>
        <w:sz w:val="26"/>
        <w:szCs w:val="26"/>
      </w:rPr>
      <w:instrText xml:space="preserve">PAGE  </w:instrText>
    </w:r>
    <w:r>
      <w:rPr>
        <w:rFonts w:ascii="宋体" w:hAnsi="宋体"/>
        <w:sz w:val="26"/>
        <w:szCs w:val="26"/>
      </w:rPr>
      <w:fldChar w:fldCharType="separate"/>
    </w:r>
    <w:r>
      <w:rPr>
        <w:rStyle w:val="33"/>
        <w:rFonts w:ascii="宋体" w:hAnsi="宋体"/>
        <w:sz w:val="26"/>
        <w:szCs w:val="26"/>
      </w:rPr>
      <w:t>53</w:t>
    </w:r>
    <w:r>
      <w:rPr>
        <w:rFonts w:ascii="宋体" w:hAnsi="宋体"/>
        <w:sz w:val="26"/>
        <w:szCs w:val="26"/>
      </w:rPr>
      <w:fldChar w:fldCharType="end"/>
    </w:r>
    <w:r>
      <w:rPr>
        <w:rStyle w:val="33"/>
        <w:rFonts w:hint="eastAsia" w:ascii="宋体" w:hAnsi="宋体"/>
        <w:sz w:val="20"/>
      </w:rPr>
      <w:t xml:space="preserve">  </w:t>
    </w:r>
    <w:r>
      <w:rPr>
        <w:rStyle w:val="33"/>
        <w:rFonts w:hint="eastAsia" w:ascii="宋体" w:hAnsi="宋体"/>
        <w:sz w:val="28"/>
        <w:szCs w:val="28"/>
      </w:rPr>
      <w:t>—</w:t>
    </w:r>
  </w:p>
  <w:p>
    <w:pPr>
      <w:pStyle w:val="23"/>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outside" w:y="1"/>
      <w:rPr>
        <w:rStyle w:val="33"/>
        <w:rFonts w:ascii="宋体" w:hAnsi="宋体"/>
        <w:sz w:val="28"/>
        <w:szCs w:val="28"/>
      </w:rPr>
    </w:pPr>
    <w:r>
      <w:rPr>
        <w:rStyle w:val="33"/>
        <w:rFonts w:hint="eastAsia" w:ascii="宋体" w:hAnsi="宋体"/>
        <w:sz w:val="28"/>
        <w:szCs w:val="28"/>
      </w:rPr>
      <w:t>—</w:t>
    </w:r>
    <w:r>
      <w:rPr>
        <w:rStyle w:val="33"/>
        <w:rFonts w:hint="eastAsia" w:ascii="宋体" w:hAnsi="宋体"/>
        <w:sz w:val="20"/>
      </w:rPr>
      <w:t xml:space="preserve">  </w:t>
    </w:r>
    <w:r>
      <w:rPr>
        <w:rFonts w:ascii="宋体" w:hAnsi="宋体"/>
        <w:sz w:val="26"/>
        <w:szCs w:val="26"/>
      </w:rPr>
      <w:fldChar w:fldCharType="begin"/>
    </w:r>
    <w:r>
      <w:rPr>
        <w:rStyle w:val="33"/>
        <w:rFonts w:ascii="宋体" w:hAnsi="宋体"/>
        <w:sz w:val="26"/>
        <w:szCs w:val="26"/>
      </w:rPr>
      <w:instrText xml:space="preserve">PAGE  </w:instrText>
    </w:r>
    <w:r>
      <w:rPr>
        <w:rFonts w:ascii="宋体" w:hAnsi="宋体"/>
        <w:sz w:val="26"/>
        <w:szCs w:val="26"/>
      </w:rPr>
      <w:fldChar w:fldCharType="separate"/>
    </w:r>
    <w:r>
      <w:rPr>
        <w:rStyle w:val="33"/>
        <w:rFonts w:ascii="宋体" w:hAnsi="宋体"/>
        <w:sz w:val="26"/>
        <w:szCs w:val="26"/>
      </w:rPr>
      <w:t>77</w:t>
    </w:r>
    <w:r>
      <w:rPr>
        <w:rFonts w:ascii="宋体" w:hAnsi="宋体"/>
        <w:sz w:val="26"/>
        <w:szCs w:val="26"/>
      </w:rPr>
      <w:fldChar w:fldCharType="end"/>
    </w:r>
    <w:r>
      <w:rPr>
        <w:rStyle w:val="33"/>
        <w:rFonts w:hint="eastAsia" w:ascii="宋体" w:hAnsi="宋体"/>
        <w:sz w:val="20"/>
      </w:rPr>
      <w:t xml:space="preserve">  </w:t>
    </w:r>
    <w:r>
      <w:rPr>
        <w:rStyle w:val="33"/>
        <w:rFonts w:hint="eastAsia" w:ascii="宋体" w:hAnsi="宋体"/>
        <w:sz w:val="28"/>
        <w:szCs w:val="28"/>
      </w:rPr>
      <w:t>—</w:t>
    </w:r>
  </w:p>
  <w:p>
    <w:pPr>
      <w:pStyle w:val="23"/>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7F0248"/>
    <w:multiLevelType w:val="multilevel"/>
    <w:tmpl w:val="057F0248"/>
    <w:lvl w:ilvl="0" w:tentative="0">
      <w:start w:val="1"/>
      <w:numFmt w:val="decimal"/>
      <w:suff w:val="nothing"/>
      <w:lvlText w:val="%1、"/>
      <w:lvlJc w:val="left"/>
      <w:pPr>
        <w:ind w:left="145" w:firstLine="0"/>
      </w:pPr>
      <w:rPr>
        <w:rFonts w:hint="default" w:ascii="Times New Roman" w:hAnsi="Times New Roman" w:cs="Times New Roman"/>
      </w:rPr>
    </w:lvl>
    <w:lvl w:ilvl="1" w:tentative="0">
      <w:start w:val="1"/>
      <w:numFmt w:val="decimal"/>
      <w:lvlText w:val="%2."/>
      <w:lvlJc w:val="left"/>
      <w:pPr>
        <w:tabs>
          <w:tab w:val="left" w:pos="1585"/>
        </w:tabs>
        <w:ind w:left="1585" w:hanging="360"/>
      </w:pPr>
    </w:lvl>
    <w:lvl w:ilvl="2" w:tentative="0">
      <w:start w:val="1"/>
      <w:numFmt w:val="decimal"/>
      <w:lvlText w:val="%3."/>
      <w:lvlJc w:val="left"/>
      <w:pPr>
        <w:tabs>
          <w:tab w:val="left" w:pos="2305"/>
        </w:tabs>
        <w:ind w:left="2305" w:hanging="360"/>
      </w:pPr>
    </w:lvl>
    <w:lvl w:ilvl="3" w:tentative="0">
      <w:start w:val="1"/>
      <w:numFmt w:val="decimal"/>
      <w:lvlText w:val="%4."/>
      <w:lvlJc w:val="left"/>
      <w:pPr>
        <w:tabs>
          <w:tab w:val="left" w:pos="3025"/>
        </w:tabs>
        <w:ind w:left="3025" w:hanging="360"/>
      </w:pPr>
    </w:lvl>
    <w:lvl w:ilvl="4" w:tentative="0">
      <w:start w:val="1"/>
      <w:numFmt w:val="decimal"/>
      <w:lvlText w:val="%5."/>
      <w:lvlJc w:val="left"/>
      <w:pPr>
        <w:tabs>
          <w:tab w:val="left" w:pos="3745"/>
        </w:tabs>
        <w:ind w:left="3745" w:hanging="360"/>
      </w:pPr>
    </w:lvl>
    <w:lvl w:ilvl="5" w:tentative="0">
      <w:start w:val="1"/>
      <w:numFmt w:val="decimal"/>
      <w:lvlText w:val="%6."/>
      <w:lvlJc w:val="left"/>
      <w:pPr>
        <w:tabs>
          <w:tab w:val="left" w:pos="4465"/>
        </w:tabs>
        <w:ind w:left="4465" w:hanging="360"/>
      </w:pPr>
    </w:lvl>
    <w:lvl w:ilvl="6" w:tentative="0">
      <w:start w:val="1"/>
      <w:numFmt w:val="decimal"/>
      <w:lvlText w:val="%7."/>
      <w:lvlJc w:val="left"/>
      <w:pPr>
        <w:tabs>
          <w:tab w:val="left" w:pos="5185"/>
        </w:tabs>
        <w:ind w:left="5185" w:hanging="360"/>
      </w:pPr>
    </w:lvl>
    <w:lvl w:ilvl="7" w:tentative="0">
      <w:start w:val="1"/>
      <w:numFmt w:val="decimal"/>
      <w:lvlText w:val="%8."/>
      <w:lvlJc w:val="left"/>
      <w:pPr>
        <w:tabs>
          <w:tab w:val="left" w:pos="5905"/>
        </w:tabs>
        <w:ind w:left="5905" w:hanging="360"/>
      </w:pPr>
    </w:lvl>
    <w:lvl w:ilvl="8" w:tentative="0">
      <w:start w:val="1"/>
      <w:numFmt w:val="decimal"/>
      <w:lvlText w:val="%9."/>
      <w:lvlJc w:val="left"/>
      <w:pPr>
        <w:tabs>
          <w:tab w:val="left" w:pos="6625"/>
        </w:tabs>
        <w:ind w:left="6625" w:hanging="360"/>
      </w:pPr>
    </w:lvl>
  </w:abstractNum>
  <w:abstractNum w:abstractNumId="1">
    <w:nsid w:val="12D53711"/>
    <w:multiLevelType w:val="singleLevel"/>
    <w:tmpl w:val="12D53711"/>
    <w:lvl w:ilvl="0" w:tentative="0">
      <w:start w:val="1"/>
      <w:numFmt w:val="bullet"/>
      <w:pStyle w:val="10"/>
      <w:lvlText w:val=""/>
      <w:lvlJc w:val="left"/>
      <w:pPr>
        <w:tabs>
          <w:tab w:val="left" w:pos="780"/>
        </w:tabs>
        <w:ind w:left="780" w:hanging="360"/>
      </w:pPr>
      <w:rPr>
        <w:rFonts w:hint="default" w:ascii="Wingdings" w:hAnsi="Wingdings"/>
      </w:rPr>
    </w:lvl>
  </w:abstractNum>
  <w:abstractNum w:abstractNumId="2">
    <w:nsid w:val="21CF3351"/>
    <w:multiLevelType w:val="multilevel"/>
    <w:tmpl w:val="21CF3351"/>
    <w:lvl w:ilvl="0" w:tentative="0">
      <w:start w:val="1"/>
      <w:numFmt w:val="lowerLetter"/>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A432431"/>
    <w:multiLevelType w:val="multilevel"/>
    <w:tmpl w:val="7A432431"/>
    <w:lvl w:ilvl="0" w:tentative="0">
      <w:start w:val="1"/>
      <w:numFmt w:val="decimal"/>
      <w:suff w:val="space"/>
      <w:lvlText w:val="表%1"/>
      <w:lvlJc w:val="left"/>
      <w:pPr>
        <w:ind w:left="3570" w:firstLine="0"/>
      </w:pPr>
      <w:rPr>
        <w:rFonts w:hint="default" w:ascii="Times New Roman" w:hAnsi="Times New Roman" w:cs="Times New Roman"/>
        <w:b/>
        <w:bCs/>
        <w:sz w:val="21"/>
        <w:szCs w:val="24"/>
        <w:vertAlign w:val="baseline"/>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abstractNum w:abstractNumId="4">
    <w:nsid w:val="7B93035B"/>
    <w:multiLevelType w:val="multilevel"/>
    <w:tmpl w:val="7B93035B"/>
    <w:lvl w:ilvl="0" w:tentative="0">
      <w:start w:val="1"/>
      <w:numFmt w:val="decimal"/>
      <w:suff w:val="space"/>
      <w:lvlText w:val="表%1"/>
      <w:lvlJc w:val="left"/>
      <w:pPr>
        <w:ind w:left="3570" w:firstLine="0"/>
      </w:pPr>
      <w:rPr>
        <w:rFonts w:hint="default" w:ascii="Times New Roman" w:hAnsi="Times New Roman" w:cs="Times New Roman"/>
        <w:b/>
        <w:bCs/>
        <w:sz w:val="21"/>
        <w:szCs w:val="24"/>
        <w:vertAlign w:val="baseline"/>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1"/>
  </w:num>
  <w:num w:numId="2">
    <w:abstractNumId w:val="4"/>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4ZDM4ZTUyNjEzYTQ4ZDgyMTBkNmQ1MjkzYzA5YTAifQ=="/>
  </w:docVars>
  <w:rsids>
    <w:rsidRoot w:val="00A14947"/>
    <w:rsid w:val="00003DF0"/>
    <w:rsid w:val="00004850"/>
    <w:rsid w:val="00005791"/>
    <w:rsid w:val="000059C0"/>
    <w:rsid w:val="000060B3"/>
    <w:rsid w:val="00011B12"/>
    <w:rsid w:val="0001333D"/>
    <w:rsid w:val="00030A16"/>
    <w:rsid w:val="00035B34"/>
    <w:rsid w:val="0003714A"/>
    <w:rsid w:val="000409A0"/>
    <w:rsid w:val="000435D5"/>
    <w:rsid w:val="0004364B"/>
    <w:rsid w:val="000504F7"/>
    <w:rsid w:val="00050773"/>
    <w:rsid w:val="00061B1F"/>
    <w:rsid w:val="000644AC"/>
    <w:rsid w:val="00065D8B"/>
    <w:rsid w:val="00066B3F"/>
    <w:rsid w:val="000673EF"/>
    <w:rsid w:val="000719DA"/>
    <w:rsid w:val="000733C4"/>
    <w:rsid w:val="00074067"/>
    <w:rsid w:val="00074783"/>
    <w:rsid w:val="00074B7B"/>
    <w:rsid w:val="00076E6D"/>
    <w:rsid w:val="0008070B"/>
    <w:rsid w:val="00080EC0"/>
    <w:rsid w:val="000810AC"/>
    <w:rsid w:val="00081A02"/>
    <w:rsid w:val="00082231"/>
    <w:rsid w:val="00083531"/>
    <w:rsid w:val="00085DBE"/>
    <w:rsid w:val="00092D38"/>
    <w:rsid w:val="0009377B"/>
    <w:rsid w:val="00093E07"/>
    <w:rsid w:val="000A196A"/>
    <w:rsid w:val="000A20C9"/>
    <w:rsid w:val="000A4A38"/>
    <w:rsid w:val="000B058F"/>
    <w:rsid w:val="000B1DFA"/>
    <w:rsid w:val="000B2FC8"/>
    <w:rsid w:val="000B4467"/>
    <w:rsid w:val="000B4DB9"/>
    <w:rsid w:val="000B7084"/>
    <w:rsid w:val="000C09AC"/>
    <w:rsid w:val="000C09D0"/>
    <w:rsid w:val="000C6827"/>
    <w:rsid w:val="000C767F"/>
    <w:rsid w:val="000D0053"/>
    <w:rsid w:val="000D2FBD"/>
    <w:rsid w:val="000D4008"/>
    <w:rsid w:val="000D4219"/>
    <w:rsid w:val="000D5A44"/>
    <w:rsid w:val="000D7F61"/>
    <w:rsid w:val="000E1AFF"/>
    <w:rsid w:val="000E3ED2"/>
    <w:rsid w:val="000F2AB9"/>
    <w:rsid w:val="000F2EA8"/>
    <w:rsid w:val="000F69C5"/>
    <w:rsid w:val="00105845"/>
    <w:rsid w:val="00107B81"/>
    <w:rsid w:val="0011167E"/>
    <w:rsid w:val="001140F8"/>
    <w:rsid w:val="00114326"/>
    <w:rsid w:val="001144ED"/>
    <w:rsid w:val="00117DBA"/>
    <w:rsid w:val="0012102B"/>
    <w:rsid w:val="001220C1"/>
    <w:rsid w:val="00123E11"/>
    <w:rsid w:val="00124F86"/>
    <w:rsid w:val="00130D91"/>
    <w:rsid w:val="00131050"/>
    <w:rsid w:val="00131058"/>
    <w:rsid w:val="00131F42"/>
    <w:rsid w:val="0013230F"/>
    <w:rsid w:val="00133AF6"/>
    <w:rsid w:val="001357F1"/>
    <w:rsid w:val="00136F79"/>
    <w:rsid w:val="00137170"/>
    <w:rsid w:val="00137B08"/>
    <w:rsid w:val="00140FA8"/>
    <w:rsid w:val="001410AF"/>
    <w:rsid w:val="00142C8F"/>
    <w:rsid w:val="00142FEB"/>
    <w:rsid w:val="00143A2D"/>
    <w:rsid w:val="00143B72"/>
    <w:rsid w:val="00145A41"/>
    <w:rsid w:val="00145B91"/>
    <w:rsid w:val="00146EEB"/>
    <w:rsid w:val="001512AD"/>
    <w:rsid w:val="00151675"/>
    <w:rsid w:val="001535A6"/>
    <w:rsid w:val="0015720C"/>
    <w:rsid w:val="00157435"/>
    <w:rsid w:val="0017361C"/>
    <w:rsid w:val="0017504D"/>
    <w:rsid w:val="00175193"/>
    <w:rsid w:val="0017610A"/>
    <w:rsid w:val="001761D3"/>
    <w:rsid w:val="0017671A"/>
    <w:rsid w:val="001773C7"/>
    <w:rsid w:val="00177422"/>
    <w:rsid w:val="001819BF"/>
    <w:rsid w:val="00182EB5"/>
    <w:rsid w:val="00184590"/>
    <w:rsid w:val="0018573D"/>
    <w:rsid w:val="00185CD1"/>
    <w:rsid w:val="001870D1"/>
    <w:rsid w:val="001877E7"/>
    <w:rsid w:val="0018781E"/>
    <w:rsid w:val="00187891"/>
    <w:rsid w:val="00187EFA"/>
    <w:rsid w:val="0019262D"/>
    <w:rsid w:val="001953F3"/>
    <w:rsid w:val="00195792"/>
    <w:rsid w:val="001A0CCC"/>
    <w:rsid w:val="001A1B35"/>
    <w:rsid w:val="001A37D4"/>
    <w:rsid w:val="001A3F72"/>
    <w:rsid w:val="001A48A2"/>
    <w:rsid w:val="001A6045"/>
    <w:rsid w:val="001A6EE0"/>
    <w:rsid w:val="001A6F61"/>
    <w:rsid w:val="001B27F7"/>
    <w:rsid w:val="001B72B8"/>
    <w:rsid w:val="001B78A9"/>
    <w:rsid w:val="001C69B3"/>
    <w:rsid w:val="001D1C36"/>
    <w:rsid w:val="001D5595"/>
    <w:rsid w:val="001D7874"/>
    <w:rsid w:val="001D7F22"/>
    <w:rsid w:val="001E530B"/>
    <w:rsid w:val="001F0C5D"/>
    <w:rsid w:val="001F0F17"/>
    <w:rsid w:val="001F308A"/>
    <w:rsid w:val="001F3347"/>
    <w:rsid w:val="001F3BC8"/>
    <w:rsid w:val="001F5EE4"/>
    <w:rsid w:val="001F69E4"/>
    <w:rsid w:val="00200677"/>
    <w:rsid w:val="002028E4"/>
    <w:rsid w:val="002041D8"/>
    <w:rsid w:val="002070E3"/>
    <w:rsid w:val="002125B4"/>
    <w:rsid w:val="002155B8"/>
    <w:rsid w:val="00221284"/>
    <w:rsid w:val="002228A1"/>
    <w:rsid w:val="00222E0A"/>
    <w:rsid w:val="0022344F"/>
    <w:rsid w:val="00224839"/>
    <w:rsid w:val="002249B2"/>
    <w:rsid w:val="00225990"/>
    <w:rsid w:val="00226313"/>
    <w:rsid w:val="00226574"/>
    <w:rsid w:val="002278EC"/>
    <w:rsid w:val="00231A39"/>
    <w:rsid w:val="00232658"/>
    <w:rsid w:val="0023280E"/>
    <w:rsid w:val="0023308B"/>
    <w:rsid w:val="0023611F"/>
    <w:rsid w:val="002377D1"/>
    <w:rsid w:val="00241D59"/>
    <w:rsid w:val="002427AC"/>
    <w:rsid w:val="0024354C"/>
    <w:rsid w:val="002466DA"/>
    <w:rsid w:val="002506BC"/>
    <w:rsid w:val="00252989"/>
    <w:rsid w:val="00254345"/>
    <w:rsid w:val="00254665"/>
    <w:rsid w:val="00261B16"/>
    <w:rsid w:val="00261C9C"/>
    <w:rsid w:val="00262583"/>
    <w:rsid w:val="002641DF"/>
    <w:rsid w:val="00264557"/>
    <w:rsid w:val="00264B13"/>
    <w:rsid w:val="00267ADD"/>
    <w:rsid w:val="00267CF8"/>
    <w:rsid w:val="00270896"/>
    <w:rsid w:val="002715AD"/>
    <w:rsid w:val="002717AC"/>
    <w:rsid w:val="00272987"/>
    <w:rsid w:val="002742E5"/>
    <w:rsid w:val="00275BDA"/>
    <w:rsid w:val="00276D02"/>
    <w:rsid w:val="00277D04"/>
    <w:rsid w:val="00277D4B"/>
    <w:rsid w:val="002805AB"/>
    <w:rsid w:val="00281F17"/>
    <w:rsid w:val="00283688"/>
    <w:rsid w:val="00283CF0"/>
    <w:rsid w:val="00284204"/>
    <w:rsid w:val="00284BFA"/>
    <w:rsid w:val="00291773"/>
    <w:rsid w:val="0029545C"/>
    <w:rsid w:val="00296059"/>
    <w:rsid w:val="002A04E6"/>
    <w:rsid w:val="002A1083"/>
    <w:rsid w:val="002A168C"/>
    <w:rsid w:val="002A3DC7"/>
    <w:rsid w:val="002A48F8"/>
    <w:rsid w:val="002A601E"/>
    <w:rsid w:val="002B3750"/>
    <w:rsid w:val="002B3CD2"/>
    <w:rsid w:val="002B49E2"/>
    <w:rsid w:val="002B6335"/>
    <w:rsid w:val="002B7276"/>
    <w:rsid w:val="002B7B00"/>
    <w:rsid w:val="002B7C44"/>
    <w:rsid w:val="002C10D0"/>
    <w:rsid w:val="002C26AB"/>
    <w:rsid w:val="002C2B17"/>
    <w:rsid w:val="002C5118"/>
    <w:rsid w:val="002C6644"/>
    <w:rsid w:val="002C6F94"/>
    <w:rsid w:val="002D3DD0"/>
    <w:rsid w:val="002D6B66"/>
    <w:rsid w:val="002E1A1B"/>
    <w:rsid w:val="002E1F3A"/>
    <w:rsid w:val="002E298A"/>
    <w:rsid w:val="002E2A60"/>
    <w:rsid w:val="002E2F1A"/>
    <w:rsid w:val="002E39B7"/>
    <w:rsid w:val="002E69BE"/>
    <w:rsid w:val="002E6D19"/>
    <w:rsid w:val="002F079B"/>
    <w:rsid w:val="002F0A4F"/>
    <w:rsid w:val="002F5F77"/>
    <w:rsid w:val="002F70EF"/>
    <w:rsid w:val="002F73B8"/>
    <w:rsid w:val="00301978"/>
    <w:rsid w:val="003026A4"/>
    <w:rsid w:val="0030332C"/>
    <w:rsid w:val="0030361E"/>
    <w:rsid w:val="00303747"/>
    <w:rsid w:val="003043D5"/>
    <w:rsid w:val="003051C2"/>
    <w:rsid w:val="003068A8"/>
    <w:rsid w:val="00307A88"/>
    <w:rsid w:val="00312296"/>
    <w:rsid w:val="00312C8C"/>
    <w:rsid w:val="00313C84"/>
    <w:rsid w:val="00314F0E"/>
    <w:rsid w:val="00315240"/>
    <w:rsid w:val="00316DFA"/>
    <w:rsid w:val="00317AE5"/>
    <w:rsid w:val="00317BA9"/>
    <w:rsid w:val="0032104A"/>
    <w:rsid w:val="00321D8E"/>
    <w:rsid w:val="00323C0C"/>
    <w:rsid w:val="00325928"/>
    <w:rsid w:val="00326879"/>
    <w:rsid w:val="00327B8B"/>
    <w:rsid w:val="00332863"/>
    <w:rsid w:val="00332CD3"/>
    <w:rsid w:val="00334271"/>
    <w:rsid w:val="00335E6E"/>
    <w:rsid w:val="00336312"/>
    <w:rsid w:val="0033684D"/>
    <w:rsid w:val="00337B42"/>
    <w:rsid w:val="00341B42"/>
    <w:rsid w:val="00342484"/>
    <w:rsid w:val="0034348F"/>
    <w:rsid w:val="00345F76"/>
    <w:rsid w:val="00353533"/>
    <w:rsid w:val="00353A92"/>
    <w:rsid w:val="0035507F"/>
    <w:rsid w:val="00356653"/>
    <w:rsid w:val="0035743F"/>
    <w:rsid w:val="00357BE2"/>
    <w:rsid w:val="003608A0"/>
    <w:rsid w:val="003613C0"/>
    <w:rsid w:val="0036170C"/>
    <w:rsid w:val="00366E0F"/>
    <w:rsid w:val="00372878"/>
    <w:rsid w:val="00374786"/>
    <w:rsid w:val="00375D4C"/>
    <w:rsid w:val="00377228"/>
    <w:rsid w:val="00380754"/>
    <w:rsid w:val="00381A72"/>
    <w:rsid w:val="00383AF0"/>
    <w:rsid w:val="00384676"/>
    <w:rsid w:val="00390857"/>
    <w:rsid w:val="00390D92"/>
    <w:rsid w:val="003920AC"/>
    <w:rsid w:val="00396059"/>
    <w:rsid w:val="003A42A8"/>
    <w:rsid w:val="003A4BF3"/>
    <w:rsid w:val="003A7E9E"/>
    <w:rsid w:val="003B222C"/>
    <w:rsid w:val="003B25E1"/>
    <w:rsid w:val="003B420D"/>
    <w:rsid w:val="003B433F"/>
    <w:rsid w:val="003B6AC4"/>
    <w:rsid w:val="003B6C3F"/>
    <w:rsid w:val="003C6AB0"/>
    <w:rsid w:val="003C6C16"/>
    <w:rsid w:val="003C7704"/>
    <w:rsid w:val="003D00C6"/>
    <w:rsid w:val="003D4418"/>
    <w:rsid w:val="003D4559"/>
    <w:rsid w:val="003D45D3"/>
    <w:rsid w:val="003D469A"/>
    <w:rsid w:val="003D4845"/>
    <w:rsid w:val="003D4A4E"/>
    <w:rsid w:val="003D794D"/>
    <w:rsid w:val="003E3058"/>
    <w:rsid w:val="003E462F"/>
    <w:rsid w:val="003E76A9"/>
    <w:rsid w:val="003F0809"/>
    <w:rsid w:val="003F1802"/>
    <w:rsid w:val="003F5330"/>
    <w:rsid w:val="003F6A8C"/>
    <w:rsid w:val="003F755C"/>
    <w:rsid w:val="003F7958"/>
    <w:rsid w:val="0040061E"/>
    <w:rsid w:val="00405D86"/>
    <w:rsid w:val="00406F01"/>
    <w:rsid w:val="00411D1D"/>
    <w:rsid w:val="00412183"/>
    <w:rsid w:val="0041673D"/>
    <w:rsid w:val="00416D50"/>
    <w:rsid w:val="00416FD5"/>
    <w:rsid w:val="00417772"/>
    <w:rsid w:val="00420B49"/>
    <w:rsid w:val="00420E6A"/>
    <w:rsid w:val="004219CD"/>
    <w:rsid w:val="00425A9E"/>
    <w:rsid w:val="00426D6B"/>
    <w:rsid w:val="00427B39"/>
    <w:rsid w:val="00431E6C"/>
    <w:rsid w:val="00432734"/>
    <w:rsid w:val="00433CE7"/>
    <w:rsid w:val="0044123F"/>
    <w:rsid w:val="00441B2E"/>
    <w:rsid w:val="00442208"/>
    <w:rsid w:val="00446344"/>
    <w:rsid w:val="00446622"/>
    <w:rsid w:val="00447051"/>
    <w:rsid w:val="00451558"/>
    <w:rsid w:val="0045186D"/>
    <w:rsid w:val="00452738"/>
    <w:rsid w:val="00454877"/>
    <w:rsid w:val="00456091"/>
    <w:rsid w:val="004562CF"/>
    <w:rsid w:val="00456863"/>
    <w:rsid w:val="0045793A"/>
    <w:rsid w:val="004623F7"/>
    <w:rsid w:val="004638B5"/>
    <w:rsid w:val="00466321"/>
    <w:rsid w:val="004672B9"/>
    <w:rsid w:val="00470E4C"/>
    <w:rsid w:val="00473B14"/>
    <w:rsid w:val="00474130"/>
    <w:rsid w:val="0047634A"/>
    <w:rsid w:val="00477BF6"/>
    <w:rsid w:val="0048326B"/>
    <w:rsid w:val="00484B9B"/>
    <w:rsid w:val="004855F6"/>
    <w:rsid w:val="00485FCE"/>
    <w:rsid w:val="0048661E"/>
    <w:rsid w:val="00490AA9"/>
    <w:rsid w:val="00492ADC"/>
    <w:rsid w:val="00494670"/>
    <w:rsid w:val="0049654E"/>
    <w:rsid w:val="00497D93"/>
    <w:rsid w:val="004A1ABE"/>
    <w:rsid w:val="004A3454"/>
    <w:rsid w:val="004A36EF"/>
    <w:rsid w:val="004A3823"/>
    <w:rsid w:val="004B1B31"/>
    <w:rsid w:val="004B1F49"/>
    <w:rsid w:val="004B2AA6"/>
    <w:rsid w:val="004B3CC4"/>
    <w:rsid w:val="004B3D8F"/>
    <w:rsid w:val="004B4285"/>
    <w:rsid w:val="004B67F4"/>
    <w:rsid w:val="004C020E"/>
    <w:rsid w:val="004C0CB9"/>
    <w:rsid w:val="004C1181"/>
    <w:rsid w:val="004D0B00"/>
    <w:rsid w:val="004D0FB3"/>
    <w:rsid w:val="004D22BF"/>
    <w:rsid w:val="004D23E9"/>
    <w:rsid w:val="004D3DFD"/>
    <w:rsid w:val="004E6946"/>
    <w:rsid w:val="004F14FE"/>
    <w:rsid w:val="004F1AD8"/>
    <w:rsid w:val="004F484A"/>
    <w:rsid w:val="004F7CFF"/>
    <w:rsid w:val="0050268B"/>
    <w:rsid w:val="00502E26"/>
    <w:rsid w:val="005039CB"/>
    <w:rsid w:val="00504668"/>
    <w:rsid w:val="0050558F"/>
    <w:rsid w:val="00505C13"/>
    <w:rsid w:val="00506286"/>
    <w:rsid w:val="005079C7"/>
    <w:rsid w:val="00510813"/>
    <w:rsid w:val="005114BE"/>
    <w:rsid w:val="00511990"/>
    <w:rsid w:val="00511DE0"/>
    <w:rsid w:val="0051358D"/>
    <w:rsid w:val="00514870"/>
    <w:rsid w:val="00514B9B"/>
    <w:rsid w:val="00515E66"/>
    <w:rsid w:val="005172D0"/>
    <w:rsid w:val="00517937"/>
    <w:rsid w:val="00517F02"/>
    <w:rsid w:val="00521283"/>
    <w:rsid w:val="00521D5C"/>
    <w:rsid w:val="00522DD9"/>
    <w:rsid w:val="00524303"/>
    <w:rsid w:val="005258A2"/>
    <w:rsid w:val="005271D2"/>
    <w:rsid w:val="00536A7B"/>
    <w:rsid w:val="005401AE"/>
    <w:rsid w:val="00540B7B"/>
    <w:rsid w:val="00542E07"/>
    <w:rsid w:val="00545424"/>
    <w:rsid w:val="00545805"/>
    <w:rsid w:val="00546322"/>
    <w:rsid w:val="005500B9"/>
    <w:rsid w:val="00550DF1"/>
    <w:rsid w:val="0055194C"/>
    <w:rsid w:val="00554A7B"/>
    <w:rsid w:val="0055572C"/>
    <w:rsid w:val="00556139"/>
    <w:rsid w:val="0055766D"/>
    <w:rsid w:val="0056106A"/>
    <w:rsid w:val="005658F9"/>
    <w:rsid w:val="0056648F"/>
    <w:rsid w:val="0057143D"/>
    <w:rsid w:val="005719E1"/>
    <w:rsid w:val="005720AE"/>
    <w:rsid w:val="00572FB7"/>
    <w:rsid w:val="00573377"/>
    <w:rsid w:val="00574015"/>
    <w:rsid w:val="00574DD0"/>
    <w:rsid w:val="0058035F"/>
    <w:rsid w:val="00580FA1"/>
    <w:rsid w:val="0058182B"/>
    <w:rsid w:val="005839FC"/>
    <w:rsid w:val="005856A6"/>
    <w:rsid w:val="0058658F"/>
    <w:rsid w:val="00591768"/>
    <w:rsid w:val="00594D77"/>
    <w:rsid w:val="00595B3E"/>
    <w:rsid w:val="005969E4"/>
    <w:rsid w:val="005A06B7"/>
    <w:rsid w:val="005A1759"/>
    <w:rsid w:val="005A22FE"/>
    <w:rsid w:val="005A2AA7"/>
    <w:rsid w:val="005A4B80"/>
    <w:rsid w:val="005A68A7"/>
    <w:rsid w:val="005B23E5"/>
    <w:rsid w:val="005B7104"/>
    <w:rsid w:val="005C00B5"/>
    <w:rsid w:val="005C5AF3"/>
    <w:rsid w:val="005C67E5"/>
    <w:rsid w:val="005C7DA4"/>
    <w:rsid w:val="005D1C8D"/>
    <w:rsid w:val="005D36AB"/>
    <w:rsid w:val="005D3D4A"/>
    <w:rsid w:val="005D77DD"/>
    <w:rsid w:val="005E5CB6"/>
    <w:rsid w:val="005E63BF"/>
    <w:rsid w:val="005E686E"/>
    <w:rsid w:val="005E742B"/>
    <w:rsid w:val="005E7C12"/>
    <w:rsid w:val="005E7DB6"/>
    <w:rsid w:val="005E7F51"/>
    <w:rsid w:val="005F3483"/>
    <w:rsid w:val="005F61A9"/>
    <w:rsid w:val="005F7E9E"/>
    <w:rsid w:val="006001C1"/>
    <w:rsid w:val="00607908"/>
    <w:rsid w:val="0061054E"/>
    <w:rsid w:val="00612331"/>
    <w:rsid w:val="006132FB"/>
    <w:rsid w:val="00613E5C"/>
    <w:rsid w:val="006158B2"/>
    <w:rsid w:val="006167F9"/>
    <w:rsid w:val="00617CC3"/>
    <w:rsid w:val="00626CFE"/>
    <w:rsid w:val="00627FDC"/>
    <w:rsid w:val="006322BF"/>
    <w:rsid w:val="006345D6"/>
    <w:rsid w:val="00635498"/>
    <w:rsid w:val="006377A6"/>
    <w:rsid w:val="00637860"/>
    <w:rsid w:val="00637A3D"/>
    <w:rsid w:val="00637CE1"/>
    <w:rsid w:val="006411EF"/>
    <w:rsid w:val="0064383C"/>
    <w:rsid w:val="00644E43"/>
    <w:rsid w:val="00645B66"/>
    <w:rsid w:val="00650315"/>
    <w:rsid w:val="00650C12"/>
    <w:rsid w:val="00652C25"/>
    <w:rsid w:val="006569ED"/>
    <w:rsid w:val="00662261"/>
    <w:rsid w:val="00663B53"/>
    <w:rsid w:val="006671D5"/>
    <w:rsid w:val="006708E0"/>
    <w:rsid w:val="006713F9"/>
    <w:rsid w:val="006748B8"/>
    <w:rsid w:val="006775C3"/>
    <w:rsid w:val="00682A98"/>
    <w:rsid w:val="00687469"/>
    <w:rsid w:val="0069290A"/>
    <w:rsid w:val="00692E34"/>
    <w:rsid w:val="0069775A"/>
    <w:rsid w:val="00697813"/>
    <w:rsid w:val="006A03E4"/>
    <w:rsid w:val="006A2727"/>
    <w:rsid w:val="006A2DB6"/>
    <w:rsid w:val="006A3EE8"/>
    <w:rsid w:val="006A57F8"/>
    <w:rsid w:val="006A72BF"/>
    <w:rsid w:val="006A791E"/>
    <w:rsid w:val="006A7FAD"/>
    <w:rsid w:val="006B03F2"/>
    <w:rsid w:val="006B0BA3"/>
    <w:rsid w:val="006B37DC"/>
    <w:rsid w:val="006B3DC9"/>
    <w:rsid w:val="006B4F68"/>
    <w:rsid w:val="006B5067"/>
    <w:rsid w:val="006B586B"/>
    <w:rsid w:val="006B6B21"/>
    <w:rsid w:val="006B6B2B"/>
    <w:rsid w:val="006C0592"/>
    <w:rsid w:val="006C0C64"/>
    <w:rsid w:val="006C272E"/>
    <w:rsid w:val="006C4E2F"/>
    <w:rsid w:val="006C5479"/>
    <w:rsid w:val="006C5BDA"/>
    <w:rsid w:val="006C629E"/>
    <w:rsid w:val="006C6307"/>
    <w:rsid w:val="006C6D98"/>
    <w:rsid w:val="006C7EE0"/>
    <w:rsid w:val="006D13B5"/>
    <w:rsid w:val="006D2208"/>
    <w:rsid w:val="006D2BB9"/>
    <w:rsid w:val="006D49B2"/>
    <w:rsid w:val="006D5D1F"/>
    <w:rsid w:val="006D6077"/>
    <w:rsid w:val="006E12FF"/>
    <w:rsid w:val="006E58BF"/>
    <w:rsid w:val="006E607E"/>
    <w:rsid w:val="006F03EC"/>
    <w:rsid w:val="006F29A6"/>
    <w:rsid w:val="006F5EDD"/>
    <w:rsid w:val="0070177B"/>
    <w:rsid w:val="00701ADE"/>
    <w:rsid w:val="00703050"/>
    <w:rsid w:val="00703CA3"/>
    <w:rsid w:val="00706C5D"/>
    <w:rsid w:val="00706DBE"/>
    <w:rsid w:val="00711F6E"/>
    <w:rsid w:val="00713700"/>
    <w:rsid w:val="007154D4"/>
    <w:rsid w:val="007163A4"/>
    <w:rsid w:val="00716BEE"/>
    <w:rsid w:val="007230F9"/>
    <w:rsid w:val="007242C9"/>
    <w:rsid w:val="007260C8"/>
    <w:rsid w:val="00726F9F"/>
    <w:rsid w:val="00732922"/>
    <w:rsid w:val="00733DF7"/>
    <w:rsid w:val="00735053"/>
    <w:rsid w:val="00735B60"/>
    <w:rsid w:val="007417A9"/>
    <w:rsid w:val="0074267B"/>
    <w:rsid w:val="00744FAE"/>
    <w:rsid w:val="00745DDD"/>
    <w:rsid w:val="0075162E"/>
    <w:rsid w:val="00754034"/>
    <w:rsid w:val="00754343"/>
    <w:rsid w:val="0075447B"/>
    <w:rsid w:val="007549BC"/>
    <w:rsid w:val="00756556"/>
    <w:rsid w:val="00756A8E"/>
    <w:rsid w:val="00760E85"/>
    <w:rsid w:val="007611DC"/>
    <w:rsid w:val="007618C4"/>
    <w:rsid w:val="00766F81"/>
    <w:rsid w:val="00767980"/>
    <w:rsid w:val="00767CE0"/>
    <w:rsid w:val="00770B19"/>
    <w:rsid w:val="0077463F"/>
    <w:rsid w:val="007762A1"/>
    <w:rsid w:val="00780327"/>
    <w:rsid w:val="007822D9"/>
    <w:rsid w:val="007836EA"/>
    <w:rsid w:val="007837E3"/>
    <w:rsid w:val="00783800"/>
    <w:rsid w:val="00784CDA"/>
    <w:rsid w:val="00787EE4"/>
    <w:rsid w:val="00787FFB"/>
    <w:rsid w:val="007906C4"/>
    <w:rsid w:val="00792325"/>
    <w:rsid w:val="00793AFB"/>
    <w:rsid w:val="007940EA"/>
    <w:rsid w:val="007967E8"/>
    <w:rsid w:val="007976D5"/>
    <w:rsid w:val="007A0861"/>
    <w:rsid w:val="007A2170"/>
    <w:rsid w:val="007A22BF"/>
    <w:rsid w:val="007A3323"/>
    <w:rsid w:val="007A43A9"/>
    <w:rsid w:val="007A5E31"/>
    <w:rsid w:val="007B07EF"/>
    <w:rsid w:val="007B0AEA"/>
    <w:rsid w:val="007B4046"/>
    <w:rsid w:val="007B72B8"/>
    <w:rsid w:val="007B7A58"/>
    <w:rsid w:val="007B7BAA"/>
    <w:rsid w:val="007C21B5"/>
    <w:rsid w:val="007C2E71"/>
    <w:rsid w:val="007C52C5"/>
    <w:rsid w:val="007C7257"/>
    <w:rsid w:val="007C7CD0"/>
    <w:rsid w:val="007D1FDF"/>
    <w:rsid w:val="007D346B"/>
    <w:rsid w:val="007E0593"/>
    <w:rsid w:val="007E0FB8"/>
    <w:rsid w:val="007E1C6A"/>
    <w:rsid w:val="007E4BD2"/>
    <w:rsid w:val="007E63B1"/>
    <w:rsid w:val="007F4941"/>
    <w:rsid w:val="007F4DA1"/>
    <w:rsid w:val="008007B4"/>
    <w:rsid w:val="00801393"/>
    <w:rsid w:val="00801BBB"/>
    <w:rsid w:val="00802F88"/>
    <w:rsid w:val="0080501E"/>
    <w:rsid w:val="00805396"/>
    <w:rsid w:val="008122B4"/>
    <w:rsid w:val="0081293E"/>
    <w:rsid w:val="00815465"/>
    <w:rsid w:val="008166A2"/>
    <w:rsid w:val="0081694D"/>
    <w:rsid w:val="00817E9A"/>
    <w:rsid w:val="00821C8F"/>
    <w:rsid w:val="00822C43"/>
    <w:rsid w:val="0082339F"/>
    <w:rsid w:val="00823AC7"/>
    <w:rsid w:val="00824315"/>
    <w:rsid w:val="008260B0"/>
    <w:rsid w:val="00826F7B"/>
    <w:rsid w:val="00827813"/>
    <w:rsid w:val="008306BD"/>
    <w:rsid w:val="00831A80"/>
    <w:rsid w:val="008324CC"/>
    <w:rsid w:val="00832CB9"/>
    <w:rsid w:val="00833743"/>
    <w:rsid w:val="008340A4"/>
    <w:rsid w:val="0083699A"/>
    <w:rsid w:val="00837141"/>
    <w:rsid w:val="00840DDC"/>
    <w:rsid w:val="00842440"/>
    <w:rsid w:val="008436C9"/>
    <w:rsid w:val="00843A0F"/>
    <w:rsid w:val="008464F8"/>
    <w:rsid w:val="00851FA2"/>
    <w:rsid w:val="00852325"/>
    <w:rsid w:val="00853EAE"/>
    <w:rsid w:val="00855653"/>
    <w:rsid w:val="008558F7"/>
    <w:rsid w:val="00855915"/>
    <w:rsid w:val="00855A46"/>
    <w:rsid w:val="008603C4"/>
    <w:rsid w:val="00860C3B"/>
    <w:rsid w:val="0086464C"/>
    <w:rsid w:val="00865943"/>
    <w:rsid w:val="00865FD8"/>
    <w:rsid w:val="008668EA"/>
    <w:rsid w:val="00867277"/>
    <w:rsid w:val="0087135F"/>
    <w:rsid w:val="008721F3"/>
    <w:rsid w:val="00872D94"/>
    <w:rsid w:val="00874F9B"/>
    <w:rsid w:val="00875015"/>
    <w:rsid w:val="00880364"/>
    <w:rsid w:val="00882172"/>
    <w:rsid w:val="008908B3"/>
    <w:rsid w:val="00891592"/>
    <w:rsid w:val="00891E9E"/>
    <w:rsid w:val="00896D0D"/>
    <w:rsid w:val="00897738"/>
    <w:rsid w:val="008A0AA2"/>
    <w:rsid w:val="008A19AC"/>
    <w:rsid w:val="008A27CB"/>
    <w:rsid w:val="008A2A9D"/>
    <w:rsid w:val="008A2D7C"/>
    <w:rsid w:val="008A2F68"/>
    <w:rsid w:val="008A45B3"/>
    <w:rsid w:val="008A4990"/>
    <w:rsid w:val="008B03A9"/>
    <w:rsid w:val="008B1645"/>
    <w:rsid w:val="008B173D"/>
    <w:rsid w:val="008B263F"/>
    <w:rsid w:val="008B4FA6"/>
    <w:rsid w:val="008B5282"/>
    <w:rsid w:val="008B7C17"/>
    <w:rsid w:val="008B7C4C"/>
    <w:rsid w:val="008C082B"/>
    <w:rsid w:val="008C2D01"/>
    <w:rsid w:val="008C40E6"/>
    <w:rsid w:val="008D0F7A"/>
    <w:rsid w:val="008D1BB4"/>
    <w:rsid w:val="008D218C"/>
    <w:rsid w:val="008D4B99"/>
    <w:rsid w:val="008D68E4"/>
    <w:rsid w:val="008E0506"/>
    <w:rsid w:val="008E092B"/>
    <w:rsid w:val="008E0CFF"/>
    <w:rsid w:val="008E0E0A"/>
    <w:rsid w:val="008E10BF"/>
    <w:rsid w:val="008E5D6B"/>
    <w:rsid w:val="008E63DD"/>
    <w:rsid w:val="008E6F2D"/>
    <w:rsid w:val="008E76F0"/>
    <w:rsid w:val="008F15FE"/>
    <w:rsid w:val="008F1B25"/>
    <w:rsid w:val="008F20CE"/>
    <w:rsid w:val="008F2D29"/>
    <w:rsid w:val="008F3A8B"/>
    <w:rsid w:val="008F5187"/>
    <w:rsid w:val="008F60D8"/>
    <w:rsid w:val="00902727"/>
    <w:rsid w:val="00902912"/>
    <w:rsid w:val="0090312B"/>
    <w:rsid w:val="009051F7"/>
    <w:rsid w:val="00910DA9"/>
    <w:rsid w:val="00911FBC"/>
    <w:rsid w:val="00912F55"/>
    <w:rsid w:val="00916016"/>
    <w:rsid w:val="0091736D"/>
    <w:rsid w:val="009203D4"/>
    <w:rsid w:val="009208C6"/>
    <w:rsid w:val="00921074"/>
    <w:rsid w:val="00921093"/>
    <w:rsid w:val="00921925"/>
    <w:rsid w:val="00921DF1"/>
    <w:rsid w:val="009222B1"/>
    <w:rsid w:val="00922625"/>
    <w:rsid w:val="00922B2F"/>
    <w:rsid w:val="00923B37"/>
    <w:rsid w:val="00923C63"/>
    <w:rsid w:val="00924A80"/>
    <w:rsid w:val="00926147"/>
    <w:rsid w:val="0092635A"/>
    <w:rsid w:val="009271C8"/>
    <w:rsid w:val="0092756B"/>
    <w:rsid w:val="0093037A"/>
    <w:rsid w:val="00930E2C"/>
    <w:rsid w:val="0093164D"/>
    <w:rsid w:val="009322FC"/>
    <w:rsid w:val="00932B1E"/>
    <w:rsid w:val="00933159"/>
    <w:rsid w:val="009377E5"/>
    <w:rsid w:val="0094154D"/>
    <w:rsid w:val="00941B44"/>
    <w:rsid w:val="009429BF"/>
    <w:rsid w:val="00943C45"/>
    <w:rsid w:val="00946996"/>
    <w:rsid w:val="00947C7B"/>
    <w:rsid w:val="00950F90"/>
    <w:rsid w:val="0095155F"/>
    <w:rsid w:val="00951CA2"/>
    <w:rsid w:val="00954177"/>
    <w:rsid w:val="00954429"/>
    <w:rsid w:val="00955A74"/>
    <w:rsid w:val="009563CE"/>
    <w:rsid w:val="00957610"/>
    <w:rsid w:val="00957F36"/>
    <w:rsid w:val="00965928"/>
    <w:rsid w:val="00970250"/>
    <w:rsid w:val="00976328"/>
    <w:rsid w:val="0097680D"/>
    <w:rsid w:val="00977008"/>
    <w:rsid w:val="00982438"/>
    <w:rsid w:val="0098404C"/>
    <w:rsid w:val="00985283"/>
    <w:rsid w:val="009859AF"/>
    <w:rsid w:val="0098753F"/>
    <w:rsid w:val="00993E66"/>
    <w:rsid w:val="00995992"/>
    <w:rsid w:val="00996966"/>
    <w:rsid w:val="009973EF"/>
    <w:rsid w:val="009A032A"/>
    <w:rsid w:val="009A03E5"/>
    <w:rsid w:val="009A0F3B"/>
    <w:rsid w:val="009A1AB9"/>
    <w:rsid w:val="009A1BB4"/>
    <w:rsid w:val="009A2628"/>
    <w:rsid w:val="009A3200"/>
    <w:rsid w:val="009A3E16"/>
    <w:rsid w:val="009A5E63"/>
    <w:rsid w:val="009A75ED"/>
    <w:rsid w:val="009B0897"/>
    <w:rsid w:val="009B4E91"/>
    <w:rsid w:val="009B4FBA"/>
    <w:rsid w:val="009B7954"/>
    <w:rsid w:val="009B7BD9"/>
    <w:rsid w:val="009C189A"/>
    <w:rsid w:val="009C2FA3"/>
    <w:rsid w:val="009C4946"/>
    <w:rsid w:val="009C7DD5"/>
    <w:rsid w:val="009D3F00"/>
    <w:rsid w:val="009D6346"/>
    <w:rsid w:val="009D684C"/>
    <w:rsid w:val="009D6A0C"/>
    <w:rsid w:val="009E1E18"/>
    <w:rsid w:val="009E227D"/>
    <w:rsid w:val="009E5019"/>
    <w:rsid w:val="009E5B56"/>
    <w:rsid w:val="009E688E"/>
    <w:rsid w:val="009E7ADE"/>
    <w:rsid w:val="009F1F91"/>
    <w:rsid w:val="009F641D"/>
    <w:rsid w:val="009F7A63"/>
    <w:rsid w:val="00A00221"/>
    <w:rsid w:val="00A04F1B"/>
    <w:rsid w:val="00A0501B"/>
    <w:rsid w:val="00A0651A"/>
    <w:rsid w:val="00A07159"/>
    <w:rsid w:val="00A122C1"/>
    <w:rsid w:val="00A123F2"/>
    <w:rsid w:val="00A14947"/>
    <w:rsid w:val="00A1526D"/>
    <w:rsid w:val="00A163F9"/>
    <w:rsid w:val="00A21A12"/>
    <w:rsid w:val="00A32A83"/>
    <w:rsid w:val="00A368DB"/>
    <w:rsid w:val="00A37318"/>
    <w:rsid w:val="00A37CF9"/>
    <w:rsid w:val="00A4042A"/>
    <w:rsid w:val="00A407A3"/>
    <w:rsid w:val="00A40989"/>
    <w:rsid w:val="00A423AA"/>
    <w:rsid w:val="00A44EA8"/>
    <w:rsid w:val="00A45E00"/>
    <w:rsid w:val="00A50E69"/>
    <w:rsid w:val="00A52047"/>
    <w:rsid w:val="00A53EC6"/>
    <w:rsid w:val="00A540D3"/>
    <w:rsid w:val="00A55C0F"/>
    <w:rsid w:val="00A56871"/>
    <w:rsid w:val="00A570B7"/>
    <w:rsid w:val="00A60E52"/>
    <w:rsid w:val="00A61573"/>
    <w:rsid w:val="00A63D6A"/>
    <w:rsid w:val="00A64873"/>
    <w:rsid w:val="00A65869"/>
    <w:rsid w:val="00A65F04"/>
    <w:rsid w:val="00A70077"/>
    <w:rsid w:val="00A73380"/>
    <w:rsid w:val="00A769DE"/>
    <w:rsid w:val="00A76A30"/>
    <w:rsid w:val="00A76B85"/>
    <w:rsid w:val="00A803CD"/>
    <w:rsid w:val="00A8043E"/>
    <w:rsid w:val="00A807BA"/>
    <w:rsid w:val="00A812E0"/>
    <w:rsid w:val="00A8204B"/>
    <w:rsid w:val="00A82AB8"/>
    <w:rsid w:val="00A82F41"/>
    <w:rsid w:val="00A839E0"/>
    <w:rsid w:val="00A86917"/>
    <w:rsid w:val="00A86F61"/>
    <w:rsid w:val="00A8713F"/>
    <w:rsid w:val="00A87FB4"/>
    <w:rsid w:val="00A90BA1"/>
    <w:rsid w:val="00A92FD6"/>
    <w:rsid w:val="00A95B9E"/>
    <w:rsid w:val="00A97A9A"/>
    <w:rsid w:val="00AA0671"/>
    <w:rsid w:val="00AA094E"/>
    <w:rsid w:val="00AA2531"/>
    <w:rsid w:val="00AA279C"/>
    <w:rsid w:val="00AA2964"/>
    <w:rsid w:val="00AA59EA"/>
    <w:rsid w:val="00AB1D6F"/>
    <w:rsid w:val="00AB1E09"/>
    <w:rsid w:val="00AB31CF"/>
    <w:rsid w:val="00AB3F69"/>
    <w:rsid w:val="00AB5330"/>
    <w:rsid w:val="00AB5424"/>
    <w:rsid w:val="00AB7747"/>
    <w:rsid w:val="00AC0013"/>
    <w:rsid w:val="00AC14CE"/>
    <w:rsid w:val="00AC2A56"/>
    <w:rsid w:val="00AD055E"/>
    <w:rsid w:val="00AD15BD"/>
    <w:rsid w:val="00AD3C63"/>
    <w:rsid w:val="00AD3F96"/>
    <w:rsid w:val="00AD47A7"/>
    <w:rsid w:val="00AD567A"/>
    <w:rsid w:val="00AD597A"/>
    <w:rsid w:val="00AD5FEF"/>
    <w:rsid w:val="00AD6558"/>
    <w:rsid w:val="00AD69C0"/>
    <w:rsid w:val="00AE000F"/>
    <w:rsid w:val="00AE0EC8"/>
    <w:rsid w:val="00AE70B3"/>
    <w:rsid w:val="00AF0CBF"/>
    <w:rsid w:val="00AF1B4E"/>
    <w:rsid w:val="00AF257F"/>
    <w:rsid w:val="00AF33CF"/>
    <w:rsid w:val="00AF4D50"/>
    <w:rsid w:val="00AF4E03"/>
    <w:rsid w:val="00AF6179"/>
    <w:rsid w:val="00B00C65"/>
    <w:rsid w:val="00B02ACA"/>
    <w:rsid w:val="00B0394D"/>
    <w:rsid w:val="00B03E4E"/>
    <w:rsid w:val="00B05C59"/>
    <w:rsid w:val="00B06759"/>
    <w:rsid w:val="00B1143C"/>
    <w:rsid w:val="00B1295A"/>
    <w:rsid w:val="00B15815"/>
    <w:rsid w:val="00B20A45"/>
    <w:rsid w:val="00B210A3"/>
    <w:rsid w:val="00B22C5C"/>
    <w:rsid w:val="00B22F32"/>
    <w:rsid w:val="00B24F30"/>
    <w:rsid w:val="00B2569F"/>
    <w:rsid w:val="00B3046D"/>
    <w:rsid w:val="00B31ABF"/>
    <w:rsid w:val="00B33BE3"/>
    <w:rsid w:val="00B3410C"/>
    <w:rsid w:val="00B343D2"/>
    <w:rsid w:val="00B40D68"/>
    <w:rsid w:val="00B4260B"/>
    <w:rsid w:val="00B44B29"/>
    <w:rsid w:val="00B452AD"/>
    <w:rsid w:val="00B4556B"/>
    <w:rsid w:val="00B45805"/>
    <w:rsid w:val="00B53B5D"/>
    <w:rsid w:val="00B53BDB"/>
    <w:rsid w:val="00B53CC2"/>
    <w:rsid w:val="00B549B7"/>
    <w:rsid w:val="00B6055E"/>
    <w:rsid w:val="00B613CD"/>
    <w:rsid w:val="00B6317D"/>
    <w:rsid w:val="00B640CE"/>
    <w:rsid w:val="00B640D6"/>
    <w:rsid w:val="00B6789E"/>
    <w:rsid w:val="00B67D6B"/>
    <w:rsid w:val="00B71745"/>
    <w:rsid w:val="00B72AD8"/>
    <w:rsid w:val="00B730C7"/>
    <w:rsid w:val="00B76074"/>
    <w:rsid w:val="00B7723F"/>
    <w:rsid w:val="00B77864"/>
    <w:rsid w:val="00B80534"/>
    <w:rsid w:val="00B8433C"/>
    <w:rsid w:val="00B857EF"/>
    <w:rsid w:val="00B865C3"/>
    <w:rsid w:val="00B87491"/>
    <w:rsid w:val="00B9039A"/>
    <w:rsid w:val="00B91BF1"/>
    <w:rsid w:val="00B92D94"/>
    <w:rsid w:val="00B960DF"/>
    <w:rsid w:val="00B97F79"/>
    <w:rsid w:val="00BA12D1"/>
    <w:rsid w:val="00BA1866"/>
    <w:rsid w:val="00BA29E9"/>
    <w:rsid w:val="00BA3F95"/>
    <w:rsid w:val="00BA7142"/>
    <w:rsid w:val="00BB1EAD"/>
    <w:rsid w:val="00BB237C"/>
    <w:rsid w:val="00BB2E67"/>
    <w:rsid w:val="00BB377F"/>
    <w:rsid w:val="00BB41A3"/>
    <w:rsid w:val="00BB49C7"/>
    <w:rsid w:val="00BC2421"/>
    <w:rsid w:val="00BC32DC"/>
    <w:rsid w:val="00BC35B6"/>
    <w:rsid w:val="00BC447F"/>
    <w:rsid w:val="00BC6405"/>
    <w:rsid w:val="00BD1B51"/>
    <w:rsid w:val="00BD2881"/>
    <w:rsid w:val="00BD3183"/>
    <w:rsid w:val="00BD402A"/>
    <w:rsid w:val="00BD4596"/>
    <w:rsid w:val="00BE1405"/>
    <w:rsid w:val="00BE1B2C"/>
    <w:rsid w:val="00BE28F9"/>
    <w:rsid w:val="00BE312D"/>
    <w:rsid w:val="00BE6204"/>
    <w:rsid w:val="00BE6E5C"/>
    <w:rsid w:val="00BE7422"/>
    <w:rsid w:val="00BF0AEF"/>
    <w:rsid w:val="00BF15E9"/>
    <w:rsid w:val="00BF1868"/>
    <w:rsid w:val="00BF1C20"/>
    <w:rsid w:val="00BF238F"/>
    <w:rsid w:val="00BF26A4"/>
    <w:rsid w:val="00BF572C"/>
    <w:rsid w:val="00BF58F6"/>
    <w:rsid w:val="00BF6909"/>
    <w:rsid w:val="00C04255"/>
    <w:rsid w:val="00C0435A"/>
    <w:rsid w:val="00C04D0D"/>
    <w:rsid w:val="00C04E16"/>
    <w:rsid w:val="00C06827"/>
    <w:rsid w:val="00C07441"/>
    <w:rsid w:val="00C10578"/>
    <w:rsid w:val="00C11433"/>
    <w:rsid w:val="00C135BC"/>
    <w:rsid w:val="00C15C95"/>
    <w:rsid w:val="00C16CF3"/>
    <w:rsid w:val="00C24A0B"/>
    <w:rsid w:val="00C2596A"/>
    <w:rsid w:val="00C26132"/>
    <w:rsid w:val="00C273BE"/>
    <w:rsid w:val="00C27537"/>
    <w:rsid w:val="00C31F53"/>
    <w:rsid w:val="00C326C5"/>
    <w:rsid w:val="00C328FE"/>
    <w:rsid w:val="00C33507"/>
    <w:rsid w:val="00C339BB"/>
    <w:rsid w:val="00C35046"/>
    <w:rsid w:val="00C365A5"/>
    <w:rsid w:val="00C417B1"/>
    <w:rsid w:val="00C42197"/>
    <w:rsid w:val="00C425C3"/>
    <w:rsid w:val="00C4296E"/>
    <w:rsid w:val="00C43CE0"/>
    <w:rsid w:val="00C4409D"/>
    <w:rsid w:val="00C44E72"/>
    <w:rsid w:val="00C451CB"/>
    <w:rsid w:val="00C45A06"/>
    <w:rsid w:val="00C47E5B"/>
    <w:rsid w:val="00C511E6"/>
    <w:rsid w:val="00C53467"/>
    <w:rsid w:val="00C578DA"/>
    <w:rsid w:val="00C61E4B"/>
    <w:rsid w:val="00C63206"/>
    <w:rsid w:val="00C63926"/>
    <w:rsid w:val="00C64BFF"/>
    <w:rsid w:val="00C65517"/>
    <w:rsid w:val="00C65E80"/>
    <w:rsid w:val="00C65EFC"/>
    <w:rsid w:val="00C65FD1"/>
    <w:rsid w:val="00C704E9"/>
    <w:rsid w:val="00C74FFD"/>
    <w:rsid w:val="00C756D9"/>
    <w:rsid w:val="00C763C9"/>
    <w:rsid w:val="00C80057"/>
    <w:rsid w:val="00C82232"/>
    <w:rsid w:val="00C82913"/>
    <w:rsid w:val="00C85D62"/>
    <w:rsid w:val="00C879B9"/>
    <w:rsid w:val="00C94558"/>
    <w:rsid w:val="00C947A1"/>
    <w:rsid w:val="00C962C4"/>
    <w:rsid w:val="00C972B1"/>
    <w:rsid w:val="00CA2CCE"/>
    <w:rsid w:val="00CA43FD"/>
    <w:rsid w:val="00CA61A4"/>
    <w:rsid w:val="00CA7EF8"/>
    <w:rsid w:val="00CB2C93"/>
    <w:rsid w:val="00CB2D10"/>
    <w:rsid w:val="00CB40BF"/>
    <w:rsid w:val="00CB568D"/>
    <w:rsid w:val="00CC034F"/>
    <w:rsid w:val="00CC03A1"/>
    <w:rsid w:val="00CC1197"/>
    <w:rsid w:val="00CC489B"/>
    <w:rsid w:val="00CC626A"/>
    <w:rsid w:val="00CD2BCD"/>
    <w:rsid w:val="00CD3727"/>
    <w:rsid w:val="00CD3A4C"/>
    <w:rsid w:val="00CD4BC1"/>
    <w:rsid w:val="00CE0318"/>
    <w:rsid w:val="00CE10E9"/>
    <w:rsid w:val="00CE1780"/>
    <w:rsid w:val="00CE2910"/>
    <w:rsid w:val="00CE40AB"/>
    <w:rsid w:val="00CE4EB9"/>
    <w:rsid w:val="00CE5393"/>
    <w:rsid w:val="00CE6F6F"/>
    <w:rsid w:val="00CF36BE"/>
    <w:rsid w:val="00CF510D"/>
    <w:rsid w:val="00CF525B"/>
    <w:rsid w:val="00CF6000"/>
    <w:rsid w:val="00CF6F59"/>
    <w:rsid w:val="00CF7186"/>
    <w:rsid w:val="00CF7A36"/>
    <w:rsid w:val="00D003F3"/>
    <w:rsid w:val="00D00D98"/>
    <w:rsid w:val="00D01067"/>
    <w:rsid w:val="00D0164D"/>
    <w:rsid w:val="00D01C70"/>
    <w:rsid w:val="00D0364F"/>
    <w:rsid w:val="00D04518"/>
    <w:rsid w:val="00D05315"/>
    <w:rsid w:val="00D06834"/>
    <w:rsid w:val="00D0774E"/>
    <w:rsid w:val="00D114A8"/>
    <w:rsid w:val="00D114F7"/>
    <w:rsid w:val="00D15161"/>
    <w:rsid w:val="00D163E7"/>
    <w:rsid w:val="00D17B6A"/>
    <w:rsid w:val="00D17E7F"/>
    <w:rsid w:val="00D21C1C"/>
    <w:rsid w:val="00D23EAB"/>
    <w:rsid w:val="00D24156"/>
    <w:rsid w:val="00D262BD"/>
    <w:rsid w:val="00D302B5"/>
    <w:rsid w:val="00D308ED"/>
    <w:rsid w:val="00D32085"/>
    <w:rsid w:val="00D34729"/>
    <w:rsid w:val="00D34E72"/>
    <w:rsid w:val="00D36D86"/>
    <w:rsid w:val="00D4078D"/>
    <w:rsid w:val="00D428AA"/>
    <w:rsid w:val="00D4351E"/>
    <w:rsid w:val="00D47230"/>
    <w:rsid w:val="00D50A34"/>
    <w:rsid w:val="00D50EDE"/>
    <w:rsid w:val="00D52E3A"/>
    <w:rsid w:val="00D532AD"/>
    <w:rsid w:val="00D53EFA"/>
    <w:rsid w:val="00D54FF3"/>
    <w:rsid w:val="00D55B34"/>
    <w:rsid w:val="00D5673F"/>
    <w:rsid w:val="00D56B91"/>
    <w:rsid w:val="00D57A0E"/>
    <w:rsid w:val="00D57AFB"/>
    <w:rsid w:val="00D636A8"/>
    <w:rsid w:val="00D711D2"/>
    <w:rsid w:val="00D7177B"/>
    <w:rsid w:val="00D75750"/>
    <w:rsid w:val="00D81BB5"/>
    <w:rsid w:val="00D82C08"/>
    <w:rsid w:val="00D832CE"/>
    <w:rsid w:val="00D83781"/>
    <w:rsid w:val="00D858F3"/>
    <w:rsid w:val="00D86532"/>
    <w:rsid w:val="00D902F0"/>
    <w:rsid w:val="00D919D6"/>
    <w:rsid w:val="00D926A0"/>
    <w:rsid w:val="00D92942"/>
    <w:rsid w:val="00D92EF7"/>
    <w:rsid w:val="00D94448"/>
    <w:rsid w:val="00D94A7C"/>
    <w:rsid w:val="00D94BBA"/>
    <w:rsid w:val="00D95896"/>
    <w:rsid w:val="00D9626A"/>
    <w:rsid w:val="00DA1FAD"/>
    <w:rsid w:val="00DA2993"/>
    <w:rsid w:val="00DA2D04"/>
    <w:rsid w:val="00DA5101"/>
    <w:rsid w:val="00DA5F70"/>
    <w:rsid w:val="00DA6460"/>
    <w:rsid w:val="00DB08A5"/>
    <w:rsid w:val="00DB0930"/>
    <w:rsid w:val="00DB2983"/>
    <w:rsid w:val="00DB2A1B"/>
    <w:rsid w:val="00DC1257"/>
    <w:rsid w:val="00DC1308"/>
    <w:rsid w:val="00DC2034"/>
    <w:rsid w:val="00DC3CDA"/>
    <w:rsid w:val="00DC3CFD"/>
    <w:rsid w:val="00DC3DC0"/>
    <w:rsid w:val="00DC503B"/>
    <w:rsid w:val="00DC5B2B"/>
    <w:rsid w:val="00DC6348"/>
    <w:rsid w:val="00DC773A"/>
    <w:rsid w:val="00DD2814"/>
    <w:rsid w:val="00DD2EB1"/>
    <w:rsid w:val="00DD318D"/>
    <w:rsid w:val="00DD50F2"/>
    <w:rsid w:val="00DE039A"/>
    <w:rsid w:val="00DE2CAE"/>
    <w:rsid w:val="00DE47EF"/>
    <w:rsid w:val="00DE524D"/>
    <w:rsid w:val="00DF0A64"/>
    <w:rsid w:val="00DF2E12"/>
    <w:rsid w:val="00DF3D8D"/>
    <w:rsid w:val="00DF418A"/>
    <w:rsid w:val="00DF4DF9"/>
    <w:rsid w:val="00DF514A"/>
    <w:rsid w:val="00DF52C7"/>
    <w:rsid w:val="00DF6690"/>
    <w:rsid w:val="00DF6804"/>
    <w:rsid w:val="00E0358D"/>
    <w:rsid w:val="00E03EC7"/>
    <w:rsid w:val="00E04323"/>
    <w:rsid w:val="00E047B4"/>
    <w:rsid w:val="00E060CE"/>
    <w:rsid w:val="00E06743"/>
    <w:rsid w:val="00E070A2"/>
    <w:rsid w:val="00E112C2"/>
    <w:rsid w:val="00E131CA"/>
    <w:rsid w:val="00E21FF7"/>
    <w:rsid w:val="00E2656A"/>
    <w:rsid w:val="00E26EAF"/>
    <w:rsid w:val="00E307CF"/>
    <w:rsid w:val="00E3205B"/>
    <w:rsid w:val="00E412D0"/>
    <w:rsid w:val="00E515E3"/>
    <w:rsid w:val="00E51CFE"/>
    <w:rsid w:val="00E53117"/>
    <w:rsid w:val="00E547DA"/>
    <w:rsid w:val="00E55446"/>
    <w:rsid w:val="00E56322"/>
    <w:rsid w:val="00E57A1D"/>
    <w:rsid w:val="00E57B85"/>
    <w:rsid w:val="00E57E67"/>
    <w:rsid w:val="00E605A5"/>
    <w:rsid w:val="00E60982"/>
    <w:rsid w:val="00E62494"/>
    <w:rsid w:val="00E62C62"/>
    <w:rsid w:val="00E638C1"/>
    <w:rsid w:val="00E64660"/>
    <w:rsid w:val="00E6493E"/>
    <w:rsid w:val="00E64C40"/>
    <w:rsid w:val="00E654C1"/>
    <w:rsid w:val="00E65A73"/>
    <w:rsid w:val="00E65D97"/>
    <w:rsid w:val="00E67475"/>
    <w:rsid w:val="00E72A5A"/>
    <w:rsid w:val="00E73354"/>
    <w:rsid w:val="00E7734D"/>
    <w:rsid w:val="00E8194C"/>
    <w:rsid w:val="00E8338F"/>
    <w:rsid w:val="00E83EDC"/>
    <w:rsid w:val="00E84383"/>
    <w:rsid w:val="00E8646E"/>
    <w:rsid w:val="00E86898"/>
    <w:rsid w:val="00E90A53"/>
    <w:rsid w:val="00E9242D"/>
    <w:rsid w:val="00E93EB1"/>
    <w:rsid w:val="00EA079D"/>
    <w:rsid w:val="00EA7918"/>
    <w:rsid w:val="00EB4E6A"/>
    <w:rsid w:val="00EB5255"/>
    <w:rsid w:val="00EB5C47"/>
    <w:rsid w:val="00EC3CED"/>
    <w:rsid w:val="00ED0639"/>
    <w:rsid w:val="00ED26CE"/>
    <w:rsid w:val="00ED5986"/>
    <w:rsid w:val="00ED790C"/>
    <w:rsid w:val="00EE52CB"/>
    <w:rsid w:val="00EE7C48"/>
    <w:rsid w:val="00EF1F81"/>
    <w:rsid w:val="00EF2201"/>
    <w:rsid w:val="00EF40BF"/>
    <w:rsid w:val="00EF4755"/>
    <w:rsid w:val="00EF5207"/>
    <w:rsid w:val="00EF7135"/>
    <w:rsid w:val="00F00D02"/>
    <w:rsid w:val="00F0176A"/>
    <w:rsid w:val="00F02645"/>
    <w:rsid w:val="00F027DB"/>
    <w:rsid w:val="00F02AE4"/>
    <w:rsid w:val="00F0303B"/>
    <w:rsid w:val="00F05CBE"/>
    <w:rsid w:val="00F07AB9"/>
    <w:rsid w:val="00F133B9"/>
    <w:rsid w:val="00F14A7A"/>
    <w:rsid w:val="00F16B62"/>
    <w:rsid w:val="00F17220"/>
    <w:rsid w:val="00F204C8"/>
    <w:rsid w:val="00F22985"/>
    <w:rsid w:val="00F22B07"/>
    <w:rsid w:val="00F230E5"/>
    <w:rsid w:val="00F24A42"/>
    <w:rsid w:val="00F26C9F"/>
    <w:rsid w:val="00F2773B"/>
    <w:rsid w:val="00F3243B"/>
    <w:rsid w:val="00F3383E"/>
    <w:rsid w:val="00F351DC"/>
    <w:rsid w:val="00F35A95"/>
    <w:rsid w:val="00F41124"/>
    <w:rsid w:val="00F417AB"/>
    <w:rsid w:val="00F41AC5"/>
    <w:rsid w:val="00F41EE7"/>
    <w:rsid w:val="00F43241"/>
    <w:rsid w:val="00F4413F"/>
    <w:rsid w:val="00F4491D"/>
    <w:rsid w:val="00F45D42"/>
    <w:rsid w:val="00F465A7"/>
    <w:rsid w:val="00F47379"/>
    <w:rsid w:val="00F50103"/>
    <w:rsid w:val="00F50B7C"/>
    <w:rsid w:val="00F5168E"/>
    <w:rsid w:val="00F550E6"/>
    <w:rsid w:val="00F5551A"/>
    <w:rsid w:val="00F5713E"/>
    <w:rsid w:val="00F60F11"/>
    <w:rsid w:val="00F61C3A"/>
    <w:rsid w:val="00F6395B"/>
    <w:rsid w:val="00F74345"/>
    <w:rsid w:val="00F75BB4"/>
    <w:rsid w:val="00F76948"/>
    <w:rsid w:val="00F80A0A"/>
    <w:rsid w:val="00F82B19"/>
    <w:rsid w:val="00F83943"/>
    <w:rsid w:val="00F83D86"/>
    <w:rsid w:val="00F845E2"/>
    <w:rsid w:val="00F849D4"/>
    <w:rsid w:val="00F86121"/>
    <w:rsid w:val="00F905EF"/>
    <w:rsid w:val="00F9212D"/>
    <w:rsid w:val="00F94603"/>
    <w:rsid w:val="00F965DA"/>
    <w:rsid w:val="00F96AC0"/>
    <w:rsid w:val="00F97A67"/>
    <w:rsid w:val="00FA0053"/>
    <w:rsid w:val="00FA406A"/>
    <w:rsid w:val="00FA5CFA"/>
    <w:rsid w:val="00FA7E00"/>
    <w:rsid w:val="00FB068E"/>
    <w:rsid w:val="00FB15E1"/>
    <w:rsid w:val="00FB4995"/>
    <w:rsid w:val="00FB503A"/>
    <w:rsid w:val="00FB516C"/>
    <w:rsid w:val="00FB57A4"/>
    <w:rsid w:val="00FB610E"/>
    <w:rsid w:val="00FB782C"/>
    <w:rsid w:val="00FC3D72"/>
    <w:rsid w:val="00FC5F12"/>
    <w:rsid w:val="00FC79F7"/>
    <w:rsid w:val="00FD0236"/>
    <w:rsid w:val="00FD0C5A"/>
    <w:rsid w:val="00FD12C3"/>
    <w:rsid w:val="00FD18F4"/>
    <w:rsid w:val="00FD54DB"/>
    <w:rsid w:val="00FD619F"/>
    <w:rsid w:val="00FD6671"/>
    <w:rsid w:val="00FE5165"/>
    <w:rsid w:val="00FE66A9"/>
    <w:rsid w:val="00FE7583"/>
    <w:rsid w:val="00FF0B32"/>
    <w:rsid w:val="00FF2D6B"/>
    <w:rsid w:val="00FF39D4"/>
    <w:rsid w:val="00FF6FB1"/>
    <w:rsid w:val="01085546"/>
    <w:rsid w:val="01290F7E"/>
    <w:rsid w:val="015D1E09"/>
    <w:rsid w:val="01A307CB"/>
    <w:rsid w:val="01BE4A1D"/>
    <w:rsid w:val="02697903"/>
    <w:rsid w:val="029702A0"/>
    <w:rsid w:val="02F41A44"/>
    <w:rsid w:val="02F96569"/>
    <w:rsid w:val="03BD0123"/>
    <w:rsid w:val="03D1158F"/>
    <w:rsid w:val="03EA7B21"/>
    <w:rsid w:val="0422003D"/>
    <w:rsid w:val="044073C1"/>
    <w:rsid w:val="04AE32CB"/>
    <w:rsid w:val="04B053CC"/>
    <w:rsid w:val="057F185E"/>
    <w:rsid w:val="05F83EAE"/>
    <w:rsid w:val="062136BE"/>
    <w:rsid w:val="062C35A6"/>
    <w:rsid w:val="063E7D85"/>
    <w:rsid w:val="06691F53"/>
    <w:rsid w:val="06EB2910"/>
    <w:rsid w:val="07170535"/>
    <w:rsid w:val="07240B62"/>
    <w:rsid w:val="07293586"/>
    <w:rsid w:val="07295285"/>
    <w:rsid w:val="07406EFB"/>
    <w:rsid w:val="07636392"/>
    <w:rsid w:val="07770C56"/>
    <w:rsid w:val="07C2272F"/>
    <w:rsid w:val="08783693"/>
    <w:rsid w:val="08D23513"/>
    <w:rsid w:val="092217DD"/>
    <w:rsid w:val="093A7294"/>
    <w:rsid w:val="0986265E"/>
    <w:rsid w:val="0A1163F4"/>
    <w:rsid w:val="0A263993"/>
    <w:rsid w:val="0A2D3AC2"/>
    <w:rsid w:val="0A434869"/>
    <w:rsid w:val="0A530E9C"/>
    <w:rsid w:val="0AA755DF"/>
    <w:rsid w:val="0ACC2AB1"/>
    <w:rsid w:val="0AE1096B"/>
    <w:rsid w:val="0B092EA0"/>
    <w:rsid w:val="0B120D44"/>
    <w:rsid w:val="0B17268A"/>
    <w:rsid w:val="0BD27BF6"/>
    <w:rsid w:val="0BFB1DF6"/>
    <w:rsid w:val="0C392BC3"/>
    <w:rsid w:val="0C3B3C7D"/>
    <w:rsid w:val="0CAB2EAE"/>
    <w:rsid w:val="0D565827"/>
    <w:rsid w:val="0D621C7D"/>
    <w:rsid w:val="0D9E67E7"/>
    <w:rsid w:val="0DC70BA8"/>
    <w:rsid w:val="0DF55209"/>
    <w:rsid w:val="0E2A1DA7"/>
    <w:rsid w:val="0E2B335B"/>
    <w:rsid w:val="0E6B7947"/>
    <w:rsid w:val="0E73034D"/>
    <w:rsid w:val="0ED56E4C"/>
    <w:rsid w:val="0F13775A"/>
    <w:rsid w:val="0F5F45FE"/>
    <w:rsid w:val="0F707EAE"/>
    <w:rsid w:val="0F766AE8"/>
    <w:rsid w:val="0F9A112B"/>
    <w:rsid w:val="106D2F64"/>
    <w:rsid w:val="10B63710"/>
    <w:rsid w:val="10F10820"/>
    <w:rsid w:val="111C2F7A"/>
    <w:rsid w:val="11270A41"/>
    <w:rsid w:val="11665CA1"/>
    <w:rsid w:val="11CA2382"/>
    <w:rsid w:val="124F46CC"/>
    <w:rsid w:val="129D3A2C"/>
    <w:rsid w:val="12F87C39"/>
    <w:rsid w:val="13004823"/>
    <w:rsid w:val="130F62C0"/>
    <w:rsid w:val="13951726"/>
    <w:rsid w:val="13C3198D"/>
    <w:rsid w:val="13C56589"/>
    <w:rsid w:val="13DD188A"/>
    <w:rsid w:val="13F53078"/>
    <w:rsid w:val="143000EA"/>
    <w:rsid w:val="14396509"/>
    <w:rsid w:val="144F4D88"/>
    <w:rsid w:val="14605EFF"/>
    <w:rsid w:val="14DD2C3C"/>
    <w:rsid w:val="14ED3D4F"/>
    <w:rsid w:val="15456F4C"/>
    <w:rsid w:val="16087E1D"/>
    <w:rsid w:val="17274608"/>
    <w:rsid w:val="17701D14"/>
    <w:rsid w:val="17735226"/>
    <w:rsid w:val="17B172B6"/>
    <w:rsid w:val="185169B8"/>
    <w:rsid w:val="189F624C"/>
    <w:rsid w:val="18C00B8B"/>
    <w:rsid w:val="19DE06FE"/>
    <w:rsid w:val="1A1C66C0"/>
    <w:rsid w:val="1A42393B"/>
    <w:rsid w:val="1A8011C2"/>
    <w:rsid w:val="1A8B31CA"/>
    <w:rsid w:val="1AAD45DE"/>
    <w:rsid w:val="1B046F80"/>
    <w:rsid w:val="1B3267B5"/>
    <w:rsid w:val="1B37590B"/>
    <w:rsid w:val="1B40161D"/>
    <w:rsid w:val="1B441859"/>
    <w:rsid w:val="1B6606B1"/>
    <w:rsid w:val="1BDB6CD3"/>
    <w:rsid w:val="1C5E7925"/>
    <w:rsid w:val="1CDA7D84"/>
    <w:rsid w:val="1CFD070F"/>
    <w:rsid w:val="1CFF3108"/>
    <w:rsid w:val="1D046399"/>
    <w:rsid w:val="1D5F6196"/>
    <w:rsid w:val="1D604647"/>
    <w:rsid w:val="1D6132A5"/>
    <w:rsid w:val="1D73657A"/>
    <w:rsid w:val="1D8E56D5"/>
    <w:rsid w:val="1DCB0636"/>
    <w:rsid w:val="1E305893"/>
    <w:rsid w:val="1E7A43DA"/>
    <w:rsid w:val="1E99239F"/>
    <w:rsid w:val="1ECB34E7"/>
    <w:rsid w:val="1EFC2FCF"/>
    <w:rsid w:val="1FE7539E"/>
    <w:rsid w:val="20207825"/>
    <w:rsid w:val="20670E5A"/>
    <w:rsid w:val="20671BE0"/>
    <w:rsid w:val="20963CB8"/>
    <w:rsid w:val="209D3C5C"/>
    <w:rsid w:val="20A81A1B"/>
    <w:rsid w:val="20B07FB6"/>
    <w:rsid w:val="20B646FB"/>
    <w:rsid w:val="21367232"/>
    <w:rsid w:val="213B74B1"/>
    <w:rsid w:val="215A2310"/>
    <w:rsid w:val="21DE318A"/>
    <w:rsid w:val="21EF5B80"/>
    <w:rsid w:val="22576990"/>
    <w:rsid w:val="22B953A6"/>
    <w:rsid w:val="22F47480"/>
    <w:rsid w:val="23D63280"/>
    <w:rsid w:val="23DE1C48"/>
    <w:rsid w:val="23DF13D4"/>
    <w:rsid w:val="23E4340D"/>
    <w:rsid w:val="23E946E7"/>
    <w:rsid w:val="240210CD"/>
    <w:rsid w:val="2454533A"/>
    <w:rsid w:val="24BF09F7"/>
    <w:rsid w:val="252D53FE"/>
    <w:rsid w:val="25571A38"/>
    <w:rsid w:val="25DD3CDA"/>
    <w:rsid w:val="25EC2D81"/>
    <w:rsid w:val="26556634"/>
    <w:rsid w:val="26912297"/>
    <w:rsid w:val="26CC5EBA"/>
    <w:rsid w:val="271E70EE"/>
    <w:rsid w:val="277057A2"/>
    <w:rsid w:val="27E3560B"/>
    <w:rsid w:val="281638ED"/>
    <w:rsid w:val="28D05538"/>
    <w:rsid w:val="29206EB8"/>
    <w:rsid w:val="29595666"/>
    <w:rsid w:val="29874881"/>
    <w:rsid w:val="29B80FE1"/>
    <w:rsid w:val="29E325E0"/>
    <w:rsid w:val="2A24495D"/>
    <w:rsid w:val="2A452503"/>
    <w:rsid w:val="2AA67AF9"/>
    <w:rsid w:val="2AA84549"/>
    <w:rsid w:val="2AC22F19"/>
    <w:rsid w:val="2AC334D7"/>
    <w:rsid w:val="2B036C3D"/>
    <w:rsid w:val="2B56747C"/>
    <w:rsid w:val="2BA936A8"/>
    <w:rsid w:val="2C315A5A"/>
    <w:rsid w:val="2C4B1C25"/>
    <w:rsid w:val="2C4E398D"/>
    <w:rsid w:val="2D4E1BED"/>
    <w:rsid w:val="2D9E56F5"/>
    <w:rsid w:val="2DAC78C7"/>
    <w:rsid w:val="2DCA3889"/>
    <w:rsid w:val="2E64334D"/>
    <w:rsid w:val="2E667F96"/>
    <w:rsid w:val="2E8226AB"/>
    <w:rsid w:val="2F0717DC"/>
    <w:rsid w:val="2FD065E6"/>
    <w:rsid w:val="2FD96870"/>
    <w:rsid w:val="30580BC9"/>
    <w:rsid w:val="306F40C0"/>
    <w:rsid w:val="3103697D"/>
    <w:rsid w:val="311E2ED7"/>
    <w:rsid w:val="315619EE"/>
    <w:rsid w:val="315C449C"/>
    <w:rsid w:val="31B82709"/>
    <w:rsid w:val="31D05482"/>
    <w:rsid w:val="32067251"/>
    <w:rsid w:val="323060F0"/>
    <w:rsid w:val="32400B34"/>
    <w:rsid w:val="327A5414"/>
    <w:rsid w:val="329E6876"/>
    <w:rsid w:val="333015F2"/>
    <w:rsid w:val="33493DD5"/>
    <w:rsid w:val="334B6320"/>
    <w:rsid w:val="334E3266"/>
    <w:rsid w:val="336A0A0D"/>
    <w:rsid w:val="33900270"/>
    <w:rsid w:val="33D934D4"/>
    <w:rsid w:val="33FE2F6A"/>
    <w:rsid w:val="340E07E5"/>
    <w:rsid w:val="34235BF7"/>
    <w:rsid w:val="343F0676"/>
    <w:rsid w:val="353335A8"/>
    <w:rsid w:val="35472BB0"/>
    <w:rsid w:val="358C5FA8"/>
    <w:rsid w:val="35C15DF1"/>
    <w:rsid w:val="36074A7F"/>
    <w:rsid w:val="36923549"/>
    <w:rsid w:val="369A0B79"/>
    <w:rsid w:val="36B75FBF"/>
    <w:rsid w:val="36BD0C45"/>
    <w:rsid w:val="372E0C54"/>
    <w:rsid w:val="37B41E85"/>
    <w:rsid w:val="37E00298"/>
    <w:rsid w:val="38376F0C"/>
    <w:rsid w:val="385C1C09"/>
    <w:rsid w:val="388852D6"/>
    <w:rsid w:val="38B302F9"/>
    <w:rsid w:val="38F12CD3"/>
    <w:rsid w:val="38F94775"/>
    <w:rsid w:val="391E587B"/>
    <w:rsid w:val="392971ED"/>
    <w:rsid w:val="39325651"/>
    <w:rsid w:val="398D3D50"/>
    <w:rsid w:val="39B254CC"/>
    <w:rsid w:val="3A2269D7"/>
    <w:rsid w:val="3A5E4E64"/>
    <w:rsid w:val="3A637768"/>
    <w:rsid w:val="3A872856"/>
    <w:rsid w:val="3AAA1435"/>
    <w:rsid w:val="3AE362CD"/>
    <w:rsid w:val="3B3763D1"/>
    <w:rsid w:val="3BC24A93"/>
    <w:rsid w:val="3C2F6E1E"/>
    <w:rsid w:val="3C4F64BA"/>
    <w:rsid w:val="3CC46BF7"/>
    <w:rsid w:val="3CDA245A"/>
    <w:rsid w:val="3D015D3A"/>
    <w:rsid w:val="3D1E06B7"/>
    <w:rsid w:val="3E4304A3"/>
    <w:rsid w:val="3E5325C6"/>
    <w:rsid w:val="3E582B7F"/>
    <w:rsid w:val="3EDA0523"/>
    <w:rsid w:val="3F5C05CD"/>
    <w:rsid w:val="3F81638B"/>
    <w:rsid w:val="407A6407"/>
    <w:rsid w:val="40A9110D"/>
    <w:rsid w:val="41A6024E"/>
    <w:rsid w:val="4200449D"/>
    <w:rsid w:val="42152C69"/>
    <w:rsid w:val="423A3BCC"/>
    <w:rsid w:val="423E35ED"/>
    <w:rsid w:val="424E57D2"/>
    <w:rsid w:val="42B26C49"/>
    <w:rsid w:val="42DB54D9"/>
    <w:rsid w:val="43397FDC"/>
    <w:rsid w:val="433A6FE6"/>
    <w:rsid w:val="433C22DC"/>
    <w:rsid w:val="43480868"/>
    <w:rsid w:val="4350713C"/>
    <w:rsid w:val="436653E0"/>
    <w:rsid w:val="43827BD5"/>
    <w:rsid w:val="43C4431A"/>
    <w:rsid w:val="44B951CC"/>
    <w:rsid w:val="44C90DC9"/>
    <w:rsid w:val="44CD14E0"/>
    <w:rsid w:val="44D44FEF"/>
    <w:rsid w:val="44F20B0B"/>
    <w:rsid w:val="45104EAC"/>
    <w:rsid w:val="45155037"/>
    <w:rsid w:val="452E5F4C"/>
    <w:rsid w:val="45612018"/>
    <w:rsid w:val="458946E9"/>
    <w:rsid w:val="45A47C0E"/>
    <w:rsid w:val="45EC3DE0"/>
    <w:rsid w:val="46577FD6"/>
    <w:rsid w:val="466C3B79"/>
    <w:rsid w:val="46944F07"/>
    <w:rsid w:val="46B7427D"/>
    <w:rsid w:val="46C04EFD"/>
    <w:rsid w:val="46D955A7"/>
    <w:rsid w:val="46FB2AD0"/>
    <w:rsid w:val="47133957"/>
    <w:rsid w:val="473C708E"/>
    <w:rsid w:val="47A07E0C"/>
    <w:rsid w:val="47C86C7B"/>
    <w:rsid w:val="48055FA3"/>
    <w:rsid w:val="4870272E"/>
    <w:rsid w:val="48890DF7"/>
    <w:rsid w:val="48C077AC"/>
    <w:rsid w:val="48D26EE4"/>
    <w:rsid w:val="492F5E2E"/>
    <w:rsid w:val="49C113DE"/>
    <w:rsid w:val="49DC7715"/>
    <w:rsid w:val="49E650CC"/>
    <w:rsid w:val="49EB22BF"/>
    <w:rsid w:val="49F91A6F"/>
    <w:rsid w:val="4A023139"/>
    <w:rsid w:val="4A7B576F"/>
    <w:rsid w:val="4A820140"/>
    <w:rsid w:val="4AB76E4E"/>
    <w:rsid w:val="4AF561A9"/>
    <w:rsid w:val="4B2D47D1"/>
    <w:rsid w:val="4B2F0A82"/>
    <w:rsid w:val="4B673A64"/>
    <w:rsid w:val="4B6B66DF"/>
    <w:rsid w:val="4BB80D10"/>
    <w:rsid w:val="4BC35E81"/>
    <w:rsid w:val="4BEE4553"/>
    <w:rsid w:val="4C4A0649"/>
    <w:rsid w:val="4C7E5ECA"/>
    <w:rsid w:val="4C876AA5"/>
    <w:rsid w:val="4D0E00FB"/>
    <w:rsid w:val="4D176606"/>
    <w:rsid w:val="4D743683"/>
    <w:rsid w:val="4DBA2DAA"/>
    <w:rsid w:val="4DC41284"/>
    <w:rsid w:val="4DEC4FB0"/>
    <w:rsid w:val="4E075D8A"/>
    <w:rsid w:val="4E640A77"/>
    <w:rsid w:val="4EC00FAD"/>
    <w:rsid w:val="4F9843DC"/>
    <w:rsid w:val="4FAC56F6"/>
    <w:rsid w:val="4FC62A8C"/>
    <w:rsid w:val="4FE20F0D"/>
    <w:rsid w:val="4FE51552"/>
    <w:rsid w:val="50504C4B"/>
    <w:rsid w:val="507A2574"/>
    <w:rsid w:val="509C6E7C"/>
    <w:rsid w:val="50B21472"/>
    <w:rsid w:val="5162104E"/>
    <w:rsid w:val="5163238A"/>
    <w:rsid w:val="527A515B"/>
    <w:rsid w:val="530846E1"/>
    <w:rsid w:val="536B0E3A"/>
    <w:rsid w:val="53975E20"/>
    <w:rsid w:val="53A039CC"/>
    <w:rsid w:val="53A1505A"/>
    <w:rsid w:val="54063E08"/>
    <w:rsid w:val="543437E8"/>
    <w:rsid w:val="548A67E0"/>
    <w:rsid w:val="54905F4B"/>
    <w:rsid w:val="54F73313"/>
    <w:rsid w:val="54F80955"/>
    <w:rsid w:val="555170A7"/>
    <w:rsid w:val="5587536D"/>
    <w:rsid w:val="5598354E"/>
    <w:rsid w:val="559B174B"/>
    <w:rsid w:val="55CE0CF4"/>
    <w:rsid w:val="565E469C"/>
    <w:rsid w:val="56B22A9C"/>
    <w:rsid w:val="56D76D43"/>
    <w:rsid w:val="56E12F93"/>
    <w:rsid w:val="575B7FAD"/>
    <w:rsid w:val="5795619F"/>
    <w:rsid w:val="57985B85"/>
    <w:rsid w:val="57B72A76"/>
    <w:rsid w:val="57C3426C"/>
    <w:rsid w:val="57CE1F93"/>
    <w:rsid w:val="582C7CB7"/>
    <w:rsid w:val="588743D1"/>
    <w:rsid w:val="5887701A"/>
    <w:rsid w:val="5892221E"/>
    <w:rsid w:val="58B2758B"/>
    <w:rsid w:val="592514A8"/>
    <w:rsid w:val="5939268C"/>
    <w:rsid w:val="598219E1"/>
    <w:rsid w:val="59C0439F"/>
    <w:rsid w:val="59FE1AA4"/>
    <w:rsid w:val="5ABE2233"/>
    <w:rsid w:val="5AD96AF4"/>
    <w:rsid w:val="5B860B01"/>
    <w:rsid w:val="5BDF5D95"/>
    <w:rsid w:val="5BFE7528"/>
    <w:rsid w:val="5C2F6109"/>
    <w:rsid w:val="5C5D217D"/>
    <w:rsid w:val="5C8F26D5"/>
    <w:rsid w:val="5CC96CC5"/>
    <w:rsid w:val="5CFF5BAB"/>
    <w:rsid w:val="5D210B40"/>
    <w:rsid w:val="5D3C33D1"/>
    <w:rsid w:val="5D555C8D"/>
    <w:rsid w:val="5E2467F1"/>
    <w:rsid w:val="5E2C27BF"/>
    <w:rsid w:val="5E337A31"/>
    <w:rsid w:val="5E4946BA"/>
    <w:rsid w:val="5E8442D1"/>
    <w:rsid w:val="5F1A2B43"/>
    <w:rsid w:val="5F4A074A"/>
    <w:rsid w:val="5FB41DC6"/>
    <w:rsid w:val="5FB80DC0"/>
    <w:rsid w:val="5FB837BB"/>
    <w:rsid w:val="5FBB029F"/>
    <w:rsid w:val="6031133A"/>
    <w:rsid w:val="60CC405A"/>
    <w:rsid w:val="6147368A"/>
    <w:rsid w:val="61E215D8"/>
    <w:rsid w:val="621B3775"/>
    <w:rsid w:val="62202372"/>
    <w:rsid w:val="62276C6F"/>
    <w:rsid w:val="622E0A17"/>
    <w:rsid w:val="62364782"/>
    <w:rsid w:val="6280132C"/>
    <w:rsid w:val="636A0AB4"/>
    <w:rsid w:val="6394356A"/>
    <w:rsid w:val="63B7486A"/>
    <w:rsid w:val="63C61B2C"/>
    <w:rsid w:val="63D40BE9"/>
    <w:rsid w:val="64102431"/>
    <w:rsid w:val="64601386"/>
    <w:rsid w:val="64811153"/>
    <w:rsid w:val="64A5243A"/>
    <w:rsid w:val="64F531DE"/>
    <w:rsid w:val="65373578"/>
    <w:rsid w:val="656547F2"/>
    <w:rsid w:val="657A02B4"/>
    <w:rsid w:val="659C1DD3"/>
    <w:rsid w:val="661E1C6F"/>
    <w:rsid w:val="665800C3"/>
    <w:rsid w:val="667E5B82"/>
    <w:rsid w:val="671F124A"/>
    <w:rsid w:val="677A33C6"/>
    <w:rsid w:val="679D1C55"/>
    <w:rsid w:val="681F6961"/>
    <w:rsid w:val="68283854"/>
    <w:rsid w:val="6846633C"/>
    <w:rsid w:val="68477A1D"/>
    <w:rsid w:val="684B484D"/>
    <w:rsid w:val="68610A2F"/>
    <w:rsid w:val="68805514"/>
    <w:rsid w:val="68817B59"/>
    <w:rsid w:val="68B87E47"/>
    <w:rsid w:val="68E41FAF"/>
    <w:rsid w:val="69316E2F"/>
    <w:rsid w:val="694E2071"/>
    <w:rsid w:val="694F1A58"/>
    <w:rsid w:val="695D7149"/>
    <w:rsid w:val="69644194"/>
    <w:rsid w:val="69766163"/>
    <w:rsid w:val="697A3B33"/>
    <w:rsid w:val="697B51B7"/>
    <w:rsid w:val="69D44760"/>
    <w:rsid w:val="6A520EC7"/>
    <w:rsid w:val="6A5C60E2"/>
    <w:rsid w:val="6ABE72C7"/>
    <w:rsid w:val="6AF87E20"/>
    <w:rsid w:val="6B205B6E"/>
    <w:rsid w:val="6B322639"/>
    <w:rsid w:val="6B3C220F"/>
    <w:rsid w:val="6BD53312"/>
    <w:rsid w:val="6BEA68C2"/>
    <w:rsid w:val="6C636C38"/>
    <w:rsid w:val="6C870C12"/>
    <w:rsid w:val="6C937EAD"/>
    <w:rsid w:val="6CAD0F6F"/>
    <w:rsid w:val="6D0D00F8"/>
    <w:rsid w:val="6D2426B2"/>
    <w:rsid w:val="6D3F05A4"/>
    <w:rsid w:val="6D5E5795"/>
    <w:rsid w:val="6D9F0F9A"/>
    <w:rsid w:val="6DA5026C"/>
    <w:rsid w:val="6DB34098"/>
    <w:rsid w:val="6DB545B6"/>
    <w:rsid w:val="6DE02FB4"/>
    <w:rsid w:val="6E514CED"/>
    <w:rsid w:val="6E5E4200"/>
    <w:rsid w:val="6E7039B1"/>
    <w:rsid w:val="6EAD4E5A"/>
    <w:rsid w:val="6EB563D5"/>
    <w:rsid w:val="6ED92677"/>
    <w:rsid w:val="6EDF6926"/>
    <w:rsid w:val="6F225983"/>
    <w:rsid w:val="6FFC5590"/>
    <w:rsid w:val="70415189"/>
    <w:rsid w:val="706D1DD0"/>
    <w:rsid w:val="70856B87"/>
    <w:rsid w:val="70D13C2F"/>
    <w:rsid w:val="70D527EE"/>
    <w:rsid w:val="715B5300"/>
    <w:rsid w:val="71D27F8A"/>
    <w:rsid w:val="72394901"/>
    <w:rsid w:val="72553024"/>
    <w:rsid w:val="73122968"/>
    <w:rsid w:val="731F5D5E"/>
    <w:rsid w:val="733E664C"/>
    <w:rsid w:val="7358476E"/>
    <w:rsid w:val="73B10A90"/>
    <w:rsid w:val="73C51AD5"/>
    <w:rsid w:val="741E793C"/>
    <w:rsid w:val="745E3944"/>
    <w:rsid w:val="745F299D"/>
    <w:rsid w:val="75277E5B"/>
    <w:rsid w:val="752B3379"/>
    <w:rsid w:val="75C13FAA"/>
    <w:rsid w:val="75D1282D"/>
    <w:rsid w:val="761A519B"/>
    <w:rsid w:val="7635099D"/>
    <w:rsid w:val="769B4FF6"/>
    <w:rsid w:val="77163661"/>
    <w:rsid w:val="77707E71"/>
    <w:rsid w:val="77762421"/>
    <w:rsid w:val="779C1FB1"/>
    <w:rsid w:val="77AB0492"/>
    <w:rsid w:val="77B56B1F"/>
    <w:rsid w:val="77F9658B"/>
    <w:rsid w:val="780F09F4"/>
    <w:rsid w:val="78167F7C"/>
    <w:rsid w:val="78582854"/>
    <w:rsid w:val="788F2598"/>
    <w:rsid w:val="78A90480"/>
    <w:rsid w:val="78CD79B9"/>
    <w:rsid w:val="792F648E"/>
    <w:rsid w:val="79667E5D"/>
    <w:rsid w:val="79AE6327"/>
    <w:rsid w:val="79E23198"/>
    <w:rsid w:val="7A364017"/>
    <w:rsid w:val="7A8265E1"/>
    <w:rsid w:val="7AFB559C"/>
    <w:rsid w:val="7B4D71F4"/>
    <w:rsid w:val="7B686D42"/>
    <w:rsid w:val="7B825027"/>
    <w:rsid w:val="7B841746"/>
    <w:rsid w:val="7BBC6486"/>
    <w:rsid w:val="7BD61B65"/>
    <w:rsid w:val="7C327A69"/>
    <w:rsid w:val="7C6C5AC7"/>
    <w:rsid w:val="7CC6544B"/>
    <w:rsid w:val="7D0239FF"/>
    <w:rsid w:val="7D5E40CD"/>
    <w:rsid w:val="7D5F174C"/>
    <w:rsid w:val="7DCD56F2"/>
    <w:rsid w:val="7DFD6B7C"/>
    <w:rsid w:val="7DFE6D90"/>
    <w:rsid w:val="7E436B98"/>
    <w:rsid w:val="7F001CE7"/>
    <w:rsid w:val="7F3B3107"/>
    <w:rsid w:val="7F892BE5"/>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FFFFFF"/>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nhideWhenUsed="0" w:uiPriority="0" w:semiHidden="0" w:name="heading 3" w:locked="1"/>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nhideWhenUsed="0" w:uiPriority="0" w:semiHidden="0" w:name="toc 1" w:locked="1"/>
    <w:lsdException w:qFormat="1" w:unhideWhenUsed="0" w:uiPriority="0" w:semiHidden="0" w:name="toc 2" w:locked="1"/>
    <w:lsdException w:uiPriority="0" w:name="toc 3" w:locked="1"/>
    <w:lsdException w:uiPriority="0" w:name="toc 4" w:locked="1"/>
    <w:lsdException w:qFormat="1" w:unhideWhenUsed="0" w:uiPriority="0" w:semiHidden="0" w:name="toc 5" w:locked="1"/>
    <w:lsdException w:uiPriority="0" w:name="toc 6" w:locked="1"/>
    <w:lsdException w:uiPriority="0" w:name="toc 7" w:locked="1"/>
    <w:lsdException w:uiPriority="0" w:name="toc 8" w:locked="1"/>
    <w:lsdException w:uiPriority="0" w:name="toc 9" w:locked="1"/>
    <w:lsdException w:qFormat="1" w:uiPriority="0" w:semiHidden="0" w:name="Normal Indent" w:locked="1"/>
    <w:lsdException w:uiPriority="0" w:name="footnote text" w:locked="1"/>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ocked="1"/>
    <w:lsdException w:qFormat="1" w:uiPriority="0" w:name="caption" w:locked="1"/>
    <w:lsdException w:uiPriority="0" w:name="table of figures" w:locked="1"/>
    <w:lsdException w:uiPriority="0" w:name="envelope address" w:locked="1"/>
    <w:lsdException w:uiPriority="0" w:name="envelope return" w:locked="1"/>
    <w:lsdException w:uiPriority="0" w:name="footnote reference" w:locked="1"/>
    <w:lsdException w:qFormat="1" w:unhideWhenUsed="0" w:uiPriority="0" w:semiHidden="0" w:name="annotation reference"/>
    <w:lsdException w:uiPriority="0" w:name="line number" w:locked="1"/>
    <w:lsdException w:qFormat="1" w:unhideWhenUsed="0" w:uiPriority="0" w:semiHidden="0" w:name="page number" w:locked="1"/>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qFormat="1" w:unhideWhenUsed="0" w:uiPriority="0" w:semiHidden="0" w:name="List" w:locked="1"/>
    <w:lsdException w:uiPriority="0" w:name="List Bullet" w:locked="1"/>
    <w:lsdException w:unhideWhenUsed="0" w:uiPriority="0" w:semiHidden="0" w:name="List Number" w:locked="1"/>
    <w:lsdException w:uiPriority="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nhideWhenUsed="0" w:uiPriority="0" w:semiHidden="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qFormat="1" w:unhideWhenUsed="0" w:uiPriority="0" w:semiHidden="0" w:name="Plain Text" w:locked="1"/>
    <w:lsdException w:qFormat="1" w:unhideWhenUsed="0" w:uiPriority="0" w:semiHidden="0" w:name="E-mail Signature" w:locked="1"/>
    <w:lsdException w:qFormat="1" w:unhideWhenUsed="0" w:uiPriority="99" w:semiHidden="0" w:name="Normal (Web)"/>
    <w:lsdException w:uiPriority="0" w:name="HTML Acronym" w:locked="1"/>
    <w:lsdException w:uiPriority="0" w:name="HTML Address" w:locked="1"/>
    <w:lsdException w:qFormat="1" w:unhideWhenUsed="0" w:uiPriority="0" w:semiHidden="0" w:name="HTML Cite" w:locked="1"/>
    <w:lsdException w:qFormat="1" w:unhideWhenUsed="0" w:uiPriority="0" w:semiHidden="0" w:name="HTML Code" w:locked="1"/>
    <w:lsdException w:qFormat="1" w:unhideWhenUsed="0" w:uiPriority="0" w:semiHidden="0" w:name="HTML Definition" w:locked="1"/>
    <w:lsdException w:qFormat="1" w:unhideWhenUsed="0" w:uiPriority="0" w:semiHidden="0" w:name="HTML Keyboard" w:locked="1"/>
    <w:lsdException w:uiPriority="0" w:name="HTML Preformatted" w:locked="1"/>
    <w:lsdException w:qFormat="1" w:unhideWhenUsed="0" w:uiPriority="0" w:semiHidden="0" w:name="HTML Sample" w:locked="1"/>
    <w:lsdException w:uiPriority="0" w:name="HTML Typewriter" w:locked="1"/>
    <w:lsdException w:qFormat="1" w:unhideWhenUsed="0" w:uiPriority="0" w:semiHidden="0" w:name="HTML Variable" w:locked="1"/>
    <w:lsdException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39" w:semiHidden="0" w:name="Table Grid"/>
    <w:lsdException w:uiPriority="0"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3"/>
    <w:basedOn w:val="1"/>
    <w:next w:val="1"/>
    <w:qFormat/>
    <w:locked/>
    <w:uiPriority w:val="0"/>
    <w:pPr>
      <w:keepNext/>
      <w:jc w:val="center"/>
      <w:outlineLvl w:val="2"/>
    </w:pPr>
    <w:rPr>
      <w:rFonts w:ascii="宋体" w:hAnsi="宋体"/>
      <w:b/>
      <w:bCs/>
    </w:rPr>
  </w:style>
  <w:style w:type="paragraph" w:styleId="5">
    <w:name w:val="heading 4"/>
    <w:basedOn w:val="1"/>
    <w:next w:val="1"/>
    <w:link w:val="105"/>
    <w:unhideWhenUsed/>
    <w:qFormat/>
    <w:locked/>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31">
    <w:name w:val="Default Paragraph Font"/>
    <w:semiHidden/>
    <w:unhideWhenUsed/>
    <w:uiPriority w:val="1"/>
  </w:style>
  <w:style w:type="table" w:default="1" w:styleId="29">
    <w:name w:val="Normal Table"/>
    <w:semiHidden/>
    <w:unhideWhenUsed/>
    <w:uiPriority w:val="99"/>
    <w:tblPr>
      <w:tblCellMar>
        <w:top w:w="0" w:type="dxa"/>
        <w:left w:w="108" w:type="dxa"/>
        <w:bottom w:w="0" w:type="dxa"/>
        <w:right w:w="108" w:type="dxa"/>
      </w:tblCellMar>
    </w:tblPr>
  </w:style>
  <w:style w:type="paragraph" w:styleId="2">
    <w:name w:val="Body Text"/>
    <w:basedOn w:val="1"/>
    <w:next w:val="1"/>
    <w:link w:val="47"/>
    <w:qFormat/>
    <w:uiPriority w:val="0"/>
    <w:pPr>
      <w:widowControl/>
      <w:snapToGrid w:val="0"/>
      <w:spacing w:before="60" w:after="160" w:line="259" w:lineRule="auto"/>
      <w:ind w:right="113"/>
    </w:pPr>
    <w:rPr>
      <w:kern w:val="0"/>
      <w:sz w:val="18"/>
      <w:szCs w:val="20"/>
    </w:rPr>
  </w:style>
  <w:style w:type="paragraph" w:styleId="6">
    <w:name w:val="List 3"/>
    <w:basedOn w:val="1"/>
    <w:next w:val="1"/>
    <w:qFormat/>
    <w:locked/>
    <w:uiPriority w:val="0"/>
    <w:pPr>
      <w:ind w:left="100" w:leftChars="400" w:hanging="200" w:hangingChars="200"/>
    </w:pPr>
  </w:style>
  <w:style w:type="paragraph" w:styleId="7">
    <w:name w:val="E-mail Signature"/>
    <w:basedOn w:val="1"/>
    <w:next w:val="8"/>
    <w:qFormat/>
    <w:locked/>
    <w:uiPriority w:val="0"/>
    <w:pPr>
      <w:spacing w:line="460" w:lineRule="exact"/>
      <w:ind w:firstLine="200"/>
    </w:pPr>
  </w:style>
  <w:style w:type="paragraph" w:customStyle="1" w:styleId="8">
    <w:name w:val="文章"/>
    <w:next w:val="9"/>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9">
    <w:name w:val="List"/>
    <w:basedOn w:val="1"/>
    <w:next w:val="10"/>
    <w:qFormat/>
    <w:locked/>
    <w:uiPriority w:val="0"/>
    <w:pPr>
      <w:ind w:left="200" w:hanging="200" w:hangingChars="200"/>
    </w:pPr>
  </w:style>
  <w:style w:type="paragraph" w:styleId="10">
    <w:name w:val="List Bullet 2"/>
    <w:basedOn w:val="1"/>
    <w:next w:val="11"/>
    <w:qFormat/>
    <w:locked/>
    <w:uiPriority w:val="0"/>
    <w:pPr>
      <w:numPr>
        <w:ilvl w:val="0"/>
        <w:numId w:val="1"/>
      </w:numPr>
    </w:pPr>
  </w:style>
  <w:style w:type="paragraph" w:customStyle="1" w:styleId="11">
    <w:name w:val="xl70"/>
    <w:basedOn w:val="1"/>
    <w:next w:val="12"/>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sz w:val="20"/>
      <w:szCs w:val="20"/>
    </w:rPr>
  </w:style>
  <w:style w:type="paragraph" w:customStyle="1" w:styleId="12">
    <w:name w:val="正文缩进1"/>
    <w:basedOn w:val="1"/>
    <w:next w:val="13"/>
    <w:qFormat/>
    <w:uiPriority w:val="0"/>
    <w:pPr>
      <w:spacing w:before="156" w:beforeLines="50" w:after="156" w:afterLines="50"/>
      <w:ind w:firstLine="1048" w:firstLineChars="435"/>
      <w:jc w:val="center"/>
    </w:pPr>
    <w:rPr>
      <w:rFonts w:ascii="宋体" w:hAnsi="宋体"/>
      <w:b/>
      <w:bCs/>
      <w:color w:val="000000"/>
      <w:kern w:val="24"/>
      <w:sz w:val="24"/>
    </w:rPr>
  </w:style>
  <w:style w:type="paragraph" w:customStyle="1" w:styleId="13">
    <w:name w:val="td1"/>
    <w:basedOn w:val="1"/>
    <w:next w:val="1"/>
    <w:qFormat/>
    <w:uiPriority w:val="0"/>
    <w:pPr>
      <w:widowControl/>
      <w:spacing w:before="280" w:after="280" w:line="300" w:lineRule="atLeast"/>
      <w:ind w:firstLine="200"/>
    </w:pPr>
    <w:rPr>
      <w:color w:val="000000"/>
      <w:sz w:val="18"/>
    </w:rPr>
  </w:style>
  <w:style w:type="paragraph" w:styleId="14">
    <w:name w:val="Normal Indent"/>
    <w:basedOn w:val="1"/>
    <w:unhideWhenUsed/>
    <w:qFormat/>
    <w:locked/>
    <w:uiPriority w:val="0"/>
    <w:pPr>
      <w:ind w:firstLine="420" w:firstLineChars="200"/>
    </w:pPr>
    <w:rPr>
      <w:rFonts w:ascii="宋体" w:hAnsi="宋体" w:cs="宋体"/>
      <w:kern w:val="0"/>
      <w:sz w:val="20"/>
      <w:szCs w:val="20"/>
    </w:rPr>
  </w:style>
  <w:style w:type="paragraph" w:styleId="15">
    <w:name w:val="Document Map"/>
    <w:basedOn w:val="1"/>
    <w:link w:val="73"/>
    <w:qFormat/>
    <w:locked/>
    <w:uiPriority w:val="0"/>
    <w:rPr>
      <w:rFonts w:ascii="宋体"/>
      <w:sz w:val="18"/>
      <w:szCs w:val="18"/>
    </w:rPr>
  </w:style>
  <w:style w:type="paragraph" w:styleId="16">
    <w:name w:val="annotation text"/>
    <w:basedOn w:val="1"/>
    <w:next w:val="17"/>
    <w:link w:val="69"/>
    <w:qFormat/>
    <w:uiPriority w:val="99"/>
    <w:pPr>
      <w:jc w:val="left"/>
    </w:pPr>
    <w:rPr>
      <w:kern w:val="0"/>
      <w:sz w:val="24"/>
      <w:szCs w:val="20"/>
    </w:rPr>
  </w:style>
  <w:style w:type="paragraph" w:styleId="17">
    <w:name w:val="toc 5"/>
    <w:basedOn w:val="1"/>
    <w:next w:val="1"/>
    <w:qFormat/>
    <w:locked/>
    <w:uiPriority w:val="0"/>
    <w:pPr>
      <w:ind w:left="1680" w:leftChars="800"/>
    </w:pPr>
  </w:style>
  <w:style w:type="paragraph" w:styleId="18">
    <w:name w:val="Body Text Indent"/>
    <w:basedOn w:val="1"/>
    <w:link w:val="61"/>
    <w:qFormat/>
    <w:uiPriority w:val="0"/>
    <w:pPr>
      <w:spacing w:after="120"/>
      <w:ind w:left="420" w:leftChars="200"/>
    </w:pPr>
    <w:rPr>
      <w:kern w:val="0"/>
      <w:sz w:val="24"/>
      <w:szCs w:val="20"/>
    </w:rPr>
  </w:style>
  <w:style w:type="paragraph" w:styleId="19">
    <w:name w:val="Plain Text"/>
    <w:basedOn w:val="1"/>
    <w:next w:val="20"/>
    <w:link w:val="99"/>
    <w:qFormat/>
    <w:locked/>
    <w:uiPriority w:val="0"/>
    <w:rPr>
      <w:rFonts w:ascii="宋体" w:hAnsi="Courier New"/>
      <w:szCs w:val="21"/>
    </w:rPr>
  </w:style>
  <w:style w:type="paragraph" w:styleId="20">
    <w:name w:val="toc 1"/>
    <w:basedOn w:val="1"/>
    <w:next w:val="1"/>
    <w:qFormat/>
    <w:locked/>
    <w:uiPriority w:val="0"/>
  </w:style>
  <w:style w:type="paragraph" w:styleId="21">
    <w:name w:val="Date"/>
    <w:basedOn w:val="1"/>
    <w:next w:val="1"/>
    <w:link w:val="52"/>
    <w:qFormat/>
    <w:uiPriority w:val="0"/>
    <w:pPr>
      <w:ind w:left="100" w:leftChars="2500"/>
    </w:pPr>
    <w:rPr>
      <w:kern w:val="0"/>
      <w:sz w:val="24"/>
      <w:szCs w:val="20"/>
    </w:rPr>
  </w:style>
  <w:style w:type="paragraph" w:styleId="22">
    <w:name w:val="Balloon Text"/>
    <w:basedOn w:val="1"/>
    <w:link w:val="72"/>
    <w:semiHidden/>
    <w:qFormat/>
    <w:uiPriority w:val="0"/>
    <w:rPr>
      <w:kern w:val="0"/>
      <w:sz w:val="18"/>
      <w:szCs w:val="20"/>
    </w:rPr>
  </w:style>
  <w:style w:type="paragraph" w:styleId="23">
    <w:name w:val="footer"/>
    <w:basedOn w:val="1"/>
    <w:link w:val="64"/>
    <w:qFormat/>
    <w:uiPriority w:val="99"/>
    <w:pPr>
      <w:tabs>
        <w:tab w:val="center" w:pos="4153"/>
        <w:tab w:val="right" w:pos="8306"/>
      </w:tabs>
      <w:snapToGrid w:val="0"/>
      <w:jc w:val="left"/>
    </w:pPr>
    <w:rPr>
      <w:kern w:val="0"/>
      <w:sz w:val="18"/>
      <w:szCs w:val="20"/>
    </w:rPr>
  </w:style>
  <w:style w:type="paragraph" w:styleId="24">
    <w:name w:val="header"/>
    <w:basedOn w:val="1"/>
    <w:link w:val="53"/>
    <w:qFormat/>
    <w:uiPriority w:val="0"/>
    <w:pPr>
      <w:pBdr>
        <w:bottom w:val="single" w:color="auto" w:sz="6" w:space="1"/>
      </w:pBdr>
      <w:tabs>
        <w:tab w:val="center" w:pos="4153"/>
        <w:tab w:val="right" w:pos="8306"/>
      </w:tabs>
      <w:snapToGrid w:val="0"/>
      <w:jc w:val="center"/>
    </w:pPr>
    <w:rPr>
      <w:kern w:val="0"/>
      <w:sz w:val="18"/>
      <w:szCs w:val="20"/>
    </w:rPr>
  </w:style>
  <w:style w:type="paragraph" w:styleId="25">
    <w:name w:val="toc 2"/>
    <w:basedOn w:val="1"/>
    <w:next w:val="7"/>
    <w:qFormat/>
    <w:locked/>
    <w:uiPriority w:val="0"/>
    <w:pPr>
      <w:adjustRightInd w:val="0"/>
      <w:spacing w:line="312" w:lineRule="atLeast"/>
      <w:ind w:left="420" w:leftChars="200"/>
      <w:textAlignment w:val="baseline"/>
    </w:pPr>
    <w:rPr>
      <w:kern w:val="0"/>
      <w:szCs w:val="20"/>
    </w:rPr>
  </w:style>
  <w:style w:type="paragraph" w:styleId="26">
    <w:name w:val="Normal (Web)"/>
    <w:basedOn w:val="1"/>
    <w:link w:val="63"/>
    <w:qFormat/>
    <w:uiPriority w:val="99"/>
    <w:pPr>
      <w:widowControl/>
      <w:spacing w:before="100" w:beforeAutospacing="1" w:after="100" w:afterAutospacing="1"/>
      <w:jc w:val="left"/>
    </w:pPr>
    <w:rPr>
      <w:rFonts w:ascii="宋体" w:hAnsi="宋体"/>
      <w:kern w:val="0"/>
      <w:sz w:val="24"/>
      <w:szCs w:val="20"/>
    </w:rPr>
  </w:style>
  <w:style w:type="paragraph" w:styleId="27">
    <w:name w:val="annotation subject"/>
    <w:basedOn w:val="16"/>
    <w:next w:val="16"/>
    <w:link w:val="59"/>
    <w:semiHidden/>
    <w:qFormat/>
    <w:uiPriority w:val="0"/>
    <w:rPr>
      <w:b/>
      <w:kern w:val="2"/>
    </w:rPr>
  </w:style>
  <w:style w:type="paragraph" w:styleId="28">
    <w:name w:val="Body Text First Indent 2"/>
    <w:basedOn w:val="18"/>
    <w:qFormat/>
    <w:locked/>
    <w:uiPriority w:val="0"/>
    <w:pPr>
      <w:ind w:firstLine="420" w:firstLineChars="200"/>
    </w:pPr>
  </w:style>
  <w:style w:type="table" w:styleId="30">
    <w:name w:val="Table Grid"/>
    <w:basedOn w:val="2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qFormat/>
    <w:locked/>
    <w:uiPriority w:val="0"/>
    <w:rPr>
      <w:b/>
      <w:bCs/>
    </w:rPr>
  </w:style>
  <w:style w:type="character" w:styleId="33">
    <w:name w:val="page number"/>
    <w:basedOn w:val="31"/>
    <w:qFormat/>
    <w:locked/>
    <w:uiPriority w:val="0"/>
  </w:style>
  <w:style w:type="character" w:styleId="34">
    <w:name w:val="FollowedHyperlink"/>
    <w:qFormat/>
    <w:locked/>
    <w:uiPriority w:val="0"/>
    <w:rPr>
      <w:color w:val="666666"/>
      <w:u w:val="none"/>
    </w:rPr>
  </w:style>
  <w:style w:type="character" w:styleId="35">
    <w:name w:val="Emphasis"/>
    <w:qFormat/>
    <w:locked/>
    <w:uiPriority w:val="0"/>
  </w:style>
  <w:style w:type="character" w:styleId="36">
    <w:name w:val="HTML Definition"/>
    <w:qFormat/>
    <w:locked/>
    <w:uiPriority w:val="0"/>
  </w:style>
  <w:style w:type="character" w:styleId="37">
    <w:name w:val="HTML Variable"/>
    <w:qFormat/>
    <w:locked/>
    <w:uiPriority w:val="0"/>
  </w:style>
  <w:style w:type="character" w:styleId="38">
    <w:name w:val="Hyperlink"/>
    <w:qFormat/>
    <w:locked/>
    <w:uiPriority w:val="0"/>
    <w:rPr>
      <w:color w:val="666666"/>
      <w:u w:val="none"/>
    </w:rPr>
  </w:style>
  <w:style w:type="character" w:styleId="39">
    <w:name w:val="HTML Code"/>
    <w:qFormat/>
    <w:locked/>
    <w:uiPriority w:val="0"/>
    <w:rPr>
      <w:rFonts w:ascii="Consolas" w:hAnsi="Consolas" w:eastAsia="Consolas" w:cs="Consolas"/>
      <w:color w:val="C7254E"/>
      <w:sz w:val="21"/>
      <w:szCs w:val="21"/>
      <w:shd w:val="clear" w:color="auto" w:fill="F9F2F4"/>
    </w:rPr>
  </w:style>
  <w:style w:type="character" w:styleId="40">
    <w:name w:val="annotation reference"/>
    <w:qFormat/>
    <w:uiPriority w:val="0"/>
    <w:rPr>
      <w:sz w:val="21"/>
    </w:rPr>
  </w:style>
  <w:style w:type="character" w:styleId="41">
    <w:name w:val="HTML Cite"/>
    <w:qFormat/>
    <w:locked/>
    <w:uiPriority w:val="0"/>
  </w:style>
  <w:style w:type="character" w:styleId="42">
    <w:name w:val="HTML Keyboard"/>
    <w:qFormat/>
    <w:locked/>
    <w:uiPriority w:val="0"/>
    <w:rPr>
      <w:rFonts w:hint="default" w:ascii="Consolas" w:hAnsi="Consolas" w:eastAsia="Consolas" w:cs="Consolas"/>
      <w:color w:val="FFFFFF"/>
      <w:sz w:val="21"/>
      <w:szCs w:val="21"/>
      <w:shd w:val="clear" w:color="auto" w:fill="333333"/>
    </w:rPr>
  </w:style>
  <w:style w:type="character" w:styleId="43">
    <w:name w:val="HTML Sample"/>
    <w:qFormat/>
    <w:locked/>
    <w:uiPriority w:val="0"/>
    <w:rPr>
      <w:rFonts w:hint="default" w:ascii="Consolas" w:hAnsi="Consolas" w:eastAsia="Consolas" w:cs="Consolas"/>
      <w:sz w:val="21"/>
      <w:szCs w:val="21"/>
    </w:rPr>
  </w:style>
  <w:style w:type="paragraph" w:customStyle="1" w:styleId="44">
    <w:name w:val="Default"/>
    <w:basedOn w:val="45"/>
    <w:next w:val="6"/>
    <w:link w:val="106"/>
    <w:qFormat/>
    <w:uiPriority w:val="0"/>
    <w:pPr>
      <w:autoSpaceDE w:val="0"/>
      <w:autoSpaceDN w:val="0"/>
    </w:pPr>
    <w:rPr>
      <w:color w:val="000000"/>
      <w:sz w:val="24"/>
    </w:rPr>
  </w:style>
  <w:style w:type="paragraph" w:customStyle="1" w:styleId="45">
    <w:name w:val="纯文本1"/>
    <w:basedOn w:val="1"/>
    <w:qFormat/>
    <w:uiPriority w:val="0"/>
    <w:pPr>
      <w:adjustRightInd w:val="0"/>
      <w:jc w:val="center"/>
      <w:textAlignment w:val="baseline"/>
    </w:pPr>
    <w:rPr>
      <w:rFonts w:ascii="宋体" w:hAnsi="Courier New"/>
    </w:rPr>
  </w:style>
  <w:style w:type="character" w:customStyle="1" w:styleId="46">
    <w:name w:val="页脚 字符"/>
    <w:basedOn w:val="31"/>
    <w:qFormat/>
    <w:uiPriority w:val="99"/>
  </w:style>
  <w:style w:type="character" w:customStyle="1" w:styleId="47">
    <w:name w:val="正文文本 Char"/>
    <w:link w:val="2"/>
    <w:qFormat/>
    <w:locked/>
    <w:uiPriority w:val="0"/>
    <w:rPr>
      <w:sz w:val="18"/>
    </w:rPr>
  </w:style>
  <w:style w:type="character" w:customStyle="1" w:styleId="48">
    <w:name w:val="copyright1"/>
    <w:qFormat/>
    <w:uiPriority w:val="0"/>
    <w:rPr>
      <w:rFonts w:hint="default"/>
      <w:color w:val="000000"/>
    </w:rPr>
  </w:style>
  <w:style w:type="character" w:customStyle="1" w:styleId="49">
    <w:name w:val="font11"/>
    <w:qFormat/>
    <w:uiPriority w:val="0"/>
    <w:rPr>
      <w:rFonts w:hint="default" w:ascii="Times New Roman" w:hAnsi="Times New Roman" w:cs="Times New Roman"/>
      <w:color w:val="000000"/>
      <w:sz w:val="21"/>
      <w:szCs w:val="21"/>
      <w:u w:val="none"/>
    </w:rPr>
  </w:style>
  <w:style w:type="character" w:customStyle="1" w:styleId="50">
    <w:name w:val="font31"/>
    <w:qFormat/>
    <w:uiPriority w:val="0"/>
    <w:rPr>
      <w:rFonts w:hint="default" w:ascii="Times New Roman" w:hAnsi="Times New Roman" w:cs="Times New Roman"/>
      <w:b/>
      <w:color w:val="000000"/>
      <w:sz w:val="21"/>
      <w:szCs w:val="21"/>
      <w:u w:val="none"/>
    </w:rPr>
  </w:style>
  <w:style w:type="character" w:customStyle="1" w:styleId="51">
    <w:name w:val="amend-blacklist1"/>
    <w:qFormat/>
    <w:uiPriority w:val="0"/>
    <w:rPr>
      <w:color w:val="E60012"/>
    </w:rPr>
  </w:style>
  <w:style w:type="character" w:customStyle="1" w:styleId="52">
    <w:name w:val="日期 Char"/>
    <w:link w:val="21"/>
    <w:qFormat/>
    <w:locked/>
    <w:uiPriority w:val="0"/>
    <w:rPr>
      <w:rFonts w:ascii="Times New Roman" w:hAnsi="Times New Roman" w:eastAsia="宋体"/>
      <w:sz w:val="24"/>
    </w:rPr>
  </w:style>
  <w:style w:type="character" w:customStyle="1" w:styleId="53">
    <w:name w:val="页眉 Char"/>
    <w:link w:val="24"/>
    <w:qFormat/>
    <w:locked/>
    <w:uiPriority w:val="0"/>
    <w:rPr>
      <w:sz w:val="18"/>
    </w:rPr>
  </w:style>
  <w:style w:type="character" w:customStyle="1" w:styleId="54">
    <w:name w:val="批注文字 字符1"/>
    <w:semiHidden/>
    <w:qFormat/>
    <w:uiPriority w:val="0"/>
    <w:rPr>
      <w:rFonts w:ascii="Times New Roman" w:hAnsi="Times New Roman" w:eastAsia="宋体"/>
      <w:sz w:val="24"/>
    </w:rPr>
  </w:style>
  <w:style w:type="character" w:customStyle="1" w:styleId="55">
    <w:name w:val="正文文本 字符1"/>
    <w:semiHidden/>
    <w:qFormat/>
    <w:uiPriority w:val="0"/>
    <w:rPr>
      <w:rFonts w:ascii="Times New Roman" w:hAnsi="Times New Roman" w:eastAsia="宋体"/>
      <w:sz w:val="24"/>
    </w:rPr>
  </w:style>
  <w:style w:type="character" w:customStyle="1" w:styleId="56">
    <w:name w:val="日期 字符"/>
    <w:semiHidden/>
    <w:qFormat/>
    <w:uiPriority w:val="0"/>
    <w:rPr>
      <w:rFonts w:ascii="Times New Roman" w:hAnsi="Times New Roman" w:eastAsia="宋体"/>
      <w:sz w:val="24"/>
    </w:rPr>
  </w:style>
  <w:style w:type="character" w:customStyle="1" w:styleId="57">
    <w:name w:val="font61"/>
    <w:qFormat/>
    <w:uiPriority w:val="0"/>
    <w:rPr>
      <w:rFonts w:hint="eastAsia" w:ascii="宋体" w:hAnsi="宋体" w:eastAsia="宋体" w:cs="宋体"/>
      <w:color w:val="000000"/>
      <w:sz w:val="21"/>
      <w:szCs w:val="21"/>
      <w:u w:val="none"/>
    </w:rPr>
  </w:style>
  <w:style w:type="character" w:customStyle="1" w:styleId="58">
    <w:name w:val="amend-blacklist"/>
    <w:qFormat/>
    <w:uiPriority w:val="0"/>
    <w:rPr>
      <w:color w:val="E60012"/>
    </w:rPr>
  </w:style>
  <w:style w:type="character" w:customStyle="1" w:styleId="59">
    <w:name w:val="批注主题 Char"/>
    <w:link w:val="27"/>
    <w:semiHidden/>
    <w:qFormat/>
    <w:locked/>
    <w:uiPriority w:val="0"/>
    <w:rPr>
      <w:rFonts w:ascii="Times New Roman" w:hAnsi="Times New Roman" w:eastAsia="宋体"/>
      <w:b/>
      <w:kern w:val="2"/>
      <w:sz w:val="24"/>
    </w:rPr>
  </w:style>
  <w:style w:type="character" w:customStyle="1" w:styleId="60">
    <w:name w:val="font21"/>
    <w:qFormat/>
    <w:uiPriority w:val="0"/>
    <w:rPr>
      <w:rFonts w:hint="eastAsia" w:ascii="宋体" w:hAnsi="宋体" w:eastAsia="宋体" w:cs="宋体"/>
      <w:color w:val="000000"/>
      <w:sz w:val="21"/>
      <w:szCs w:val="21"/>
      <w:u w:val="none"/>
    </w:rPr>
  </w:style>
  <w:style w:type="character" w:customStyle="1" w:styleId="61">
    <w:name w:val="正文文本缩进 Char"/>
    <w:link w:val="18"/>
    <w:semiHidden/>
    <w:qFormat/>
    <w:locked/>
    <w:uiPriority w:val="0"/>
    <w:rPr>
      <w:rFonts w:ascii="Times New Roman" w:hAnsi="Times New Roman" w:eastAsia="宋体"/>
      <w:sz w:val="24"/>
    </w:rPr>
  </w:style>
  <w:style w:type="character" w:customStyle="1" w:styleId="62">
    <w:name w:val="amend-open"/>
    <w:qFormat/>
    <w:uiPriority w:val="0"/>
    <w:rPr>
      <w:color w:val="009944"/>
    </w:rPr>
  </w:style>
  <w:style w:type="character" w:customStyle="1" w:styleId="63">
    <w:name w:val="普通(网站) Char"/>
    <w:link w:val="26"/>
    <w:qFormat/>
    <w:locked/>
    <w:uiPriority w:val="99"/>
    <w:rPr>
      <w:rFonts w:ascii="宋体" w:hAnsi="宋体" w:eastAsia="宋体"/>
      <w:sz w:val="24"/>
    </w:rPr>
  </w:style>
  <w:style w:type="character" w:customStyle="1" w:styleId="64">
    <w:name w:val="页脚 Char"/>
    <w:link w:val="23"/>
    <w:qFormat/>
    <w:locked/>
    <w:uiPriority w:val="99"/>
    <w:rPr>
      <w:sz w:val="18"/>
    </w:rPr>
  </w:style>
  <w:style w:type="character" w:customStyle="1" w:styleId="65">
    <w:name w:val="font51"/>
    <w:qFormat/>
    <w:uiPriority w:val="0"/>
    <w:rPr>
      <w:rFonts w:hint="default" w:ascii="Times New Roman" w:hAnsi="Times New Roman" w:cs="Times New Roman"/>
      <w:color w:val="000000"/>
      <w:sz w:val="21"/>
      <w:szCs w:val="21"/>
      <w:u w:val="none"/>
    </w:rPr>
  </w:style>
  <w:style w:type="character" w:customStyle="1" w:styleId="66">
    <w:name w:val="amend-open1"/>
    <w:qFormat/>
    <w:uiPriority w:val="0"/>
    <w:rPr>
      <w:color w:val="009944"/>
    </w:rPr>
  </w:style>
  <w:style w:type="character" w:customStyle="1" w:styleId="67">
    <w:name w:val="表格 Char"/>
    <w:link w:val="68"/>
    <w:qFormat/>
    <w:locked/>
    <w:uiPriority w:val="0"/>
    <w:rPr>
      <w:rFonts w:ascii="宋体"/>
      <w:sz w:val="21"/>
    </w:rPr>
  </w:style>
  <w:style w:type="paragraph" w:customStyle="1" w:styleId="68">
    <w:name w:val="表格"/>
    <w:basedOn w:val="1"/>
    <w:next w:val="1"/>
    <w:link w:val="67"/>
    <w:qFormat/>
    <w:uiPriority w:val="0"/>
    <w:pPr>
      <w:adjustRightInd w:val="0"/>
      <w:snapToGrid w:val="0"/>
      <w:spacing w:beforeLines="10" w:afterLines="10" w:line="259" w:lineRule="auto"/>
      <w:jc w:val="center"/>
    </w:pPr>
    <w:rPr>
      <w:rFonts w:ascii="宋体"/>
      <w:kern w:val="0"/>
      <w:szCs w:val="20"/>
    </w:rPr>
  </w:style>
  <w:style w:type="character" w:customStyle="1" w:styleId="69">
    <w:name w:val="批注文字 Char"/>
    <w:link w:val="16"/>
    <w:qFormat/>
    <w:locked/>
    <w:uiPriority w:val="99"/>
    <w:rPr>
      <w:rFonts w:ascii="Times New Roman" w:hAnsi="Times New Roman" w:eastAsia="宋体"/>
      <w:sz w:val="24"/>
    </w:rPr>
  </w:style>
  <w:style w:type="character" w:customStyle="1" w:styleId="70">
    <w:name w:val="font41"/>
    <w:qFormat/>
    <w:uiPriority w:val="0"/>
    <w:rPr>
      <w:rFonts w:hint="eastAsia" w:ascii="宋体" w:hAnsi="宋体" w:eastAsia="宋体" w:cs="宋体"/>
      <w:b/>
      <w:color w:val="000000"/>
      <w:sz w:val="21"/>
      <w:szCs w:val="21"/>
      <w:u w:val="none"/>
    </w:rPr>
  </w:style>
  <w:style w:type="character" w:customStyle="1" w:styleId="71">
    <w:name w:val="font71"/>
    <w:qFormat/>
    <w:uiPriority w:val="0"/>
    <w:rPr>
      <w:rFonts w:hint="default" w:ascii="Times New Roman" w:hAnsi="Times New Roman" w:cs="Times New Roman"/>
      <w:color w:val="000000"/>
      <w:sz w:val="21"/>
      <w:szCs w:val="21"/>
      <w:u w:val="none"/>
      <w:vertAlign w:val="subscript"/>
    </w:rPr>
  </w:style>
  <w:style w:type="character" w:customStyle="1" w:styleId="72">
    <w:name w:val="批注框文本 Char"/>
    <w:link w:val="22"/>
    <w:semiHidden/>
    <w:qFormat/>
    <w:locked/>
    <w:uiPriority w:val="0"/>
    <w:rPr>
      <w:rFonts w:ascii="Times New Roman" w:hAnsi="Times New Roman" w:eastAsia="宋体"/>
      <w:sz w:val="18"/>
    </w:rPr>
  </w:style>
  <w:style w:type="character" w:customStyle="1" w:styleId="73">
    <w:name w:val="文档结构图 Char"/>
    <w:link w:val="15"/>
    <w:qFormat/>
    <w:uiPriority w:val="0"/>
    <w:rPr>
      <w:rFonts w:ascii="宋体"/>
      <w:kern w:val="2"/>
      <w:sz w:val="18"/>
      <w:szCs w:val="18"/>
    </w:rPr>
  </w:style>
  <w:style w:type="character" w:customStyle="1" w:styleId="74">
    <w:name w:val="批注文字 Char1"/>
    <w:semiHidden/>
    <w:qFormat/>
    <w:locked/>
    <w:uiPriority w:val="0"/>
    <w:rPr>
      <w:sz w:val="24"/>
    </w:rPr>
  </w:style>
  <w:style w:type="paragraph" w:customStyle="1" w:styleId="75">
    <w:name w:val="列出段落1"/>
    <w:basedOn w:val="1"/>
    <w:qFormat/>
    <w:uiPriority w:val="34"/>
    <w:pPr>
      <w:ind w:firstLine="420" w:firstLineChars="200"/>
    </w:pPr>
    <w:rPr>
      <w:szCs w:val="22"/>
    </w:rPr>
  </w:style>
  <w:style w:type="paragraph" w:customStyle="1" w:styleId="76">
    <w:name w:val="font6"/>
    <w:basedOn w:val="1"/>
    <w:next w:val="25"/>
    <w:qFormat/>
    <w:uiPriority w:val="0"/>
    <w:pPr>
      <w:widowControl/>
      <w:spacing w:before="100" w:beforeAutospacing="1" w:after="100" w:afterAutospacing="1"/>
      <w:jc w:val="left"/>
    </w:pPr>
    <w:rPr>
      <w:rFonts w:hint="eastAsia" w:ascii="宋体" w:hAnsi="宋体" w:cs="Arial Unicode MS"/>
      <w:sz w:val="18"/>
      <w:szCs w:val="18"/>
    </w:rPr>
  </w:style>
  <w:style w:type="paragraph" w:customStyle="1" w:styleId="77">
    <w:name w:val="报告表小段"/>
    <w:basedOn w:val="1"/>
    <w:qFormat/>
    <w:uiPriority w:val="0"/>
    <w:pPr>
      <w:snapToGrid w:val="0"/>
      <w:spacing w:before="120" w:line="360" w:lineRule="auto"/>
      <w:ind w:firstLine="470" w:firstLineChars="196"/>
    </w:pPr>
    <w:rPr>
      <w:rFonts w:ascii="宋体" w:hAnsi="Calibri"/>
      <w:bCs/>
      <w:sz w:val="24"/>
      <w:szCs w:val="20"/>
      <w:lang w:val="zh-CN"/>
    </w:rPr>
  </w:style>
  <w:style w:type="paragraph" w:customStyle="1" w:styleId="78">
    <w:name w:val="表 内容"/>
    <w:basedOn w:val="1"/>
    <w:qFormat/>
    <w:uiPriority w:val="0"/>
    <w:pPr>
      <w:adjustRightInd w:val="0"/>
      <w:snapToGrid w:val="0"/>
      <w:spacing w:beforeLines="15"/>
      <w:jc w:val="center"/>
    </w:pPr>
    <w:rPr>
      <w:kern w:val="0"/>
      <w:sz w:val="20"/>
      <w:szCs w:val="21"/>
    </w:rPr>
  </w:style>
  <w:style w:type="paragraph" w:customStyle="1" w:styleId="79">
    <w:name w:val="图表文字"/>
    <w:basedOn w:val="1"/>
    <w:qFormat/>
    <w:uiPriority w:val="0"/>
    <w:pPr>
      <w:widowControl/>
      <w:jc w:val="center"/>
    </w:pPr>
    <w:rPr>
      <w:kern w:val="0"/>
      <w:szCs w:val="21"/>
    </w:rPr>
  </w:style>
  <w:style w:type="paragraph" w:customStyle="1" w:styleId="80">
    <w:name w:val="正文内容"/>
    <w:basedOn w:val="1"/>
    <w:qFormat/>
    <w:uiPriority w:val="0"/>
    <w:pPr>
      <w:ind w:firstLine="200" w:firstLineChars="200"/>
    </w:pPr>
    <w:rPr>
      <w:kern w:val="0"/>
      <w:sz w:val="24"/>
    </w:rPr>
  </w:style>
  <w:style w:type="paragraph" w:customStyle="1" w:styleId="81">
    <w:name w:val="p0"/>
    <w:basedOn w:val="1"/>
    <w:qFormat/>
    <w:uiPriority w:val="0"/>
    <w:pPr>
      <w:widowControl/>
    </w:pPr>
    <w:rPr>
      <w:rFonts w:ascii="Calibri" w:hAnsi="Calibri" w:cs="宋体"/>
      <w:kern w:val="0"/>
      <w:szCs w:val="21"/>
    </w:rPr>
  </w:style>
  <w:style w:type="paragraph" w:customStyle="1" w:styleId="82">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3">
    <w:name w:val="样式35"/>
    <w:basedOn w:val="78"/>
    <w:next w:val="76"/>
    <w:qFormat/>
    <w:uiPriority w:val="0"/>
    <w:pPr>
      <w:spacing w:line="312" w:lineRule="auto"/>
      <w:ind w:firstLine="567"/>
      <w:jc w:val="both"/>
    </w:pPr>
    <w:rPr>
      <w:rFonts w:ascii="宋体"/>
      <w:kern w:val="2"/>
      <w:sz w:val="21"/>
      <w:szCs w:val="22"/>
    </w:rPr>
  </w:style>
  <w:style w:type="paragraph" w:customStyle="1" w:styleId="84">
    <w:name w:val="表标题"/>
    <w:basedOn w:val="1"/>
    <w:link w:val="93"/>
    <w:qFormat/>
    <w:uiPriority w:val="0"/>
    <w:pPr>
      <w:spacing w:line="520" w:lineRule="exact"/>
      <w:jc w:val="center"/>
      <w:textAlignment w:val="baseline"/>
    </w:pPr>
    <w:rPr>
      <w:b/>
      <w:kern w:val="0"/>
      <w:szCs w:val="20"/>
    </w:rPr>
  </w:style>
  <w:style w:type="paragraph" w:customStyle="1" w:styleId="85">
    <w:name w:val="正文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86">
    <w:name w:val="No Spacing"/>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87">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88">
    <w:name w:val="样式 表格 32 + 首行缩进:  2 字符"/>
    <w:basedOn w:val="1"/>
    <w:qFormat/>
    <w:uiPriority w:val="0"/>
    <w:pPr>
      <w:autoSpaceDE w:val="0"/>
      <w:autoSpaceDN w:val="0"/>
      <w:adjustRightInd w:val="0"/>
      <w:spacing w:line="0" w:lineRule="atLeast"/>
      <w:jc w:val="center"/>
      <w:textAlignment w:val="baseline"/>
    </w:pPr>
    <w:rPr>
      <w:kern w:val="0"/>
      <w:sz w:val="24"/>
    </w:rPr>
  </w:style>
  <w:style w:type="paragraph" w:customStyle="1" w:styleId="89">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90">
    <w:name w:val="普通(网站)1"/>
    <w:basedOn w:val="1"/>
    <w:qFormat/>
    <w:uiPriority w:val="0"/>
    <w:pPr>
      <w:widowControl/>
      <w:spacing w:before="100" w:beforeAutospacing="1" w:after="100" w:afterAutospacing="1"/>
      <w:jc w:val="left"/>
    </w:pPr>
    <w:rPr>
      <w:rFonts w:hint="eastAsia" w:ascii="宋体" w:hAnsi="宋体"/>
      <w:sz w:val="24"/>
      <w:szCs w:val="20"/>
    </w:rPr>
  </w:style>
  <w:style w:type="paragraph" w:customStyle="1" w:styleId="91">
    <w:name w:val="正文首行缩进 21"/>
    <w:basedOn w:val="18"/>
    <w:qFormat/>
    <w:uiPriority w:val="0"/>
    <w:pPr>
      <w:spacing w:before="100" w:beforeAutospacing="1"/>
      <w:ind w:firstLine="420" w:firstLineChars="200"/>
    </w:pPr>
    <w:rPr>
      <w:szCs w:val="24"/>
    </w:rPr>
  </w:style>
  <w:style w:type="paragraph" w:customStyle="1" w:styleId="92">
    <w:name w:val="报告表  段"/>
    <w:basedOn w:val="1"/>
    <w:qFormat/>
    <w:uiPriority w:val="0"/>
    <w:pPr>
      <w:adjustRightInd w:val="0"/>
      <w:spacing w:line="360" w:lineRule="auto"/>
      <w:ind w:firstLine="505"/>
      <w:textAlignment w:val="baseline"/>
    </w:pPr>
    <w:rPr>
      <w:kern w:val="0"/>
      <w:sz w:val="24"/>
    </w:rPr>
  </w:style>
  <w:style w:type="character" w:customStyle="1" w:styleId="93">
    <w:name w:val="表标题 Char"/>
    <w:link w:val="84"/>
    <w:qFormat/>
    <w:uiPriority w:val="0"/>
    <w:rPr>
      <w:b/>
      <w:sz w:val="21"/>
    </w:rPr>
  </w:style>
  <w:style w:type="paragraph" w:customStyle="1" w:styleId="94">
    <w:name w:val="正文 首行缩进:  2 字符"/>
    <w:basedOn w:val="1"/>
    <w:qFormat/>
    <w:uiPriority w:val="0"/>
    <w:pPr>
      <w:suppressAutoHyphens/>
      <w:ind w:firstLine="579" w:firstLineChars="200"/>
    </w:pPr>
    <w:rPr>
      <w:rFonts w:cs="宋体"/>
      <w:kern w:val="1"/>
      <w:lang w:eastAsia="ar-SA"/>
    </w:rPr>
  </w:style>
  <w:style w:type="paragraph" w:styleId="95">
    <w:name w:val="List Paragraph"/>
    <w:basedOn w:val="1"/>
    <w:qFormat/>
    <w:uiPriority w:val="99"/>
    <w:pPr>
      <w:ind w:firstLine="420" w:firstLineChars="200"/>
    </w:pPr>
  </w:style>
  <w:style w:type="character" w:customStyle="1" w:styleId="96">
    <w:name w:val="正本文字 Char"/>
    <w:link w:val="97"/>
    <w:qFormat/>
    <w:locked/>
    <w:uiPriority w:val="0"/>
    <w:rPr>
      <w:rFonts w:ascii="宋体" w:hAnsi="宋体"/>
      <w:kern w:val="18"/>
      <w:sz w:val="24"/>
    </w:rPr>
  </w:style>
  <w:style w:type="paragraph" w:customStyle="1" w:styleId="97">
    <w:name w:val="正本文字"/>
    <w:basedOn w:val="1"/>
    <w:link w:val="96"/>
    <w:qFormat/>
    <w:uiPriority w:val="0"/>
    <w:pPr>
      <w:adjustRightInd w:val="0"/>
      <w:snapToGrid w:val="0"/>
      <w:spacing w:line="360" w:lineRule="auto"/>
      <w:ind w:firstLine="200" w:firstLineChars="200"/>
      <w:jc w:val="left"/>
    </w:pPr>
    <w:rPr>
      <w:rFonts w:ascii="宋体" w:hAnsi="宋体"/>
      <w:kern w:val="18"/>
      <w:sz w:val="24"/>
      <w:szCs w:val="20"/>
    </w:rPr>
  </w:style>
  <w:style w:type="paragraph" w:customStyle="1" w:styleId="98">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99">
    <w:name w:val="纯文本 Char"/>
    <w:link w:val="19"/>
    <w:qFormat/>
    <w:uiPriority w:val="0"/>
    <w:rPr>
      <w:rFonts w:ascii="宋体" w:hAnsi="Courier New"/>
      <w:kern w:val="2"/>
      <w:sz w:val="21"/>
      <w:szCs w:val="21"/>
    </w:rPr>
  </w:style>
  <w:style w:type="paragraph" w:customStyle="1" w:styleId="100">
    <w:name w:val="Table Paragraph"/>
    <w:basedOn w:val="1"/>
    <w:link w:val="101"/>
    <w:qFormat/>
    <w:uiPriority w:val="0"/>
    <w:rPr>
      <w:rFonts w:ascii="宋体" w:hAnsi="宋体" w:cs="宋体"/>
      <w:szCs w:val="21"/>
      <w:lang w:val="zh-CN" w:bidi="zh-CN"/>
    </w:rPr>
  </w:style>
  <w:style w:type="character" w:customStyle="1" w:styleId="101">
    <w:name w:val="Table Paragraph Char"/>
    <w:link w:val="100"/>
    <w:qFormat/>
    <w:uiPriority w:val="1"/>
    <w:rPr>
      <w:rFonts w:ascii="宋体" w:hAnsi="宋体" w:cs="宋体"/>
      <w:kern w:val="2"/>
      <w:sz w:val="21"/>
      <w:szCs w:val="21"/>
      <w:lang w:val="zh-CN" w:bidi="zh-CN"/>
    </w:rPr>
  </w:style>
  <w:style w:type="character" w:customStyle="1" w:styleId="102">
    <w:name w:val="表格1 Char1"/>
    <w:link w:val="103"/>
    <w:qFormat/>
    <w:uiPriority w:val="0"/>
    <w:rPr>
      <w:rFonts w:ascii="CG Times (WN)"/>
      <w:sz w:val="24"/>
      <w:lang w:eastAsia="zh-TW"/>
    </w:rPr>
  </w:style>
  <w:style w:type="paragraph" w:customStyle="1" w:styleId="103">
    <w:name w:val="表格1"/>
    <w:basedOn w:val="1"/>
    <w:link w:val="102"/>
    <w:qFormat/>
    <w:uiPriority w:val="0"/>
    <w:pPr>
      <w:adjustRightInd w:val="0"/>
      <w:spacing w:line="360" w:lineRule="atLeast"/>
      <w:jc w:val="center"/>
      <w:textAlignment w:val="baseline"/>
    </w:pPr>
    <w:rPr>
      <w:rFonts w:ascii="CG Times (WN)"/>
      <w:kern w:val="0"/>
      <w:sz w:val="24"/>
      <w:szCs w:val="20"/>
      <w:lang w:eastAsia="zh-TW"/>
    </w:rPr>
  </w:style>
  <w:style w:type="character" w:customStyle="1" w:styleId="104">
    <w:name w:val="批注文字 字符"/>
    <w:qFormat/>
    <w:locked/>
    <w:uiPriority w:val="99"/>
    <w:rPr>
      <w:rFonts w:ascii="Times New Roman" w:hAnsi="Times New Roman" w:eastAsia="宋体"/>
      <w:sz w:val="24"/>
    </w:rPr>
  </w:style>
  <w:style w:type="character" w:customStyle="1" w:styleId="105">
    <w:name w:val="标题 4 Char"/>
    <w:basedOn w:val="31"/>
    <w:link w:val="5"/>
    <w:qFormat/>
    <w:uiPriority w:val="0"/>
    <w:rPr>
      <w:rFonts w:asciiTheme="majorHAnsi" w:hAnsiTheme="majorHAnsi" w:eastAsiaTheme="majorEastAsia" w:cstheme="majorBidi"/>
      <w:b/>
      <w:bCs/>
      <w:kern w:val="2"/>
      <w:sz w:val="28"/>
      <w:szCs w:val="28"/>
    </w:rPr>
  </w:style>
  <w:style w:type="character" w:customStyle="1" w:styleId="106">
    <w:name w:val="Default Char"/>
    <w:link w:val="44"/>
    <w:qFormat/>
    <w:uiPriority w:val="0"/>
    <w:rPr>
      <w:rFonts w:ascii="宋体" w:hAnsi="Courier New"/>
      <w:color w:val="000000"/>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customXml" Target="../customXml/item2.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5.wmf"/><Relationship Id="rId23" Type="http://schemas.openxmlformats.org/officeDocument/2006/relationships/image" Target="media/image14.wmf"/><Relationship Id="rId22" Type="http://schemas.openxmlformats.org/officeDocument/2006/relationships/image" Target="media/image13.wmf"/><Relationship Id="rId21" Type="http://schemas.openxmlformats.org/officeDocument/2006/relationships/image" Target="media/image12.wmf"/><Relationship Id="rId20" Type="http://schemas.openxmlformats.org/officeDocument/2006/relationships/image" Target="media/image11.wmf"/><Relationship Id="rId2" Type="http://schemas.openxmlformats.org/officeDocument/2006/relationships/settings" Target="settings.xml"/><Relationship Id="rId19" Type="http://schemas.openxmlformats.org/officeDocument/2006/relationships/image" Target="media/image10.wmf"/><Relationship Id="rId18" Type="http://schemas.openxmlformats.org/officeDocument/2006/relationships/image" Target="media/image9.wmf"/><Relationship Id="rId17" Type="http://schemas.openxmlformats.org/officeDocument/2006/relationships/image" Target="media/image8.wmf"/><Relationship Id="rId16" Type="http://schemas.openxmlformats.org/officeDocument/2006/relationships/oleObject" Target="embeddings/oleObject1.bin"/><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40ABBC-AD81-4E96-900A-65A2153C6849}">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106</Pages>
  <Words>40950</Words>
  <Characters>48435</Characters>
  <Lines>383</Lines>
  <Paragraphs>107</Paragraphs>
  <TotalTime>1922</TotalTime>
  <ScaleCrop>false</ScaleCrop>
  <LinksUpToDate>false</LinksUpToDate>
  <CharactersWithSpaces>48763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2022-11-03T07:39:00Z</dcterms:created>
  <dc:creator>lhj</dc:creator>
  <cp:lastModifiedBy>建熙</cp:lastModifiedBy>
  <cp:lastPrinted>2021-04-12T07:12:00Z</cp:lastPrinted>
  <dcterms:modified xsi:type="dcterms:W3CDTF">2022-11-28T04:21:42Z</dcterms:modified>
  <dc:title>附件2</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D207E6D5BB5C44B193583A59F7098D18</vt:lpwstr>
  </property>
</Properties>
</file>