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
        <w:spacing w:line="440" w:lineRule="exact"/>
        <w:ind w:firstLine="240" w:firstLineChars="100"/>
        <w:rPr>
          <w:rFonts w:ascii="仿宋" w:hAnsi="仿宋" w:eastAsia="仿宋" w:cs="仿宋"/>
          <w:kern w:val="0"/>
          <w:sz w:val="24"/>
          <w:szCs w:val="24"/>
        </w:rPr>
      </w:pPr>
      <w:bookmarkStart w:id="0" w:name="_Toc6822"/>
      <w:r>
        <w:rPr>
          <w:rFonts w:hint="eastAsia" w:ascii="仿宋" w:hAnsi="仿宋" w:eastAsia="仿宋" w:cs="仿宋"/>
          <w:kern w:val="0"/>
          <w:sz w:val="24"/>
          <w:szCs w:val="24"/>
        </w:rPr>
        <w:t>附件一</w:t>
      </w:r>
    </w:p>
    <w:p>
      <w:pPr>
        <w:pStyle w:val="3"/>
        <w:spacing w:line="440" w:lineRule="exact"/>
        <w:jc w:val="center"/>
        <w:rPr>
          <w:rFonts w:ascii="仿宋" w:hAnsi="仿宋" w:eastAsia="仿宋" w:cs="仿宋"/>
          <w:kern w:val="0"/>
          <w:sz w:val="24"/>
          <w:szCs w:val="24"/>
        </w:rPr>
      </w:pPr>
      <w:r>
        <w:rPr>
          <w:rFonts w:hint="eastAsia" w:ascii="仿宋" w:hAnsi="仿宋" w:eastAsia="仿宋" w:cs="仿宋"/>
          <w:kern w:val="0"/>
          <w:sz w:val="24"/>
          <w:szCs w:val="24"/>
        </w:rPr>
        <w:t>第一部分 询价邀请函</w:t>
      </w:r>
      <w:bookmarkEnd w:id="0"/>
    </w:p>
    <w:p>
      <w:pPr>
        <w:spacing w:line="440" w:lineRule="exact"/>
        <w:rPr>
          <w:rFonts w:ascii="仿宋" w:hAnsi="仿宋" w:eastAsia="仿宋" w:cs="仿宋"/>
          <w:kern w:val="0"/>
          <w:sz w:val="24"/>
        </w:rPr>
      </w:pPr>
      <w:r>
        <w:rPr>
          <w:rFonts w:hint="eastAsia" w:ascii="仿宋" w:hAnsi="仿宋" w:eastAsia="仿宋" w:cs="仿宋"/>
          <w:kern w:val="0"/>
          <w:sz w:val="24"/>
        </w:rPr>
        <w:t>各（潜在）供应商:</w:t>
      </w:r>
    </w:p>
    <w:p>
      <w:pPr>
        <w:spacing w:line="440" w:lineRule="exact"/>
        <w:ind w:firstLine="480" w:firstLineChars="200"/>
        <w:rPr>
          <w:rFonts w:ascii="仿宋" w:hAnsi="仿宋" w:eastAsia="仿宋" w:cs="仿宋"/>
          <w:sz w:val="24"/>
          <w:u w:val="single"/>
        </w:rPr>
      </w:pPr>
      <w:r>
        <w:rPr>
          <w:rFonts w:hint="eastAsia" w:ascii="仿宋" w:hAnsi="仿宋" w:eastAsia="仿宋" w:cs="仿宋"/>
          <w:sz w:val="24"/>
          <w:u w:val="none"/>
        </w:rPr>
        <w:t>博罗县文化广电旅游体育局对</w:t>
      </w:r>
      <w:r>
        <w:rPr>
          <w:rFonts w:hint="eastAsia" w:ascii="仿宋" w:hAnsi="仿宋" w:eastAsia="仿宋" w:cs="仿宋"/>
          <w:b w:val="0"/>
          <w:bCs w:val="0"/>
          <w:sz w:val="24"/>
          <w:szCs w:val="24"/>
          <w:lang w:val="en-US" w:eastAsia="zh-CN"/>
        </w:rPr>
        <w:t>2022年乡村振兴示范带体育健身器材</w:t>
      </w:r>
      <w:r>
        <w:rPr>
          <w:rFonts w:hint="eastAsia" w:ascii="仿宋" w:hAnsi="仿宋" w:eastAsia="仿宋" w:cs="仿宋"/>
          <w:color w:val="000000" w:themeColor="text1"/>
          <w:sz w:val="24"/>
          <w:szCs w:val="24"/>
          <w:u w:val="none"/>
          <w14:textFill>
            <w14:solidFill>
              <w14:schemeClr w14:val="tx1"/>
            </w14:solidFill>
          </w14:textFill>
        </w:rPr>
        <w:t>采购项目</w:t>
      </w:r>
      <w:r>
        <w:rPr>
          <w:rFonts w:hint="eastAsia" w:ascii="仿宋" w:hAnsi="仿宋" w:eastAsia="仿宋" w:cs="仿宋"/>
          <w:color w:val="000000" w:themeColor="text1"/>
          <w:sz w:val="24"/>
          <w:szCs w:val="24"/>
          <w14:textFill>
            <w14:solidFill>
              <w14:schemeClr w14:val="tx1"/>
            </w14:solidFill>
          </w14:textFill>
        </w:rPr>
        <w:t>进</w:t>
      </w:r>
      <w:r>
        <w:rPr>
          <w:rFonts w:hint="eastAsia" w:ascii="仿宋" w:hAnsi="仿宋" w:eastAsia="仿宋" w:cs="仿宋"/>
          <w:sz w:val="24"/>
          <w:szCs w:val="24"/>
        </w:rPr>
        <w:t>行公开询价采购，</w:t>
      </w:r>
      <w:r>
        <w:rPr>
          <w:rFonts w:hint="eastAsia" w:ascii="仿宋" w:hAnsi="仿宋" w:eastAsia="仿宋" w:cs="仿宋"/>
          <w:sz w:val="24"/>
          <w:szCs w:val="24"/>
          <w:lang w:val="zh-CN"/>
        </w:rPr>
        <w:t>欢迎符合资格条件</w:t>
      </w:r>
      <w:r>
        <w:rPr>
          <w:rFonts w:hint="eastAsia" w:ascii="仿宋" w:hAnsi="仿宋" w:eastAsia="仿宋" w:cs="仿宋"/>
          <w:sz w:val="24"/>
          <w:szCs w:val="24"/>
        </w:rPr>
        <w:t>的供应商投标</w:t>
      </w:r>
      <w:r>
        <w:rPr>
          <w:rFonts w:hint="eastAsia" w:ascii="仿宋" w:hAnsi="仿宋" w:eastAsia="仿宋" w:cs="仿宋"/>
          <w:sz w:val="24"/>
        </w:rPr>
        <w:t>。</w:t>
      </w:r>
    </w:p>
    <w:p>
      <w:pPr>
        <w:autoSpaceDE w:val="0"/>
        <w:autoSpaceDN w:val="0"/>
        <w:spacing w:line="440" w:lineRule="exact"/>
        <w:ind w:firstLine="480" w:firstLineChars="200"/>
        <w:rPr>
          <w:rFonts w:ascii="仿宋" w:hAnsi="仿宋" w:eastAsia="仿宋" w:cs="仿宋"/>
          <w:sz w:val="24"/>
          <w:lang w:val="zh-CN"/>
        </w:rPr>
      </w:pPr>
      <w:r>
        <w:rPr>
          <w:rFonts w:hint="eastAsia" w:ascii="仿宋" w:hAnsi="仿宋" w:eastAsia="仿宋" w:cs="仿宋"/>
          <w:b/>
          <w:bCs/>
          <w:sz w:val="24"/>
        </w:rPr>
        <w:t>一、采购项目名称：</w:t>
      </w:r>
      <w:r>
        <w:rPr>
          <w:rFonts w:hint="eastAsia" w:ascii="仿宋" w:hAnsi="仿宋" w:eastAsia="仿宋" w:cs="仿宋"/>
          <w:sz w:val="24"/>
        </w:rPr>
        <w:t>博罗县文化广电旅游体育局202</w:t>
      </w:r>
      <w:r>
        <w:rPr>
          <w:rFonts w:ascii="仿宋" w:hAnsi="仿宋" w:eastAsia="仿宋" w:cs="仿宋"/>
          <w:sz w:val="24"/>
        </w:rPr>
        <w:t>2</w:t>
      </w:r>
      <w:r>
        <w:rPr>
          <w:rFonts w:hint="eastAsia" w:ascii="仿宋" w:hAnsi="仿宋" w:eastAsia="仿宋" w:cs="仿宋"/>
          <w:sz w:val="24"/>
        </w:rPr>
        <w:t>年</w:t>
      </w:r>
      <w:r>
        <w:rPr>
          <w:rFonts w:hint="eastAsia" w:ascii="仿宋" w:hAnsi="仿宋" w:eastAsia="仿宋" w:cs="仿宋"/>
          <w:b w:val="0"/>
          <w:bCs w:val="0"/>
          <w:sz w:val="24"/>
          <w:szCs w:val="24"/>
          <w:lang w:val="en-US" w:eastAsia="zh-CN"/>
        </w:rPr>
        <w:t>乡村振兴示范带</w:t>
      </w:r>
      <w:r>
        <w:rPr>
          <w:rFonts w:hint="eastAsia" w:ascii="仿宋" w:hAnsi="仿宋" w:eastAsia="仿宋" w:cs="仿宋"/>
          <w:sz w:val="24"/>
        </w:rPr>
        <w:t>健身器材采购项目</w:t>
      </w:r>
    </w:p>
    <w:p>
      <w:pPr>
        <w:autoSpaceDE w:val="0"/>
        <w:autoSpaceDN w:val="0"/>
        <w:spacing w:line="440" w:lineRule="exact"/>
        <w:ind w:firstLine="480" w:firstLineChars="200"/>
        <w:rPr>
          <w:rFonts w:ascii="仿宋" w:hAnsi="仿宋" w:eastAsia="仿宋" w:cs="仿宋"/>
          <w:sz w:val="24"/>
        </w:rPr>
      </w:pPr>
      <w:r>
        <w:rPr>
          <w:rFonts w:hint="eastAsia" w:ascii="仿宋" w:hAnsi="仿宋" w:eastAsia="仿宋" w:cs="仿宋"/>
          <w:b/>
          <w:bCs/>
          <w:sz w:val="24"/>
          <w:lang w:val="zh-CN"/>
        </w:rPr>
        <w:t>三、采购项目预算金额：</w:t>
      </w:r>
      <w:r>
        <w:rPr>
          <w:rFonts w:hint="eastAsia" w:ascii="仿宋" w:hAnsi="仿宋" w:eastAsia="仿宋" w:cs="仿宋"/>
          <w:sz w:val="24"/>
        </w:rPr>
        <w:t>人民币8</w:t>
      </w:r>
      <w:r>
        <w:rPr>
          <w:rFonts w:ascii="仿宋" w:hAnsi="仿宋" w:eastAsia="仿宋" w:cs="仿宋"/>
          <w:sz w:val="24"/>
        </w:rPr>
        <w:t>3</w:t>
      </w:r>
      <w:r>
        <w:rPr>
          <w:rFonts w:hint="eastAsia" w:ascii="仿宋" w:hAnsi="仿宋" w:eastAsia="仿宋" w:cs="仿宋"/>
          <w:sz w:val="24"/>
        </w:rPr>
        <w:t>.</w:t>
      </w:r>
      <w:r>
        <w:rPr>
          <w:rFonts w:ascii="仿宋" w:hAnsi="仿宋" w:eastAsia="仿宋" w:cs="仿宋"/>
          <w:sz w:val="24"/>
        </w:rPr>
        <w:t>06</w:t>
      </w:r>
      <w:r>
        <w:rPr>
          <w:rFonts w:hint="eastAsia" w:ascii="仿宋" w:hAnsi="仿宋" w:eastAsia="仿宋" w:cs="仿宋"/>
          <w:sz w:val="24"/>
        </w:rPr>
        <w:t>万元</w:t>
      </w:r>
    </w:p>
    <w:p>
      <w:pPr>
        <w:autoSpaceDE w:val="0"/>
        <w:autoSpaceDN w:val="0"/>
        <w:spacing w:line="440" w:lineRule="exact"/>
        <w:ind w:firstLine="480" w:firstLineChars="200"/>
        <w:rPr>
          <w:rFonts w:ascii="仿宋" w:hAnsi="仿宋" w:eastAsia="仿宋" w:cs="仿宋"/>
          <w:sz w:val="24"/>
          <w:lang w:val="zh-CN"/>
        </w:rPr>
      </w:pPr>
      <w:r>
        <w:rPr>
          <w:rFonts w:hint="eastAsia" w:ascii="仿宋" w:hAnsi="仿宋" w:eastAsia="仿宋" w:cs="仿宋"/>
          <w:b/>
          <w:bCs/>
          <w:sz w:val="24"/>
          <w:lang w:val="zh-CN"/>
        </w:rPr>
        <w:t>四、采购数量：</w:t>
      </w:r>
      <w:r>
        <w:rPr>
          <w:rFonts w:hint="eastAsia" w:ascii="仿宋" w:hAnsi="仿宋" w:eastAsia="仿宋" w:cs="仿宋"/>
          <w:sz w:val="24"/>
        </w:rPr>
        <w:t>1批</w:t>
      </w:r>
    </w:p>
    <w:p>
      <w:pPr>
        <w:autoSpaceDE w:val="0"/>
        <w:autoSpaceDN w:val="0"/>
        <w:spacing w:line="440" w:lineRule="exact"/>
        <w:ind w:firstLine="480" w:firstLineChars="200"/>
        <w:rPr>
          <w:rFonts w:ascii="仿宋" w:hAnsi="仿宋" w:eastAsia="仿宋" w:cs="仿宋"/>
          <w:b/>
          <w:bCs/>
          <w:sz w:val="24"/>
          <w:lang w:val="zh-CN"/>
        </w:rPr>
      </w:pPr>
      <w:r>
        <w:rPr>
          <w:rFonts w:hint="eastAsia" w:ascii="仿宋" w:hAnsi="仿宋" w:eastAsia="仿宋" w:cs="仿宋"/>
          <w:b/>
          <w:bCs/>
          <w:sz w:val="24"/>
          <w:lang w:val="zh-CN"/>
        </w:rPr>
        <w:t>五、采购项目内容及需求 (采购项目技术规格、参数及要求，需要落实的政府采购政策) ：</w:t>
      </w:r>
    </w:p>
    <w:p>
      <w:pPr>
        <w:autoSpaceDE w:val="0"/>
        <w:autoSpaceDN w:val="0"/>
        <w:spacing w:before="156" w:beforeLines="50" w:line="440" w:lineRule="exact"/>
        <w:ind w:firstLine="480" w:firstLineChars="200"/>
        <w:rPr>
          <w:rFonts w:ascii="仿宋" w:hAnsi="仿宋" w:eastAsia="仿宋" w:cs="仿宋"/>
          <w:kern w:val="0"/>
          <w:sz w:val="24"/>
        </w:rPr>
      </w:pPr>
      <w:r>
        <w:rPr>
          <w:rFonts w:hint="eastAsia" w:ascii="仿宋" w:hAnsi="仿宋" w:eastAsia="仿宋" w:cs="仿宋"/>
          <w:kern w:val="0"/>
          <w:sz w:val="24"/>
        </w:rPr>
        <w:t>1.采购项目内容：</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2883"/>
        <w:gridCol w:w="1030"/>
        <w:gridCol w:w="219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3"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序号</w:t>
            </w:r>
          </w:p>
        </w:tc>
        <w:tc>
          <w:tcPr>
            <w:tcW w:w="1455"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采购内容</w:t>
            </w:r>
          </w:p>
        </w:tc>
        <w:tc>
          <w:tcPr>
            <w:tcW w:w="518" w:type="pct"/>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数量</w:t>
            </w:r>
          </w:p>
        </w:tc>
        <w:tc>
          <w:tcPr>
            <w:tcW w:w="1106"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预算金额（元）</w:t>
            </w:r>
          </w:p>
        </w:tc>
        <w:tc>
          <w:tcPr>
            <w:tcW w:w="1434"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483"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01</w:t>
            </w:r>
          </w:p>
        </w:tc>
        <w:tc>
          <w:tcPr>
            <w:tcW w:w="1455" w:type="pct"/>
            <w:vAlign w:val="center"/>
          </w:tcPr>
          <w:p>
            <w:pPr>
              <w:tabs>
                <w:tab w:val="left" w:pos="0"/>
                <w:tab w:val="left" w:pos="34"/>
              </w:tabs>
              <w:spacing w:line="440" w:lineRule="exact"/>
              <w:ind w:left="34" w:hanging="34"/>
              <w:jc w:val="center"/>
              <w:rPr>
                <w:rFonts w:ascii="仿宋" w:hAnsi="仿宋" w:eastAsia="仿宋" w:cs="仿宋"/>
                <w:sz w:val="24"/>
              </w:rPr>
            </w:pPr>
            <w:r>
              <w:rPr>
                <w:rFonts w:hint="eastAsia" w:ascii="仿宋" w:hAnsi="仿宋" w:eastAsia="仿宋" w:cs="仿宋"/>
                <w:sz w:val="24"/>
              </w:rPr>
              <w:t>健身器材</w:t>
            </w:r>
          </w:p>
        </w:tc>
        <w:tc>
          <w:tcPr>
            <w:tcW w:w="518" w:type="pct"/>
            <w:vAlign w:val="center"/>
          </w:tcPr>
          <w:p>
            <w:pPr>
              <w:tabs>
                <w:tab w:val="left" w:pos="0"/>
                <w:tab w:val="left" w:pos="425"/>
              </w:tabs>
              <w:spacing w:line="440" w:lineRule="exact"/>
              <w:jc w:val="center"/>
              <w:rPr>
                <w:rFonts w:ascii="仿宋" w:hAnsi="仿宋" w:eastAsia="仿宋" w:cs="仿宋"/>
                <w:sz w:val="24"/>
              </w:rPr>
            </w:pPr>
            <w:r>
              <w:rPr>
                <w:rFonts w:hint="eastAsia" w:ascii="仿宋" w:hAnsi="仿宋" w:eastAsia="仿宋" w:cs="仿宋"/>
                <w:sz w:val="24"/>
              </w:rPr>
              <w:t>1批</w:t>
            </w:r>
          </w:p>
        </w:tc>
        <w:tc>
          <w:tcPr>
            <w:tcW w:w="1106"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w:t>
            </w:r>
            <w:r>
              <w:rPr>
                <w:rFonts w:ascii="仿宋" w:hAnsi="仿宋" w:eastAsia="仿宋" w:cs="仿宋"/>
                <w:sz w:val="24"/>
              </w:rPr>
              <w:t>830600.00</w:t>
            </w:r>
          </w:p>
        </w:tc>
        <w:tc>
          <w:tcPr>
            <w:tcW w:w="1434"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不接受进口产品投标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8" w:type="pct"/>
            <w:gridSpan w:val="3"/>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合计</w:t>
            </w:r>
          </w:p>
        </w:tc>
        <w:tc>
          <w:tcPr>
            <w:tcW w:w="1106" w:type="pct"/>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w:t>
            </w:r>
            <w:r>
              <w:rPr>
                <w:rFonts w:ascii="仿宋" w:hAnsi="仿宋" w:eastAsia="仿宋" w:cs="仿宋"/>
                <w:sz w:val="24"/>
              </w:rPr>
              <w:t>830600.00</w:t>
            </w:r>
          </w:p>
        </w:tc>
        <w:tc>
          <w:tcPr>
            <w:tcW w:w="1434" w:type="pct"/>
          </w:tcPr>
          <w:p>
            <w:pPr>
              <w:tabs>
                <w:tab w:val="left" w:pos="0"/>
                <w:tab w:val="left" w:pos="425"/>
              </w:tabs>
              <w:spacing w:line="440" w:lineRule="exact"/>
              <w:ind w:left="425" w:hanging="425"/>
              <w:jc w:val="center"/>
              <w:rPr>
                <w:rFonts w:ascii="仿宋" w:hAnsi="仿宋" w:eastAsia="仿宋" w:cs="仿宋"/>
                <w:sz w:val="24"/>
              </w:rPr>
            </w:pPr>
          </w:p>
        </w:tc>
      </w:tr>
    </w:tbl>
    <w:p>
      <w:pPr>
        <w:numPr>
          <w:ilvl w:val="0"/>
          <w:numId w:val="1"/>
        </w:numPr>
        <w:autoSpaceDE w:val="0"/>
        <w:autoSpaceDN w:val="0"/>
        <w:spacing w:line="440" w:lineRule="exact"/>
        <w:ind w:firstLine="480" w:firstLineChars="200"/>
        <w:jc w:val="left"/>
        <w:rPr>
          <w:rFonts w:ascii="仿宋" w:hAnsi="仿宋" w:eastAsia="仿宋" w:cs="仿宋"/>
          <w:kern w:val="0"/>
          <w:sz w:val="24"/>
        </w:rPr>
      </w:pPr>
      <w:r>
        <w:rPr>
          <w:rFonts w:hint="eastAsia" w:ascii="仿宋" w:hAnsi="仿宋" w:eastAsia="仿宋" w:cs="仿宋"/>
          <w:kern w:val="0"/>
          <w:sz w:val="24"/>
        </w:rPr>
        <w:t>采购项目技术规格、参数及要求：详见询价文件第二部分。</w:t>
      </w:r>
    </w:p>
    <w:p>
      <w:pPr>
        <w:numPr>
          <w:ilvl w:val="0"/>
          <w:numId w:val="1"/>
        </w:numPr>
        <w:autoSpaceDE w:val="0"/>
        <w:autoSpaceDN w:val="0"/>
        <w:spacing w:line="440" w:lineRule="exact"/>
        <w:ind w:firstLine="480" w:firstLineChars="200"/>
        <w:jc w:val="left"/>
        <w:rPr>
          <w:rFonts w:ascii="仿宋" w:hAnsi="仿宋" w:eastAsia="仿宋" w:cs="仿宋"/>
          <w:kern w:val="0"/>
          <w:sz w:val="24"/>
        </w:rPr>
      </w:pPr>
      <w:r>
        <w:rPr>
          <w:rFonts w:hint="eastAsia" w:ascii="仿宋" w:hAnsi="仿宋" w:eastAsia="仿宋" w:cs="仿宋"/>
          <w:sz w:val="24"/>
          <w:lang w:val="zh-CN"/>
        </w:rPr>
        <w:t>需要落实的政府采购政策</w:t>
      </w:r>
      <w:r>
        <w:rPr>
          <w:rFonts w:hint="eastAsia" w:ascii="仿宋" w:hAnsi="仿宋" w:eastAsia="仿宋" w:cs="仿宋"/>
          <w:sz w:val="24"/>
        </w:rPr>
        <w:t>:</w:t>
      </w:r>
      <w:r>
        <w:rPr>
          <w:rFonts w:hint="eastAsia" w:ascii="仿宋" w:hAnsi="仿宋" w:eastAsia="仿宋" w:cs="仿宋"/>
          <w:kern w:val="0"/>
          <w:sz w:val="24"/>
        </w:rPr>
        <w:t>《政府采购促进中小企业发展暂行办法》（财库〔2011〕181号）、《关于政府采购支持监狱企业发展有关问题的通知》(财库〔2014〕68号)、《关于促进残疾人就业政府采购政策的通知》（财库〔2017〕141号)、《关于环境标志产品政府采购实施的意见》（财库〔2006〕90号、《节能产品政府采购实施意见》的通知（财库〔2004〕185号）、</w:t>
      </w:r>
      <w:r>
        <w:rPr>
          <w:rFonts w:hint="eastAsia" w:ascii="仿宋" w:hAnsi="仿宋" w:eastAsia="仿宋" w:cs="仿宋"/>
          <w:sz w:val="24"/>
        </w:rPr>
        <w:t>《关于调整优化节能产品、环境标志产品政府采购执行机制的通知》（财库〔2019〕9号）、</w:t>
      </w:r>
      <w:r>
        <w:rPr>
          <w:rFonts w:hint="eastAsia" w:ascii="仿宋" w:hAnsi="仿宋" w:eastAsia="仿宋" w:cs="仿宋"/>
          <w:kern w:val="0"/>
          <w:sz w:val="24"/>
        </w:rPr>
        <w:t>《关于政府采购进口产品管理有关问题的通知》</w:t>
      </w:r>
      <w:r>
        <w:rPr>
          <w:rFonts w:hint="eastAsia" w:ascii="仿宋" w:hAnsi="仿宋" w:eastAsia="仿宋" w:cs="仿宋"/>
          <w:sz w:val="24"/>
        </w:rPr>
        <w:t>（财</w:t>
      </w:r>
      <w:r>
        <w:rPr>
          <w:rFonts w:hint="eastAsia" w:ascii="仿宋" w:hAnsi="仿宋" w:eastAsia="仿宋" w:cs="仿宋"/>
          <w:kern w:val="0"/>
          <w:sz w:val="24"/>
        </w:rPr>
        <w:t>办库 2008[248]号文）。</w:t>
      </w:r>
    </w:p>
    <w:p>
      <w:pPr>
        <w:autoSpaceDE w:val="0"/>
        <w:autoSpaceDN w:val="0"/>
        <w:spacing w:line="440" w:lineRule="exact"/>
        <w:ind w:firstLine="480" w:firstLineChars="200"/>
        <w:jc w:val="left"/>
        <w:rPr>
          <w:rFonts w:ascii="仿宋" w:hAnsi="仿宋" w:eastAsia="仿宋" w:cs="仿宋"/>
          <w:kern w:val="0"/>
          <w:sz w:val="24"/>
        </w:rPr>
      </w:pPr>
      <w:r>
        <w:rPr>
          <w:rFonts w:hint="eastAsia" w:ascii="仿宋" w:hAnsi="仿宋" w:eastAsia="仿宋" w:cs="仿宋"/>
          <w:kern w:val="0"/>
          <w:sz w:val="24"/>
        </w:rPr>
        <w:t>4．供应商应对包内所有的询价内容进行投标，不允许只对其中部分内容进行投标。</w:t>
      </w:r>
    </w:p>
    <w:p>
      <w:pPr>
        <w:autoSpaceDE w:val="0"/>
        <w:autoSpaceDN w:val="0"/>
        <w:spacing w:line="440" w:lineRule="exact"/>
        <w:ind w:firstLine="480" w:firstLineChars="200"/>
        <w:rPr>
          <w:rFonts w:ascii="仿宋" w:hAnsi="仿宋" w:eastAsia="仿宋" w:cs="仿宋"/>
          <w:b/>
          <w:bCs/>
          <w:kern w:val="0"/>
          <w:sz w:val="24"/>
          <w:lang w:val="zh-CN"/>
        </w:rPr>
      </w:pPr>
      <w:r>
        <w:rPr>
          <w:rFonts w:hint="eastAsia" w:ascii="仿宋" w:hAnsi="仿宋" w:eastAsia="仿宋" w:cs="仿宋"/>
          <w:b/>
          <w:bCs/>
          <w:sz w:val="24"/>
          <w:lang w:val="zh-CN"/>
        </w:rPr>
        <w:t>六</w:t>
      </w:r>
      <w:r>
        <w:rPr>
          <w:rFonts w:hint="eastAsia" w:ascii="仿宋" w:hAnsi="仿宋" w:eastAsia="仿宋" w:cs="仿宋"/>
          <w:b/>
          <w:bCs/>
          <w:kern w:val="0"/>
          <w:sz w:val="24"/>
          <w:lang w:val="zh-CN"/>
        </w:rPr>
        <w:t>、供应商资格：</w:t>
      </w:r>
    </w:p>
    <w:p>
      <w:pPr>
        <w:numPr>
          <w:ilvl w:val="0"/>
          <w:numId w:val="2"/>
        </w:numPr>
        <w:adjustRightInd w:val="0"/>
        <w:snapToGrid w:val="0"/>
        <w:spacing w:line="440" w:lineRule="exact"/>
        <w:ind w:left="0" w:firstLine="567"/>
        <w:rPr>
          <w:rFonts w:ascii="仿宋" w:hAnsi="仿宋" w:eastAsia="仿宋" w:cs="仿宋"/>
          <w:sz w:val="24"/>
        </w:rPr>
      </w:pPr>
      <w:r>
        <w:rPr>
          <w:rFonts w:hint="eastAsia" w:ascii="仿宋" w:hAnsi="仿宋" w:eastAsia="仿宋" w:cs="仿宋"/>
          <w:sz w:val="24"/>
        </w:rPr>
        <w:t>投标人应具备《政府采购法》第二十二条规定的条件，提供下列材料：</w:t>
      </w:r>
    </w:p>
    <w:p>
      <w:pPr>
        <w:adjustRightInd w:val="0"/>
        <w:snapToGrid w:val="0"/>
        <w:spacing w:line="440" w:lineRule="exact"/>
        <w:ind w:firstLine="504" w:firstLineChars="210"/>
        <w:rPr>
          <w:rFonts w:ascii="仿宋" w:hAnsi="仿宋" w:eastAsia="仿宋" w:cs="仿宋"/>
          <w:sz w:val="24"/>
        </w:rPr>
      </w:pPr>
      <w:r>
        <w:rPr>
          <w:rFonts w:hint="eastAsia" w:ascii="仿宋" w:hAnsi="仿宋" w:eastAsia="仿宋" w:cs="仿宋"/>
          <w:sz w:val="24"/>
        </w:rPr>
        <w:t>1）供应商必须是具有独立承担民事责任能力的在中华人民共和国境内注册的法人或其他组织或自然人，投标时提交有效的营业执照（或事业法人登记证或身份证等相关证明）副本复印件。</w:t>
      </w:r>
    </w:p>
    <w:p>
      <w:pPr>
        <w:adjustRightInd w:val="0"/>
        <w:snapToGrid w:val="0"/>
        <w:spacing w:line="440" w:lineRule="exact"/>
        <w:ind w:firstLine="504" w:firstLineChars="210"/>
        <w:rPr>
          <w:rFonts w:ascii="仿宋" w:hAnsi="仿宋" w:eastAsia="仿宋" w:cs="仿宋"/>
          <w:sz w:val="24"/>
        </w:rPr>
      </w:pPr>
      <w:r>
        <w:rPr>
          <w:rFonts w:hint="eastAsia" w:ascii="仿宋" w:hAnsi="仿宋" w:eastAsia="仿宋" w:cs="仿宋"/>
          <w:sz w:val="24"/>
        </w:rPr>
        <w:t>2）供应商必须具有良好的商业信誉和健全的财务会计制度（提供20</w:t>
      </w:r>
      <w:r>
        <w:rPr>
          <w:rFonts w:hint="eastAsia" w:ascii="仿宋" w:hAnsi="仿宋" w:eastAsia="仿宋" w:cs="仿宋"/>
          <w:sz w:val="24"/>
          <w:lang w:val="en-US" w:eastAsia="zh-CN"/>
        </w:rPr>
        <w:t>20</w:t>
      </w:r>
      <w:r>
        <w:rPr>
          <w:rFonts w:hint="eastAsia" w:ascii="仿宋" w:hAnsi="仿宋" w:eastAsia="仿宋" w:cs="仿宋"/>
          <w:sz w:val="24"/>
        </w:rPr>
        <w:t>年度或202</w:t>
      </w:r>
      <w:r>
        <w:rPr>
          <w:rFonts w:hint="eastAsia" w:ascii="仿宋" w:hAnsi="仿宋" w:eastAsia="仿宋" w:cs="仿宋"/>
          <w:sz w:val="24"/>
          <w:lang w:val="en-US" w:eastAsia="zh-CN"/>
        </w:rPr>
        <w:t>1</w:t>
      </w:r>
      <w:r>
        <w:rPr>
          <w:rFonts w:hint="eastAsia" w:ascii="仿宋" w:hAnsi="仿宋" w:eastAsia="仿宋" w:cs="仿宋"/>
          <w:sz w:val="24"/>
        </w:rPr>
        <w:t>年度财务状况报告或基本开户行出具的资信证明）</w:t>
      </w:r>
      <w:bookmarkStart w:id="10" w:name="_GoBack"/>
      <w:bookmarkEnd w:id="10"/>
      <w:r>
        <w:rPr>
          <w:rFonts w:hint="eastAsia" w:ascii="仿宋" w:hAnsi="仿宋" w:eastAsia="仿宋" w:cs="仿宋"/>
          <w:sz w:val="24"/>
        </w:rPr>
        <w:t>。</w:t>
      </w:r>
    </w:p>
    <w:p>
      <w:pPr>
        <w:adjustRightInd w:val="0"/>
        <w:snapToGrid w:val="0"/>
        <w:spacing w:line="440" w:lineRule="exact"/>
        <w:ind w:firstLine="504" w:firstLineChars="210"/>
        <w:rPr>
          <w:rFonts w:ascii="仿宋" w:hAnsi="仿宋" w:eastAsia="仿宋" w:cs="仿宋"/>
          <w:sz w:val="24"/>
        </w:rPr>
      </w:pPr>
      <w:r>
        <w:rPr>
          <w:rFonts w:hint="eastAsia" w:ascii="仿宋" w:hAnsi="仿宋" w:eastAsia="仿宋" w:cs="仿宋"/>
          <w:sz w:val="24"/>
        </w:rPr>
        <w:t>3）有依法缴纳税收和社会保障资金的良好记录（提供投标截止日前6个月内任意1个月依法缴纳税收和社会保障资金的相关材料。如依法免税或不需要缴纳社会保障资金的，提供相应证明材料）。</w:t>
      </w:r>
    </w:p>
    <w:p>
      <w:pPr>
        <w:adjustRightInd w:val="0"/>
        <w:snapToGrid w:val="0"/>
        <w:spacing w:line="440" w:lineRule="exact"/>
        <w:ind w:firstLine="504" w:firstLineChars="210"/>
        <w:rPr>
          <w:rFonts w:ascii="仿宋" w:hAnsi="仿宋" w:eastAsia="仿宋" w:cs="仿宋"/>
          <w:sz w:val="24"/>
        </w:rPr>
      </w:pPr>
      <w:r>
        <w:rPr>
          <w:rFonts w:hint="eastAsia" w:ascii="仿宋" w:hAnsi="仿宋" w:eastAsia="仿宋" w:cs="仿宋"/>
          <w:sz w:val="24"/>
        </w:rPr>
        <w:t>4）具备履行合同所必需的设备和专业技术能力（按投标文件格式填报设备及专业技术能力情况表）。</w:t>
      </w:r>
    </w:p>
    <w:p>
      <w:pPr>
        <w:adjustRightInd w:val="0"/>
        <w:snapToGrid w:val="0"/>
        <w:spacing w:line="440" w:lineRule="exact"/>
        <w:ind w:firstLine="504" w:firstLineChars="210"/>
        <w:rPr>
          <w:rFonts w:ascii="仿宋" w:hAnsi="仿宋" w:eastAsia="仿宋" w:cs="仿宋"/>
          <w:sz w:val="24"/>
        </w:rPr>
      </w:pPr>
      <w:r>
        <w:rPr>
          <w:rFonts w:hint="eastAsia" w:ascii="仿宋" w:hAnsi="仿宋" w:eastAsia="仿宋" w:cs="仿宋"/>
          <w:sz w:val="24"/>
        </w:rPr>
        <w:t>5）供应商参加政府采购活动前三年内，在经营活动中没有重大违法记录（可参照投标文件格式内容）。</w:t>
      </w:r>
    </w:p>
    <w:p>
      <w:pPr>
        <w:adjustRightInd w:val="0"/>
        <w:snapToGrid w:val="0"/>
        <w:spacing w:line="440" w:lineRule="exact"/>
        <w:ind w:firstLine="504" w:firstLineChars="210"/>
        <w:rPr>
          <w:rFonts w:ascii="仿宋" w:hAnsi="仿宋" w:eastAsia="仿宋" w:cs="仿宋"/>
          <w:sz w:val="24"/>
        </w:rPr>
      </w:pPr>
      <w:r>
        <w:rPr>
          <w:rFonts w:hint="eastAsia" w:ascii="仿宋" w:hAnsi="仿宋" w:eastAsia="仿宋" w:cs="仿宋"/>
          <w:sz w:val="24"/>
        </w:rPr>
        <w:t>6）供应商必须符合法律、行政法规规定的其他条件（提供承诺函，格式自拟）。</w:t>
      </w:r>
    </w:p>
    <w:p>
      <w:pPr>
        <w:numPr>
          <w:ilvl w:val="0"/>
          <w:numId w:val="2"/>
        </w:numPr>
        <w:adjustRightInd w:val="0"/>
        <w:snapToGrid w:val="0"/>
        <w:spacing w:line="440" w:lineRule="exact"/>
        <w:ind w:left="0" w:firstLine="567"/>
        <w:rPr>
          <w:rFonts w:ascii="仿宋" w:hAnsi="仿宋" w:eastAsia="仿宋" w:cs="仿宋"/>
          <w:sz w:val="24"/>
        </w:rPr>
      </w:pPr>
      <w:r>
        <w:rPr>
          <w:rFonts w:hint="eastAsia" w:ascii="仿宋" w:hAnsi="仿宋" w:eastAsia="仿宋" w:cs="仿宋"/>
          <w:sz w:val="24"/>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政府采购代理机构于报价截止日当天在“信用中国”网站（www.creditchina.gov.cn）及中国政府采购网(www.ccgp.gov.cn)查询结果为准，如相关失信记录已失效，供应商需提供相关证明资料）。</w:t>
      </w:r>
    </w:p>
    <w:p>
      <w:pPr>
        <w:adjustRightInd w:val="0"/>
        <w:snapToGrid w:val="0"/>
        <w:spacing w:line="440" w:lineRule="exact"/>
        <w:ind w:firstLine="480" w:firstLineChars="200"/>
        <w:rPr>
          <w:rFonts w:ascii="仿宋" w:hAnsi="仿宋" w:eastAsia="仿宋" w:cs="仿宋"/>
          <w:sz w:val="24"/>
        </w:rPr>
      </w:pPr>
      <w:r>
        <w:rPr>
          <w:rFonts w:hint="eastAsia" w:ascii="仿宋" w:hAnsi="仿宋" w:eastAsia="仿宋" w:cs="仿宋"/>
          <w:sz w:val="24"/>
        </w:rPr>
        <w:t>3.本项目不接受进口产品投标，进口产品是指通过中国海关报关验放进入中国境内且产自关境外的产品。</w:t>
      </w:r>
    </w:p>
    <w:p>
      <w:pPr>
        <w:adjustRightInd w:val="0"/>
        <w:snapToGrid w:val="0"/>
        <w:spacing w:line="440" w:lineRule="exact"/>
        <w:ind w:firstLine="480" w:firstLineChars="200"/>
        <w:rPr>
          <w:rFonts w:ascii="仿宋" w:hAnsi="仿宋" w:eastAsia="仿宋" w:cs="仿宋"/>
          <w:sz w:val="24"/>
        </w:rPr>
      </w:pPr>
      <w:r>
        <w:rPr>
          <w:rFonts w:hint="eastAsia" w:ascii="仿宋" w:hAnsi="仿宋" w:eastAsia="仿宋" w:cs="仿宋"/>
          <w:sz w:val="24"/>
        </w:rPr>
        <w:t>4.单位负责人为同一人或者存在直接控股、管理关系的不同供应商，不得同时参加本采购项目（包组）投标。</w:t>
      </w:r>
    </w:p>
    <w:p>
      <w:pPr>
        <w:adjustRightInd w:val="0"/>
        <w:snapToGrid w:val="0"/>
        <w:spacing w:line="440" w:lineRule="exact"/>
        <w:ind w:firstLine="480" w:firstLineChars="200"/>
        <w:rPr>
          <w:rFonts w:ascii="仿宋" w:hAnsi="仿宋" w:eastAsia="仿宋" w:cs="仿宋"/>
          <w:sz w:val="24"/>
        </w:rPr>
      </w:pPr>
      <w:r>
        <w:rPr>
          <w:rFonts w:hint="eastAsia" w:ascii="仿宋" w:hAnsi="仿宋" w:eastAsia="仿宋" w:cs="仿宋"/>
          <w:sz w:val="24"/>
        </w:rPr>
        <w:t>5.本项目不接受联合体投标。</w:t>
      </w:r>
    </w:p>
    <w:p>
      <w:pPr>
        <w:spacing w:line="440" w:lineRule="exact"/>
        <w:ind w:firstLine="504" w:firstLineChars="210"/>
        <w:rPr>
          <w:rFonts w:ascii="仿宋" w:hAnsi="仿宋" w:eastAsia="仿宋" w:cs="仿宋"/>
          <w:color w:val="000000" w:themeColor="text1"/>
          <w:sz w:val="24"/>
          <w14:textFill>
            <w14:solidFill>
              <w14:schemeClr w14:val="tx1"/>
            </w14:solidFill>
          </w14:textFill>
        </w:rPr>
      </w:pPr>
      <w:r>
        <w:rPr>
          <w:rFonts w:hint="eastAsia" w:ascii="仿宋" w:hAnsi="仿宋" w:eastAsia="仿宋" w:cs="仿宋"/>
          <w:sz w:val="24"/>
        </w:rPr>
        <w:t>七、符合资格的供应商应当</w:t>
      </w:r>
      <w:r>
        <w:rPr>
          <w:rFonts w:hint="eastAsia" w:ascii="仿宋" w:hAnsi="仿宋" w:eastAsia="仿宋" w:cs="仿宋"/>
          <w:color w:val="000000" w:themeColor="text1"/>
          <w:sz w:val="24"/>
          <w14:textFill>
            <w14:solidFill>
              <w14:schemeClr w14:val="tx1"/>
            </w14:solidFill>
          </w14:textFill>
        </w:rPr>
        <w:t>在</w:t>
      </w:r>
      <w:r>
        <w:rPr>
          <w:rFonts w:hint="eastAsia" w:ascii="仿宋" w:hAnsi="仿宋" w:eastAsia="仿宋" w:cs="仿宋"/>
          <w:color w:val="000000" w:themeColor="text1"/>
          <w:sz w:val="24"/>
          <w:lang w:val="zh-CN"/>
          <w14:textFill>
            <w14:solidFill>
              <w14:schemeClr w14:val="tx1"/>
            </w14:solidFill>
          </w14:textFill>
        </w:rPr>
        <w:t>20</w:t>
      </w:r>
      <w:r>
        <w:rPr>
          <w:rFonts w:ascii="仿宋" w:hAnsi="仿宋" w:eastAsia="仿宋" w:cs="仿宋"/>
          <w:color w:val="000000" w:themeColor="text1"/>
          <w:sz w:val="24"/>
          <w:lang w:val="zh-CN"/>
          <w14:textFill>
            <w14:solidFill>
              <w14:schemeClr w14:val="tx1"/>
            </w14:solidFill>
          </w14:textFill>
        </w:rPr>
        <w:t>22</w:t>
      </w:r>
      <w:r>
        <w:rPr>
          <w:rFonts w:hint="eastAsia" w:ascii="仿宋" w:hAnsi="仿宋" w:eastAsia="仿宋" w:cs="仿宋"/>
          <w:color w:val="000000" w:themeColor="text1"/>
          <w:sz w:val="24"/>
          <w:lang w:val="zh-CN"/>
          <w14:textFill>
            <w14:solidFill>
              <w14:schemeClr w14:val="tx1"/>
            </w14:solidFill>
          </w14:textFill>
        </w:rPr>
        <w:t>年</w:t>
      </w:r>
      <w:r>
        <w:rPr>
          <w:rFonts w:ascii="仿宋" w:hAnsi="仿宋" w:eastAsia="仿宋" w:cs="仿宋"/>
          <w:color w:val="000000" w:themeColor="text1"/>
          <w:sz w:val="24"/>
          <w14:textFill>
            <w14:solidFill>
              <w14:schemeClr w14:val="tx1"/>
            </w14:solidFill>
          </w14:textFill>
        </w:rPr>
        <w:t>12</w:t>
      </w:r>
      <w:r>
        <w:rPr>
          <w:rFonts w:hint="eastAsia" w:ascii="仿宋" w:hAnsi="仿宋" w:eastAsia="仿宋" w:cs="仿宋"/>
          <w:color w:val="000000" w:themeColor="text1"/>
          <w:sz w:val="24"/>
          <w:lang w:val="zh-CN"/>
          <w14:textFill>
            <w14:solidFill>
              <w14:schemeClr w14:val="tx1"/>
            </w14:solidFill>
          </w14:textFill>
        </w:rPr>
        <w:t>月0</w:t>
      </w:r>
      <w:r>
        <w:rPr>
          <w:rFonts w:ascii="仿宋" w:hAnsi="仿宋" w:eastAsia="仿宋" w:cs="仿宋"/>
          <w:color w:val="000000" w:themeColor="text1"/>
          <w:sz w:val="24"/>
          <w14:textFill>
            <w14:solidFill>
              <w14:schemeClr w14:val="tx1"/>
            </w14:solidFill>
          </w14:textFill>
        </w:rPr>
        <w:t>5</w:t>
      </w:r>
      <w:r>
        <w:rPr>
          <w:rFonts w:hint="eastAsia" w:ascii="仿宋" w:hAnsi="仿宋" w:eastAsia="仿宋" w:cs="仿宋"/>
          <w:color w:val="000000" w:themeColor="text1"/>
          <w:sz w:val="24"/>
          <w:lang w:val="zh-CN"/>
          <w14:textFill>
            <w14:solidFill>
              <w14:schemeClr w14:val="tx1"/>
            </w14:solidFill>
          </w14:textFill>
        </w:rPr>
        <w:t>日至20</w:t>
      </w:r>
      <w:r>
        <w:rPr>
          <w:rFonts w:ascii="仿宋" w:hAnsi="仿宋" w:eastAsia="仿宋" w:cs="仿宋"/>
          <w:color w:val="000000" w:themeColor="text1"/>
          <w:sz w:val="24"/>
          <w14:textFill>
            <w14:solidFill>
              <w14:schemeClr w14:val="tx1"/>
            </w14:solidFill>
          </w14:textFill>
        </w:rPr>
        <w:t>22</w:t>
      </w:r>
      <w:r>
        <w:rPr>
          <w:rFonts w:hint="eastAsia" w:ascii="仿宋" w:hAnsi="仿宋" w:eastAsia="仿宋" w:cs="仿宋"/>
          <w:color w:val="000000" w:themeColor="text1"/>
          <w:sz w:val="24"/>
          <w:lang w:val="zh-CN"/>
          <w14:textFill>
            <w14:solidFill>
              <w14:schemeClr w14:val="tx1"/>
            </w14:solidFill>
          </w14:textFill>
        </w:rPr>
        <w:t>年</w:t>
      </w:r>
      <w:r>
        <w:rPr>
          <w:rFonts w:ascii="仿宋" w:hAnsi="仿宋" w:eastAsia="仿宋" w:cs="仿宋"/>
          <w:color w:val="000000" w:themeColor="text1"/>
          <w:sz w:val="24"/>
          <w14:textFill>
            <w14:solidFill>
              <w14:schemeClr w14:val="tx1"/>
            </w14:solidFill>
          </w14:textFill>
        </w:rPr>
        <w:t>12</w:t>
      </w:r>
      <w:r>
        <w:rPr>
          <w:rFonts w:hint="eastAsia" w:ascii="仿宋" w:hAnsi="仿宋" w:eastAsia="仿宋" w:cs="仿宋"/>
          <w:color w:val="000000" w:themeColor="text1"/>
          <w:sz w:val="24"/>
          <w14:textFill>
            <w14:solidFill>
              <w14:schemeClr w14:val="tx1"/>
            </w14:solidFill>
          </w14:textFill>
        </w:rPr>
        <w:t>月0</w:t>
      </w:r>
      <w:r>
        <w:rPr>
          <w:rFonts w:ascii="仿宋" w:hAnsi="仿宋" w:eastAsia="仿宋" w:cs="仿宋"/>
          <w:color w:val="000000" w:themeColor="text1"/>
          <w:sz w:val="24"/>
          <w14:textFill>
            <w14:solidFill>
              <w14:schemeClr w14:val="tx1"/>
            </w14:solidFill>
          </w14:textFill>
        </w:rPr>
        <w:t>9</w:t>
      </w:r>
      <w:r>
        <w:rPr>
          <w:rFonts w:hint="eastAsia" w:ascii="仿宋" w:hAnsi="仿宋" w:eastAsia="仿宋" w:cs="仿宋"/>
          <w:color w:val="000000" w:themeColor="text1"/>
          <w:sz w:val="24"/>
          <w:lang w:val="zh-CN"/>
          <w14:textFill>
            <w14:solidFill>
              <w14:schemeClr w14:val="tx1"/>
            </w14:solidFill>
          </w14:textFill>
        </w:rPr>
        <w:t>日期间（上午09:</w:t>
      </w:r>
      <w:r>
        <w:rPr>
          <w:rFonts w:hint="eastAsia" w:ascii="仿宋" w:hAnsi="仿宋" w:eastAsia="仿宋" w:cs="仿宋"/>
          <w:color w:val="000000" w:themeColor="text1"/>
          <w:sz w:val="24"/>
          <w14:textFill>
            <w14:solidFill>
              <w14:schemeClr w14:val="tx1"/>
            </w14:solidFill>
          </w14:textFill>
        </w:rPr>
        <w:t>0</w:t>
      </w:r>
      <w:r>
        <w:rPr>
          <w:rFonts w:hint="eastAsia" w:ascii="仿宋" w:hAnsi="仿宋" w:eastAsia="仿宋" w:cs="仿宋"/>
          <w:color w:val="000000" w:themeColor="text1"/>
          <w:sz w:val="24"/>
          <w:lang w:val="zh-CN"/>
          <w14:textFill>
            <w14:solidFill>
              <w14:schemeClr w14:val="tx1"/>
            </w14:solidFill>
          </w14:textFill>
        </w:rPr>
        <w:t>0至1</w:t>
      </w:r>
      <w:r>
        <w:rPr>
          <w:rFonts w:hint="eastAsia" w:ascii="仿宋" w:hAnsi="仿宋" w:eastAsia="仿宋" w:cs="仿宋"/>
          <w:color w:val="000000" w:themeColor="text1"/>
          <w:sz w:val="24"/>
          <w14:textFill>
            <w14:solidFill>
              <w14:schemeClr w14:val="tx1"/>
            </w14:solidFill>
          </w14:textFill>
        </w:rPr>
        <w:t>2</w:t>
      </w:r>
      <w:r>
        <w:rPr>
          <w:rFonts w:hint="eastAsia" w:ascii="仿宋" w:hAnsi="仿宋" w:eastAsia="仿宋" w:cs="仿宋"/>
          <w:color w:val="000000" w:themeColor="text1"/>
          <w:sz w:val="24"/>
          <w:lang w:val="zh-CN"/>
          <w14:textFill>
            <w14:solidFill>
              <w14:schemeClr w14:val="tx1"/>
            </w14:solidFill>
          </w14:textFill>
        </w:rPr>
        <w:t>:</w:t>
      </w:r>
      <w:r>
        <w:rPr>
          <w:rFonts w:hint="eastAsia" w:ascii="仿宋" w:hAnsi="仿宋" w:eastAsia="仿宋" w:cs="仿宋"/>
          <w:color w:val="000000" w:themeColor="text1"/>
          <w:sz w:val="24"/>
          <w14:textFill>
            <w14:solidFill>
              <w14:schemeClr w14:val="tx1"/>
            </w14:solidFill>
          </w14:textFill>
        </w:rPr>
        <w:t>0</w:t>
      </w:r>
      <w:r>
        <w:rPr>
          <w:rFonts w:hint="eastAsia" w:ascii="仿宋" w:hAnsi="仿宋" w:eastAsia="仿宋" w:cs="仿宋"/>
          <w:color w:val="000000" w:themeColor="text1"/>
          <w:sz w:val="24"/>
          <w:lang w:val="zh-CN"/>
          <w14:textFill>
            <w14:solidFill>
              <w14:schemeClr w14:val="tx1"/>
            </w14:solidFill>
          </w14:textFill>
        </w:rPr>
        <w:t>0,下午14:30至17:</w:t>
      </w:r>
      <w:r>
        <w:rPr>
          <w:rFonts w:hint="eastAsia" w:ascii="仿宋" w:hAnsi="仿宋" w:eastAsia="仿宋" w:cs="仿宋"/>
          <w:color w:val="000000" w:themeColor="text1"/>
          <w:sz w:val="24"/>
          <w14:textFill>
            <w14:solidFill>
              <w14:schemeClr w14:val="tx1"/>
            </w14:solidFill>
          </w14:textFill>
        </w:rPr>
        <w:t>3</w:t>
      </w:r>
      <w:r>
        <w:rPr>
          <w:rFonts w:hint="eastAsia" w:ascii="仿宋" w:hAnsi="仿宋" w:eastAsia="仿宋" w:cs="仿宋"/>
          <w:color w:val="000000" w:themeColor="text1"/>
          <w:sz w:val="24"/>
          <w:lang w:val="zh-CN"/>
          <w14:textFill>
            <w14:solidFill>
              <w14:schemeClr w14:val="tx1"/>
            </w14:solidFill>
          </w14:textFill>
        </w:rPr>
        <w:t>0，法定节假日除外,不少于5个工作日）到博罗县文化广电旅游体育局体育股（地址：惠州市博罗县罗阳街道体育大道博罗县体育中心游泳馆旁）递交报价资料。</w:t>
      </w:r>
    </w:p>
    <w:p>
      <w:pPr>
        <w:spacing w:line="440" w:lineRule="exact"/>
        <w:ind w:firstLine="504" w:firstLineChars="21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八、联系事项</w:t>
      </w:r>
    </w:p>
    <w:tbl>
      <w:tblPr>
        <w:tblStyle w:val="24"/>
        <w:tblW w:w="9322" w:type="dxa"/>
        <w:tblInd w:w="646" w:type="dxa"/>
        <w:tblLayout w:type="fixed"/>
        <w:tblCellMar>
          <w:top w:w="0" w:type="dxa"/>
          <w:left w:w="108" w:type="dxa"/>
          <w:bottom w:w="0" w:type="dxa"/>
          <w:right w:w="108" w:type="dxa"/>
        </w:tblCellMar>
      </w:tblPr>
      <w:tblGrid>
        <w:gridCol w:w="9322"/>
      </w:tblGrid>
      <w:tr>
        <w:tblPrEx>
          <w:tblCellMar>
            <w:top w:w="0" w:type="dxa"/>
            <w:left w:w="108" w:type="dxa"/>
            <w:bottom w:w="0" w:type="dxa"/>
            <w:right w:w="108" w:type="dxa"/>
          </w:tblCellMar>
        </w:tblPrEx>
        <w:tc>
          <w:tcPr>
            <w:tcW w:w="9322" w:type="dxa"/>
          </w:tcPr>
          <w:p>
            <w:pPr>
              <w:pStyle w:val="12"/>
              <w:spacing w:line="440"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采购人：博罗县文化广电旅游体育局</w:t>
            </w:r>
          </w:p>
          <w:p>
            <w:pPr>
              <w:pStyle w:val="12"/>
              <w:spacing w:line="440" w:lineRule="exact"/>
              <w:ind w:firstLine="720" w:firstLineChars="3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地址：广东省惠州市博罗县体育大道体育中心体育股</w:t>
            </w:r>
          </w:p>
          <w:p>
            <w:pPr>
              <w:pStyle w:val="12"/>
              <w:spacing w:line="440" w:lineRule="exact"/>
              <w:ind w:firstLine="720" w:firstLineChars="3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联系人：周利发</w:t>
            </w:r>
          </w:p>
          <w:p>
            <w:pPr>
              <w:pStyle w:val="12"/>
              <w:spacing w:line="440" w:lineRule="exact"/>
              <w:ind w:firstLine="720" w:firstLineChars="3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联系电话：0752-6626833</w:t>
            </w:r>
          </w:p>
          <w:p>
            <w:pPr>
              <w:pStyle w:val="12"/>
              <w:spacing w:line="440" w:lineRule="exact"/>
              <w:ind w:firstLine="720" w:firstLineChars="3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邮编：516000</w:t>
            </w:r>
          </w:p>
        </w:tc>
      </w:tr>
    </w:tbl>
    <w:p>
      <w:pPr>
        <w:spacing w:line="440" w:lineRule="exact"/>
        <w:ind w:left="529" w:leftChars="252" w:firstLine="5280" w:firstLineChars="2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博罗县文化广电旅游体育局</w:t>
      </w:r>
    </w:p>
    <w:p>
      <w:pPr>
        <w:spacing w:line="440" w:lineRule="exact"/>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 xml:space="preserve">                                                       20</w:t>
      </w:r>
      <w:r>
        <w:rPr>
          <w:rFonts w:ascii="仿宋" w:hAnsi="仿宋" w:eastAsia="仿宋" w:cs="仿宋"/>
          <w:color w:val="000000" w:themeColor="text1"/>
          <w:sz w:val="24"/>
          <w14:textFill>
            <w14:solidFill>
              <w14:schemeClr w14:val="tx1"/>
            </w14:solidFill>
          </w14:textFill>
        </w:rPr>
        <w:t>22</w:t>
      </w:r>
      <w:r>
        <w:rPr>
          <w:rFonts w:hint="eastAsia" w:ascii="仿宋" w:hAnsi="仿宋" w:eastAsia="仿宋" w:cs="仿宋"/>
          <w:color w:val="000000" w:themeColor="text1"/>
          <w:sz w:val="24"/>
          <w14:textFill>
            <w14:solidFill>
              <w14:schemeClr w14:val="tx1"/>
            </w14:solidFill>
          </w14:textFill>
        </w:rPr>
        <w:t>年</w:t>
      </w:r>
      <w:r>
        <w:rPr>
          <w:rFonts w:ascii="仿宋" w:hAnsi="仿宋" w:eastAsia="仿宋" w:cs="仿宋"/>
          <w:color w:val="000000" w:themeColor="text1"/>
          <w:sz w:val="24"/>
          <w14:textFill>
            <w14:solidFill>
              <w14:schemeClr w14:val="tx1"/>
            </w14:solidFill>
          </w14:textFill>
        </w:rPr>
        <w:t>12</w:t>
      </w:r>
      <w:r>
        <w:rPr>
          <w:rFonts w:hint="eastAsia" w:ascii="仿宋" w:hAnsi="仿宋" w:eastAsia="仿宋" w:cs="仿宋"/>
          <w:color w:val="000000" w:themeColor="text1"/>
          <w:sz w:val="24"/>
          <w14:textFill>
            <w14:solidFill>
              <w14:schemeClr w14:val="tx1"/>
            </w14:solidFill>
          </w14:textFill>
        </w:rPr>
        <w:t>月</w:t>
      </w:r>
      <w:r>
        <w:rPr>
          <w:rFonts w:ascii="仿宋" w:hAnsi="仿宋" w:eastAsia="仿宋" w:cs="仿宋"/>
          <w:color w:val="000000" w:themeColor="text1"/>
          <w:sz w:val="24"/>
          <w14:textFill>
            <w14:solidFill>
              <w14:schemeClr w14:val="tx1"/>
            </w14:solidFill>
          </w14:textFill>
        </w:rPr>
        <w:t>05</w:t>
      </w:r>
      <w:r>
        <w:rPr>
          <w:rFonts w:hint="eastAsia" w:ascii="仿宋" w:hAnsi="仿宋" w:eastAsia="仿宋" w:cs="仿宋"/>
          <w:color w:val="000000" w:themeColor="text1"/>
          <w:sz w:val="24"/>
          <w14:textFill>
            <w14:solidFill>
              <w14:schemeClr w14:val="tx1"/>
            </w14:solidFill>
          </w14:textFill>
        </w:rPr>
        <w:t>日</w:t>
      </w:r>
      <w:bookmarkStart w:id="1" w:name="_Toc264883654"/>
      <w:r>
        <w:rPr>
          <w:rFonts w:hint="eastAsia" w:ascii="仿宋" w:hAnsi="仿宋" w:eastAsia="仿宋" w:cs="仿宋"/>
          <w:kern w:val="0"/>
          <w:sz w:val="24"/>
        </w:rPr>
        <w:br w:type="page"/>
      </w:r>
      <w:bookmarkStart w:id="2" w:name="_Toc29329"/>
    </w:p>
    <w:p>
      <w:pPr>
        <w:pStyle w:val="3"/>
        <w:spacing w:line="440" w:lineRule="exact"/>
        <w:ind w:firstLine="480" w:firstLineChars="200"/>
        <w:rPr>
          <w:rFonts w:ascii="仿宋" w:hAnsi="仿宋" w:eastAsia="仿宋" w:cs="仿宋"/>
          <w:kern w:val="0"/>
          <w:sz w:val="24"/>
          <w:szCs w:val="24"/>
        </w:rPr>
      </w:pPr>
      <w:r>
        <w:rPr>
          <w:rFonts w:hint="eastAsia" w:ascii="仿宋" w:hAnsi="仿宋" w:eastAsia="仿宋" w:cs="仿宋"/>
          <w:kern w:val="0"/>
          <w:sz w:val="24"/>
          <w:szCs w:val="24"/>
        </w:rPr>
        <w:t>附件二</w:t>
      </w:r>
    </w:p>
    <w:p>
      <w:pPr>
        <w:pStyle w:val="3"/>
        <w:spacing w:line="440" w:lineRule="exact"/>
        <w:jc w:val="center"/>
        <w:rPr>
          <w:rFonts w:ascii="仿宋" w:hAnsi="仿宋" w:eastAsia="仿宋" w:cs="仿宋"/>
          <w:kern w:val="0"/>
          <w:sz w:val="24"/>
          <w:szCs w:val="24"/>
        </w:rPr>
      </w:pPr>
      <w:r>
        <w:rPr>
          <w:rFonts w:hint="eastAsia" w:ascii="仿宋" w:hAnsi="仿宋" w:eastAsia="仿宋" w:cs="仿宋"/>
          <w:kern w:val="0"/>
          <w:sz w:val="24"/>
          <w:szCs w:val="24"/>
        </w:rPr>
        <w:t>第二部分　采购项目内容</w:t>
      </w:r>
      <w:bookmarkEnd w:id="1"/>
      <w:bookmarkEnd w:id="2"/>
    </w:p>
    <w:p>
      <w:pPr>
        <w:pStyle w:val="5"/>
        <w:spacing w:line="440" w:lineRule="exact"/>
        <w:rPr>
          <w:rFonts w:ascii="仿宋" w:hAnsi="仿宋" w:eastAsia="仿宋" w:cs="仿宋"/>
          <w:sz w:val="24"/>
        </w:rPr>
      </w:pPr>
      <w:bookmarkStart w:id="3" w:name="_Toc15652"/>
      <w:r>
        <w:rPr>
          <w:rFonts w:hint="eastAsia" w:ascii="仿宋" w:hAnsi="仿宋" w:eastAsia="仿宋" w:cs="仿宋"/>
          <w:sz w:val="24"/>
        </w:rPr>
        <w:t>采购需求一览表</w:t>
      </w:r>
      <w:bookmarkEnd w:id="3"/>
      <w:r>
        <w:rPr>
          <w:rFonts w:hint="eastAsia" w:ascii="仿宋" w:hAnsi="仿宋" w:eastAsia="仿宋" w:cs="仿宋"/>
          <w:sz w:val="24"/>
        </w:rPr>
        <w:t>：</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2883"/>
        <w:gridCol w:w="1030"/>
        <w:gridCol w:w="219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序号</w:t>
            </w:r>
          </w:p>
        </w:tc>
        <w:tc>
          <w:tcPr>
            <w:tcW w:w="1455"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采购内容</w:t>
            </w:r>
          </w:p>
        </w:tc>
        <w:tc>
          <w:tcPr>
            <w:tcW w:w="518" w:type="pct"/>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数量</w:t>
            </w:r>
          </w:p>
        </w:tc>
        <w:tc>
          <w:tcPr>
            <w:tcW w:w="1106"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预算金额（元）</w:t>
            </w:r>
          </w:p>
        </w:tc>
        <w:tc>
          <w:tcPr>
            <w:tcW w:w="1434"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483"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1</w:t>
            </w:r>
          </w:p>
        </w:tc>
        <w:tc>
          <w:tcPr>
            <w:tcW w:w="1455"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篮球架</w:t>
            </w:r>
          </w:p>
        </w:tc>
        <w:tc>
          <w:tcPr>
            <w:tcW w:w="518" w:type="pct"/>
            <w:vAlign w:val="center"/>
          </w:tcPr>
          <w:p>
            <w:pPr>
              <w:tabs>
                <w:tab w:val="left" w:pos="0"/>
                <w:tab w:val="left" w:pos="425"/>
              </w:tabs>
              <w:spacing w:line="440" w:lineRule="exact"/>
              <w:ind w:left="425" w:hanging="425"/>
              <w:jc w:val="center"/>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副</w:t>
            </w:r>
          </w:p>
        </w:tc>
        <w:tc>
          <w:tcPr>
            <w:tcW w:w="1106" w:type="pct"/>
            <w:vMerge w:val="restar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￥8</w:t>
            </w:r>
            <w:r>
              <w:rPr>
                <w:rFonts w:ascii="仿宋" w:hAnsi="仿宋" w:eastAsia="仿宋" w:cs="仿宋"/>
                <w:sz w:val="24"/>
              </w:rPr>
              <w:t>306</w:t>
            </w:r>
            <w:r>
              <w:rPr>
                <w:rFonts w:hint="eastAsia" w:ascii="仿宋" w:hAnsi="仿宋" w:eastAsia="仿宋" w:cs="仿宋"/>
                <w:sz w:val="24"/>
              </w:rPr>
              <w:t>00</w:t>
            </w:r>
            <w:r>
              <w:rPr>
                <w:rFonts w:ascii="仿宋" w:hAnsi="仿宋" w:eastAsia="仿宋" w:cs="仿宋"/>
                <w:sz w:val="24"/>
              </w:rPr>
              <w:t>.00</w:t>
            </w:r>
          </w:p>
        </w:tc>
        <w:tc>
          <w:tcPr>
            <w:tcW w:w="1434" w:type="pct"/>
            <w:vMerge w:val="restar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不接受进口产品投标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483"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2</w:t>
            </w:r>
          </w:p>
        </w:tc>
        <w:tc>
          <w:tcPr>
            <w:tcW w:w="1455"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室外乒乓球台</w:t>
            </w:r>
          </w:p>
        </w:tc>
        <w:tc>
          <w:tcPr>
            <w:tcW w:w="518"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8</w:t>
            </w:r>
            <w:r>
              <w:rPr>
                <w:rFonts w:ascii="仿宋" w:hAnsi="仿宋" w:eastAsia="仿宋" w:cs="仿宋"/>
                <w:sz w:val="24"/>
              </w:rPr>
              <w:t>0</w:t>
            </w:r>
            <w:r>
              <w:rPr>
                <w:rFonts w:hint="eastAsia" w:ascii="仿宋" w:hAnsi="仿宋" w:eastAsia="仿宋" w:cs="仿宋"/>
                <w:sz w:val="24"/>
              </w:rPr>
              <w:t>张</w:t>
            </w:r>
          </w:p>
        </w:tc>
        <w:tc>
          <w:tcPr>
            <w:tcW w:w="1106" w:type="pct"/>
            <w:vMerge w:val="continue"/>
            <w:vAlign w:val="center"/>
          </w:tcPr>
          <w:p>
            <w:pPr>
              <w:tabs>
                <w:tab w:val="left" w:pos="0"/>
                <w:tab w:val="left" w:pos="425"/>
              </w:tabs>
              <w:spacing w:line="440" w:lineRule="exact"/>
              <w:ind w:left="425" w:hanging="425"/>
              <w:jc w:val="center"/>
              <w:rPr>
                <w:rFonts w:ascii="仿宋" w:hAnsi="仿宋" w:eastAsia="仿宋" w:cs="仿宋"/>
                <w:sz w:val="24"/>
              </w:rPr>
            </w:pPr>
          </w:p>
        </w:tc>
        <w:tc>
          <w:tcPr>
            <w:tcW w:w="1434" w:type="pct"/>
            <w:vMerge w:val="continue"/>
            <w:vAlign w:val="center"/>
          </w:tcPr>
          <w:p>
            <w:pPr>
              <w:tabs>
                <w:tab w:val="left" w:pos="0"/>
                <w:tab w:val="left" w:pos="425"/>
              </w:tabs>
              <w:spacing w:line="440" w:lineRule="exact"/>
              <w:ind w:left="425" w:hanging="425"/>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483"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3</w:t>
            </w:r>
          </w:p>
        </w:tc>
        <w:tc>
          <w:tcPr>
            <w:tcW w:w="1455"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室内乒乓球台</w:t>
            </w:r>
          </w:p>
        </w:tc>
        <w:tc>
          <w:tcPr>
            <w:tcW w:w="518"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10张</w:t>
            </w:r>
          </w:p>
        </w:tc>
        <w:tc>
          <w:tcPr>
            <w:tcW w:w="1106" w:type="pct"/>
            <w:vMerge w:val="continue"/>
            <w:vAlign w:val="center"/>
          </w:tcPr>
          <w:p>
            <w:pPr>
              <w:tabs>
                <w:tab w:val="left" w:pos="0"/>
                <w:tab w:val="left" w:pos="425"/>
              </w:tabs>
              <w:spacing w:line="440" w:lineRule="exact"/>
              <w:ind w:left="425" w:hanging="425"/>
              <w:jc w:val="center"/>
              <w:rPr>
                <w:rFonts w:ascii="仿宋" w:hAnsi="仿宋" w:eastAsia="仿宋" w:cs="仿宋"/>
                <w:sz w:val="24"/>
              </w:rPr>
            </w:pPr>
          </w:p>
        </w:tc>
        <w:tc>
          <w:tcPr>
            <w:tcW w:w="1434" w:type="pct"/>
            <w:vMerge w:val="continue"/>
            <w:vAlign w:val="center"/>
          </w:tcPr>
          <w:p>
            <w:pPr>
              <w:tabs>
                <w:tab w:val="left" w:pos="0"/>
                <w:tab w:val="left" w:pos="425"/>
              </w:tabs>
              <w:spacing w:line="440" w:lineRule="exact"/>
              <w:ind w:left="425" w:hanging="425"/>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483"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4</w:t>
            </w:r>
          </w:p>
        </w:tc>
        <w:tc>
          <w:tcPr>
            <w:tcW w:w="1455"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八件套健身路径</w:t>
            </w:r>
          </w:p>
        </w:tc>
        <w:tc>
          <w:tcPr>
            <w:tcW w:w="518" w:type="pct"/>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5</w:t>
            </w:r>
            <w:r>
              <w:rPr>
                <w:rFonts w:hint="eastAsia" w:ascii="仿宋" w:hAnsi="仿宋" w:eastAsia="仿宋" w:cs="仿宋"/>
                <w:sz w:val="24"/>
              </w:rPr>
              <w:t>套</w:t>
            </w:r>
          </w:p>
        </w:tc>
        <w:tc>
          <w:tcPr>
            <w:tcW w:w="1106" w:type="pct"/>
            <w:vMerge w:val="continue"/>
            <w:vAlign w:val="center"/>
          </w:tcPr>
          <w:p>
            <w:pPr>
              <w:tabs>
                <w:tab w:val="left" w:pos="0"/>
                <w:tab w:val="left" w:pos="425"/>
              </w:tabs>
              <w:spacing w:line="440" w:lineRule="exact"/>
              <w:ind w:left="425" w:hanging="425"/>
              <w:jc w:val="center"/>
              <w:rPr>
                <w:rFonts w:ascii="仿宋" w:hAnsi="仿宋" w:eastAsia="仿宋" w:cs="仿宋"/>
                <w:sz w:val="24"/>
              </w:rPr>
            </w:pPr>
          </w:p>
        </w:tc>
        <w:tc>
          <w:tcPr>
            <w:tcW w:w="1434" w:type="pct"/>
            <w:vMerge w:val="continue"/>
            <w:vAlign w:val="center"/>
          </w:tcPr>
          <w:p>
            <w:pPr>
              <w:tabs>
                <w:tab w:val="left" w:pos="0"/>
                <w:tab w:val="left" w:pos="425"/>
              </w:tabs>
              <w:spacing w:line="440" w:lineRule="exact"/>
              <w:ind w:left="425" w:hanging="425"/>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8" w:type="pct"/>
            <w:gridSpan w:val="3"/>
            <w:vAlign w:val="center"/>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合计</w:t>
            </w:r>
          </w:p>
        </w:tc>
        <w:tc>
          <w:tcPr>
            <w:tcW w:w="1106" w:type="pct"/>
          </w:tcPr>
          <w:p>
            <w:pPr>
              <w:tabs>
                <w:tab w:val="left" w:pos="0"/>
                <w:tab w:val="left" w:pos="425"/>
              </w:tabs>
              <w:spacing w:line="440" w:lineRule="exact"/>
              <w:ind w:left="425" w:hanging="425"/>
              <w:jc w:val="center"/>
              <w:rPr>
                <w:rFonts w:ascii="仿宋" w:hAnsi="仿宋" w:eastAsia="仿宋" w:cs="仿宋"/>
                <w:sz w:val="24"/>
              </w:rPr>
            </w:pPr>
            <w:r>
              <w:rPr>
                <w:rFonts w:hint="eastAsia" w:ascii="仿宋" w:hAnsi="仿宋" w:eastAsia="仿宋" w:cs="仿宋"/>
                <w:sz w:val="24"/>
              </w:rPr>
              <w:t>￥8</w:t>
            </w:r>
            <w:r>
              <w:rPr>
                <w:rFonts w:ascii="仿宋" w:hAnsi="仿宋" w:eastAsia="仿宋" w:cs="仿宋"/>
                <w:sz w:val="24"/>
              </w:rPr>
              <w:t>306</w:t>
            </w:r>
            <w:r>
              <w:rPr>
                <w:rFonts w:hint="eastAsia" w:ascii="仿宋" w:hAnsi="仿宋" w:eastAsia="仿宋" w:cs="仿宋"/>
                <w:sz w:val="24"/>
              </w:rPr>
              <w:t>00</w:t>
            </w:r>
            <w:r>
              <w:rPr>
                <w:rFonts w:ascii="仿宋" w:hAnsi="仿宋" w:eastAsia="仿宋" w:cs="仿宋"/>
                <w:sz w:val="24"/>
              </w:rPr>
              <w:t>.00</w:t>
            </w:r>
          </w:p>
        </w:tc>
        <w:tc>
          <w:tcPr>
            <w:tcW w:w="1434" w:type="pct"/>
          </w:tcPr>
          <w:p>
            <w:pPr>
              <w:tabs>
                <w:tab w:val="left" w:pos="0"/>
                <w:tab w:val="left" w:pos="425"/>
              </w:tabs>
              <w:spacing w:line="440" w:lineRule="exact"/>
              <w:ind w:left="425" w:hanging="425"/>
              <w:jc w:val="center"/>
              <w:rPr>
                <w:rFonts w:ascii="仿宋" w:hAnsi="仿宋" w:eastAsia="仿宋" w:cs="仿宋"/>
                <w:sz w:val="24"/>
              </w:rPr>
            </w:pPr>
          </w:p>
        </w:tc>
      </w:tr>
    </w:tbl>
    <w:p>
      <w:pPr>
        <w:spacing w:line="440" w:lineRule="exact"/>
        <w:rPr>
          <w:rFonts w:ascii="仿宋" w:hAnsi="仿宋" w:eastAsia="仿宋" w:cs="仿宋"/>
          <w:sz w:val="24"/>
        </w:rPr>
      </w:pPr>
    </w:p>
    <w:p>
      <w:pPr>
        <w:spacing w:line="440" w:lineRule="exact"/>
        <w:rPr>
          <w:rFonts w:ascii="仿宋" w:hAnsi="仿宋" w:eastAsia="仿宋" w:cs="仿宋"/>
          <w:b/>
          <w:bCs/>
          <w:sz w:val="24"/>
        </w:rPr>
      </w:pPr>
    </w:p>
    <w:p>
      <w:pPr>
        <w:tabs>
          <w:tab w:val="left" w:pos="0"/>
          <w:tab w:val="left" w:pos="34"/>
        </w:tabs>
        <w:spacing w:line="440" w:lineRule="exact"/>
        <w:ind w:firstLine="480" w:firstLineChars="200"/>
        <w:jc w:val="left"/>
        <w:rPr>
          <w:rFonts w:ascii="仿宋" w:hAnsi="仿宋" w:eastAsia="仿宋" w:cs="仿宋"/>
          <w:b/>
          <w:bCs/>
          <w:sz w:val="24"/>
        </w:rPr>
      </w:pPr>
      <w:r>
        <w:rPr>
          <w:rFonts w:hint="eastAsia" w:ascii="仿宋" w:hAnsi="仿宋" w:eastAsia="仿宋" w:cs="仿宋"/>
          <w:b/>
          <w:bCs/>
          <w:sz w:val="24"/>
        </w:rPr>
        <w:t>供应商须提供独立的“唱标信封”、“ 投标/响应文件”，并独立密封提交，否则其应答将被拒绝。</w:t>
      </w:r>
    </w:p>
    <w:p>
      <w:pPr>
        <w:pStyle w:val="7"/>
        <w:adjustRightInd w:val="0"/>
        <w:snapToGrid w:val="0"/>
        <w:spacing w:line="440" w:lineRule="exact"/>
        <w:ind w:firstLine="560"/>
        <w:rPr>
          <w:rFonts w:ascii="仿宋" w:hAnsi="仿宋" w:eastAsia="仿宋" w:cs="仿宋"/>
          <w:b/>
          <w:bCs/>
          <w:sz w:val="24"/>
          <w:szCs w:val="24"/>
        </w:rPr>
      </w:pPr>
      <w:r>
        <w:rPr>
          <w:rFonts w:hint="eastAsia" w:ascii="仿宋" w:hAnsi="仿宋" w:eastAsia="仿宋" w:cs="仿宋"/>
          <w:b/>
          <w:bCs/>
          <w:sz w:val="24"/>
          <w:szCs w:val="24"/>
        </w:rPr>
        <w:t>“★”“▲”号条款：《采购项目内容》中凡标有“★”的地方为关键的商务、技术指标要求，必须完全满足这些要求，未达到这些指标要求的将导致投标无效。标“▲”号的为比较重要的商务、技术指标，未达到这些指标要求的将被严重扣分，但不会导致废标。</w:t>
      </w:r>
    </w:p>
    <w:p>
      <w:pPr>
        <w:spacing w:line="440" w:lineRule="exact"/>
        <w:ind w:firstLine="480" w:firstLineChars="200"/>
        <w:rPr>
          <w:rFonts w:ascii="仿宋" w:hAnsi="仿宋" w:eastAsia="仿宋" w:cs="仿宋"/>
          <w:b/>
          <w:bCs/>
          <w:sz w:val="24"/>
        </w:rPr>
      </w:pPr>
      <w:r>
        <w:rPr>
          <w:rFonts w:hint="eastAsia" w:ascii="仿宋" w:hAnsi="仿宋" w:eastAsia="仿宋" w:cs="仿宋"/>
          <w:b/>
          <w:bCs/>
          <w:sz w:val="24"/>
        </w:rPr>
        <w:t>“采购项目技术规格、参数及要求”中“▲”号特殊技术指标，投标人所投产品应当提供厂商说明材料，否则评委会无法判断所投产品能否响应询价采购的要求，负偏离▲号条款的投标人将影响得分。厂商说明材料包括但不限于下列文件：</w:t>
      </w:r>
    </w:p>
    <w:p>
      <w:pPr>
        <w:spacing w:line="440" w:lineRule="exact"/>
        <w:ind w:firstLine="480" w:firstLineChars="200"/>
        <w:rPr>
          <w:rFonts w:ascii="仿宋" w:hAnsi="仿宋" w:eastAsia="仿宋" w:cs="仿宋"/>
          <w:b/>
          <w:bCs/>
          <w:sz w:val="24"/>
        </w:rPr>
      </w:pPr>
      <w:r>
        <w:rPr>
          <w:rFonts w:hint="eastAsia" w:ascii="仿宋" w:hAnsi="仿宋" w:eastAsia="仿宋" w:cs="仿宋"/>
          <w:b/>
          <w:bCs/>
          <w:sz w:val="24"/>
        </w:rPr>
        <w:t>1）投标产品的品牌、型号、详细配置参数；</w:t>
      </w:r>
    </w:p>
    <w:p>
      <w:pPr>
        <w:spacing w:line="440" w:lineRule="exact"/>
        <w:ind w:firstLine="480" w:firstLineChars="200"/>
        <w:jc w:val="left"/>
        <w:rPr>
          <w:rFonts w:ascii="仿宋" w:hAnsi="仿宋" w:eastAsia="仿宋" w:cs="仿宋"/>
          <w:b/>
          <w:bCs/>
          <w:sz w:val="24"/>
        </w:rPr>
      </w:pPr>
      <w:r>
        <w:rPr>
          <w:rFonts w:hint="eastAsia" w:ascii="仿宋" w:hAnsi="仿宋" w:eastAsia="仿宋" w:cs="仿宋"/>
          <w:b/>
          <w:bCs/>
          <w:sz w:val="24"/>
        </w:rPr>
        <w:t>2）能证实产品技术、配置参数的证明材料（包括：①厂商的中文说明书或彩页，同时加盖厂商或投标人公章确认；或②厂商针对本项目盖章确认的产品详细配置响应表；或③厂商官方网站的技术白皮书打印稿加盖厂商或投标人公章确认，同时注明材料来源于官方网站的网址）。</w:t>
      </w:r>
    </w:p>
    <w:p>
      <w:pPr>
        <w:pStyle w:val="5"/>
        <w:spacing w:line="440" w:lineRule="exact"/>
        <w:rPr>
          <w:rFonts w:ascii="仿宋" w:hAnsi="仿宋" w:eastAsia="仿宋" w:cs="仿宋"/>
          <w:sz w:val="24"/>
          <w:lang w:val="zh-CN"/>
        </w:rPr>
      </w:pPr>
      <w:bookmarkStart w:id="4" w:name="_Toc32370"/>
      <w:r>
        <w:rPr>
          <w:rFonts w:hint="eastAsia" w:ascii="仿宋" w:hAnsi="仿宋" w:eastAsia="仿宋" w:cs="仿宋"/>
          <w:sz w:val="24"/>
          <w:lang w:val="zh-CN"/>
        </w:rPr>
        <w:t>技术规格、参数及要求</w:t>
      </w:r>
      <w:bookmarkEnd w:id="4"/>
      <w:r>
        <w:rPr>
          <w:rFonts w:hint="eastAsia" w:ascii="仿宋" w:hAnsi="仿宋" w:eastAsia="仿宋" w:cs="仿宋"/>
          <w:sz w:val="24"/>
          <w:lang w:val="zh-CN"/>
        </w:rPr>
        <w:t>：</w:t>
      </w:r>
    </w:p>
    <w:p>
      <w:pPr>
        <w:spacing w:line="440" w:lineRule="exact"/>
        <w:rPr>
          <w:rFonts w:ascii="仿宋" w:hAnsi="仿宋" w:eastAsia="仿宋" w:cs="仿宋"/>
          <w:b/>
          <w:bCs/>
          <w:sz w:val="24"/>
        </w:rPr>
      </w:pPr>
      <w:bookmarkStart w:id="5" w:name="_Toc2054"/>
      <w:bookmarkStart w:id="6" w:name="_Toc369777598"/>
      <w:bookmarkStart w:id="7" w:name="_Toc208"/>
      <w:r>
        <w:rPr>
          <w:rFonts w:hint="eastAsia" w:ascii="仿宋" w:hAnsi="仿宋" w:eastAsia="仿宋" w:cs="仿宋"/>
          <w:b/>
          <w:bCs/>
          <w:sz w:val="24"/>
        </w:rPr>
        <w:t>一、篮球架</w:t>
      </w:r>
    </w:p>
    <w:p>
      <w:pPr>
        <w:spacing w:line="440" w:lineRule="exact"/>
        <w:ind w:left="420" w:leftChars="200"/>
        <w:rPr>
          <w:rFonts w:ascii="仿宋" w:hAnsi="仿宋" w:eastAsia="仿宋" w:cs="仿宋"/>
          <w:kern w:val="0"/>
          <w:sz w:val="24"/>
        </w:rPr>
      </w:pPr>
      <w:r>
        <w:rPr>
          <w:rFonts w:hint="eastAsia" w:ascii="仿宋" w:hAnsi="仿宋" w:eastAsia="仿宋" w:cs="仿宋"/>
          <w:b/>
          <w:bCs/>
          <w:sz w:val="24"/>
        </w:rPr>
        <w:t>▲</w:t>
      </w:r>
      <w:r>
        <w:rPr>
          <w:rFonts w:hint="eastAsia" w:ascii="仿宋" w:hAnsi="仿宋" w:eastAsia="仿宋" w:cs="仿宋"/>
          <w:color w:val="000000"/>
          <w:kern w:val="0"/>
          <w:sz w:val="24"/>
        </w:rPr>
        <w:t>1.尺寸：</w:t>
      </w:r>
      <w:r>
        <w:rPr>
          <w:rFonts w:hint="eastAsia" w:ascii="仿宋" w:hAnsi="仿宋" w:eastAsia="仿宋" w:cs="仿宋"/>
          <w:kern w:val="0"/>
          <w:sz w:val="24"/>
        </w:rPr>
        <w:t xml:space="preserve">符合GB19272—2011《室外健身器材的安全通用标准》； </w:t>
      </w:r>
    </w:p>
    <w:p>
      <w:pPr>
        <w:spacing w:line="440" w:lineRule="exact"/>
        <w:ind w:left="420" w:leftChars="200"/>
        <w:rPr>
          <w:rFonts w:ascii="仿宋" w:hAnsi="仿宋" w:eastAsia="仿宋" w:cs="仿宋"/>
          <w:kern w:val="0"/>
          <w:sz w:val="24"/>
        </w:rPr>
      </w:pPr>
      <w:r>
        <w:rPr>
          <w:rFonts w:hint="eastAsia" w:ascii="仿宋" w:hAnsi="仿宋" w:eastAsia="仿宋" w:cs="仿宋"/>
          <w:kern w:val="0"/>
          <w:sz w:val="24"/>
        </w:rPr>
        <w:t>2.臂展：1800mm；</w:t>
      </w:r>
    </w:p>
    <w:p>
      <w:pPr>
        <w:spacing w:line="440" w:lineRule="exact"/>
        <w:ind w:left="420" w:leftChars="200"/>
        <w:rPr>
          <w:rFonts w:ascii="仿宋" w:hAnsi="仿宋" w:eastAsia="仿宋" w:cs="仿宋"/>
          <w:kern w:val="0"/>
          <w:sz w:val="24"/>
        </w:rPr>
      </w:pPr>
      <w:r>
        <w:rPr>
          <w:rFonts w:hint="eastAsia" w:ascii="仿宋" w:hAnsi="仿宋" w:eastAsia="仿宋" w:cs="仿宋"/>
          <w:kern w:val="0"/>
          <w:sz w:val="24"/>
        </w:rPr>
        <w:t>3.高（国标）：3050mm；</w:t>
      </w:r>
    </w:p>
    <w:p>
      <w:pPr>
        <w:spacing w:line="440" w:lineRule="exact"/>
        <w:ind w:left="420" w:leftChars="200"/>
        <w:rPr>
          <w:rFonts w:ascii="仿宋" w:hAnsi="仿宋" w:eastAsia="仿宋" w:cs="仿宋"/>
          <w:kern w:val="0"/>
          <w:sz w:val="24"/>
        </w:rPr>
      </w:pPr>
      <w:r>
        <w:rPr>
          <w:rFonts w:hint="eastAsia" w:ascii="仿宋" w:hAnsi="仿宋" w:eastAsia="仿宋" w:cs="仿宋"/>
          <w:kern w:val="0"/>
          <w:sz w:val="24"/>
        </w:rPr>
        <w:t>4.主立柱采用不少于Φ219mm,臂厚3.5mm优质钢管；</w:t>
      </w:r>
    </w:p>
    <w:p>
      <w:pPr>
        <w:spacing w:line="440" w:lineRule="exact"/>
        <w:ind w:left="420" w:leftChars="200"/>
        <w:rPr>
          <w:rFonts w:ascii="仿宋" w:hAnsi="仿宋" w:eastAsia="仿宋" w:cs="仿宋"/>
          <w:kern w:val="0"/>
          <w:sz w:val="24"/>
        </w:rPr>
      </w:pPr>
      <w:r>
        <w:rPr>
          <w:rFonts w:hint="eastAsia" w:ascii="仿宋" w:hAnsi="仿宋" w:eastAsia="仿宋" w:cs="仿宋"/>
          <w:kern w:val="0"/>
          <w:sz w:val="24"/>
        </w:rPr>
        <w:t>5.表面处理：打砂喷涂；</w:t>
      </w:r>
    </w:p>
    <w:p>
      <w:pPr>
        <w:spacing w:line="440" w:lineRule="exact"/>
        <w:ind w:left="420" w:leftChars="200"/>
        <w:rPr>
          <w:rFonts w:ascii="仿宋" w:hAnsi="仿宋" w:eastAsia="仿宋" w:cs="仿宋"/>
          <w:kern w:val="0"/>
          <w:sz w:val="24"/>
        </w:rPr>
      </w:pPr>
      <w:r>
        <w:rPr>
          <w:rFonts w:hint="eastAsia" w:ascii="仿宋" w:hAnsi="仿宋" w:eastAsia="仿宋" w:cs="仿宋"/>
          <w:kern w:val="0"/>
          <w:sz w:val="24"/>
        </w:rPr>
        <w:t>6.基本配置：主架与篮板五点连接，SMC篮板、实心弹簧篮框；</w:t>
      </w:r>
    </w:p>
    <w:p>
      <w:pPr>
        <w:spacing w:line="440" w:lineRule="exact"/>
        <w:ind w:left="420" w:leftChars="200"/>
        <w:rPr>
          <w:rFonts w:ascii="仿宋" w:hAnsi="仿宋" w:eastAsia="仿宋" w:cs="仿宋"/>
          <w:kern w:val="0"/>
          <w:sz w:val="24"/>
        </w:rPr>
      </w:pPr>
      <w:r>
        <w:rPr>
          <w:rFonts w:hint="eastAsia" w:ascii="仿宋" w:hAnsi="仿宋" w:eastAsia="仿宋" w:cs="仿宋"/>
          <w:kern w:val="0"/>
          <w:sz w:val="24"/>
        </w:rPr>
        <w:t>7.图片仅供参考：</w:t>
      </w:r>
    </w:p>
    <w:p>
      <w:pPr>
        <w:jc w:val="center"/>
        <w:rPr>
          <w:rFonts w:ascii="仿宋" w:hAnsi="仿宋" w:eastAsia="仿宋" w:cs="仿宋"/>
          <w:sz w:val="24"/>
        </w:rPr>
      </w:pPr>
      <w:r>
        <w:rPr>
          <w:rFonts w:hint="eastAsia" w:eastAsia="仿宋"/>
        </w:rPr>
        <w:drawing>
          <wp:inline distT="0" distB="0" distL="114300" distR="114300">
            <wp:extent cx="3170555" cy="3301365"/>
            <wp:effectExtent l="0" t="0" r="10795" b="13335"/>
            <wp:docPr id="1" name="图片 1" descr="540c1cb5cbdcb7584d1a59697a25a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40c1cb5cbdcb7584d1a59697a25a4c"/>
                    <pic:cNvPicPr>
                      <a:picLocks noChangeAspect="1"/>
                    </pic:cNvPicPr>
                  </pic:nvPicPr>
                  <pic:blipFill>
                    <a:blip r:embed="rId7"/>
                    <a:stretch>
                      <a:fillRect/>
                    </a:stretch>
                  </pic:blipFill>
                  <pic:spPr>
                    <a:xfrm>
                      <a:off x="0" y="0"/>
                      <a:ext cx="3170555" cy="3301365"/>
                    </a:xfrm>
                    <a:prstGeom prst="rect">
                      <a:avLst/>
                    </a:prstGeom>
                  </pic:spPr>
                </pic:pic>
              </a:graphicData>
            </a:graphic>
          </wp:inline>
        </w:drawing>
      </w:r>
    </w:p>
    <w:p>
      <w:pPr>
        <w:spacing w:line="440" w:lineRule="exact"/>
        <w:rPr>
          <w:rFonts w:ascii="仿宋" w:hAnsi="仿宋" w:eastAsia="仿宋" w:cs="仿宋"/>
          <w:sz w:val="24"/>
        </w:rPr>
      </w:pPr>
    </w:p>
    <w:p>
      <w:pPr>
        <w:numPr>
          <w:ilvl w:val="0"/>
          <w:numId w:val="3"/>
        </w:numPr>
        <w:spacing w:line="440" w:lineRule="exact"/>
        <w:rPr>
          <w:rFonts w:ascii="仿宋" w:hAnsi="仿宋" w:eastAsia="仿宋" w:cs="仿宋"/>
          <w:b/>
          <w:bCs/>
          <w:sz w:val="24"/>
        </w:rPr>
      </w:pPr>
      <w:r>
        <w:rPr>
          <w:rFonts w:hint="eastAsia" w:ascii="仿宋" w:hAnsi="仿宋" w:eastAsia="仿宋" w:cs="仿宋"/>
          <w:b/>
          <w:bCs/>
          <w:sz w:val="24"/>
        </w:rPr>
        <w:t>乒乓球台</w:t>
      </w:r>
    </w:p>
    <w:p>
      <w:pPr>
        <w:spacing w:line="440" w:lineRule="exact"/>
        <w:rPr>
          <w:rFonts w:ascii="仿宋" w:hAnsi="仿宋" w:eastAsia="仿宋" w:cs="仿宋"/>
          <w:sz w:val="24"/>
        </w:rPr>
      </w:pPr>
      <w:r>
        <w:rPr>
          <w:rFonts w:hint="eastAsia" w:ascii="仿宋" w:hAnsi="仿宋" w:eastAsia="仿宋" w:cs="仿宋"/>
          <w:b/>
          <w:bCs/>
          <w:sz w:val="24"/>
        </w:rPr>
        <w:t>（一）室内乒乓球台</w:t>
      </w:r>
    </w:p>
    <w:p>
      <w:pPr>
        <w:pStyle w:val="10"/>
        <w:spacing w:line="440" w:lineRule="exact"/>
        <w:ind w:firstLine="480" w:firstLineChars="200"/>
        <w:rPr>
          <w:rFonts w:ascii="仿宋" w:hAnsi="仿宋" w:eastAsia="仿宋" w:cs="仿宋"/>
          <w:sz w:val="24"/>
        </w:rPr>
      </w:pPr>
      <w:r>
        <w:rPr>
          <w:rFonts w:hint="eastAsia" w:ascii="仿宋" w:hAnsi="仿宋" w:eastAsia="仿宋" w:cs="仿宋"/>
          <w:b/>
          <w:bCs/>
          <w:sz w:val="24"/>
        </w:rPr>
        <w:t>▲</w:t>
      </w:r>
      <w:r>
        <w:rPr>
          <w:rFonts w:hint="eastAsia" w:ascii="仿宋" w:hAnsi="仿宋" w:eastAsia="仿宋" w:cs="仿宋"/>
          <w:sz w:val="24"/>
        </w:rPr>
        <w:t>1.符合QB/T2700-2005标准；</w:t>
      </w:r>
    </w:p>
    <w:p>
      <w:pPr>
        <w:pStyle w:val="10"/>
        <w:spacing w:line="440" w:lineRule="exact"/>
        <w:ind w:firstLine="480" w:firstLineChars="200"/>
        <w:rPr>
          <w:rFonts w:ascii="仿宋" w:hAnsi="仿宋" w:eastAsia="仿宋" w:cs="仿宋"/>
          <w:sz w:val="24"/>
        </w:rPr>
      </w:pPr>
      <w:r>
        <w:rPr>
          <w:rFonts w:hint="eastAsia" w:ascii="仿宋" w:hAnsi="仿宋" w:eastAsia="仿宋" w:cs="仿宋"/>
          <w:sz w:val="24"/>
        </w:rPr>
        <w:t>2.单折移动型，由支架、台面、网架组成；</w:t>
      </w:r>
    </w:p>
    <w:p>
      <w:pPr>
        <w:pStyle w:val="10"/>
        <w:spacing w:line="440" w:lineRule="exact"/>
        <w:ind w:firstLine="480" w:firstLineChars="200"/>
        <w:rPr>
          <w:rFonts w:ascii="仿宋" w:hAnsi="仿宋" w:eastAsia="仿宋" w:cs="仿宋"/>
          <w:sz w:val="24"/>
        </w:rPr>
      </w:pPr>
      <w:r>
        <w:rPr>
          <w:rFonts w:hint="eastAsia" w:ascii="仿宋" w:hAnsi="仿宋" w:eastAsia="仿宋" w:cs="仿宋"/>
          <w:sz w:val="24"/>
        </w:rPr>
        <w:t>3.支架底部有万向脚轮，单边折起后可多方向移动，支架采用不小于40x40mm方形管材制作，台面厚度为</w:t>
      </w:r>
      <w:r>
        <w:rPr>
          <w:rFonts w:hint="eastAsia" w:ascii="仿宋" w:hAnsi="仿宋" w:eastAsia="仿宋" w:cs="仿宋"/>
          <w:kern w:val="0"/>
          <w:sz w:val="24"/>
        </w:rPr>
        <w:t>≥</w:t>
      </w:r>
      <w:r>
        <w:rPr>
          <w:rFonts w:hint="eastAsia" w:ascii="仿宋" w:hAnsi="仿宋" w:eastAsia="仿宋" w:cs="仿宋"/>
          <w:sz w:val="24"/>
        </w:rPr>
        <w:t>18mm；</w:t>
      </w:r>
    </w:p>
    <w:p>
      <w:pPr>
        <w:pStyle w:val="10"/>
        <w:spacing w:line="440" w:lineRule="exact"/>
        <w:ind w:firstLine="480" w:firstLineChars="200"/>
        <w:rPr>
          <w:rFonts w:ascii="仿宋" w:hAnsi="仿宋" w:eastAsia="仿宋" w:cs="仿宋"/>
          <w:sz w:val="24"/>
        </w:rPr>
      </w:pPr>
      <w:r>
        <w:rPr>
          <w:rFonts w:hint="eastAsia" w:ascii="仿宋" w:hAnsi="仿宋" w:eastAsia="仿宋" w:cs="仿宋"/>
          <w:sz w:val="24"/>
        </w:rPr>
        <w:t>4.台面长2740mm、宽1525mm，台高760mm,台面用两块专用球台高密度板组成，弹性及平整度达到国家标准。台面颜色为无光蓝，台面无有划痕、明显的斑点、气泡、凹凸等缺陷；球台的边线和和端线为20mm，中线为3mm，为白色；台面弹性230～260 mm，弹性均匀度≤10 mm，球台稳定性≤14 mm，台面光泽度60°；配网架，网架宽1830mm，高152.5 mm，网子为蓝色或墨绿色；</w:t>
      </w:r>
    </w:p>
    <w:p>
      <w:pPr>
        <w:spacing w:line="440" w:lineRule="exact"/>
        <w:ind w:firstLine="480" w:firstLineChars="200"/>
        <w:rPr>
          <w:rFonts w:ascii="仿宋" w:hAnsi="仿宋" w:eastAsia="仿宋" w:cs="仿宋"/>
          <w:sz w:val="24"/>
        </w:rPr>
      </w:pPr>
      <w:r>
        <w:rPr>
          <w:rFonts w:hint="eastAsia" w:ascii="仿宋" w:hAnsi="仿宋" w:eastAsia="仿宋" w:cs="仿宋"/>
          <w:sz w:val="24"/>
        </w:rPr>
        <w:t>5.图片仅供参考：</w:t>
      </w:r>
    </w:p>
    <w:p>
      <w:pPr>
        <w:jc w:val="center"/>
        <w:rPr>
          <w:rFonts w:ascii="仿宋" w:hAnsi="仿宋" w:eastAsia="仿宋" w:cs="仿宋"/>
          <w:sz w:val="24"/>
        </w:rPr>
      </w:pPr>
      <w:r>
        <w:rPr>
          <w:rFonts w:hint="eastAsia" w:ascii="仿宋" w:hAnsi="仿宋" w:eastAsia="仿宋" w:cs="仿宋"/>
          <w:sz w:val="24"/>
        </w:rPr>
        <w:drawing>
          <wp:inline distT="0" distB="0" distL="114300" distR="114300">
            <wp:extent cx="5756910" cy="3337560"/>
            <wp:effectExtent l="0" t="0" r="15240" b="15240"/>
            <wp:docPr id="6" name="图片 3" descr="eda0ce0fd4b0d5efacc8433d6fd33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eda0ce0fd4b0d5efacc8433d6fd338f"/>
                    <pic:cNvPicPr>
                      <a:picLocks noChangeAspect="1"/>
                    </pic:cNvPicPr>
                  </pic:nvPicPr>
                  <pic:blipFill>
                    <a:blip r:embed="rId8"/>
                    <a:stretch>
                      <a:fillRect/>
                    </a:stretch>
                  </pic:blipFill>
                  <pic:spPr>
                    <a:xfrm>
                      <a:off x="0" y="0"/>
                      <a:ext cx="5756910" cy="3337560"/>
                    </a:xfrm>
                    <a:prstGeom prst="rect">
                      <a:avLst/>
                    </a:prstGeom>
                    <a:noFill/>
                    <a:ln>
                      <a:noFill/>
                    </a:ln>
                  </pic:spPr>
                </pic:pic>
              </a:graphicData>
            </a:graphic>
          </wp:inline>
        </w:drawing>
      </w:r>
    </w:p>
    <w:p>
      <w:pPr>
        <w:spacing w:line="440" w:lineRule="exact"/>
        <w:rPr>
          <w:rFonts w:ascii="仿宋" w:hAnsi="仿宋" w:eastAsia="仿宋" w:cs="仿宋"/>
          <w:b/>
          <w:bCs/>
          <w:sz w:val="24"/>
        </w:rPr>
      </w:pPr>
      <w:r>
        <w:rPr>
          <w:rFonts w:hint="eastAsia" w:ascii="仿宋" w:hAnsi="仿宋" w:eastAsia="仿宋" w:cs="仿宋"/>
          <w:b/>
          <w:bCs/>
          <w:sz w:val="24"/>
        </w:rPr>
        <w:t>（二）室外乒乓球台</w:t>
      </w:r>
    </w:p>
    <w:p>
      <w:pPr>
        <w:widowControl/>
        <w:spacing w:line="440" w:lineRule="exact"/>
        <w:ind w:firstLine="480" w:firstLineChars="200"/>
        <w:jc w:val="left"/>
        <w:rPr>
          <w:rFonts w:ascii="仿宋" w:hAnsi="仿宋" w:eastAsia="仿宋" w:cs="仿宋"/>
          <w:kern w:val="0"/>
          <w:sz w:val="24"/>
        </w:rPr>
      </w:pPr>
      <w:r>
        <w:rPr>
          <w:rFonts w:hint="eastAsia" w:ascii="仿宋" w:hAnsi="仿宋" w:eastAsia="仿宋" w:cs="仿宋"/>
          <w:b/>
          <w:bCs/>
          <w:sz w:val="24"/>
        </w:rPr>
        <w:t>▲</w:t>
      </w:r>
      <w:r>
        <w:rPr>
          <w:rFonts w:hint="eastAsia" w:ascii="仿宋" w:hAnsi="仿宋" w:eastAsia="仿宋" w:cs="仿宋"/>
          <w:kern w:val="0"/>
          <w:sz w:val="24"/>
        </w:rPr>
        <w:t>1.符合GB19272—2011《室外健身器材的安全通用标准》；</w:t>
      </w:r>
    </w:p>
    <w:p>
      <w:pPr>
        <w:widowControl/>
        <w:spacing w:line="440" w:lineRule="exact"/>
        <w:ind w:firstLine="480" w:firstLineChars="200"/>
        <w:jc w:val="left"/>
        <w:rPr>
          <w:rFonts w:ascii="仿宋" w:hAnsi="仿宋" w:eastAsia="仿宋" w:cs="仿宋"/>
          <w:kern w:val="0"/>
          <w:sz w:val="24"/>
        </w:rPr>
      </w:pPr>
      <w:r>
        <w:rPr>
          <w:rFonts w:hint="eastAsia" w:ascii="仿宋" w:hAnsi="仿宋" w:eastAsia="仿宋" w:cs="仿宋"/>
          <w:kern w:val="0"/>
          <w:sz w:val="24"/>
        </w:rPr>
        <w:t>2.长*宽*高:2740*1525*760mm；</w:t>
      </w:r>
    </w:p>
    <w:p>
      <w:pPr>
        <w:widowControl/>
        <w:spacing w:line="440" w:lineRule="exact"/>
        <w:ind w:firstLine="480" w:firstLineChars="200"/>
        <w:jc w:val="left"/>
        <w:rPr>
          <w:rFonts w:ascii="仿宋" w:hAnsi="仿宋" w:eastAsia="仿宋" w:cs="仿宋"/>
          <w:sz w:val="24"/>
          <w:shd w:val="clear" w:color="auto" w:fill="FFFFFF"/>
        </w:rPr>
      </w:pPr>
      <w:r>
        <w:rPr>
          <w:rFonts w:hint="eastAsia" w:ascii="仿宋" w:hAnsi="仿宋" w:eastAsia="仿宋" w:cs="仿宋"/>
          <w:sz w:val="24"/>
          <w:shd w:val="clear" w:color="auto" w:fill="FFFFFF"/>
        </w:rPr>
        <w:t>3.</w:t>
      </w:r>
      <w:r>
        <w:rPr>
          <w:rFonts w:hint="eastAsia" w:ascii="仿宋" w:hAnsi="仿宋" w:eastAsia="仿宋" w:cs="仿宋"/>
          <w:sz w:val="24"/>
        </w:rPr>
        <w:t>网架高152.5 mm</w:t>
      </w:r>
      <w:r>
        <w:rPr>
          <w:rFonts w:hint="eastAsia" w:ascii="仿宋" w:hAnsi="仿宋" w:eastAsia="仿宋" w:cs="仿宋"/>
          <w:sz w:val="24"/>
          <w:shd w:val="clear" w:color="auto" w:fill="FFFFFF"/>
        </w:rPr>
        <w:t>；</w:t>
      </w:r>
    </w:p>
    <w:p>
      <w:pPr>
        <w:widowControl/>
        <w:spacing w:line="440" w:lineRule="exact"/>
        <w:ind w:firstLine="480" w:firstLineChars="200"/>
        <w:jc w:val="left"/>
        <w:rPr>
          <w:rFonts w:ascii="仿宋" w:hAnsi="仿宋" w:eastAsia="仿宋" w:cs="仿宋"/>
          <w:color w:val="000000"/>
          <w:kern w:val="0"/>
          <w:sz w:val="24"/>
        </w:rPr>
      </w:pPr>
      <w:r>
        <w:rPr>
          <w:rFonts w:hint="eastAsia" w:ascii="仿宋" w:hAnsi="仿宋" w:eastAsia="仿宋" w:cs="仿宋"/>
          <w:color w:val="000000"/>
          <w:kern w:val="0"/>
          <w:sz w:val="24"/>
        </w:rPr>
        <w:t>4.一体化边框面板</w:t>
      </w:r>
      <w:r>
        <w:rPr>
          <w:rFonts w:hint="eastAsia" w:ascii="仿宋" w:hAnsi="仿宋" w:eastAsia="仿宋" w:cs="仿宋"/>
          <w:sz w:val="24"/>
        </w:rPr>
        <w:t>台面厚度为</w:t>
      </w:r>
      <w:r>
        <w:rPr>
          <w:rFonts w:hint="eastAsia" w:ascii="仿宋" w:hAnsi="仿宋" w:eastAsia="仿宋" w:cs="仿宋"/>
          <w:kern w:val="0"/>
          <w:sz w:val="24"/>
        </w:rPr>
        <w:t>≥</w:t>
      </w:r>
      <w:r>
        <w:rPr>
          <w:rFonts w:hint="eastAsia" w:ascii="仿宋" w:hAnsi="仿宋" w:eastAsia="仿宋" w:cs="仿宋"/>
          <w:sz w:val="24"/>
        </w:rPr>
        <w:t>18mm</w:t>
      </w:r>
      <w:r>
        <w:rPr>
          <w:rFonts w:hint="eastAsia" w:ascii="仿宋" w:hAnsi="仿宋" w:eastAsia="仿宋" w:cs="仿宋"/>
          <w:color w:val="000000"/>
          <w:kern w:val="0"/>
          <w:sz w:val="24"/>
        </w:rPr>
        <w:t>；</w:t>
      </w:r>
    </w:p>
    <w:p>
      <w:pPr>
        <w:widowControl/>
        <w:spacing w:line="440" w:lineRule="exact"/>
        <w:ind w:firstLine="480" w:firstLineChars="200"/>
        <w:jc w:val="left"/>
        <w:rPr>
          <w:rFonts w:ascii="仿宋" w:hAnsi="仿宋" w:eastAsia="仿宋" w:cs="仿宋"/>
          <w:color w:val="000000"/>
          <w:kern w:val="0"/>
          <w:sz w:val="24"/>
        </w:rPr>
      </w:pPr>
      <w:r>
        <w:rPr>
          <w:rFonts w:hint="eastAsia" w:ascii="仿宋" w:hAnsi="仿宋" w:eastAsia="仿宋" w:cs="仿宋"/>
          <w:color w:val="000000"/>
          <w:kern w:val="0"/>
          <w:sz w:val="24"/>
        </w:rPr>
        <w:t>5.桌腿直径</w:t>
      </w:r>
      <w:r>
        <w:rPr>
          <w:rFonts w:hint="eastAsia" w:ascii="仿宋" w:hAnsi="仿宋" w:eastAsia="仿宋" w:cs="仿宋"/>
          <w:kern w:val="0"/>
          <w:sz w:val="24"/>
        </w:rPr>
        <w:t>≥</w:t>
      </w:r>
      <w:r>
        <w:rPr>
          <w:rFonts w:hint="eastAsia" w:ascii="仿宋" w:hAnsi="仿宋" w:eastAsia="仿宋" w:cs="仿宋"/>
          <w:color w:val="000000"/>
          <w:kern w:val="0"/>
          <w:sz w:val="24"/>
        </w:rPr>
        <w:t>48mm ；</w:t>
      </w:r>
    </w:p>
    <w:p>
      <w:pPr>
        <w:widowControl/>
        <w:spacing w:line="440" w:lineRule="exact"/>
        <w:ind w:firstLine="480" w:firstLineChars="200"/>
        <w:jc w:val="left"/>
        <w:rPr>
          <w:rFonts w:ascii="仿宋" w:hAnsi="仿宋" w:eastAsia="仿宋" w:cs="仿宋"/>
          <w:color w:val="000000"/>
          <w:kern w:val="0"/>
          <w:sz w:val="24"/>
        </w:rPr>
      </w:pPr>
      <w:r>
        <w:rPr>
          <w:rFonts w:hint="eastAsia" w:ascii="仿宋" w:hAnsi="仿宋" w:eastAsia="仿宋" w:cs="仿宋"/>
          <w:color w:val="000000"/>
          <w:kern w:val="0"/>
          <w:sz w:val="24"/>
        </w:rPr>
        <w:t>6.不带轮子；</w:t>
      </w:r>
    </w:p>
    <w:p>
      <w:pPr>
        <w:widowControl/>
        <w:spacing w:line="440" w:lineRule="exact"/>
        <w:ind w:firstLine="480" w:firstLineChars="200"/>
        <w:jc w:val="left"/>
        <w:rPr>
          <w:rFonts w:ascii="仿宋" w:hAnsi="仿宋" w:eastAsia="仿宋" w:cs="仿宋"/>
          <w:sz w:val="24"/>
        </w:rPr>
      </w:pPr>
      <w:r>
        <w:rPr>
          <w:rFonts w:hint="eastAsia" w:ascii="仿宋" w:hAnsi="仿宋" w:eastAsia="仿宋" w:cs="仿宋"/>
          <w:color w:val="000000"/>
          <w:kern w:val="0"/>
          <w:sz w:val="24"/>
        </w:rPr>
        <w:t>7.颜色 :蓝色；</w:t>
      </w:r>
    </w:p>
    <w:p>
      <w:pPr>
        <w:spacing w:line="440" w:lineRule="exact"/>
        <w:ind w:firstLine="480" w:firstLineChars="200"/>
        <w:rPr>
          <w:rFonts w:ascii="仿宋" w:hAnsi="仿宋" w:eastAsia="仿宋" w:cs="仿宋"/>
          <w:kern w:val="0"/>
          <w:sz w:val="24"/>
        </w:rPr>
      </w:pPr>
      <w:r>
        <w:rPr>
          <w:rFonts w:hint="eastAsia" w:ascii="仿宋" w:hAnsi="仿宋" w:eastAsia="仿宋" w:cs="仿宋"/>
          <w:kern w:val="0"/>
          <w:sz w:val="24"/>
        </w:rPr>
        <w:t>8.图片仅供参考：</w:t>
      </w:r>
    </w:p>
    <w:p>
      <w:pPr>
        <w:jc w:val="center"/>
        <w:rPr>
          <w:rFonts w:ascii="仿宋" w:hAnsi="仿宋" w:eastAsia="仿宋" w:cs="仿宋"/>
          <w:kern w:val="0"/>
          <w:sz w:val="24"/>
        </w:rPr>
      </w:pPr>
      <w:r>
        <w:rPr>
          <w:rFonts w:hint="eastAsia" w:ascii="仿宋" w:hAnsi="仿宋" w:eastAsia="仿宋" w:cs="仿宋"/>
          <w:kern w:val="0"/>
          <w:sz w:val="24"/>
        </w:rPr>
        <w:drawing>
          <wp:inline distT="0" distB="0" distL="114300" distR="114300">
            <wp:extent cx="4018915" cy="2722245"/>
            <wp:effectExtent l="0" t="0" r="635" b="1905"/>
            <wp:docPr id="7" name="图片 3" descr="636019027958035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636019027958035895"/>
                    <pic:cNvPicPr>
                      <a:picLocks noChangeAspect="1"/>
                    </pic:cNvPicPr>
                  </pic:nvPicPr>
                  <pic:blipFill>
                    <a:blip r:embed="rId9"/>
                    <a:stretch>
                      <a:fillRect/>
                    </a:stretch>
                  </pic:blipFill>
                  <pic:spPr>
                    <a:xfrm>
                      <a:off x="0" y="0"/>
                      <a:ext cx="4018915" cy="2722245"/>
                    </a:xfrm>
                    <a:prstGeom prst="rect">
                      <a:avLst/>
                    </a:prstGeom>
                    <a:noFill/>
                    <a:ln>
                      <a:noFill/>
                    </a:ln>
                  </pic:spPr>
                </pic:pic>
              </a:graphicData>
            </a:graphic>
          </wp:inline>
        </w:drawing>
      </w:r>
    </w:p>
    <w:p>
      <w:pPr>
        <w:spacing w:line="440" w:lineRule="exact"/>
        <w:jc w:val="left"/>
        <w:rPr>
          <w:rFonts w:ascii="仿宋" w:hAnsi="仿宋" w:eastAsia="仿宋" w:cs="仿宋"/>
          <w:b/>
          <w:bCs/>
          <w:sz w:val="24"/>
        </w:rPr>
      </w:pPr>
    </w:p>
    <w:p>
      <w:pPr>
        <w:spacing w:line="440" w:lineRule="exact"/>
        <w:jc w:val="left"/>
        <w:rPr>
          <w:rFonts w:ascii="仿宋" w:hAnsi="仿宋" w:eastAsia="仿宋" w:cs="仿宋"/>
          <w:b/>
          <w:bCs/>
          <w:sz w:val="24"/>
        </w:rPr>
      </w:pPr>
      <w:r>
        <w:rPr>
          <w:rFonts w:hint="eastAsia" w:ascii="仿宋" w:hAnsi="仿宋" w:eastAsia="仿宋" w:cs="仿宋"/>
          <w:b/>
          <w:bCs/>
          <w:sz w:val="24"/>
        </w:rPr>
        <w:t>三、健身路径</w:t>
      </w:r>
    </w:p>
    <w:p>
      <w:pPr>
        <w:widowControl/>
        <w:spacing w:line="440" w:lineRule="exact"/>
        <w:ind w:firstLine="480" w:firstLineChars="200"/>
        <w:jc w:val="left"/>
        <w:rPr>
          <w:rFonts w:ascii="仿宋" w:hAnsi="仿宋" w:eastAsia="仿宋" w:cs="仿宋"/>
          <w:color w:val="000000"/>
          <w:kern w:val="0"/>
          <w:sz w:val="24"/>
        </w:rPr>
      </w:pPr>
      <w:r>
        <w:rPr>
          <w:rFonts w:hint="eastAsia" w:ascii="仿宋" w:hAnsi="仿宋" w:eastAsia="仿宋" w:cs="仿宋"/>
          <w:color w:val="000000"/>
          <w:kern w:val="0"/>
          <w:sz w:val="24"/>
        </w:rPr>
        <w:t>1.普通钢管壁厚</w:t>
      </w:r>
      <w:r>
        <w:rPr>
          <w:rFonts w:hint="eastAsia" w:ascii="仿宋" w:hAnsi="仿宋" w:eastAsia="仿宋" w:cs="仿宋"/>
          <w:kern w:val="0"/>
          <w:sz w:val="24"/>
        </w:rPr>
        <w:t>≥3.00 mm</w:t>
      </w:r>
      <w:r>
        <w:rPr>
          <w:rFonts w:hint="eastAsia" w:ascii="仿宋" w:hAnsi="仿宋" w:eastAsia="仿宋" w:cs="仿宋"/>
          <w:color w:val="000000"/>
          <w:kern w:val="0"/>
          <w:sz w:val="24"/>
        </w:rPr>
        <w:t>，喷户外色保一年以上不生锈褪色，拉爆安装，柱子底部须配胶盖遮住螺丝，所有螺丝配件均为不锈钢；</w:t>
      </w:r>
    </w:p>
    <w:p>
      <w:pPr>
        <w:widowControl/>
        <w:spacing w:line="440" w:lineRule="exact"/>
        <w:ind w:firstLine="480" w:firstLineChars="200"/>
        <w:jc w:val="left"/>
        <w:rPr>
          <w:rFonts w:ascii="仿宋" w:hAnsi="仿宋" w:eastAsia="仿宋" w:cs="仿宋"/>
          <w:sz w:val="24"/>
        </w:rPr>
      </w:pPr>
      <w:r>
        <w:rPr>
          <w:rFonts w:hint="eastAsia" w:ascii="仿宋" w:hAnsi="仿宋" w:eastAsia="仿宋" w:cs="仿宋"/>
          <w:b/>
          <w:bCs/>
          <w:sz w:val="24"/>
        </w:rPr>
        <w:t>▲</w:t>
      </w:r>
      <w:r>
        <w:rPr>
          <w:rFonts w:hint="eastAsia" w:ascii="仿宋" w:hAnsi="仿宋" w:eastAsia="仿宋" w:cs="仿宋"/>
          <w:color w:val="000000"/>
          <w:kern w:val="0"/>
          <w:sz w:val="24"/>
        </w:rPr>
        <w:t>2.符合GB19272-2011《室外健身器材的安全通用要求》（备注：健身路径每套包含</w:t>
      </w:r>
      <w:r>
        <w:rPr>
          <w:rFonts w:ascii="仿宋" w:hAnsi="仿宋" w:eastAsia="仿宋" w:cs="仿宋"/>
          <w:color w:val="000000"/>
          <w:kern w:val="0"/>
          <w:sz w:val="24"/>
        </w:rPr>
        <w:t>太极轮、漫步机、腰背按摩器、上肢牵引器、三人转腰器、腿部按摩器、腹肌板、四级压服器</w:t>
      </w:r>
      <w:r>
        <w:rPr>
          <w:rFonts w:hint="eastAsia" w:ascii="仿宋" w:hAnsi="仿宋" w:eastAsia="仿宋" w:cs="仿宋"/>
          <w:color w:val="000000"/>
          <w:kern w:val="0"/>
          <w:sz w:val="24"/>
        </w:rPr>
        <w:t>，共8件）；</w:t>
      </w:r>
    </w:p>
    <w:p>
      <w:pPr>
        <w:spacing w:line="440" w:lineRule="exact"/>
        <w:ind w:firstLine="480" w:firstLineChars="200"/>
        <w:rPr>
          <w:rFonts w:ascii="仿宋" w:hAnsi="仿宋" w:eastAsia="仿宋" w:cs="仿宋"/>
          <w:kern w:val="0"/>
          <w:sz w:val="24"/>
        </w:rPr>
      </w:pPr>
      <w:r>
        <w:rPr>
          <w:rFonts w:hint="eastAsia" w:ascii="仿宋" w:hAnsi="仿宋" w:eastAsia="仿宋" w:cs="仿宋"/>
          <w:kern w:val="0"/>
          <w:sz w:val="24"/>
        </w:rPr>
        <w:t>3.图片仅供参考：</w:t>
      </w:r>
    </w:p>
    <w:p>
      <w:pPr>
        <w:jc w:val="center"/>
      </w:pPr>
      <w:r>
        <w:drawing>
          <wp:anchor distT="0" distB="0" distL="114300" distR="114300" simplePos="0" relativeHeight="251661312" behindDoc="0" locked="0" layoutInCell="1" allowOverlap="1">
            <wp:simplePos x="0" y="0"/>
            <wp:positionH relativeFrom="column">
              <wp:posOffset>158750</wp:posOffset>
            </wp:positionH>
            <wp:positionV relativeFrom="paragraph">
              <wp:posOffset>119380</wp:posOffset>
            </wp:positionV>
            <wp:extent cx="2762250" cy="1326515"/>
            <wp:effectExtent l="0" t="0" r="0" b="6985"/>
            <wp:wrapNone/>
            <wp:docPr id="4" name="Drawing 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 4" descr="img"/>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2762250" cy="1326515"/>
                    </a:xfrm>
                    <a:prstGeom prst="rect">
                      <a:avLst/>
                    </a:prstGeom>
                  </pic:spPr>
                </pic:pic>
              </a:graphicData>
            </a:graphic>
          </wp:anchor>
        </w:drawing>
      </w:r>
    </w:p>
    <w:p>
      <w:pPr>
        <w:pStyle w:val="12"/>
        <w:jc w:val="center"/>
      </w:pPr>
    </w:p>
    <w:p>
      <w:pPr>
        <w:pStyle w:val="12"/>
        <w:jc w:val="center"/>
      </w:pPr>
    </w:p>
    <w:p>
      <w:pPr>
        <w:pStyle w:val="12"/>
        <w:jc w:val="center"/>
      </w:pPr>
    </w:p>
    <w:bookmarkEnd w:id="5"/>
    <w:bookmarkEnd w:id="6"/>
    <w:bookmarkEnd w:id="7"/>
    <w:p>
      <w:pPr>
        <w:spacing w:line="440" w:lineRule="exact"/>
        <w:rPr>
          <w:rFonts w:ascii="仿宋" w:hAnsi="仿宋" w:eastAsia="仿宋" w:cs="仿宋"/>
          <w:sz w:val="24"/>
          <w:lang w:val="zh-CN"/>
        </w:rPr>
      </w:pPr>
    </w:p>
    <w:p>
      <w:pPr>
        <w:pStyle w:val="2"/>
        <w:rPr>
          <w:lang w:val="zh-CN"/>
        </w:rPr>
      </w:pPr>
      <w:r>
        <w:drawing>
          <wp:anchor distT="0" distB="0" distL="114300" distR="114300" simplePos="0" relativeHeight="251662336" behindDoc="0" locked="0" layoutInCell="1" allowOverlap="1">
            <wp:simplePos x="0" y="0"/>
            <wp:positionH relativeFrom="margin">
              <wp:posOffset>258445</wp:posOffset>
            </wp:positionH>
            <wp:positionV relativeFrom="paragraph">
              <wp:posOffset>155575</wp:posOffset>
            </wp:positionV>
            <wp:extent cx="2762250" cy="2412365"/>
            <wp:effectExtent l="0" t="0" r="0" b="6985"/>
            <wp:wrapNone/>
            <wp:docPr id="5" name="Drawing 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5" descr="img"/>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762250" cy="2412365"/>
                    </a:xfrm>
                    <a:prstGeom prst="rect">
                      <a:avLst/>
                    </a:prstGeom>
                  </pic:spPr>
                </pic:pic>
              </a:graphicData>
            </a:graphic>
          </wp:anchor>
        </w:drawing>
      </w: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p>
    <w:p>
      <w:pPr>
        <w:pStyle w:val="2"/>
        <w:rPr>
          <w:lang w:val="zh-CN"/>
        </w:rPr>
      </w:pPr>
      <w:r>
        <w:drawing>
          <wp:anchor distT="0" distB="0" distL="114300" distR="114300" simplePos="0" relativeHeight="251664384" behindDoc="0" locked="0" layoutInCell="1" allowOverlap="1">
            <wp:simplePos x="0" y="0"/>
            <wp:positionH relativeFrom="column">
              <wp:posOffset>1840230</wp:posOffset>
            </wp:positionH>
            <wp:positionV relativeFrom="paragraph">
              <wp:posOffset>81280</wp:posOffset>
            </wp:positionV>
            <wp:extent cx="1127760" cy="887095"/>
            <wp:effectExtent l="0" t="0" r="0" b="8255"/>
            <wp:wrapNone/>
            <wp:docPr id="3" name="Drawing 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7" descr="img"/>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7760" cy="887095"/>
                    </a:xfrm>
                    <a:prstGeom prst="rect">
                      <a:avLst/>
                    </a:prstGeom>
                  </pic:spPr>
                </pic:pic>
              </a:graphicData>
            </a:graphic>
          </wp:anchor>
        </w:drawing>
      </w:r>
      <w:r>
        <w:drawing>
          <wp:anchor distT="0" distB="0" distL="114300" distR="114300" simplePos="0" relativeHeight="251663360" behindDoc="0" locked="0" layoutInCell="1" allowOverlap="1">
            <wp:simplePos x="0" y="0"/>
            <wp:positionH relativeFrom="column">
              <wp:posOffset>555625</wp:posOffset>
            </wp:positionH>
            <wp:positionV relativeFrom="paragraph">
              <wp:posOffset>-4445</wp:posOffset>
            </wp:positionV>
            <wp:extent cx="1035050" cy="1095375"/>
            <wp:effectExtent l="0" t="0" r="0" b="9525"/>
            <wp:wrapNone/>
            <wp:docPr id="2" name="Drawing 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6" descr="img"/>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035050" cy="1095375"/>
                    </a:xfrm>
                    <a:prstGeom prst="rect">
                      <a:avLst/>
                    </a:prstGeom>
                  </pic:spPr>
                </pic:pic>
              </a:graphicData>
            </a:graphic>
          </wp:anchor>
        </w:drawing>
      </w:r>
    </w:p>
    <w:p>
      <w:pPr>
        <w:pStyle w:val="2"/>
        <w:rPr>
          <w:lang w:val="zh-CN"/>
        </w:rPr>
      </w:pPr>
    </w:p>
    <w:p>
      <w:pPr>
        <w:pStyle w:val="2"/>
        <w:rPr>
          <w:lang w:val="zh-CN"/>
        </w:rPr>
      </w:pPr>
    </w:p>
    <w:p>
      <w:pPr>
        <w:pStyle w:val="2"/>
        <w:rPr>
          <w:lang w:val="zh-CN"/>
        </w:rPr>
      </w:pPr>
    </w:p>
    <w:p>
      <w:pPr>
        <w:pStyle w:val="2"/>
        <w:rPr>
          <w:lang w:val="zh-CN"/>
        </w:rPr>
      </w:pPr>
    </w:p>
    <w:p>
      <w:pPr>
        <w:pStyle w:val="4"/>
        <w:spacing w:before="0" w:after="0" w:line="440" w:lineRule="exact"/>
        <w:rPr>
          <w:rFonts w:ascii="仿宋" w:hAnsi="仿宋" w:eastAsia="仿宋" w:cs="仿宋"/>
          <w:bCs w:val="0"/>
          <w:sz w:val="24"/>
          <w:szCs w:val="24"/>
        </w:rPr>
      </w:pPr>
      <w:bookmarkStart w:id="8" w:name="_Toc23785"/>
      <w:r>
        <w:rPr>
          <w:rFonts w:hint="eastAsia" w:ascii="仿宋" w:hAnsi="仿宋" w:eastAsia="仿宋" w:cs="仿宋"/>
          <w:bCs w:val="0"/>
          <w:sz w:val="24"/>
          <w:szCs w:val="24"/>
        </w:rPr>
        <w:t xml:space="preserve">  </w:t>
      </w:r>
    </w:p>
    <w:p>
      <w:pPr>
        <w:pStyle w:val="4"/>
        <w:spacing w:before="0" w:after="0" w:line="440" w:lineRule="exact"/>
        <w:rPr>
          <w:rFonts w:ascii="仿宋" w:hAnsi="仿宋" w:eastAsia="仿宋" w:cs="仿宋"/>
          <w:bCs w:val="0"/>
          <w:sz w:val="24"/>
          <w:szCs w:val="24"/>
          <w:lang w:val="zh-CN"/>
        </w:rPr>
      </w:pPr>
      <w:r>
        <w:rPr>
          <w:rFonts w:hint="eastAsia" w:ascii="仿宋" w:hAnsi="仿宋" w:eastAsia="仿宋" w:cs="仿宋"/>
          <w:bCs w:val="0"/>
          <w:sz w:val="24"/>
          <w:szCs w:val="24"/>
        </w:rPr>
        <w:t xml:space="preserve"> </w:t>
      </w:r>
      <w:r>
        <w:rPr>
          <w:rFonts w:hint="eastAsia" w:ascii="仿宋" w:hAnsi="仿宋" w:eastAsia="仿宋" w:cs="仿宋"/>
          <w:bCs w:val="0"/>
          <w:sz w:val="24"/>
          <w:szCs w:val="24"/>
          <w:lang w:val="zh-CN"/>
        </w:rPr>
        <w:t>采购项目商务要求：</w:t>
      </w:r>
      <w:bookmarkEnd w:id="8"/>
    </w:p>
    <w:p>
      <w:pPr>
        <w:spacing w:line="440" w:lineRule="exact"/>
        <w:ind w:firstLine="480" w:firstLineChars="200"/>
        <w:rPr>
          <w:rFonts w:ascii="仿宋" w:hAnsi="仿宋" w:eastAsia="仿宋" w:cs="仿宋"/>
          <w:sz w:val="24"/>
        </w:rPr>
      </w:pPr>
      <w:r>
        <w:rPr>
          <w:rFonts w:hint="eastAsia" w:ascii="仿宋" w:hAnsi="仿宋" w:eastAsia="仿宋" w:cs="仿宋"/>
          <w:b/>
          <w:bCs/>
          <w:sz w:val="24"/>
        </w:rPr>
        <w:t>1、交货时间和地点</w:t>
      </w:r>
    </w:p>
    <w:p>
      <w:pPr>
        <w:pStyle w:val="12"/>
        <w:tabs>
          <w:tab w:val="left" w:pos="400"/>
        </w:tabs>
        <w:kinsoku w:val="0"/>
        <w:overflowPunct w:val="0"/>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（1）供货要求：合同签订之日起</w:t>
      </w:r>
      <w:r>
        <w:rPr>
          <w:rFonts w:hint="eastAsia" w:ascii="仿宋" w:hAnsi="仿宋" w:eastAsia="仿宋" w:cs="仿宋"/>
          <w:sz w:val="24"/>
          <w:szCs w:val="24"/>
          <w:u w:val="single"/>
        </w:rPr>
        <w:t>5</w:t>
      </w:r>
      <w:r>
        <w:rPr>
          <w:rFonts w:ascii="仿宋" w:hAnsi="仿宋" w:eastAsia="仿宋" w:cs="仿宋"/>
          <w:sz w:val="24"/>
          <w:szCs w:val="24"/>
          <w:u w:val="single"/>
        </w:rPr>
        <w:t>0</w:t>
      </w:r>
      <w:r>
        <w:rPr>
          <w:rFonts w:hint="eastAsia" w:ascii="仿宋" w:hAnsi="仿宋" w:eastAsia="仿宋" w:cs="仿宋"/>
          <w:sz w:val="24"/>
          <w:szCs w:val="24"/>
          <w:u w:val="single"/>
        </w:rPr>
        <w:t>天</w:t>
      </w:r>
      <w:r>
        <w:rPr>
          <w:rFonts w:hint="eastAsia" w:ascii="仿宋" w:hAnsi="仿宋" w:eastAsia="仿宋" w:cs="仿宋"/>
          <w:sz w:val="24"/>
          <w:szCs w:val="24"/>
        </w:rPr>
        <w:t>内完成设备的供货、安装与调试，并完成对使用单位相关人员的操作与使用培训，并承担由此产生的全部等费用。</w:t>
      </w:r>
    </w:p>
    <w:p>
      <w:pPr>
        <w:pStyle w:val="12"/>
        <w:tabs>
          <w:tab w:val="left" w:pos="400"/>
        </w:tabs>
        <w:kinsoku w:val="0"/>
        <w:overflowPunct w:val="0"/>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（2）交货地点：采购人指定地点。</w:t>
      </w:r>
    </w:p>
    <w:p>
      <w:pPr>
        <w:spacing w:line="440" w:lineRule="exact"/>
        <w:ind w:firstLine="480" w:firstLineChars="200"/>
        <w:rPr>
          <w:rFonts w:ascii="仿宋" w:hAnsi="仿宋" w:eastAsia="仿宋" w:cs="仿宋"/>
          <w:b/>
          <w:bCs/>
          <w:sz w:val="24"/>
        </w:rPr>
      </w:pPr>
      <w:r>
        <w:rPr>
          <w:rFonts w:hint="eastAsia" w:ascii="仿宋" w:hAnsi="仿宋" w:eastAsia="仿宋" w:cs="仿宋"/>
          <w:b/>
          <w:bCs/>
          <w:sz w:val="24"/>
        </w:rPr>
        <w:t>2、★报价要求</w:t>
      </w:r>
    </w:p>
    <w:p>
      <w:pPr>
        <w:pStyle w:val="12"/>
        <w:spacing w:line="440" w:lineRule="exact"/>
        <w:ind w:firstLine="480" w:firstLineChars="200"/>
        <w:rPr>
          <w:rFonts w:ascii="仿宋" w:hAnsi="仿宋" w:eastAsia="仿宋" w:cs="仿宋"/>
          <w:bCs/>
          <w:sz w:val="24"/>
          <w:szCs w:val="24"/>
        </w:rPr>
      </w:pPr>
      <w:r>
        <w:rPr>
          <w:rFonts w:hint="eastAsia" w:ascii="仿宋" w:hAnsi="仿宋" w:eastAsia="仿宋" w:cs="仿宋"/>
          <w:bCs/>
          <w:sz w:val="24"/>
          <w:szCs w:val="24"/>
        </w:rPr>
        <w:t>本项目为总价报价。投标报价应包括：本项目采购货物运至合同指定地点的包装费、仓储费、运输费、保险费、装卸费、随机零配件、标配工具、安装调试费、培训费、质保期服务费、商检费、税费等完成询价内容所需的一切费用。</w:t>
      </w:r>
    </w:p>
    <w:p>
      <w:pPr>
        <w:spacing w:line="440" w:lineRule="exact"/>
        <w:ind w:firstLine="480" w:firstLineChars="200"/>
        <w:rPr>
          <w:rFonts w:ascii="仿宋" w:hAnsi="仿宋" w:eastAsia="仿宋" w:cs="仿宋"/>
          <w:sz w:val="24"/>
        </w:rPr>
      </w:pPr>
      <w:r>
        <w:rPr>
          <w:rFonts w:hint="eastAsia" w:ascii="仿宋" w:hAnsi="仿宋" w:eastAsia="仿宋" w:cs="仿宋"/>
          <w:b/>
          <w:bCs/>
          <w:sz w:val="24"/>
        </w:rPr>
        <w:t>3、质量标准</w:t>
      </w:r>
    </w:p>
    <w:p>
      <w:pPr>
        <w:spacing w:line="440" w:lineRule="exact"/>
        <w:ind w:firstLine="480" w:firstLineChars="200"/>
        <w:rPr>
          <w:rFonts w:ascii="仿宋" w:hAnsi="仿宋" w:eastAsia="仿宋" w:cs="仿宋"/>
          <w:sz w:val="24"/>
        </w:rPr>
      </w:pPr>
      <w:r>
        <w:rPr>
          <w:rFonts w:hint="eastAsia" w:ascii="仿宋" w:hAnsi="仿宋" w:eastAsia="仿宋" w:cs="仿宋"/>
          <w:sz w:val="24"/>
        </w:rPr>
        <w:t>1)中标人所投货物必须是厂商原装的、全新的、型号、性能及指标符合或优于国家及询价文件提出的有关技术、质量、安全标准、要求的货物。</w:t>
      </w:r>
    </w:p>
    <w:p>
      <w:pPr>
        <w:spacing w:line="440" w:lineRule="exact"/>
        <w:ind w:firstLine="480" w:firstLineChars="200"/>
        <w:rPr>
          <w:rFonts w:ascii="仿宋" w:hAnsi="仿宋" w:eastAsia="仿宋" w:cs="仿宋"/>
          <w:sz w:val="24"/>
        </w:rPr>
      </w:pPr>
      <w:r>
        <w:rPr>
          <w:rFonts w:hint="eastAsia" w:ascii="仿宋" w:hAnsi="仿宋" w:eastAsia="仿宋" w:cs="仿宋"/>
          <w:sz w:val="24"/>
        </w:rPr>
        <w:t>2)所投货物必须符合国家质量检测标准和专业设备检测标准。油漆、基材等材质必须符合环保要求,达到国家、行业检测标准。</w:t>
      </w:r>
    </w:p>
    <w:p>
      <w:pPr>
        <w:spacing w:line="440" w:lineRule="exact"/>
        <w:ind w:firstLine="480" w:firstLineChars="200"/>
        <w:rPr>
          <w:rFonts w:ascii="仿宋" w:hAnsi="仿宋" w:eastAsia="仿宋" w:cs="仿宋"/>
          <w:bCs/>
          <w:sz w:val="24"/>
        </w:rPr>
      </w:pPr>
      <w:r>
        <w:rPr>
          <w:rFonts w:hint="eastAsia" w:ascii="仿宋" w:hAnsi="仿宋" w:eastAsia="仿宋" w:cs="仿宋"/>
          <w:sz w:val="24"/>
        </w:rPr>
        <w:t>3)设备包装均应有良好的防湿、防锈、防潮、防雨、防腐及防碰撞的措施。凡由于包装不良造成的损失和由此产生的费用均由中标人承担。</w:t>
      </w:r>
    </w:p>
    <w:p>
      <w:pPr>
        <w:spacing w:line="440" w:lineRule="exact"/>
        <w:ind w:firstLine="480" w:firstLineChars="200"/>
        <w:rPr>
          <w:rFonts w:ascii="仿宋" w:hAnsi="仿宋" w:eastAsia="仿宋" w:cs="仿宋"/>
          <w:b/>
          <w:bCs/>
          <w:sz w:val="24"/>
        </w:rPr>
      </w:pPr>
      <w:r>
        <w:rPr>
          <w:rFonts w:hint="eastAsia" w:ascii="仿宋" w:hAnsi="仿宋" w:eastAsia="仿宋" w:cs="仿宋"/>
          <w:b/>
          <w:bCs/>
          <w:sz w:val="24"/>
        </w:rPr>
        <w:t>4、验收时间</w:t>
      </w:r>
    </w:p>
    <w:p>
      <w:pPr>
        <w:spacing w:line="440" w:lineRule="exact"/>
        <w:ind w:firstLine="480" w:firstLineChars="200"/>
        <w:rPr>
          <w:rFonts w:ascii="仿宋" w:hAnsi="仿宋" w:eastAsia="仿宋" w:cs="仿宋"/>
          <w:sz w:val="24"/>
        </w:rPr>
      </w:pPr>
      <w:r>
        <w:rPr>
          <w:rFonts w:hint="eastAsia" w:ascii="仿宋" w:hAnsi="仿宋" w:eastAsia="仿宋" w:cs="仿宋"/>
          <w:sz w:val="24"/>
        </w:rPr>
        <w:t>产品</w:t>
      </w:r>
      <w:r>
        <w:rPr>
          <w:rFonts w:hint="eastAsia" w:ascii="仿宋" w:hAnsi="仿宋" w:eastAsia="仿宋" w:cs="仿宋"/>
          <w:kern w:val="0"/>
          <w:sz w:val="24"/>
        </w:rPr>
        <w:t>安装、调试完毕，</w:t>
      </w:r>
      <w:r>
        <w:rPr>
          <w:rFonts w:hint="eastAsia" w:ascii="仿宋" w:hAnsi="仿宋" w:eastAsia="仿宋" w:cs="仿宋"/>
          <w:sz w:val="24"/>
        </w:rPr>
        <w:t>产品试用</w:t>
      </w:r>
      <w:r>
        <w:rPr>
          <w:rFonts w:hint="eastAsia" w:ascii="仿宋" w:hAnsi="仿宋" w:eastAsia="仿宋" w:cs="仿宋"/>
          <w:sz w:val="24"/>
          <w:u w:val="single"/>
        </w:rPr>
        <w:t xml:space="preserve"> 1 </w:t>
      </w:r>
      <w:r>
        <w:rPr>
          <w:rFonts w:hint="eastAsia" w:ascii="仿宋" w:hAnsi="仿宋" w:eastAsia="仿宋" w:cs="仿宋"/>
          <w:sz w:val="24"/>
        </w:rPr>
        <w:t>个月后，由中标人提出验收申请，采购人应于中标人提出验收申请后</w:t>
      </w:r>
      <w:r>
        <w:rPr>
          <w:rFonts w:hint="eastAsia" w:ascii="仿宋" w:hAnsi="仿宋" w:eastAsia="仿宋" w:cs="仿宋"/>
          <w:sz w:val="24"/>
          <w:u w:val="single"/>
        </w:rPr>
        <w:t xml:space="preserve"> </w:t>
      </w:r>
      <w:r>
        <w:rPr>
          <w:rFonts w:ascii="仿宋" w:hAnsi="仿宋" w:eastAsia="仿宋" w:cs="仿宋"/>
          <w:sz w:val="24"/>
          <w:u w:val="single"/>
        </w:rPr>
        <w:t>15</w:t>
      </w:r>
      <w:r>
        <w:rPr>
          <w:rFonts w:hint="eastAsia" w:ascii="仿宋" w:hAnsi="仿宋" w:eastAsia="仿宋" w:cs="仿宋"/>
          <w:sz w:val="24"/>
          <w:u w:val="single"/>
        </w:rPr>
        <w:t xml:space="preserve"> </w:t>
      </w:r>
      <w:r>
        <w:rPr>
          <w:rFonts w:hint="eastAsia" w:ascii="仿宋" w:hAnsi="仿宋" w:eastAsia="仿宋" w:cs="仿宋"/>
          <w:sz w:val="24"/>
        </w:rPr>
        <w:t>个工作日内组织验收。采购人验收合格后应当出具验收报告，需要其他管理机构验收的由验收机构出具验收报告。如采购人不组织验收，又未向中标人提出数量、质量异议的，视为中标人交付的产品符合本合同约定。</w:t>
      </w:r>
    </w:p>
    <w:p>
      <w:pPr>
        <w:spacing w:line="440" w:lineRule="exact"/>
        <w:ind w:firstLine="480" w:firstLineChars="200"/>
        <w:rPr>
          <w:rFonts w:ascii="仿宋" w:hAnsi="仿宋" w:eastAsia="仿宋" w:cs="仿宋"/>
          <w:sz w:val="24"/>
        </w:rPr>
      </w:pPr>
      <w:r>
        <w:rPr>
          <w:rFonts w:hint="eastAsia" w:ascii="仿宋" w:hAnsi="仿宋" w:eastAsia="仿宋" w:cs="仿宋"/>
          <w:b/>
          <w:bCs/>
          <w:sz w:val="24"/>
        </w:rPr>
        <w:t>5、验收标准：</w:t>
      </w:r>
    </w:p>
    <w:p>
      <w:pPr>
        <w:spacing w:line="440" w:lineRule="exact"/>
        <w:ind w:firstLine="480" w:firstLineChars="200"/>
        <w:rPr>
          <w:rFonts w:ascii="仿宋" w:hAnsi="仿宋" w:eastAsia="仿宋" w:cs="仿宋"/>
          <w:sz w:val="24"/>
        </w:rPr>
      </w:pPr>
      <w:r>
        <w:rPr>
          <w:rFonts w:hint="eastAsia" w:ascii="仿宋" w:hAnsi="仿宋" w:eastAsia="仿宋" w:cs="仿宋"/>
          <w:sz w:val="24"/>
        </w:rPr>
        <w:t>（1）单证齐全：应有产品合格证（或质量证明）、使用说明、保修证明、发票和其它应具有的单证；</w:t>
      </w:r>
    </w:p>
    <w:p>
      <w:pPr>
        <w:spacing w:line="440" w:lineRule="exact"/>
        <w:ind w:firstLine="480" w:firstLineChars="200"/>
        <w:rPr>
          <w:rFonts w:ascii="仿宋" w:hAnsi="仿宋" w:eastAsia="仿宋" w:cs="仿宋"/>
          <w:sz w:val="24"/>
        </w:rPr>
      </w:pPr>
      <w:r>
        <w:rPr>
          <w:rFonts w:hint="eastAsia" w:ascii="仿宋" w:hAnsi="仿宋" w:eastAsia="仿宋" w:cs="仿宋"/>
          <w:sz w:val="24"/>
        </w:rPr>
        <w:t>（2）质量符合国家</w:t>
      </w:r>
      <w:r>
        <w:rPr>
          <w:rFonts w:hint="eastAsia" w:ascii="仿宋" w:hAnsi="仿宋" w:eastAsia="仿宋" w:cs="仿宋"/>
          <w:bCs/>
          <w:sz w:val="24"/>
        </w:rPr>
        <w:t>、行业等有关标准，符合</w:t>
      </w:r>
      <w:r>
        <w:rPr>
          <w:rFonts w:hint="eastAsia" w:ascii="仿宋" w:hAnsi="仿宋" w:eastAsia="仿宋" w:cs="仿宋"/>
          <w:sz w:val="24"/>
        </w:rPr>
        <w:t>询价文件、投标文件及</w:t>
      </w:r>
      <w:r>
        <w:rPr>
          <w:rFonts w:hint="eastAsia" w:ascii="仿宋" w:hAnsi="仿宋" w:eastAsia="仿宋" w:cs="仿宋"/>
          <w:kern w:val="0"/>
          <w:sz w:val="24"/>
        </w:rPr>
        <w:t>生产厂商公开的宣传资料和生产厂商官方网站宣传内容的标准</w:t>
      </w:r>
      <w:r>
        <w:rPr>
          <w:rFonts w:hint="eastAsia" w:ascii="仿宋" w:hAnsi="仿宋" w:eastAsia="仿宋" w:cs="仿宋"/>
          <w:sz w:val="24"/>
        </w:rPr>
        <w:t>的要求。</w:t>
      </w:r>
    </w:p>
    <w:p>
      <w:pPr>
        <w:spacing w:line="440" w:lineRule="exact"/>
        <w:ind w:firstLine="480" w:firstLineChars="200"/>
        <w:rPr>
          <w:rFonts w:ascii="仿宋" w:hAnsi="仿宋" w:eastAsia="仿宋" w:cs="仿宋"/>
          <w:b/>
          <w:sz w:val="24"/>
        </w:rPr>
      </w:pPr>
      <w:r>
        <w:rPr>
          <w:rFonts w:hint="eastAsia" w:ascii="仿宋" w:hAnsi="仿宋" w:eastAsia="仿宋" w:cs="仿宋"/>
          <w:b/>
          <w:sz w:val="24"/>
        </w:rPr>
        <w:t>6、技术培训</w:t>
      </w:r>
    </w:p>
    <w:p>
      <w:pPr>
        <w:spacing w:line="440" w:lineRule="exact"/>
        <w:ind w:firstLine="480" w:firstLineChars="200"/>
        <w:rPr>
          <w:rFonts w:ascii="仿宋" w:hAnsi="仿宋" w:eastAsia="仿宋" w:cs="仿宋"/>
          <w:b/>
          <w:bCs/>
          <w:sz w:val="24"/>
          <w:shd w:val="clear" w:color="FFFFFF" w:fill="D9D9D9"/>
        </w:rPr>
      </w:pPr>
      <w:r>
        <w:rPr>
          <w:rFonts w:hint="eastAsia" w:ascii="仿宋" w:hAnsi="仿宋" w:eastAsia="仿宋" w:cs="仿宋"/>
          <w:sz w:val="24"/>
        </w:rPr>
        <w:t>为了使得用户指定的员工熟练操作设备系统，保证设备系统良好运作，中标人应提供免费培训服务计划，中标人应在每个安装地点（村/社区）负责培训</w:t>
      </w:r>
      <w:r>
        <w:rPr>
          <w:rFonts w:hint="eastAsia" w:ascii="仿宋" w:hAnsi="仿宋" w:eastAsia="仿宋" w:cs="仿宋"/>
          <w:sz w:val="24"/>
          <w:u w:val="single"/>
        </w:rPr>
        <w:t xml:space="preserve"> 2</w:t>
      </w:r>
      <w:r>
        <w:rPr>
          <w:rFonts w:hint="eastAsia" w:ascii="仿宋" w:hAnsi="仿宋" w:eastAsia="仿宋" w:cs="仿宋"/>
          <w:sz w:val="24"/>
        </w:rPr>
        <w:t>名操作管理及维护人员，达到熟练掌握产品性能，能及时排除一般故障的程度。</w:t>
      </w:r>
    </w:p>
    <w:p>
      <w:pPr>
        <w:spacing w:line="440" w:lineRule="exact"/>
        <w:ind w:firstLine="480" w:firstLineChars="200"/>
        <w:rPr>
          <w:rFonts w:ascii="仿宋" w:hAnsi="仿宋" w:eastAsia="仿宋" w:cs="仿宋"/>
          <w:b/>
          <w:sz w:val="24"/>
        </w:rPr>
      </w:pPr>
      <w:r>
        <w:rPr>
          <w:rFonts w:hint="eastAsia" w:ascii="仿宋" w:hAnsi="仿宋" w:eastAsia="仿宋" w:cs="仿宋"/>
          <w:b/>
          <w:bCs/>
          <w:sz w:val="24"/>
        </w:rPr>
        <w:t>7</w:t>
      </w:r>
      <w:r>
        <w:rPr>
          <w:rFonts w:hint="eastAsia" w:ascii="仿宋" w:hAnsi="仿宋" w:eastAsia="仿宋" w:cs="仿宋"/>
          <w:b/>
          <w:sz w:val="24"/>
        </w:rPr>
        <w:t>、</w:t>
      </w:r>
      <w:r>
        <w:rPr>
          <w:rFonts w:hint="eastAsia" w:ascii="仿宋" w:hAnsi="仿宋" w:eastAsia="仿宋" w:cs="仿宋"/>
          <w:b/>
          <w:bCs/>
          <w:sz w:val="24"/>
        </w:rPr>
        <w:t>售后服务要求</w:t>
      </w:r>
    </w:p>
    <w:p>
      <w:pPr>
        <w:spacing w:line="440" w:lineRule="exact"/>
        <w:ind w:firstLine="480" w:firstLineChars="200"/>
        <w:rPr>
          <w:rFonts w:ascii="仿宋" w:hAnsi="仿宋" w:eastAsia="仿宋" w:cs="仿宋"/>
          <w:sz w:val="24"/>
        </w:rPr>
      </w:pPr>
      <w:r>
        <w:rPr>
          <w:rFonts w:hint="eastAsia" w:ascii="仿宋" w:hAnsi="仿宋" w:eastAsia="仿宋" w:cs="仿宋"/>
          <w:sz w:val="24"/>
        </w:rPr>
        <w:t>1)保修期：供应商所投设备必须满足采购人需求中提出的质保期要求；未具体要求的，按厂家标准，但不能少于一年。按验收之日起计，若用户有特殊要求的，按用户要求执行。</w:t>
      </w:r>
    </w:p>
    <w:p>
      <w:pPr>
        <w:spacing w:line="440" w:lineRule="exact"/>
        <w:ind w:firstLine="480" w:firstLineChars="200"/>
        <w:rPr>
          <w:rFonts w:ascii="仿宋" w:hAnsi="仿宋" w:eastAsia="仿宋" w:cs="仿宋"/>
          <w:sz w:val="24"/>
        </w:rPr>
      </w:pPr>
      <w:r>
        <w:rPr>
          <w:rFonts w:hint="eastAsia" w:ascii="仿宋" w:hAnsi="仿宋" w:eastAsia="仿宋" w:cs="仿宋"/>
          <w:sz w:val="24"/>
        </w:rPr>
        <w:t>2)保修期内，中标人负责对其提供的设备整体进行维修和系统维护，不再收取任何费用，但人为因素，自然因素（如火灾、地震等）造成的故障除外。</w:t>
      </w:r>
    </w:p>
    <w:p>
      <w:pPr>
        <w:spacing w:line="440" w:lineRule="exact"/>
        <w:ind w:firstLine="480" w:firstLineChars="200"/>
        <w:rPr>
          <w:rFonts w:ascii="仿宋" w:hAnsi="仿宋" w:eastAsia="仿宋" w:cs="仿宋"/>
          <w:sz w:val="24"/>
        </w:rPr>
      </w:pPr>
      <w:r>
        <w:rPr>
          <w:rFonts w:hint="eastAsia" w:ascii="仿宋" w:hAnsi="仿宋" w:eastAsia="仿宋" w:cs="仿宋"/>
          <w:sz w:val="24"/>
        </w:rPr>
        <w:t>3)保修期间内同一硬件六个月内连续 3次出现同一故障，供货商须无偿更换同一档次设备；</w:t>
      </w:r>
    </w:p>
    <w:p>
      <w:pPr>
        <w:spacing w:line="440" w:lineRule="exact"/>
        <w:ind w:firstLine="480" w:firstLineChars="200"/>
        <w:rPr>
          <w:rFonts w:ascii="仿宋" w:hAnsi="仿宋" w:eastAsia="仿宋" w:cs="仿宋"/>
          <w:sz w:val="24"/>
        </w:rPr>
      </w:pPr>
      <w:r>
        <w:rPr>
          <w:rFonts w:hint="eastAsia" w:ascii="仿宋" w:hAnsi="仿宋" w:eastAsia="仿宋" w:cs="仿宋"/>
          <w:sz w:val="24"/>
        </w:rPr>
        <w:t>4)保修期内技术支持：提供7×24小时的技术咨询服务；</w:t>
      </w:r>
    </w:p>
    <w:p>
      <w:pPr>
        <w:spacing w:line="440" w:lineRule="exact"/>
        <w:ind w:firstLine="480" w:firstLineChars="200"/>
        <w:rPr>
          <w:rFonts w:ascii="仿宋" w:hAnsi="仿宋" w:eastAsia="仿宋" w:cs="仿宋"/>
          <w:sz w:val="24"/>
        </w:rPr>
      </w:pPr>
      <w:r>
        <w:rPr>
          <w:rFonts w:hint="eastAsia" w:ascii="仿宋" w:hAnsi="仿宋" w:eastAsia="仿宋" w:cs="仿宋"/>
          <w:sz w:val="24"/>
        </w:rPr>
        <w:t>5)保修期内故障响应：提供7×24小时的故障服务受理，并提供7×10小时的现场支援；备件服务：遇到重大故障，提供系统所需更换的任何备件。</w:t>
      </w:r>
    </w:p>
    <w:p>
      <w:pPr>
        <w:spacing w:line="440" w:lineRule="exact"/>
        <w:ind w:firstLine="480" w:firstLineChars="200"/>
        <w:rPr>
          <w:rFonts w:ascii="仿宋" w:hAnsi="仿宋" w:eastAsia="仿宋" w:cs="仿宋"/>
          <w:sz w:val="24"/>
        </w:rPr>
      </w:pPr>
      <w:r>
        <w:rPr>
          <w:rFonts w:hint="eastAsia" w:ascii="仿宋" w:hAnsi="仿宋" w:eastAsia="仿宋" w:cs="仿宋"/>
          <w:sz w:val="24"/>
        </w:rPr>
        <w:t>6)保修期内,所有设备保修服务方式均为中标人上门保修，即中标人派人员到设备使用现场维修，由此产生的一切费用均由中标人承担。</w:t>
      </w:r>
    </w:p>
    <w:p>
      <w:pPr>
        <w:spacing w:line="440" w:lineRule="exact"/>
        <w:ind w:firstLine="480" w:firstLineChars="200"/>
        <w:rPr>
          <w:rFonts w:ascii="仿宋" w:hAnsi="仿宋" w:eastAsia="仿宋" w:cs="仿宋"/>
          <w:sz w:val="24"/>
        </w:rPr>
      </w:pPr>
      <w:r>
        <w:rPr>
          <w:rFonts w:hint="eastAsia" w:ascii="仿宋" w:hAnsi="仿宋" w:eastAsia="仿宋" w:cs="仿宋"/>
          <w:sz w:val="24"/>
        </w:rPr>
        <w:t>7)★保修期内,用户报修后供应商应在接到系统故障保修响应时间为：周一至周日8：30―18：30期间30分钟内电话响应，</w:t>
      </w:r>
      <w:r>
        <w:rPr>
          <w:rFonts w:hint="eastAsia" w:ascii="仿宋" w:hAnsi="仿宋" w:eastAsia="仿宋" w:cs="仿宋"/>
          <w:sz w:val="24"/>
          <w:u w:val="single"/>
        </w:rPr>
        <w:t>4</w:t>
      </w:r>
      <w:r>
        <w:rPr>
          <w:rFonts w:hint="eastAsia" w:ascii="仿宋" w:hAnsi="仿宋" w:eastAsia="仿宋" w:cs="仿宋"/>
          <w:sz w:val="24"/>
        </w:rPr>
        <w:t>小时内到现场响应。用户报修后须在上述规定的时间内派人员上门现场维护，并在24小时内解决问题。在24小时内不能解决问题的设备，应提供不低于故障产品档次的设备给用户使用，直至故障设备修复，投标人须在响应文件中提供承诺函。</w:t>
      </w:r>
    </w:p>
    <w:p>
      <w:pPr>
        <w:spacing w:line="440" w:lineRule="exact"/>
        <w:ind w:firstLine="480" w:firstLineChars="200"/>
        <w:rPr>
          <w:rFonts w:ascii="仿宋" w:hAnsi="仿宋" w:eastAsia="仿宋" w:cs="仿宋"/>
          <w:sz w:val="24"/>
          <w:shd w:val="clear" w:color="FFFFFF" w:fill="D9D9D9"/>
        </w:rPr>
      </w:pPr>
      <w:r>
        <w:rPr>
          <w:rFonts w:hint="eastAsia" w:ascii="仿宋" w:hAnsi="仿宋" w:eastAsia="仿宋" w:cs="仿宋"/>
          <w:sz w:val="24"/>
        </w:rPr>
        <w:t>8)保修期外的服务要求：免费保修期满后，提供技术支持服务。</w:t>
      </w:r>
    </w:p>
    <w:p>
      <w:pPr>
        <w:spacing w:line="440" w:lineRule="exact"/>
        <w:ind w:firstLine="480" w:firstLineChars="200"/>
        <w:rPr>
          <w:rFonts w:ascii="仿宋" w:hAnsi="仿宋" w:eastAsia="仿宋" w:cs="仿宋"/>
          <w:b/>
          <w:sz w:val="24"/>
        </w:rPr>
      </w:pPr>
      <w:r>
        <w:rPr>
          <w:rFonts w:hint="eastAsia" w:ascii="仿宋" w:hAnsi="仿宋" w:eastAsia="仿宋" w:cs="仿宋"/>
          <w:b/>
          <w:sz w:val="24"/>
        </w:rPr>
        <w:t xml:space="preserve">8、付款期限和方式 </w:t>
      </w:r>
    </w:p>
    <w:p>
      <w:pPr>
        <w:ind w:firstLine="480" w:firstLineChars="200"/>
        <w:rPr>
          <w:rFonts w:ascii="仿宋" w:hAnsi="仿宋" w:eastAsia="仿宋" w:cs="仿宋"/>
          <w:sz w:val="24"/>
        </w:rPr>
      </w:pPr>
      <w:r>
        <w:rPr>
          <w:rFonts w:hint="eastAsia" w:ascii="仿宋" w:hAnsi="仿宋" w:eastAsia="仿宋" w:cs="仿宋"/>
          <w:sz w:val="24"/>
        </w:rPr>
        <w:t>合同签订后采购人在收到中标人的发票后十个工作日内支付本合同价款的30%给中标人</w:t>
      </w:r>
      <w:r>
        <w:rPr>
          <w:rFonts w:ascii="仿宋" w:hAnsi="仿宋" w:eastAsia="仿宋" w:cs="仿宋"/>
          <w:sz w:val="24"/>
        </w:rPr>
        <w:t xml:space="preserve"> </w:t>
      </w:r>
      <w:r>
        <w:rPr>
          <w:rFonts w:hint="eastAsia" w:ascii="仿宋" w:hAnsi="仿宋" w:eastAsia="仿宋" w:cs="仿宋"/>
          <w:sz w:val="24"/>
          <w:lang w:eastAsia="zh-CN"/>
        </w:rPr>
        <w:t>，</w:t>
      </w:r>
      <w:r>
        <w:rPr>
          <w:rFonts w:ascii="仿宋" w:hAnsi="仿宋" w:eastAsia="仿宋" w:cs="仿宋"/>
          <w:sz w:val="24"/>
        </w:rPr>
        <w:t>全部货物到达现场之后7个工作日内支付至合同总金额的60%；</w:t>
      </w:r>
      <w:r>
        <w:rPr>
          <w:rFonts w:hint="eastAsia" w:ascii="仿宋" w:hAnsi="仿宋" w:eastAsia="仿宋" w:cs="仿宋"/>
          <w:sz w:val="24"/>
        </w:rPr>
        <w:t>项目验收合格之后</w:t>
      </w:r>
      <w:r>
        <w:rPr>
          <w:rFonts w:ascii="仿宋" w:hAnsi="仿宋" w:eastAsia="仿宋" w:cs="仿宋"/>
          <w:sz w:val="24"/>
        </w:rPr>
        <w:t>7个工作日内支付至合同总金额的100%</w:t>
      </w:r>
      <w:r>
        <w:rPr>
          <w:rFonts w:hint="eastAsia" w:ascii="仿宋" w:hAnsi="仿宋" w:eastAsia="仿宋" w:cs="仿宋"/>
          <w:sz w:val="24"/>
        </w:rPr>
        <w:t>。</w:t>
      </w:r>
    </w:p>
    <w:p>
      <w:pPr>
        <w:spacing w:line="440" w:lineRule="exact"/>
        <w:rPr>
          <w:rFonts w:ascii="仿宋" w:hAnsi="仿宋" w:eastAsia="仿宋" w:cs="仿宋"/>
          <w:b/>
          <w:bCs/>
          <w:sz w:val="24"/>
        </w:rPr>
      </w:pPr>
      <w:r>
        <w:rPr>
          <w:rFonts w:hint="eastAsia" w:ascii="仿宋" w:hAnsi="仿宋" w:eastAsia="仿宋"/>
          <w:b/>
          <w:sz w:val="24"/>
        </w:rPr>
        <w:t>打“</w:t>
      </w:r>
      <w:r>
        <w:rPr>
          <w:rFonts w:hint="eastAsia" w:ascii="仿宋" w:hAnsi="仿宋" w:eastAsia="仿宋"/>
          <w:sz w:val="24"/>
          <w:lang w:val="hr-HR"/>
        </w:rPr>
        <w:t>★</w:t>
      </w:r>
      <w:r>
        <w:rPr>
          <w:rFonts w:hint="eastAsia" w:ascii="仿宋" w:hAnsi="仿宋" w:eastAsia="仿宋"/>
          <w:b/>
          <w:sz w:val="24"/>
        </w:rPr>
        <w:t>”为不可偏离条款，如出现对任意一条的不满足，将导致投标无效。</w:t>
      </w:r>
    </w:p>
    <w:p>
      <w:pPr>
        <w:spacing w:line="440" w:lineRule="exact"/>
        <w:rPr>
          <w:sz w:val="24"/>
        </w:rPr>
      </w:pPr>
    </w:p>
    <w:p>
      <w:pPr>
        <w:spacing w:line="440" w:lineRule="exact"/>
        <w:ind w:firstLine="504" w:firstLineChars="210"/>
        <w:rPr>
          <w:rFonts w:ascii="仿宋" w:hAnsi="仿宋" w:eastAsia="仿宋" w:cs="仿宋"/>
          <w:sz w:val="24"/>
        </w:rPr>
        <w:sectPr>
          <w:footerReference r:id="rId3" w:type="default"/>
          <w:pgSz w:w="11906" w:h="16838"/>
          <w:pgMar w:top="1134" w:right="1134" w:bottom="1134" w:left="1080" w:header="851" w:footer="992" w:gutter="0"/>
          <w:cols w:space="720" w:num="1"/>
          <w:docGrid w:type="linesAndChars" w:linePitch="312" w:charSpace="0"/>
        </w:sectPr>
      </w:pPr>
    </w:p>
    <w:p>
      <w:pPr>
        <w:pStyle w:val="4"/>
        <w:spacing w:line="440" w:lineRule="exact"/>
        <w:jc w:val="center"/>
        <w:rPr>
          <w:rFonts w:ascii="仿宋" w:hAnsi="仿宋" w:eastAsia="仿宋" w:cs="仿宋"/>
          <w:sz w:val="24"/>
          <w:szCs w:val="24"/>
          <w:lang w:val="zh-CN"/>
        </w:rPr>
      </w:pPr>
      <w:bookmarkStart w:id="9" w:name="_Toc1390"/>
      <w:r>
        <w:rPr>
          <w:rFonts w:hint="eastAsia" w:ascii="仿宋" w:hAnsi="仿宋" w:eastAsia="仿宋" w:cs="仿宋"/>
          <w:kern w:val="0"/>
          <w:sz w:val="24"/>
          <w:szCs w:val="24"/>
        </w:rPr>
        <w:t>第三部分　报价人须知</w:t>
      </w:r>
    </w:p>
    <w:bookmarkEnd w:id="9"/>
    <w:p>
      <w:pPr>
        <w:spacing w:line="440" w:lineRule="exact"/>
        <w:rPr>
          <w:rFonts w:ascii="仿宋" w:hAnsi="仿宋" w:eastAsia="仿宋" w:cs="仿宋"/>
          <w:sz w:val="24"/>
        </w:rPr>
      </w:pPr>
      <w:r>
        <w:rPr>
          <w:rFonts w:hint="eastAsia" w:ascii="仿宋" w:hAnsi="仿宋" w:eastAsia="仿宋" w:cs="仿宋"/>
          <w:sz w:val="24"/>
        </w:rPr>
        <w:t>根据《政府采购法》的相关规定确定以下评标方法、步骤及标准：</w:t>
      </w:r>
    </w:p>
    <w:p>
      <w:pPr>
        <w:adjustRightInd w:val="0"/>
        <w:snapToGrid w:val="0"/>
        <w:spacing w:line="440" w:lineRule="exact"/>
        <w:rPr>
          <w:rFonts w:ascii="仿宋" w:hAnsi="仿宋" w:eastAsia="仿宋" w:cs="仿宋"/>
          <w:b/>
          <w:sz w:val="24"/>
        </w:rPr>
      </w:pPr>
      <w:r>
        <w:rPr>
          <w:rFonts w:hint="eastAsia" w:ascii="仿宋" w:hAnsi="仿宋" w:eastAsia="仿宋" w:cs="仿宋"/>
          <w:b/>
          <w:sz w:val="24"/>
        </w:rPr>
        <w:t>一.评标方法</w:t>
      </w:r>
    </w:p>
    <w:p>
      <w:pPr>
        <w:pStyle w:val="7"/>
        <w:spacing w:line="440" w:lineRule="exact"/>
        <w:ind w:firstLine="470" w:firstLineChars="196"/>
        <w:rPr>
          <w:rFonts w:ascii="仿宋" w:hAnsi="仿宋" w:eastAsia="仿宋" w:cs="仿宋"/>
          <w:sz w:val="24"/>
          <w:szCs w:val="24"/>
        </w:rPr>
      </w:pPr>
      <w:r>
        <w:rPr>
          <w:rFonts w:hint="eastAsia" w:ascii="仿宋" w:hAnsi="仿宋" w:eastAsia="仿宋" w:cs="仿宋"/>
          <w:sz w:val="24"/>
          <w:szCs w:val="24"/>
        </w:rPr>
        <w:t>本次评标采用综合评分法，对通过初审的各投标人的技术、商务、价格进行评审、比较，并量化打分，最后根据各项得分之和（其中技术商务评分</w:t>
      </w:r>
      <w:r>
        <w:rPr>
          <w:rFonts w:hint="eastAsia" w:ascii="仿宋" w:hAnsi="仿宋" w:eastAsia="仿宋" w:cs="仿宋"/>
          <w:sz w:val="24"/>
          <w:szCs w:val="24"/>
          <w:lang w:val="zh-CN"/>
        </w:rPr>
        <w:t>占</w:t>
      </w:r>
      <w:r>
        <w:rPr>
          <w:rFonts w:hint="eastAsia" w:ascii="仿宋" w:hAnsi="仿宋" w:eastAsia="仿宋" w:cs="仿宋"/>
          <w:sz w:val="24"/>
          <w:szCs w:val="24"/>
        </w:rPr>
        <w:t>70</w:t>
      </w:r>
      <w:r>
        <w:rPr>
          <w:rFonts w:hint="eastAsia" w:ascii="仿宋" w:hAnsi="仿宋" w:eastAsia="仿宋" w:cs="仿宋"/>
          <w:sz w:val="24"/>
          <w:szCs w:val="24"/>
          <w:lang w:val="zh-CN"/>
        </w:rPr>
        <w:t>分、价格评分占</w:t>
      </w:r>
      <w:r>
        <w:rPr>
          <w:rFonts w:hint="eastAsia" w:ascii="仿宋" w:hAnsi="仿宋" w:eastAsia="仿宋" w:cs="仿宋"/>
          <w:sz w:val="24"/>
          <w:szCs w:val="24"/>
        </w:rPr>
        <w:t>30分）计算出通过初审投标人的综合评价得分。评标委员会将按各投标人综合评价得分由高到低的原则对所有通过初审的投标人进行排序。</w:t>
      </w:r>
    </w:p>
    <w:p>
      <w:pPr>
        <w:pStyle w:val="7"/>
        <w:spacing w:line="440" w:lineRule="exact"/>
        <w:ind w:firstLine="0"/>
        <w:rPr>
          <w:rFonts w:ascii="仿宋" w:hAnsi="仿宋" w:eastAsia="仿宋" w:cs="仿宋"/>
          <w:b/>
          <w:sz w:val="24"/>
          <w:szCs w:val="24"/>
        </w:rPr>
      </w:pPr>
      <w:r>
        <w:rPr>
          <w:rFonts w:hint="eastAsia" w:ascii="仿宋" w:hAnsi="仿宋" w:eastAsia="仿宋" w:cs="仿宋"/>
          <w:sz w:val="24"/>
          <w:szCs w:val="24"/>
        </w:rPr>
        <w:t>二.</w:t>
      </w:r>
      <w:r>
        <w:rPr>
          <w:rFonts w:hint="eastAsia" w:ascii="仿宋" w:hAnsi="仿宋" w:eastAsia="仿宋" w:cs="仿宋"/>
          <w:b/>
          <w:sz w:val="24"/>
          <w:szCs w:val="24"/>
        </w:rPr>
        <w:t>评标步骤</w:t>
      </w:r>
    </w:p>
    <w:p>
      <w:pPr>
        <w:pStyle w:val="7"/>
        <w:spacing w:line="440" w:lineRule="exact"/>
        <w:ind w:firstLine="470" w:firstLineChars="196"/>
        <w:rPr>
          <w:rFonts w:ascii="仿宋" w:hAnsi="仿宋" w:eastAsia="仿宋" w:cs="仿宋"/>
          <w:sz w:val="24"/>
          <w:szCs w:val="24"/>
        </w:rPr>
      </w:pPr>
      <w:r>
        <w:rPr>
          <w:rFonts w:hint="eastAsia" w:ascii="仿宋" w:hAnsi="仿宋" w:eastAsia="仿宋" w:cs="仿宋"/>
          <w:sz w:val="24"/>
          <w:szCs w:val="24"/>
        </w:rPr>
        <w:t xml:space="preserve">评标委员会对投标文件的评审分为初审、比较与评价： </w:t>
      </w:r>
    </w:p>
    <w:p>
      <w:pPr>
        <w:pStyle w:val="7"/>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（一）初审</w:t>
      </w:r>
    </w:p>
    <w:p>
      <w:pPr>
        <w:pStyle w:val="7"/>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1.资格性审查：采购人或者采购代理机构对投标人的资格进行审查。合格投标人不足3家的，不得评标。</w:t>
      </w:r>
    </w:p>
    <w:p>
      <w:pPr>
        <w:pStyle w:val="7"/>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2.符合性审查：评标委员会对合格投标人的投标文件进行符合性审查、评价投标文件是否符合询价文件的商务、技术等实质性要求；必要时要求投标人对投标文件有关事项作出澄清或者说明。 </w:t>
      </w:r>
    </w:p>
    <w:p>
      <w:pPr>
        <w:adjustRightInd w:val="0"/>
        <w:snapToGrid w:val="0"/>
        <w:spacing w:before="156" w:beforeLines="50" w:line="440" w:lineRule="exact"/>
        <w:rPr>
          <w:rFonts w:ascii="仿宋" w:hAnsi="仿宋" w:eastAsia="仿宋" w:cs="仿宋"/>
          <w:b/>
          <w:bCs/>
          <w:snapToGrid w:val="0"/>
          <w:kern w:val="0"/>
          <w:sz w:val="24"/>
        </w:rPr>
      </w:pPr>
      <w:r>
        <w:rPr>
          <w:rFonts w:hint="eastAsia" w:ascii="仿宋" w:hAnsi="仿宋" w:eastAsia="仿宋" w:cs="仿宋"/>
          <w:b/>
          <w:bCs/>
          <w:snapToGrid w:val="0"/>
          <w:kern w:val="0"/>
          <w:sz w:val="24"/>
        </w:rPr>
        <w:t>1.资格性审查</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5566"/>
        <w:gridCol w:w="869"/>
        <w:gridCol w:w="869"/>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1"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序号</w:t>
            </w:r>
          </w:p>
        </w:tc>
        <w:tc>
          <w:tcPr>
            <w:tcW w:w="3138"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审查内容</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供应商A</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供应商B</w:t>
            </w:r>
          </w:p>
        </w:tc>
        <w:tc>
          <w:tcPr>
            <w:tcW w:w="489"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1"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1</w:t>
            </w:r>
          </w:p>
        </w:tc>
        <w:tc>
          <w:tcPr>
            <w:tcW w:w="3138" w:type="pct"/>
            <w:vAlign w:val="center"/>
          </w:tcPr>
          <w:p>
            <w:pPr>
              <w:spacing w:line="440" w:lineRule="exact"/>
              <w:jc w:val="left"/>
              <w:rPr>
                <w:rFonts w:ascii="仿宋" w:hAnsi="仿宋" w:eastAsia="仿宋" w:cs="仿宋"/>
                <w:sz w:val="24"/>
              </w:rPr>
            </w:pPr>
            <w:r>
              <w:rPr>
                <w:rFonts w:hint="eastAsia" w:ascii="仿宋" w:hAnsi="仿宋" w:eastAsia="仿宋" w:cs="仿宋"/>
                <w:sz w:val="24"/>
              </w:rPr>
              <w:t>投标人的投标文件或资格证明文件均已提供且符合询价文件要求</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89"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91"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2</w:t>
            </w:r>
          </w:p>
        </w:tc>
        <w:tc>
          <w:tcPr>
            <w:tcW w:w="3138" w:type="pct"/>
            <w:vAlign w:val="center"/>
          </w:tcPr>
          <w:p>
            <w:pPr>
              <w:spacing w:line="440" w:lineRule="exact"/>
              <w:jc w:val="left"/>
              <w:rPr>
                <w:rFonts w:ascii="仿宋" w:hAnsi="仿宋" w:eastAsia="仿宋" w:cs="仿宋"/>
                <w:sz w:val="24"/>
              </w:rPr>
            </w:pPr>
            <w:r>
              <w:rPr>
                <w:rFonts w:hint="eastAsia" w:ascii="仿宋" w:hAnsi="仿宋" w:eastAsia="仿宋" w:cs="仿宋"/>
                <w:sz w:val="24"/>
              </w:rPr>
              <w:t>投标人资质是否具备询价文件中规定资格要求</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89"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1"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3</w:t>
            </w:r>
          </w:p>
        </w:tc>
        <w:tc>
          <w:tcPr>
            <w:tcW w:w="3138" w:type="pct"/>
            <w:vAlign w:val="center"/>
          </w:tcPr>
          <w:p>
            <w:pPr>
              <w:spacing w:line="440" w:lineRule="exact"/>
              <w:jc w:val="left"/>
              <w:rPr>
                <w:rFonts w:ascii="仿宋" w:hAnsi="仿宋" w:eastAsia="仿宋" w:cs="仿宋"/>
                <w:sz w:val="24"/>
              </w:rPr>
            </w:pPr>
            <w:r>
              <w:rPr>
                <w:rFonts w:hint="eastAsia" w:ascii="仿宋" w:hAnsi="仿宋" w:eastAsia="仿宋" w:cs="仿宋"/>
                <w:sz w:val="24"/>
              </w:rPr>
              <w:t>参加政府采购活动前三年内，在经营活动中无重大违法记录</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89"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1" w:type="pct"/>
            <w:vAlign w:val="center"/>
          </w:tcPr>
          <w:p>
            <w:pPr>
              <w:spacing w:line="440" w:lineRule="exact"/>
              <w:jc w:val="center"/>
              <w:rPr>
                <w:rFonts w:ascii="仿宋" w:hAnsi="仿宋" w:eastAsia="仿宋" w:cs="仿宋"/>
                <w:sz w:val="24"/>
              </w:rPr>
            </w:pPr>
            <w:r>
              <w:rPr>
                <w:rFonts w:hint="eastAsia" w:ascii="仿宋" w:hAnsi="仿宋" w:eastAsia="仿宋" w:cs="仿宋"/>
                <w:sz w:val="24"/>
              </w:rPr>
              <w:t>4</w:t>
            </w:r>
          </w:p>
        </w:tc>
        <w:tc>
          <w:tcPr>
            <w:tcW w:w="3138" w:type="pct"/>
            <w:vAlign w:val="center"/>
          </w:tcPr>
          <w:p>
            <w:pPr>
              <w:spacing w:line="440" w:lineRule="exact"/>
              <w:jc w:val="left"/>
              <w:rPr>
                <w:rFonts w:ascii="仿宋" w:hAnsi="仿宋" w:eastAsia="仿宋" w:cs="仿宋"/>
                <w:sz w:val="24"/>
              </w:rPr>
            </w:pPr>
            <w:r>
              <w:rPr>
                <w:rFonts w:hint="eastAsia" w:ascii="仿宋" w:hAnsi="仿宋" w:eastAsia="仿宋" w:cs="仿宋"/>
                <w:sz w:val="24"/>
              </w:rPr>
              <w:t>投标人未被列入“信用中国”网站(www.creditchina.gov.cn)“记录失信被执行人或重大税收违法案件当事人名单或政府采购严重违法失信名单”记录名单；投标人不处于中国政府采购网(www.ccgp.gov.cn)禁止参加政府采购活动期间的“严重违法失信行为信息记录”名单（以政府采购代理机构于投标截止日当天在“信用中国”网站（www.creditchina.gov.cn）及中国政府采购网(www.ccgp.gov.cn)查询结果为准，如相关失信记录已失效，投标人需提供相关证明资料）</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89"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0" w:type="pct"/>
            <w:gridSpan w:val="2"/>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结论</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89"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30" w:type="pct"/>
            <w:gridSpan w:val="2"/>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不通过原因</w:t>
            </w: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90"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89"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bl>
    <w:p>
      <w:pPr>
        <w:adjustRightInd w:val="0"/>
        <w:snapToGrid w:val="0"/>
        <w:spacing w:before="156" w:beforeLines="50" w:line="440" w:lineRule="exact"/>
        <w:rPr>
          <w:rFonts w:ascii="仿宋" w:hAnsi="仿宋" w:eastAsia="仿宋" w:cs="仿宋"/>
          <w:snapToGrid w:val="0"/>
          <w:kern w:val="0"/>
          <w:sz w:val="24"/>
        </w:rPr>
      </w:pPr>
    </w:p>
    <w:p>
      <w:pPr>
        <w:adjustRightInd w:val="0"/>
        <w:snapToGrid w:val="0"/>
        <w:spacing w:before="156" w:beforeLines="50" w:line="440" w:lineRule="exact"/>
        <w:rPr>
          <w:rFonts w:ascii="仿宋" w:hAnsi="仿宋" w:eastAsia="仿宋" w:cs="仿宋"/>
          <w:sz w:val="24"/>
        </w:rPr>
      </w:pPr>
      <w:r>
        <w:rPr>
          <w:rFonts w:hint="eastAsia" w:ascii="仿宋" w:hAnsi="仿宋" w:eastAsia="仿宋" w:cs="仿宋"/>
          <w:snapToGrid w:val="0"/>
          <w:kern w:val="0"/>
          <w:sz w:val="24"/>
        </w:rPr>
        <w:t xml:space="preserve">说明：⑴ </w:t>
      </w:r>
      <w:r>
        <w:rPr>
          <w:rFonts w:hint="eastAsia" w:ascii="仿宋" w:hAnsi="仿宋" w:eastAsia="仿宋" w:cs="仿宋"/>
          <w:sz w:val="24"/>
        </w:rPr>
        <w:t>本表由采购单位代表填写。</w:t>
      </w:r>
    </w:p>
    <w:p>
      <w:pPr>
        <w:adjustRightInd w:val="0"/>
        <w:snapToGrid w:val="0"/>
        <w:spacing w:before="156" w:beforeLines="50" w:line="440" w:lineRule="exact"/>
        <w:ind w:firstLine="720" w:firstLineChars="300"/>
        <w:rPr>
          <w:rFonts w:ascii="仿宋" w:hAnsi="仿宋" w:eastAsia="仿宋" w:cs="仿宋"/>
          <w:snapToGrid w:val="0"/>
          <w:kern w:val="0"/>
          <w:sz w:val="24"/>
        </w:rPr>
      </w:pPr>
      <w:r>
        <w:rPr>
          <w:rFonts w:hint="eastAsia" w:ascii="仿宋" w:hAnsi="仿宋" w:eastAsia="仿宋" w:cs="仿宋"/>
          <w:snapToGrid w:val="0"/>
          <w:kern w:val="0"/>
          <w:sz w:val="24"/>
        </w:rPr>
        <w:t>⑵ 每一项审查内容，符合的打“√”、不符合的打“×”。</w:t>
      </w:r>
    </w:p>
    <w:p>
      <w:pPr>
        <w:adjustRightInd w:val="0"/>
        <w:snapToGrid w:val="0"/>
        <w:spacing w:before="156" w:beforeLines="50" w:line="440" w:lineRule="exact"/>
        <w:ind w:firstLine="720" w:firstLineChars="300"/>
        <w:rPr>
          <w:rFonts w:ascii="仿宋" w:hAnsi="仿宋" w:eastAsia="仿宋" w:cs="仿宋"/>
          <w:snapToGrid w:val="0"/>
          <w:kern w:val="0"/>
          <w:sz w:val="24"/>
        </w:rPr>
      </w:pPr>
      <w:r>
        <w:rPr>
          <w:rFonts w:hint="eastAsia" w:ascii="仿宋" w:hAnsi="仿宋" w:eastAsia="仿宋" w:cs="仿宋"/>
          <w:snapToGrid w:val="0"/>
          <w:kern w:val="0"/>
          <w:sz w:val="24"/>
        </w:rPr>
        <w:t>⑶ 结论栏填写“通过”或“不通过”,即有一项审查内容不符合的即为不通过。</w:t>
      </w:r>
    </w:p>
    <w:p>
      <w:pPr>
        <w:adjustRightInd w:val="0"/>
        <w:snapToGrid w:val="0"/>
        <w:spacing w:before="156" w:beforeLines="50" w:line="440" w:lineRule="exact"/>
        <w:ind w:firstLine="720" w:firstLineChars="300"/>
        <w:rPr>
          <w:rFonts w:ascii="仿宋" w:hAnsi="仿宋" w:eastAsia="仿宋" w:cs="仿宋"/>
          <w:snapToGrid w:val="0"/>
          <w:kern w:val="0"/>
          <w:sz w:val="24"/>
        </w:rPr>
      </w:pPr>
      <w:r>
        <w:rPr>
          <w:rFonts w:hint="eastAsia" w:ascii="仿宋" w:hAnsi="仿宋" w:eastAsia="仿宋" w:cs="仿宋"/>
          <w:snapToGrid w:val="0"/>
          <w:kern w:val="0"/>
          <w:sz w:val="24"/>
        </w:rPr>
        <w:t>⑷ 采购人对供应商的结论为“不通过”的，则该投标人为不合格投标人，不得进入下一步符合性审查，对结论为“不通过”的投标，要说明原因。</w:t>
      </w:r>
    </w:p>
    <w:p>
      <w:pPr>
        <w:adjustRightInd w:val="0"/>
        <w:snapToGrid w:val="0"/>
        <w:spacing w:before="156" w:beforeLines="50" w:line="440" w:lineRule="exact"/>
        <w:ind w:firstLine="720" w:firstLineChars="300"/>
        <w:rPr>
          <w:rFonts w:ascii="仿宋" w:hAnsi="仿宋" w:eastAsia="仿宋" w:cs="仿宋"/>
          <w:snapToGrid w:val="0"/>
          <w:kern w:val="0"/>
          <w:sz w:val="24"/>
        </w:rPr>
      </w:pPr>
      <w:r>
        <w:rPr>
          <w:rFonts w:hint="eastAsia" w:ascii="仿宋" w:hAnsi="仿宋" w:eastAsia="仿宋" w:cs="仿宋"/>
          <w:snapToGrid w:val="0"/>
          <w:kern w:val="0"/>
          <w:sz w:val="24"/>
        </w:rPr>
        <w:t>⑸ 投标人的投标文件须包含本项目询价公告及询价文件关于资格要求的相关资料。</w:t>
      </w:r>
    </w:p>
    <w:p>
      <w:pPr>
        <w:adjustRightInd w:val="0"/>
        <w:snapToGrid w:val="0"/>
        <w:spacing w:before="156" w:beforeLines="50" w:line="440" w:lineRule="exact"/>
        <w:rPr>
          <w:rFonts w:ascii="仿宋" w:hAnsi="仿宋" w:eastAsia="仿宋" w:cs="仿宋"/>
          <w:b/>
          <w:bCs/>
          <w:snapToGrid w:val="0"/>
          <w:kern w:val="0"/>
          <w:sz w:val="24"/>
        </w:rPr>
      </w:pPr>
      <w:r>
        <w:rPr>
          <w:rFonts w:hint="eastAsia" w:ascii="仿宋" w:hAnsi="仿宋" w:eastAsia="仿宋" w:cs="仿宋"/>
          <w:b/>
          <w:bCs/>
          <w:snapToGrid w:val="0"/>
          <w:kern w:val="0"/>
          <w:sz w:val="24"/>
        </w:rPr>
        <w:t>2.符合性审查</w:t>
      </w:r>
    </w:p>
    <w:tbl>
      <w:tblPr>
        <w:tblStyle w:val="24"/>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6235"/>
        <w:gridCol w:w="856"/>
        <w:gridCol w:w="769"/>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序号</w:t>
            </w:r>
          </w:p>
        </w:tc>
        <w:tc>
          <w:tcPr>
            <w:tcW w:w="3387"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审查内容</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供应商A</w:t>
            </w: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供应商B</w:t>
            </w: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1</w:t>
            </w:r>
          </w:p>
        </w:tc>
        <w:tc>
          <w:tcPr>
            <w:tcW w:w="3387" w:type="pct"/>
            <w:vAlign w:val="center"/>
          </w:tcPr>
          <w:p>
            <w:pPr>
              <w:spacing w:line="440" w:lineRule="exact"/>
              <w:rPr>
                <w:rFonts w:ascii="仿宋" w:hAnsi="仿宋" w:eastAsia="仿宋" w:cs="仿宋"/>
                <w:sz w:val="24"/>
              </w:rPr>
            </w:pPr>
            <w:r>
              <w:rPr>
                <w:rFonts w:hint="eastAsia" w:ascii="仿宋" w:hAnsi="仿宋" w:eastAsia="仿宋" w:cs="仿宋"/>
                <w:sz w:val="24"/>
              </w:rPr>
              <w:t>投标报价是否按询价文件要求或投标报价是否未超出采购预算的；报价方案是唯一确定的</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2</w:t>
            </w:r>
          </w:p>
        </w:tc>
        <w:tc>
          <w:tcPr>
            <w:tcW w:w="3387" w:type="pct"/>
            <w:vAlign w:val="center"/>
          </w:tcPr>
          <w:p>
            <w:pPr>
              <w:spacing w:line="440" w:lineRule="exact"/>
              <w:rPr>
                <w:rFonts w:ascii="仿宋" w:hAnsi="仿宋" w:eastAsia="仿宋" w:cs="仿宋"/>
                <w:sz w:val="24"/>
              </w:rPr>
            </w:pPr>
            <w:r>
              <w:rPr>
                <w:rFonts w:hint="eastAsia" w:ascii="仿宋" w:hAnsi="仿宋" w:eastAsia="仿宋" w:cs="仿宋"/>
                <w:sz w:val="24"/>
              </w:rPr>
              <w:t>投标文件是否有法定代表人签字或签字人是否有法定代表人的有效授权</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3</w:t>
            </w:r>
          </w:p>
        </w:tc>
        <w:tc>
          <w:tcPr>
            <w:tcW w:w="3387" w:type="pct"/>
            <w:vAlign w:val="center"/>
          </w:tcPr>
          <w:p>
            <w:pPr>
              <w:spacing w:line="440" w:lineRule="exact"/>
              <w:rPr>
                <w:rFonts w:ascii="仿宋" w:hAnsi="仿宋" w:eastAsia="仿宋" w:cs="仿宋"/>
                <w:sz w:val="24"/>
              </w:rPr>
            </w:pPr>
            <w:r>
              <w:rPr>
                <w:rFonts w:hint="eastAsia" w:ascii="仿宋" w:hAnsi="仿宋" w:eastAsia="仿宋" w:cs="仿宋"/>
                <w:sz w:val="24"/>
              </w:rPr>
              <w:t>投标文件对询价文件的实质性技术商务条款（即标注★号条款）未产生偏离</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4</w:t>
            </w:r>
          </w:p>
        </w:tc>
        <w:tc>
          <w:tcPr>
            <w:tcW w:w="3387" w:type="pct"/>
            <w:vAlign w:val="center"/>
          </w:tcPr>
          <w:p>
            <w:pPr>
              <w:spacing w:line="440" w:lineRule="exact"/>
              <w:rPr>
                <w:rFonts w:ascii="仿宋" w:hAnsi="仿宋" w:eastAsia="仿宋" w:cs="仿宋"/>
                <w:sz w:val="24"/>
              </w:rPr>
            </w:pPr>
            <w:r>
              <w:rPr>
                <w:rFonts w:hint="eastAsia" w:ascii="仿宋" w:hAnsi="仿宋" w:eastAsia="仿宋" w:cs="仿宋"/>
                <w:sz w:val="24"/>
              </w:rPr>
              <w:t>投标文件不存在采购人不能接受的附加条件</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5</w:t>
            </w:r>
          </w:p>
        </w:tc>
        <w:tc>
          <w:tcPr>
            <w:tcW w:w="3387" w:type="pct"/>
            <w:vAlign w:val="center"/>
          </w:tcPr>
          <w:p>
            <w:pPr>
              <w:spacing w:line="440" w:lineRule="exact"/>
              <w:rPr>
                <w:rFonts w:ascii="仿宋" w:hAnsi="仿宋" w:eastAsia="仿宋" w:cs="仿宋"/>
                <w:sz w:val="24"/>
              </w:rPr>
            </w:pPr>
            <w:r>
              <w:rPr>
                <w:rFonts w:hint="eastAsia" w:ascii="仿宋" w:hAnsi="仿宋" w:eastAsia="仿宋" w:cs="仿宋"/>
                <w:sz w:val="24"/>
              </w:rPr>
              <w:t>无符合询价文件中规定的被视为无效投标的其它条款的</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 w:type="pct"/>
            <w:vAlign w:val="center"/>
          </w:tcPr>
          <w:p>
            <w:pPr>
              <w:adjustRightInd w:val="0"/>
              <w:snapToGrid w:val="0"/>
              <w:spacing w:before="156" w:beforeLines="50" w:line="440" w:lineRule="exact"/>
              <w:jc w:val="center"/>
              <w:rPr>
                <w:rFonts w:ascii="仿宋" w:hAnsi="仿宋" w:eastAsia="仿宋" w:cs="仿宋"/>
                <w:snapToGrid w:val="0"/>
                <w:kern w:val="0"/>
                <w:sz w:val="24"/>
              </w:rPr>
            </w:pPr>
            <w:r>
              <w:rPr>
                <w:rFonts w:hint="eastAsia" w:ascii="仿宋" w:hAnsi="仿宋" w:eastAsia="仿宋" w:cs="仿宋"/>
                <w:snapToGrid w:val="0"/>
                <w:kern w:val="0"/>
                <w:sz w:val="24"/>
              </w:rPr>
              <w:t>6</w:t>
            </w:r>
          </w:p>
        </w:tc>
        <w:tc>
          <w:tcPr>
            <w:tcW w:w="3387" w:type="pct"/>
            <w:vAlign w:val="center"/>
          </w:tcPr>
          <w:p>
            <w:pPr>
              <w:spacing w:line="440" w:lineRule="exact"/>
              <w:rPr>
                <w:rFonts w:ascii="仿宋" w:hAnsi="仿宋" w:eastAsia="仿宋" w:cs="仿宋"/>
                <w:sz w:val="24"/>
              </w:rPr>
            </w:pPr>
            <w:r>
              <w:rPr>
                <w:rFonts w:hint="eastAsia" w:ascii="仿宋" w:hAnsi="仿宋" w:eastAsia="仿宋" w:cs="仿宋"/>
                <w:sz w:val="24"/>
              </w:rPr>
              <w:t>无不符合法律、法规规定的其他实质性要求</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7" w:type="pct"/>
            <w:gridSpan w:val="2"/>
            <w:vAlign w:val="center"/>
          </w:tcPr>
          <w:p>
            <w:pPr>
              <w:spacing w:line="440" w:lineRule="exact"/>
              <w:jc w:val="center"/>
              <w:rPr>
                <w:rFonts w:ascii="仿宋" w:hAnsi="仿宋" w:eastAsia="仿宋" w:cs="仿宋"/>
                <w:sz w:val="24"/>
              </w:rPr>
            </w:pPr>
            <w:r>
              <w:rPr>
                <w:rFonts w:hint="eastAsia" w:ascii="仿宋" w:hAnsi="仿宋" w:eastAsia="仿宋" w:cs="仿宋"/>
                <w:sz w:val="24"/>
              </w:rPr>
              <w:t>结论</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7" w:type="pct"/>
            <w:gridSpan w:val="2"/>
            <w:vAlign w:val="center"/>
          </w:tcPr>
          <w:p>
            <w:pPr>
              <w:spacing w:line="440" w:lineRule="exact"/>
              <w:jc w:val="center"/>
              <w:rPr>
                <w:rFonts w:ascii="仿宋" w:hAnsi="仿宋" w:eastAsia="仿宋" w:cs="仿宋"/>
                <w:sz w:val="24"/>
              </w:rPr>
            </w:pPr>
            <w:r>
              <w:rPr>
                <w:rFonts w:hint="eastAsia" w:ascii="仿宋" w:hAnsi="仿宋" w:eastAsia="仿宋" w:cs="仿宋"/>
                <w:sz w:val="24"/>
              </w:rPr>
              <w:t>不通过原因</w:t>
            </w:r>
          </w:p>
        </w:tc>
        <w:tc>
          <w:tcPr>
            <w:tcW w:w="465"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41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c>
          <w:tcPr>
            <w:tcW w:w="378" w:type="pct"/>
            <w:vAlign w:val="center"/>
          </w:tcPr>
          <w:p>
            <w:pPr>
              <w:adjustRightInd w:val="0"/>
              <w:snapToGrid w:val="0"/>
              <w:spacing w:before="156" w:beforeLines="50" w:line="440" w:lineRule="exact"/>
              <w:jc w:val="center"/>
              <w:rPr>
                <w:rFonts w:ascii="仿宋" w:hAnsi="仿宋" w:eastAsia="仿宋" w:cs="仿宋"/>
                <w:snapToGrid w:val="0"/>
                <w:kern w:val="0"/>
                <w:sz w:val="24"/>
              </w:rPr>
            </w:pPr>
          </w:p>
        </w:tc>
      </w:tr>
    </w:tbl>
    <w:p>
      <w:pPr>
        <w:adjustRightInd w:val="0"/>
        <w:snapToGrid w:val="0"/>
        <w:spacing w:before="156" w:beforeLines="50" w:line="440" w:lineRule="exact"/>
        <w:rPr>
          <w:rFonts w:ascii="仿宋" w:hAnsi="仿宋" w:eastAsia="仿宋" w:cs="仿宋"/>
          <w:sz w:val="24"/>
        </w:rPr>
      </w:pPr>
      <w:r>
        <w:rPr>
          <w:rFonts w:hint="eastAsia" w:ascii="仿宋" w:hAnsi="仿宋" w:eastAsia="仿宋" w:cs="仿宋"/>
          <w:snapToGrid w:val="0"/>
          <w:kern w:val="0"/>
          <w:sz w:val="24"/>
        </w:rPr>
        <w:t xml:space="preserve">说明：⑴ </w:t>
      </w:r>
      <w:r>
        <w:rPr>
          <w:rFonts w:hint="eastAsia" w:ascii="仿宋" w:hAnsi="仿宋" w:eastAsia="仿宋" w:cs="仿宋"/>
          <w:sz w:val="24"/>
        </w:rPr>
        <w:t>本表由评标委员会的每位评委分别填写。</w:t>
      </w:r>
    </w:p>
    <w:p>
      <w:pPr>
        <w:adjustRightInd w:val="0"/>
        <w:snapToGrid w:val="0"/>
        <w:spacing w:before="156" w:beforeLines="50" w:line="440" w:lineRule="exact"/>
        <w:ind w:firstLine="720" w:firstLineChars="300"/>
        <w:rPr>
          <w:rFonts w:ascii="仿宋" w:hAnsi="仿宋" w:eastAsia="仿宋" w:cs="仿宋"/>
          <w:snapToGrid w:val="0"/>
          <w:kern w:val="0"/>
          <w:sz w:val="24"/>
        </w:rPr>
      </w:pPr>
      <w:r>
        <w:rPr>
          <w:rFonts w:hint="eastAsia" w:ascii="仿宋" w:hAnsi="仿宋" w:eastAsia="仿宋" w:cs="仿宋"/>
          <w:snapToGrid w:val="0"/>
          <w:kern w:val="0"/>
          <w:sz w:val="24"/>
        </w:rPr>
        <w:t xml:space="preserve">⑵ </w:t>
      </w:r>
      <w:r>
        <w:rPr>
          <w:rFonts w:hint="eastAsia" w:ascii="仿宋" w:hAnsi="仿宋" w:eastAsia="仿宋" w:cs="仿宋"/>
          <w:sz w:val="24"/>
        </w:rPr>
        <w:t>每一项</w:t>
      </w:r>
      <w:r>
        <w:rPr>
          <w:rFonts w:hint="eastAsia" w:ascii="仿宋" w:hAnsi="仿宋" w:eastAsia="仿宋" w:cs="仿宋"/>
          <w:snapToGrid w:val="0"/>
          <w:kern w:val="0"/>
          <w:sz w:val="24"/>
        </w:rPr>
        <w:t>审查内容，符合的打“√”、不符合的打“</w:t>
      </w:r>
      <w:r>
        <w:rPr>
          <w:rFonts w:hint="eastAsia" w:ascii="仿宋" w:hAnsi="仿宋" w:eastAsia="仿宋" w:cs="仿宋"/>
          <w:sz w:val="24"/>
        </w:rPr>
        <w:t>×</w:t>
      </w:r>
      <w:r>
        <w:rPr>
          <w:rFonts w:hint="eastAsia" w:ascii="仿宋" w:hAnsi="仿宋" w:eastAsia="仿宋" w:cs="仿宋"/>
          <w:snapToGrid w:val="0"/>
          <w:kern w:val="0"/>
          <w:sz w:val="24"/>
        </w:rPr>
        <w:t>”。</w:t>
      </w:r>
    </w:p>
    <w:p>
      <w:pPr>
        <w:adjustRightInd w:val="0"/>
        <w:snapToGrid w:val="0"/>
        <w:spacing w:before="156" w:beforeLines="50" w:line="440" w:lineRule="exact"/>
        <w:ind w:firstLine="720" w:firstLineChars="300"/>
        <w:rPr>
          <w:rFonts w:ascii="仿宋" w:hAnsi="仿宋" w:eastAsia="仿宋" w:cs="仿宋"/>
          <w:snapToGrid w:val="0"/>
          <w:kern w:val="0"/>
          <w:sz w:val="24"/>
        </w:rPr>
      </w:pPr>
      <w:r>
        <w:rPr>
          <w:rFonts w:hint="eastAsia" w:ascii="仿宋" w:hAnsi="仿宋" w:eastAsia="仿宋" w:cs="仿宋"/>
          <w:snapToGrid w:val="0"/>
          <w:kern w:val="0"/>
          <w:sz w:val="24"/>
        </w:rPr>
        <w:t>⑶ 结论栏按“一票否决”的原则填写“通过”或“不通过”,即有一项审查内容不符合的即为不通过。</w:t>
      </w:r>
    </w:p>
    <w:p>
      <w:pPr>
        <w:adjustRightInd w:val="0"/>
        <w:snapToGrid w:val="0"/>
        <w:spacing w:before="156" w:beforeLines="50" w:line="440" w:lineRule="exact"/>
        <w:ind w:firstLine="720" w:firstLineChars="300"/>
        <w:rPr>
          <w:rFonts w:ascii="仿宋" w:hAnsi="仿宋" w:eastAsia="仿宋" w:cs="仿宋"/>
          <w:snapToGrid w:val="0"/>
          <w:kern w:val="0"/>
          <w:sz w:val="24"/>
        </w:rPr>
      </w:pPr>
      <w:r>
        <w:rPr>
          <w:rFonts w:hint="eastAsia" w:ascii="仿宋" w:hAnsi="仿宋" w:eastAsia="仿宋" w:cs="仿宋"/>
          <w:snapToGrid w:val="0"/>
          <w:kern w:val="0"/>
          <w:sz w:val="24"/>
        </w:rPr>
        <w:t>⑷ 有半数以上的评委对供应商的结论为“不通过”的，则该投标人为不合格投标人，不得进入下一步详细评审，且须对结论为“不通过”的投标，要说明原因。</w:t>
      </w:r>
    </w:p>
    <w:p>
      <w:pPr>
        <w:adjustRightInd w:val="0"/>
        <w:snapToGrid w:val="0"/>
        <w:spacing w:line="440" w:lineRule="exact"/>
        <w:ind w:firstLine="480" w:firstLineChars="200"/>
        <w:rPr>
          <w:rFonts w:ascii="仿宋" w:hAnsi="仿宋" w:eastAsia="仿宋" w:cs="仿宋"/>
          <w:sz w:val="24"/>
        </w:rPr>
      </w:pPr>
    </w:p>
    <w:p>
      <w:pPr>
        <w:pStyle w:val="7"/>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（二）比较与评价</w:t>
      </w:r>
    </w:p>
    <w:p>
      <w:pPr>
        <w:pStyle w:val="7"/>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评标委员会将依据询价文件对通过初步审查的投标逐条进行评审。</w:t>
      </w:r>
    </w:p>
    <w:p>
      <w:pPr>
        <w:numPr>
          <w:ilvl w:val="0"/>
          <w:numId w:val="4"/>
        </w:numPr>
        <w:adjustRightInd w:val="0"/>
        <w:snapToGrid w:val="0"/>
        <w:spacing w:line="440" w:lineRule="exact"/>
        <w:rPr>
          <w:rFonts w:ascii="仿宋" w:hAnsi="仿宋" w:eastAsia="仿宋" w:cs="仿宋"/>
          <w:b/>
          <w:bCs/>
          <w:sz w:val="24"/>
        </w:rPr>
      </w:pPr>
      <w:r>
        <w:rPr>
          <w:rFonts w:hint="eastAsia" w:ascii="仿宋" w:hAnsi="仿宋" w:eastAsia="仿宋" w:cs="仿宋"/>
          <w:b/>
          <w:bCs/>
          <w:sz w:val="24"/>
        </w:rPr>
        <w:t>技术商务评审标准</w:t>
      </w:r>
    </w:p>
    <w:tbl>
      <w:tblPr>
        <w:tblStyle w:val="24"/>
        <w:tblW w:w="5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255"/>
        <w:gridCol w:w="1035"/>
        <w:gridCol w:w="6491"/>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5" w:hRule="atLeast"/>
          <w:jc w:val="center"/>
        </w:trPr>
        <w:tc>
          <w:tcPr>
            <w:tcW w:w="655"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评审因素</w:t>
            </w:r>
          </w:p>
        </w:tc>
        <w:tc>
          <w:tcPr>
            <w:tcW w:w="540"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评审分项</w:t>
            </w:r>
          </w:p>
        </w:tc>
        <w:tc>
          <w:tcPr>
            <w:tcW w:w="3388"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评审标准</w:t>
            </w:r>
          </w:p>
        </w:tc>
        <w:tc>
          <w:tcPr>
            <w:tcW w:w="417"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0" w:hRule="atLeast"/>
          <w:jc w:val="center"/>
        </w:trPr>
        <w:tc>
          <w:tcPr>
            <w:tcW w:w="655" w:type="pct"/>
            <w:vAlign w:val="center"/>
          </w:tcPr>
          <w:p>
            <w:pPr>
              <w:widowControl/>
              <w:spacing w:line="440" w:lineRule="exact"/>
              <w:jc w:val="center"/>
              <w:textAlignment w:val="center"/>
              <w:rPr>
                <w:rFonts w:ascii="仿宋" w:hAnsi="仿宋" w:eastAsia="仿宋" w:cs="仿宋"/>
                <w:kern w:val="0"/>
                <w:sz w:val="24"/>
              </w:rPr>
            </w:pPr>
            <w:r>
              <w:rPr>
                <w:rFonts w:ascii="仿宋" w:hAnsi="仿宋" w:eastAsia="仿宋" w:cs="仿宋"/>
                <w:kern w:val="0"/>
                <w:sz w:val="24"/>
              </w:rPr>
              <w:t>技术参数</w:t>
            </w:r>
          </w:p>
        </w:tc>
        <w:tc>
          <w:tcPr>
            <w:tcW w:w="540" w:type="pct"/>
            <w:vAlign w:val="center"/>
          </w:tcPr>
          <w:p>
            <w:pPr>
              <w:widowControl/>
              <w:spacing w:line="440" w:lineRule="exact"/>
              <w:jc w:val="center"/>
              <w:textAlignment w:val="center"/>
              <w:rPr>
                <w:rFonts w:ascii="仿宋" w:hAnsi="仿宋" w:eastAsia="仿宋" w:cs="仿宋"/>
                <w:kern w:val="0"/>
                <w:sz w:val="24"/>
              </w:rPr>
            </w:pPr>
            <w:r>
              <w:rPr>
                <w:rFonts w:ascii="仿宋" w:hAnsi="仿宋" w:eastAsia="仿宋" w:cs="仿宋"/>
                <w:kern w:val="0"/>
                <w:sz w:val="24"/>
              </w:rPr>
              <w:t>所投产品具体技术参数符合性</w:t>
            </w:r>
          </w:p>
        </w:tc>
        <w:tc>
          <w:tcPr>
            <w:tcW w:w="3388" w:type="pct"/>
            <w:vAlign w:val="center"/>
          </w:tcPr>
          <w:p>
            <w:pPr>
              <w:widowControl/>
              <w:spacing w:line="440" w:lineRule="exact"/>
              <w:jc w:val="left"/>
              <w:textAlignment w:val="center"/>
              <w:rPr>
                <w:rFonts w:ascii="仿宋" w:hAnsi="仿宋" w:eastAsia="仿宋" w:cs="仿宋"/>
                <w:kern w:val="0"/>
                <w:sz w:val="24"/>
              </w:rPr>
            </w:pPr>
            <w:r>
              <w:rPr>
                <w:rFonts w:ascii="仿宋" w:hAnsi="仿宋" w:eastAsia="仿宋" w:cs="仿宋"/>
                <w:kern w:val="0"/>
                <w:sz w:val="24"/>
              </w:rPr>
              <w:t>技术（参数）要求中“▲”号条款的有4项，投标人所投产品对重要指标每偏离（不满足）一条或一项扣2分，共8分。（投标文件需要提供有效的证明文件来予以佐证主要技术符合招标要求）</w:t>
            </w:r>
            <w:r>
              <w:rPr>
                <w:rFonts w:hint="eastAsia" w:ascii="仿宋" w:hAnsi="仿宋" w:eastAsia="仿宋" w:cs="仿宋"/>
                <w:sz w:val="24"/>
              </w:rPr>
              <w:t>。</w:t>
            </w:r>
          </w:p>
        </w:tc>
        <w:tc>
          <w:tcPr>
            <w:tcW w:w="417" w:type="pct"/>
            <w:vAlign w:val="center"/>
          </w:tcPr>
          <w:p>
            <w:pPr>
              <w:widowControl/>
              <w:spacing w:line="440" w:lineRule="exact"/>
              <w:jc w:val="center"/>
              <w:textAlignment w:val="center"/>
              <w:rPr>
                <w:rFonts w:ascii="仿宋" w:hAnsi="仿宋" w:eastAsia="仿宋" w:cs="仿宋"/>
                <w:kern w:val="0"/>
                <w:sz w:val="24"/>
              </w:rPr>
            </w:pPr>
            <w:r>
              <w:rPr>
                <w:rFonts w:hint="eastAsia" w:ascii="仿宋" w:hAnsi="仿宋" w:eastAsia="仿宋" w:cs="仿宋"/>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0" w:hRule="atLeast"/>
          <w:jc w:val="center"/>
        </w:trPr>
        <w:tc>
          <w:tcPr>
            <w:tcW w:w="655" w:type="pct"/>
            <w:vMerge w:val="restar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技术实施方案</w:t>
            </w:r>
          </w:p>
        </w:tc>
        <w:tc>
          <w:tcPr>
            <w:tcW w:w="540"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对项目施工方案</w:t>
            </w:r>
          </w:p>
        </w:tc>
        <w:tc>
          <w:tcPr>
            <w:tcW w:w="3388" w:type="pct"/>
            <w:vAlign w:val="center"/>
          </w:tcPr>
          <w:p>
            <w:pPr>
              <w:widowControl/>
              <w:spacing w:line="440" w:lineRule="exact"/>
              <w:jc w:val="left"/>
              <w:textAlignment w:val="center"/>
              <w:rPr>
                <w:rFonts w:ascii="仿宋" w:hAnsi="仿宋" w:eastAsia="仿宋" w:cs="仿宋"/>
                <w:sz w:val="24"/>
              </w:rPr>
            </w:pPr>
            <w:r>
              <w:rPr>
                <w:rFonts w:hint="eastAsia" w:ascii="仿宋" w:hAnsi="仿宋" w:eastAsia="仿宋" w:cs="仿宋"/>
                <w:sz w:val="24"/>
              </w:rPr>
              <w:t>对比各投标人提供的项目进度计划安排、施工、安装、验收、培训方案等情况。</w:t>
            </w:r>
          </w:p>
          <w:p>
            <w:pPr>
              <w:widowControl/>
              <w:numPr>
                <w:ilvl w:val="0"/>
                <w:numId w:val="5"/>
              </w:numPr>
              <w:spacing w:line="440" w:lineRule="exact"/>
              <w:jc w:val="left"/>
              <w:textAlignment w:val="center"/>
              <w:rPr>
                <w:rFonts w:ascii="仿宋" w:hAnsi="仿宋" w:eastAsia="仿宋" w:cs="仿宋"/>
                <w:sz w:val="24"/>
              </w:rPr>
            </w:pPr>
            <w:r>
              <w:rPr>
                <w:rFonts w:hint="eastAsia" w:ascii="仿宋" w:hAnsi="仿宋" w:eastAsia="仿宋" w:cs="仿宋"/>
                <w:sz w:val="24"/>
              </w:rPr>
              <w:t>项目进度计划安排、施工、安装、验收、培训等方案</w:t>
            </w:r>
            <w:r>
              <w:rPr>
                <w:rFonts w:hint="eastAsia" w:ascii="仿宋" w:hAnsi="仿宋" w:eastAsia="仿宋" w:cs="仿宋"/>
                <w:color w:val="000000"/>
                <w:sz w:val="24"/>
                <w:lang w:val="en-GB"/>
              </w:rPr>
              <w:t>完善、</w:t>
            </w:r>
            <w:r>
              <w:rPr>
                <w:rFonts w:hint="eastAsia" w:ascii="仿宋" w:hAnsi="仿宋" w:eastAsia="仿宋" w:cs="仿宋"/>
                <w:sz w:val="24"/>
              </w:rPr>
              <w:t>合理，科学，可行性强，为优得10分。</w:t>
            </w:r>
          </w:p>
          <w:p>
            <w:pPr>
              <w:widowControl/>
              <w:numPr>
                <w:ilvl w:val="0"/>
                <w:numId w:val="5"/>
              </w:numPr>
              <w:spacing w:line="440" w:lineRule="exact"/>
              <w:jc w:val="left"/>
              <w:textAlignment w:val="center"/>
              <w:rPr>
                <w:rFonts w:ascii="仿宋" w:hAnsi="仿宋" w:eastAsia="仿宋" w:cs="仿宋"/>
                <w:sz w:val="24"/>
              </w:rPr>
            </w:pPr>
            <w:r>
              <w:rPr>
                <w:rFonts w:hint="eastAsia" w:ascii="仿宋" w:hAnsi="仿宋" w:eastAsia="仿宋" w:cs="仿宋"/>
                <w:sz w:val="24"/>
              </w:rPr>
              <w:t>项目进度计划安排、施工、安装、验收、培训等方案</w:t>
            </w:r>
            <w:r>
              <w:rPr>
                <w:rFonts w:hint="eastAsia" w:ascii="仿宋" w:hAnsi="仿宋" w:eastAsia="仿宋" w:cs="仿宋"/>
                <w:color w:val="000000"/>
                <w:sz w:val="24"/>
              </w:rPr>
              <w:t>基本</w:t>
            </w:r>
            <w:r>
              <w:rPr>
                <w:rFonts w:hint="eastAsia" w:ascii="仿宋" w:hAnsi="仿宋" w:eastAsia="仿宋" w:cs="仿宋"/>
                <w:color w:val="000000"/>
                <w:sz w:val="24"/>
                <w:lang w:val="en-GB"/>
              </w:rPr>
              <w:t>完善、</w:t>
            </w:r>
            <w:r>
              <w:rPr>
                <w:rFonts w:hint="eastAsia" w:ascii="仿宋" w:hAnsi="仿宋" w:eastAsia="仿宋" w:cs="仿宋"/>
                <w:color w:val="000000"/>
                <w:sz w:val="24"/>
              </w:rPr>
              <w:t>基本</w:t>
            </w:r>
            <w:r>
              <w:rPr>
                <w:rFonts w:hint="eastAsia" w:ascii="仿宋" w:hAnsi="仿宋" w:eastAsia="仿宋" w:cs="仿宋"/>
                <w:sz w:val="24"/>
              </w:rPr>
              <w:t>合理，</w:t>
            </w:r>
            <w:r>
              <w:rPr>
                <w:rFonts w:hint="eastAsia" w:ascii="仿宋" w:hAnsi="仿宋" w:eastAsia="仿宋" w:cs="仿宋"/>
                <w:color w:val="000000"/>
                <w:sz w:val="24"/>
              </w:rPr>
              <w:t>基本</w:t>
            </w:r>
            <w:r>
              <w:rPr>
                <w:rFonts w:hint="eastAsia" w:ascii="仿宋" w:hAnsi="仿宋" w:eastAsia="仿宋" w:cs="仿宋"/>
                <w:sz w:val="24"/>
              </w:rPr>
              <w:t>科学，可行性较强，为良得6分。</w:t>
            </w:r>
          </w:p>
          <w:p>
            <w:pPr>
              <w:widowControl/>
              <w:numPr>
                <w:ilvl w:val="0"/>
                <w:numId w:val="5"/>
              </w:numPr>
              <w:spacing w:line="440" w:lineRule="exact"/>
              <w:jc w:val="left"/>
              <w:textAlignment w:val="center"/>
              <w:rPr>
                <w:rFonts w:ascii="仿宋" w:hAnsi="仿宋" w:eastAsia="仿宋" w:cs="仿宋"/>
                <w:sz w:val="24"/>
              </w:rPr>
            </w:pPr>
            <w:r>
              <w:rPr>
                <w:rFonts w:hint="eastAsia" w:ascii="仿宋" w:hAnsi="仿宋" w:eastAsia="仿宋" w:cs="仿宋"/>
                <w:sz w:val="24"/>
              </w:rPr>
              <w:t>项目进度计划安排、施工、安装、验收、培训等方案</w:t>
            </w:r>
            <w:r>
              <w:rPr>
                <w:rFonts w:hint="eastAsia" w:ascii="仿宋" w:hAnsi="仿宋" w:eastAsia="仿宋" w:cs="仿宋"/>
                <w:color w:val="000000"/>
                <w:sz w:val="24"/>
              </w:rPr>
              <w:t>不</w:t>
            </w:r>
            <w:r>
              <w:rPr>
                <w:rFonts w:hint="eastAsia" w:ascii="仿宋" w:hAnsi="仿宋" w:eastAsia="仿宋" w:cs="仿宋"/>
                <w:color w:val="000000"/>
                <w:sz w:val="24"/>
                <w:lang w:val="en-GB"/>
              </w:rPr>
              <w:t>完善、</w:t>
            </w:r>
            <w:r>
              <w:rPr>
                <w:rFonts w:hint="eastAsia" w:ascii="仿宋" w:hAnsi="仿宋" w:eastAsia="仿宋" w:cs="仿宋"/>
                <w:color w:val="000000"/>
                <w:sz w:val="24"/>
              </w:rPr>
              <w:t>不</w:t>
            </w:r>
            <w:r>
              <w:rPr>
                <w:rFonts w:hint="eastAsia" w:ascii="仿宋" w:hAnsi="仿宋" w:eastAsia="仿宋" w:cs="仿宋"/>
                <w:sz w:val="24"/>
              </w:rPr>
              <w:t>合理，</w:t>
            </w:r>
            <w:r>
              <w:rPr>
                <w:rFonts w:hint="eastAsia" w:ascii="仿宋" w:hAnsi="仿宋" w:eastAsia="仿宋" w:cs="仿宋"/>
                <w:color w:val="000000"/>
                <w:sz w:val="24"/>
              </w:rPr>
              <w:t>不够</w:t>
            </w:r>
            <w:r>
              <w:rPr>
                <w:rFonts w:hint="eastAsia" w:ascii="仿宋" w:hAnsi="仿宋" w:eastAsia="仿宋" w:cs="仿宋"/>
                <w:sz w:val="24"/>
              </w:rPr>
              <w:t>科学，可行性不强，为一般得2分。</w:t>
            </w:r>
          </w:p>
          <w:p>
            <w:pPr>
              <w:spacing w:line="440" w:lineRule="exact"/>
              <w:rPr>
                <w:rFonts w:ascii="仿宋" w:hAnsi="仿宋" w:eastAsia="仿宋" w:cs="仿宋"/>
                <w:sz w:val="24"/>
              </w:rPr>
            </w:pPr>
            <w:r>
              <w:rPr>
                <w:rFonts w:hint="eastAsia" w:ascii="仿宋" w:hAnsi="仿宋" w:eastAsia="仿宋" w:cs="仿宋"/>
                <w:sz w:val="24"/>
              </w:rPr>
              <w:t>（4）不提供项目施工方案不得分。</w:t>
            </w:r>
          </w:p>
        </w:tc>
        <w:tc>
          <w:tcPr>
            <w:tcW w:w="417"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14" w:hRule="atLeast"/>
          <w:jc w:val="center"/>
        </w:trPr>
        <w:tc>
          <w:tcPr>
            <w:tcW w:w="655" w:type="pct"/>
            <w:vMerge w:val="continue"/>
            <w:vAlign w:val="center"/>
          </w:tcPr>
          <w:p>
            <w:pPr>
              <w:spacing w:line="440" w:lineRule="exact"/>
              <w:jc w:val="center"/>
              <w:rPr>
                <w:rFonts w:ascii="仿宋" w:hAnsi="仿宋" w:eastAsia="仿宋" w:cs="仿宋"/>
                <w:sz w:val="24"/>
              </w:rPr>
            </w:pPr>
          </w:p>
        </w:tc>
        <w:tc>
          <w:tcPr>
            <w:tcW w:w="540"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质量保证措施</w:t>
            </w:r>
          </w:p>
        </w:tc>
        <w:tc>
          <w:tcPr>
            <w:tcW w:w="3388" w:type="pct"/>
            <w:vAlign w:val="center"/>
          </w:tcPr>
          <w:p>
            <w:pPr>
              <w:widowControl/>
              <w:spacing w:line="440" w:lineRule="exact"/>
              <w:jc w:val="left"/>
              <w:textAlignment w:val="center"/>
              <w:rPr>
                <w:rFonts w:ascii="仿宋" w:hAnsi="仿宋" w:eastAsia="仿宋" w:cs="仿宋"/>
                <w:sz w:val="24"/>
              </w:rPr>
            </w:pPr>
            <w:r>
              <w:rPr>
                <w:rFonts w:hint="eastAsia" w:ascii="仿宋" w:hAnsi="仿宋" w:eastAsia="仿宋" w:cs="仿宋"/>
                <w:sz w:val="24"/>
              </w:rPr>
              <w:t>对比投标人的质量控制管理目标及保证措施、工期控制管理目标及保证措施方案评分。</w:t>
            </w:r>
          </w:p>
          <w:p>
            <w:pPr>
              <w:snapToGrid w:val="0"/>
              <w:spacing w:line="440" w:lineRule="exact"/>
              <w:rPr>
                <w:rFonts w:ascii="仿宋" w:hAnsi="仿宋" w:eastAsia="仿宋" w:cs="仿宋"/>
                <w:sz w:val="24"/>
              </w:rPr>
            </w:pPr>
            <w:r>
              <w:rPr>
                <w:rFonts w:hint="eastAsia" w:ascii="仿宋" w:hAnsi="仿宋" w:eastAsia="仿宋" w:cs="仿宋"/>
                <w:sz w:val="24"/>
              </w:rPr>
              <w:t>（1）质量控制管理目标及保证措施、工期控制管理目标及保证措施方案完整且针对性强、完善、保证措施合理的为优，得10分。</w:t>
            </w:r>
          </w:p>
          <w:p>
            <w:pPr>
              <w:snapToGrid w:val="0"/>
              <w:spacing w:line="440" w:lineRule="exact"/>
              <w:rPr>
                <w:rFonts w:ascii="仿宋" w:hAnsi="仿宋" w:eastAsia="仿宋" w:cs="仿宋"/>
                <w:sz w:val="24"/>
              </w:rPr>
            </w:pPr>
            <w:r>
              <w:rPr>
                <w:rFonts w:hint="eastAsia" w:ascii="仿宋" w:hAnsi="仿宋" w:eastAsia="仿宋" w:cs="仿宋"/>
                <w:sz w:val="24"/>
              </w:rPr>
              <w:t>（2）质量控制管理目标及保证措施、工期控制管理目标及保证措施方案完整且针对性较强、较完善、保证措施较合理为良，得6分。</w:t>
            </w:r>
          </w:p>
          <w:p>
            <w:pPr>
              <w:spacing w:line="440" w:lineRule="exact"/>
              <w:rPr>
                <w:rFonts w:ascii="仿宋" w:hAnsi="仿宋" w:eastAsia="仿宋" w:cs="仿宋"/>
                <w:sz w:val="24"/>
              </w:rPr>
            </w:pPr>
            <w:r>
              <w:rPr>
                <w:rFonts w:hint="eastAsia" w:ascii="仿宋" w:hAnsi="仿宋" w:eastAsia="仿宋" w:cs="仿宋"/>
                <w:sz w:val="24"/>
              </w:rPr>
              <w:t>（3）质量控制管理目标及保证措施、工期控制管理目标及保证措施方案完整且针对性一般；保证措施合理一般的为一般，得2分。</w:t>
            </w:r>
          </w:p>
          <w:p>
            <w:pPr>
              <w:spacing w:line="440" w:lineRule="exact"/>
              <w:rPr>
                <w:rFonts w:ascii="仿宋" w:hAnsi="仿宋" w:eastAsia="仿宋" w:cs="仿宋"/>
                <w:sz w:val="24"/>
              </w:rPr>
            </w:pPr>
            <w:r>
              <w:rPr>
                <w:rFonts w:hint="eastAsia" w:ascii="仿宋" w:hAnsi="仿宋" w:eastAsia="仿宋" w:cs="仿宋"/>
                <w:sz w:val="24"/>
              </w:rPr>
              <w:t>（4）不提供不得分。</w:t>
            </w:r>
          </w:p>
        </w:tc>
        <w:tc>
          <w:tcPr>
            <w:tcW w:w="417"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55" w:type="pct"/>
            <w:vMerge w:val="restar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信誉</w:t>
            </w:r>
          </w:p>
        </w:tc>
        <w:tc>
          <w:tcPr>
            <w:tcW w:w="3928" w:type="pct"/>
            <w:gridSpan w:val="2"/>
            <w:vAlign w:val="center"/>
          </w:tcPr>
          <w:p>
            <w:pPr>
              <w:widowControl/>
              <w:spacing w:line="440" w:lineRule="exact"/>
              <w:jc w:val="left"/>
              <w:textAlignment w:val="center"/>
              <w:rPr>
                <w:rFonts w:ascii="仿宋" w:hAnsi="仿宋" w:eastAsia="仿宋" w:cs="仿宋"/>
                <w:color w:val="0000FF"/>
                <w:sz w:val="24"/>
              </w:rPr>
            </w:pPr>
            <w:r>
              <w:rPr>
                <w:rFonts w:hint="eastAsia" w:ascii="仿宋" w:hAnsi="仿宋" w:eastAsia="仿宋" w:cs="仿宋"/>
                <w:kern w:val="0"/>
                <w:sz w:val="24"/>
              </w:rPr>
              <w:t>根据各投标人或投标产品制造商所通过的ISO9001质量管理体系、OHSAS18001职业健康安全管理体系、ISO14001环境管理体系认证，每提供一项得1分，本项最高得3分。</w:t>
            </w:r>
            <w:r>
              <w:rPr>
                <w:rFonts w:hint="eastAsia" w:ascii="仿宋" w:hAnsi="仿宋" w:eastAsia="仿宋" w:cs="仿宋"/>
                <w:sz w:val="24"/>
              </w:rPr>
              <w:t>（须提供有效的证书复印件，无提供则不得分）。</w:t>
            </w:r>
          </w:p>
        </w:tc>
        <w:tc>
          <w:tcPr>
            <w:tcW w:w="417"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47" w:hRule="atLeast"/>
          <w:jc w:val="center"/>
        </w:trPr>
        <w:tc>
          <w:tcPr>
            <w:tcW w:w="655" w:type="pct"/>
            <w:vMerge w:val="continue"/>
            <w:vAlign w:val="center"/>
          </w:tcPr>
          <w:p>
            <w:pPr>
              <w:widowControl/>
              <w:spacing w:line="440" w:lineRule="exact"/>
              <w:jc w:val="center"/>
              <w:textAlignment w:val="center"/>
              <w:rPr>
                <w:rFonts w:ascii="仿宋" w:hAnsi="仿宋" w:eastAsia="仿宋" w:cs="仿宋"/>
                <w:kern w:val="0"/>
                <w:sz w:val="24"/>
              </w:rPr>
            </w:pPr>
          </w:p>
        </w:tc>
        <w:tc>
          <w:tcPr>
            <w:tcW w:w="3928" w:type="pct"/>
            <w:gridSpan w:val="2"/>
            <w:vAlign w:val="center"/>
          </w:tcPr>
          <w:p>
            <w:pPr>
              <w:widowControl/>
              <w:spacing w:line="440" w:lineRule="exact"/>
              <w:jc w:val="left"/>
              <w:textAlignment w:val="center"/>
              <w:rPr>
                <w:rFonts w:ascii="仿宋" w:hAnsi="仿宋" w:eastAsia="仿宋" w:cs="仿宋"/>
                <w:kern w:val="0"/>
                <w:sz w:val="24"/>
              </w:rPr>
            </w:pPr>
            <w:r>
              <w:rPr>
                <w:rFonts w:hint="eastAsia" w:ascii="仿宋" w:hAnsi="仿宋" w:eastAsia="仿宋" w:cs="仿宋"/>
                <w:kern w:val="0"/>
                <w:sz w:val="24"/>
              </w:rPr>
              <w:t>1、</w:t>
            </w:r>
            <w:r>
              <w:rPr>
                <w:rFonts w:ascii="仿宋" w:hAnsi="仿宋" w:eastAsia="仿宋" w:cs="仿宋"/>
                <w:kern w:val="0"/>
                <w:sz w:val="24"/>
              </w:rPr>
              <w:t>投标人或投标产品制造商自2017年度起至投标截标时间连续三年以上（含）获得省级或以上体育主管部门颁发的“群众体育先进单位”的得5分，连续二年的得3分，一年的得1分。需提供相关证明材料并加盖公章，否则不得分。</w:t>
            </w:r>
          </w:p>
          <w:p>
            <w:pPr>
              <w:spacing w:line="312" w:lineRule="auto"/>
              <w:textAlignment w:val="center"/>
              <w:rPr>
                <w:rFonts w:ascii="仿宋" w:hAnsi="仿宋" w:eastAsia="仿宋" w:cs="仿宋"/>
                <w:kern w:val="0"/>
                <w:sz w:val="24"/>
              </w:rPr>
            </w:pPr>
            <w:r>
              <w:rPr>
                <w:rFonts w:hint="eastAsia" w:ascii="仿宋" w:hAnsi="仿宋" w:eastAsia="仿宋" w:cs="仿宋"/>
                <w:kern w:val="0"/>
                <w:sz w:val="24"/>
              </w:rPr>
              <w:t>2、所投室内外健身器材产品生产商获得国家体育总局授予“全国体育产业示范性单位”得3分，没有不得分。</w:t>
            </w:r>
          </w:p>
          <w:p>
            <w:pPr>
              <w:pStyle w:val="12"/>
              <w:spacing w:line="312" w:lineRule="auto"/>
              <w:textAlignment w:val="center"/>
              <w:rPr>
                <w:rFonts w:ascii="仿宋" w:hAnsi="仿宋" w:eastAsia="仿宋" w:cs="仿宋"/>
                <w:kern w:val="0"/>
                <w:sz w:val="24"/>
                <w:szCs w:val="24"/>
              </w:rPr>
            </w:pPr>
            <w:r>
              <w:rPr>
                <w:rFonts w:hint="eastAsia" w:ascii="仿宋" w:hAnsi="仿宋" w:eastAsia="仿宋" w:cs="仿宋"/>
                <w:kern w:val="0"/>
                <w:sz w:val="24"/>
                <w:szCs w:val="24"/>
              </w:rPr>
              <w:t>评审依据：投标文件中提供证明文件加盖制造商公章佐证。</w:t>
            </w:r>
          </w:p>
          <w:p>
            <w:pPr>
              <w:pStyle w:val="12"/>
              <w:spacing w:line="312" w:lineRule="auto"/>
              <w:textAlignment w:val="center"/>
              <w:rPr>
                <w:rFonts w:ascii="仿宋" w:hAnsi="仿宋" w:eastAsia="仿宋" w:cs="仿宋"/>
                <w:kern w:val="0"/>
                <w:sz w:val="24"/>
                <w:szCs w:val="24"/>
              </w:rPr>
            </w:pPr>
            <w:r>
              <w:rPr>
                <w:rFonts w:hint="eastAsia" w:ascii="仿宋" w:hAnsi="仿宋" w:eastAsia="仿宋" w:cs="仿宋"/>
                <w:kern w:val="0"/>
                <w:sz w:val="24"/>
                <w:szCs w:val="24"/>
              </w:rPr>
              <w:t>3、</w:t>
            </w:r>
            <w:r>
              <w:rPr>
                <w:rFonts w:ascii="仿宋" w:hAnsi="仿宋" w:eastAsia="仿宋" w:cs="仿宋"/>
                <w:kern w:val="0"/>
                <w:sz w:val="24"/>
                <w:szCs w:val="24"/>
              </w:rPr>
              <w:t>根据各投标人获得全民健身器材服务能力资质认证证书AAAAA级得3分，AAA级得2分,A级得1分。需提供认证证书复印件并加盖公章，否则不得分。</w:t>
            </w:r>
          </w:p>
        </w:tc>
        <w:tc>
          <w:tcPr>
            <w:tcW w:w="417" w:type="pct"/>
            <w:vAlign w:val="center"/>
          </w:tcPr>
          <w:p>
            <w:pPr>
              <w:widowControl/>
              <w:spacing w:line="440" w:lineRule="exact"/>
              <w:jc w:val="center"/>
              <w:textAlignment w:val="center"/>
              <w:rPr>
                <w:rFonts w:ascii="仿宋" w:hAnsi="仿宋" w:eastAsia="仿宋" w:cs="仿宋"/>
                <w:kern w:val="0"/>
                <w:sz w:val="24"/>
              </w:rPr>
            </w:pPr>
            <w:r>
              <w:rPr>
                <w:rFonts w:hint="eastAsia" w:ascii="仿宋" w:hAnsi="仿宋" w:eastAsia="仿宋" w:cs="仿宋"/>
                <w:kern w:val="0"/>
                <w:sz w:val="24"/>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12" w:hRule="atLeast"/>
          <w:jc w:val="center"/>
        </w:trPr>
        <w:tc>
          <w:tcPr>
            <w:tcW w:w="655" w:type="pct"/>
            <w:vAlign w:val="center"/>
          </w:tcPr>
          <w:p>
            <w:pPr>
              <w:widowControl/>
              <w:spacing w:line="440" w:lineRule="exact"/>
              <w:jc w:val="center"/>
              <w:textAlignment w:val="center"/>
              <w:rPr>
                <w:rFonts w:ascii="仿宋" w:hAnsi="仿宋" w:eastAsia="仿宋" w:cs="仿宋"/>
                <w:kern w:val="0"/>
                <w:sz w:val="24"/>
              </w:rPr>
            </w:pPr>
            <w:r>
              <w:rPr>
                <w:rFonts w:hint="eastAsia" w:ascii="仿宋" w:hAnsi="仿宋" w:eastAsia="仿宋" w:cs="仿宋"/>
                <w:sz w:val="24"/>
              </w:rPr>
              <w:t>投保情况</w:t>
            </w:r>
          </w:p>
        </w:tc>
        <w:tc>
          <w:tcPr>
            <w:tcW w:w="3928" w:type="pct"/>
            <w:gridSpan w:val="2"/>
            <w:vAlign w:val="center"/>
          </w:tcPr>
          <w:p>
            <w:pPr>
              <w:pStyle w:val="12"/>
              <w:rPr>
                <w:rFonts w:ascii="仿宋" w:hAnsi="仿宋" w:eastAsia="仿宋" w:cs="仿宋"/>
                <w:kern w:val="0"/>
                <w:sz w:val="24"/>
                <w:szCs w:val="24"/>
              </w:rPr>
            </w:pPr>
            <w:r>
              <w:rPr>
                <w:rFonts w:ascii="仿宋" w:hAnsi="仿宋" w:eastAsia="仿宋" w:cs="仿宋"/>
                <w:kern w:val="0"/>
                <w:sz w:val="24"/>
                <w:szCs w:val="24"/>
              </w:rPr>
              <w:t>1、根据投标人所提供的投标产品的保险进行评分： 投标产品需投保产品责任保险，年累计赔偿限额不低于5000万，单次赔偿限额不低于500万的得2分，否则不得分； 2、投标产品需投保产品质量保险，年累计赔偿限额不低于4000万，单次赔偿限额不低于30万的得2分，否则不得分； 3、投标产品需投保公众责任保险，年累计赔偿限额不低于5000万，单次赔偿限额不低于200万的得2分，否则不得分。 注：投标人需提供投保保单和扣款发票作为证明，否则不得分。</w:t>
            </w:r>
          </w:p>
        </w:tc>
        <w:tc>
          <w:tcPr>
            <w:tcW w:w="417" w:type="pct"/>
            <w:vAlign w:val="center"/>
          </w:tcPr>
          <w:p>
            <w:pPr>
              <w:widowControl/>
              <w:spacing w:line="440" w:lineRule="exact"/>
              <w:jc w:val="center"/>
              <w:textAlignment w:val="center"/>
              <w:rPr>
                <w:rFonts w:ascii="仿宋" w:hAnsi="仿宋" w:eastAsia="仿宋" w:cs="仿宋"/>
                <w:kern w:val="0"/>
                <w:sz w:val="24"/>
              </w:rPr>
            </w:pPr>
            <w:r>
              <w:rPr>
                <w:rFonts w:ascii="仿宋" w:hAnsi="仿宋" w:eastAsia="仿宋" w:cs="仿宋"/>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12" w:hRule="atLeast"/>
          <w:jc w:val="center"/>
        </w:trPr>
        <w:tc>
          <w:tcPr>
            <w:tcW w:w="655"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业绩</w:t>
            </w:r>
          </w:p>
        </w:tc>
        <w:tc>
          <w:tcPr>
            <w:tcW w:w="3928" w:type="pct"/>
            <w:gridSpan w:val="2"/>
            <w:vAlign w:val="center"/>
          </w:tcPr>
          <w:p>
            <w:pPr>
              <w:widowControl/>
              <w:spacing w:line="440" w:lineRule="exact"/>
              <w:jc w:val="left"/>
              <w:textAlignment w:val="center"/>
              <w:rPr>
                <w:rFonts w:ascii="仿宋" w:hAnsi="仿宋" w:eastAsia="仿宋" w:cs="仿宋"/>
                <w:kern w:val="0"/>
                <w:sz w:val="24"/>
              </w:rPr>
            </w:pPr>
            <w:r>
              <w:rPr>
                <w:rFonts w:hint="eastAsia" w:ascii="仿宋" w:hAnsi="仿宋" w:eastAsia="仿宋" w:cs="仿宋"/>
                <w:kern w:val="0"/>
                <w:sz w:val="24"/>
              </w:rPr>
              <w:t>根据投标人或产品制造商20</w:t>
            </w:r>
            <w:r>
              <w:rPr>
                <w:rFonts w:ascii="仿宋" w:hAnsi="仿宋" w:eastAsia="仿宋" w:cs="仿宋"/>
                <w:kern w:val="0"/>
                <w:sz w:val="24"/>
              </w:rPr>
              <w:t>20</w:t>
            </w:r>
            <w:r>
              <w:rPr>
                <w:rFonts w:hint="eastAsia" w:ascii="仿宋" w:hAnsi="仿宋" w:eastAsia="仿宋" w:cs="仿宋"/>
                <w:kern w:val="0"/>
                <w:sz w:val="24"/>
              </w:rPr>
              <w:t>年1月至今的同类型业绩进行评分，每提供得一份得</w:t>
            </w:r>
            <w:r>
              <w:rPr>
                <w:rFonts w:ascii="仿宋" w:hAnsi="仿宋" w:eastAsia="仿宋" w:cs="仿宋"/>
                <w:kern w:val="0"/>
                <w:sz w:val="24"/>
              </w:rPr>
              <w:t>1</w:t>
            </w:r>
            <w:r>
              <w:rPr>
                <w:rFonts w:hint="eastAsia" w:ascii="仿宋" w:hAnsi="仿宋" w:eastAsia="仿宋" w:cs="仿宋"/>
                <w:kern w:val="0"/>
                <w:sz w:val="24"/>
              </w:rPr>
              <w:t>分，本项最高得3分。</w:t>
            </w:r>
          </w:p>
          <w:p>
            <w:pPr>
              <w:widowControl/>
              <w:spacing w:line="440" w:lineRule="exact"/>
              <w:jc w:val="left"/>
              <w:textAlignment w:val="center"/>
              <w:rPr>
                <w:rFonts w:ascii="仿宋" w:hAnsi="仿宋" w:eastAsia="仿宋" w:cs="仿宋"/>
                <w:kern w:val="0"/>
                <w:sz w:val="24"/>
              </w:rPr>
            </w:pPr>
            <w:r>
              <w:rPr>
                <w:rFonts w:hint="eastAsia" w:ascii="仿宋" w:hAnsi="仿宋" w:eastAsia="仿宋" w:cs="仿宋"/>
                <w:kern w:val="0"/>
                <w:sz w:val="24"/>
              </w:rPr>
              <w:t>（须提供中标通知书或合同复印件，无提供或提供不全的不得分。提供合同证明的，可以是合同关键页的复印件）。</w:t>
            </w:r>
          </w:p>
        </w:tc>
        <w:tc>
          <w:tcPr>
            <w:tcW w:w="417"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39" w:hRule="atLeast"/>
          <w:jc w:val="center"/>
        </w:trPr>
        <w:tc>
          <w:tcPr>
            <w:tcW w:w="655" w:type="pct"/>
            <w:vMerge w:val="restart"/>
            <w:vAlign w:val="center"/>
          </w:tcPr>
          <w:p>
            <w:pPr>
              <w:spacing w:line="440" w:lineRule="exact"/>
              <w:jc w:val="center"/>
              <w:rPr>
                <w:rFonts w:ascii="仿宋" w:hAnsi="仿宋" w:eastAsia="仿宋" w:cs="仿宋"/>
                <w:sz w:val="24"/>
              </w:rPr>
            </w:pPr>
            <w:r>
              <w:rPr>
                <w:rFonts w:hint="eastAsia" w:ascii="仿宋" w:hAnsi="仿宋" w:eastAsia="仿宋" w:cs="仿宋"/>
                <w:sz w:val="24"/>
              </w:rPr>
              <w:t>服务</w:t>
            </w:r>
          </w:p>
        </w:tc>
        <w:tc>
          <w:tcPr>
            <w:tcW w:w="540" w:type="pct"/>
            <w:vAlign w:val="center"/>
          </w:tcPr>
          <w:p>
            <w:pPr>
              <w:widowControl/>
              <w:spacing w:line="440" w:lineRule="exact"/>
              <w:jc w:val="center"/>
              <w:textAlignment w:val="center"/>
              <w:rPr>
                <w:rFonts w:ascii="仿宋" w:hAnsi="仿宋" w:eastAsia="仿宋" w:cs="仿宋"/>
                <w:kern w:val="0"/>
                <w:sz w:val="24"/>
              </w:rPr>
            </w:pPr>
            <w:r>
              <w:rPr>
                <w:rFonts w:hint="eastAsia" w:ascii="仿宋" w:hAnsi="仿宋" w:eastAsia="仿宋" w:cs="仿宋"/>
                <w:kern w:val="0"/>
                <w:sz w:val="24"/>
              </w:rPr>
              <w:t>售后服务</w:t>
            </w:r>
          </w:p>
        </w:tc>
        <w:tc>
          <w:tcPr>
            <w:tcW w:w="3388" w:type="pct"/>
            <w:vAlign w:val="center"/>
          </w:tcPr>
          <w:p>
            <w:pPr>
              <w:pStyle w:val="12"/>
              <w:spacing w:line="440" w:lineRule="exact"/>
              <w:rPr>
                <w:rFonts w:ascii="仿宋" w:hAnsi="仿宋" w:eastAsia="仿宋" w:cs="仿宋"/>
                <w:kern w:val="0"/>
                <w:sz w:val="24"/>
                <w:szCs w:val="24"/>
              </w:rPr>
            </w:pPr>
            <w:r>
              <w:rPr>
                <w:rFonts w:ascii="仿宋" w:hAnsi="仿宋" w:eastAsia="仿宋" w:cs="仿宋"/>
                <w:kern w:val="0"/>
                <w:sz w:val="24"/>
                <w:szCs w:val="24"/>
              </w:rPr>
              <w:t>对比投标人的售后保养维修服务方案、售后服务承诺及应急维修方案等进行评分， （1）售后保养维修服务方案、售后服务承诺及应急维修方案完整、合理、实用、可行的为优得9分。 （2）售后保养维修服务方案、售后服务承诺及应急维修方案较完整、较合理、较实用、较可行的为良得5分。 （3）售后保养维修服务方案、售后服务承诺及应急维修方案不完整、欠缺合理性、不实用、不可行的为一般得1分。 （4）无提供不得分。</w:t>
            </w:r>
          </w:p>
        </w:tc>
        <w:tc>
          <w:tcPr>
            <w:tcW w:w="417" w:type="pct"/>
            <w:vAlign w:val="center"/>
          </w:tcPr>
          <w:p>
            <w:pPr>
              <w:widowControl/>
              <w:spacing w:line="440" w:lineRule="exact"/>
              <w:jc w:val="center"/>
              <w:textAlignment w:val="center"/>
              <w:rPr>
                <w:rFonts w:ascii="仿宋" w:hAnsi="仿宋" w:eastAsia="仿宋" w:cs="仿宋"/>
                <w:sz w:val="24"/>
              </w:rPr>
            </w:pPr>
            <w:r>
              <w:rPr>
                <w:rFonts w:ascii="仿宋" w:hAnsi="仿宋" w:eastAsia="仿宋" w:cs="仿宋"/>
                <w:kern w:val="0"/>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9" w:hRule="atLeast"/>
          <w:jc w:val="center"/>
        </w:trPr>
        <w:tc>
          <w:tcPr>
            <w:tcW w:w="655" w:type="pct"/>
            <w:vMerge w:val="continue"/>
            <w:vAlign w:val="center"/>
          </w:tcPr>
          <w:p>
            <w:pPr>
              <w:spacing w:line="440" w:lineRule="exact"/>
              <w:jc w:val="center"/>
              <w:rPr>
                <w:rFonts w:ascii="仿宋" w:hAnsi="仿宋" w:eastAsia="仿宋" w:cs="仿宋"/>
                <w:sz w:val="24"/>
              </w:rPr>
            </w:pPr>
          </w:p>
        </w:tc>
        <w:tc>
          <w:tcPr>
            <w:tcW w:w="540" w:type="pct"/>
            <w:vAlign w:val="center"/>
          </w:tcPr>
          <w:p>
            <w:pPr>
              <w:widowControl/>
              <w:spacing w:line="440" w:lineRule="exact"/>
              <w:jc w:val="left"/>
              <w:textAlignment w:val="center"/>
              <w:rPr>
                <w:rFonts w:ascii="仿宋" w:hAnsi="仿宋" w:eastAsia="仿宋" w:cs="仿宋"/>
                <w:kern w:val="0"/>
                <w:sz w:val="24"/>
              </w:rPr>
            </w:pPr>
            <w:r>
              <w:rPr>
                <w:rFonts w:hint="eastAsia" w:ascii="仿宋" w:hAnsi="仿宋" w:eastAsia="仿宋" w:cs="仿宋"/>
                <w:kern w:val="0"/>
                <w:sz w:val="24"/>
              </w:rPr>
              <w:t>售后服务人员</w:t>
            </w:r>
          </w:p>
        </w:tc>
        <w:tc>
          <w:tcPr>
            <w:tcW w:w="3388" w:type="pct"/>
            <w:vAlign w:val="center"/>
          </w:tcPr>
          <w:p>
            <w:pPr>
              <w:widowControl/>
              <w:spacing w:line="440" w:lineRule="exact"/>
              <w:jc w:val="left"/>
              <w:textAlignment w:val="center"/>
              <w:rPr>
                <w:rFonts w:ascii="仿宋" w:hAnsi="仿宋" w:eastAsia="仿宋" w:cs="仿宋"/>
                <w:kern w:val="0"/>
                <w:sz w:val="24"/>
              </w:rPr>
            </w:pPr>
            <w:r>
              <w:rPr>
                <w:rFonts w:ascii="仿宋" w:hAnsi="仿宋" w:eastAsia="仿宋" w:cs="仿宋"/>
                <w:kern w:val="0"/>
                <w:sz w:val="24"/>
              </w:rPr>
              <w:t>根据各投标人拟投入售后服务人员情况，人员达到5人的得3分，不足5人得不得分，每增加1人加1分，本项最多得8分。（提供售后服务人员开标当月前三个月社保证明材料复印件加盖投标人公章）。</w:t>
            </w:r>
          </w:p>
        </w:tc>
        <w:tc>
          <w:tcPr>
            <w:tcW w:w="417" w:type="pct"/>
            <w:vAlign w:val="center"/>
          </w:tcPr>
          <w:p>
            <w:pPr>
              <w:widowControl/>
              <w:spacing w:line="440" w:lineRule="exact"/>
              <w:jc w:val="center"/>
              <w:textAlignment w:val="center"/>
              <w:rPr>
                <w:rFonts w:ascii="仿宋" w:hAnsi="仿宋" w:eastAsia="仿宋" w:cs="仿宋"/>
                <w:kern w:val="0"/>
                <w:sz w:val="24"/>
              </w:rPr>
            </w:pPr>
            <w:r>
              <w:rPr>
                <w:rFonts w:ascii="仿宋" w:hAnsi="仿宋" w:eastAsia="仿宋" w:cs="仿宋"/>
                <w:kern w:val="0"/>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65" w:hRule="atLeast"/>
          <w:jc w:val="center"/>
        </w:trPr>
        <w:tc>
          <w:tcPr>
            <w:tcW w:w="655"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对询价文件的响应程度</w:t>
            </w:r>
          </w:p>
        </w:tc>
        <w:tc>
          <w:tcPr>
            <w:tcW w:w="3928" w:type="pct"/>
            <w:gridSpan w:val="2"/>
            <w:vAlign w:val="center"/>
          </w:tcPr>
          <w:p>
            <w:pPr>
              <w:widowControl/>
              <w:spacing w:line="440" w:lineRule="exact"/>
              <w:jc w:val="left"/>
              <w:textAlignment w:val="center"/>
              <w:rPr>
                <w:rFonts w:ascii="仿宋" w:hAnsi="仿宋" w:eastAsia="仿宋" w:cs="仿宋"/>
                <w:kern w:val="0"/>
                <w:sz w:val="24"/>
              </w:rPr>
            </w:pPr>
            <w:r>
              <w:rPr>
                <w:rFonts w:hint="eastAsia" w:ascii="仿宋" w:hAnsi="仿宋" w:eastAsia="仿宋" w:cs="仿宋"/>
                <w:kern w:val="0"/>
                <w:sz w:val="24"/>
              </w:rPr>
              <w:t>根据投标人对询价文件的响应程度，满足且优于询价文件要求得2分，满足询价文件要求1分，部分满足条件得0分。</w:t>
            </w:r>
          </w:p>
        </w:tc>
        <w:tc>
          <w:tcPr>
            <w:tcW w:w="417" w:type="pct"/>
            <w:vAlign w:val="center"/>
          </w:tcPr>
          <w:p>
            <w:pPr>
              <w:widowControl/>
              <w:spacing w:line="440" w:lineRule="exact"/>
              <w:jc w:val="center"/>
              <w:textAlignment w:val="center"/>
              <w:rPr>
                <w:rFonts w:ascii="仿宋" w:hAnsi="仿宋" w:eastAsia="仿宋" w:cs="仿宋"/>
                <w:sz w:val="24"/>
              </w:rPr>
            </w:pPr>
            <w:r>
              <w:rPr>
                <w:rFonts w:hint="eastAsia" w:ascii="仿宋" w:hAnsi="仿宋" w:eastAsia="仿宋" w:cs="仿宋"/>
                <w:kern w:val="0"/>
                <w:sz w:val="24"/>
              </w:rPr>
              <w:t>2</w:t>
            </w:r>
          </w:p>
        </w:tc>
      </w:tr>
    </w:tbl>
    <w:p>
      <w:pPr>
        <w:spacing w:line="440" w:lineRule="exact"/>
        <w:rPr>
          <w:sz w:val="24"/>
        </w:rPr>
      </w:pPr>
    </w:p>
    <w:p>
      <w:pPr>
        <w:spacing w:line="440" w:lineRule="exact"/>
        <w:rPr>
          <w:sz w:val="24"/>
        </w:rPr>
      </w:pPr>
    </w:p>
    <w:p>
      <w:pPr>
        <w:pStyle w:val="7"/>
        <w:spacing w:line="440" w:lineRule="exact"/>
        <w:ind w:firstLine="470" w:firstLineChars="196"/>
        <w:rPr>
          <w:rFonts w:ascii="仿宋" w:hAnsi="仿宋" w:eastAsia="仿宋" w:cs="仿宋"/>
          <w:sz w:val="24"/>
          <w:szCs w:val="24"/>
        </w:rPr>
      </w:pPr>
      <w:r>
        <w:rPr>
          <w:rFonts w:hint="eastAsia" w:ascii="仿宋" w:hAnsi="仿宋" w:eastAsia="仿宋" w:cs="仿宋"/>
          <w:b/>
          <w:bCs/>
          <w:sz w:val="24"/>
          <w:szCs w:val="24"/>
        </w:rPr>
        <w:t>2.价格评估</w:t>
      </w:r>
      <w:r>
        <w:rPr>
          <w:rFonts w:hint="eastAsia" w:ascii="仿宋" w:hAnsi="仿宋" w:eastAsia="仿宋" w:cs="仿宋"/>
          <w:sz w:val="24"/>
          <w:szCs w:val="24"/>
        </w:rPr>
        <w:t>：</w:t>
      </w:r>
    </w:p>
    <w:p>
      <w:pPr>
        <w:pStyle w:val="7"/>
        <w:spacing w:line="440" w:lineRule="exact"/>
        <w:ind w:firstLine="470" w:firstLineChars="196"/>
        <w:rPr>
          <w:rFonts w:ascii="仿宋" w:hAnsi="仿宋" w:eastAsia="仿宋" w:cs="仿宋"/>
          <w:bCs/>
          <w:sz w:val="24"/>
          <w:szCs w:val="24"/>
        </w:rPr>
      </w:pPr>
      <w:r>
        <w:rPr>
          <w:rFonts w:hint="eastAsia" w:ascii="仿宋" w:hAnsi="仿宋" w:eastAsia="仿宋" w:cs="仿宋"/>
          <w:sz w:val="24"/>
          <w:szCs w:val="24"/>
        </w:rPr>
        <w:t>价格评估得分采用低价优先法计算，即通过初审且投标价格最低的投标报价为评标基准价，其价格评估得分为30分；其他投标人的价格评估得分按如下公式计算：</w:t>
      </w:r>
      <w:r>
        <w:rPr>
          <w:rFonts w:hint="eastAsia" w:ascii="仿宋" w:hAnsi="仿宋" w:eastAsia="仿宋" w:cs="仿宋"/>
          <w:bCs/>
          <w:sz w:val="24"/>
          <w:szCs w:val="24"/>
        </w:rPr>
        <w:t>价格评估得分=（评标基准价÷投标报价）×30</w:t>
      </w:r>
    </w:p>
    <w:p>
      <w:pPr>
        <w:autoSpaceDE w:val="0"/>
        <w:autoSpaceDN w:val="0"/>
        <w:adjustRightInd w:val="0"/>
        <w:snapToGrid w:val="0"/>
        <w:spacing w:line="440" w:lineRule="exact"/>
        <w:ind w:right="32" w:firstLine="460" w:firstLineChars="192"/>
        <w:rPr>
          <w:rFonts w:ascii="仿宋" w:hAnsi="仿宋" w:eastAsia="仿宋" w:cs="仿宋"/>
          <w:sz w:val="24"/>
        </w:rPr>
      </w:pPr>
      <w:r>
        <w:rPr>
          <w:rFonts w:hint="eastAsia" w:ascii="仿宋" w:hAnsi="仿宋" w:eastAsia="仿宋" w:cs="仿宋"/>
          <w:sz w:val="24"/>
        </w:rPr>
        <w:t>（三）计算评标得分</w:t>
      </w:r>
    </w:p>
    <w:p>
      <w:pPr>
        <w:autoSpaceDE w:val="0"/>
        <w:autoSpaceDN w:val="0"/>
        <w:adjustRightInd w:val="0"/>
        <w:snapToGrid w:val="0"/>
        <w:spacing w:line="440" w:lineRule="exact"/>
        <w:ind w:firstLine="480" w:firstLineChars="200"/>
        <w:rPr>
          <w:rFonts w:ascii="仿宋" w:hAnsi="仿宋" w:eastAsia="仿宋" w:cs="仿宋"/>
          <w:kern w:val="0"/>
          <w:sz w:val="24"/>
          <w:lang w:val="en-GB"/>
        </w:rPr>
      </w:pPr>
      <w:r>
        <w:rPr>
          <w:rFonts w:hint="eastAsia" w:ascii="仿宋" w:hAnsi="仿宋" w:eastAsia="仿宋" w:cs="仿宋"/>
          <w:kern w:val="0"/>
          <w:sz w:val="24"/>
          <w:lang w:val="en-GB"/>
        </w:rPr>
        <w:t>评标委员会各成员应当独立对每个有效投标人的投标文件进行评价、打分，所有评委对某一投标人的商务、技术服务评价评分的算术平均值作为该投标人的商务、技术服务评价得分，将该投标人的商务、技术服务评价得分和价格评价得分相加，计算得出该投标人的综合评价得分，按综合评价得分由高至低排出各有效投标的名次。</w:t>
      </w:r>
    </w:p>
    <w:p>
      <w:pPr>
        <w:pStyle w:val="7"/>
        <w:numPr>
          <w:ilvl w:val="0"/>
          <w:numId w:val="6"/>
        </w:numPr>
        <w:spacing w:line="440" w:lineRule="exact"/>
        <w:ind w:firstLine="480"/>
        <w:rPr>
          <w:rFonts w:ascii="仿宋" w:hAnsi="仿宋" w:eastAsia="仿宋" w:cs="仿宋"/>
          <w:sz w:val="24"/>
          <w:szCs w:val="24"/>
        </w:rPr>
      </w:pPr>
      <w:r>
        <w:rPr>
          <w:rFonts w:hint="eastAsia" w:ascii="仿宋" w:hAnsi="仿宋" w:eastAsia="仿宋" w:cs="仿宋"/>
          <w:sz w:val="24"/>
          <w:szCs w:val="24"/>
        </w:rPr>
        <w:t>推荐中标候选供应商名单。</w:t>
      </w:r>
    </w:p>
    <w:p>
      <w:pPr>
        <w:spacing w:line="440" w:lineRule="exact"/>
        <w:ind w:firstLine="480" w:firstLineChars="200"/>
        <w:rPr>
          <w:rFonts w:ascii="仿宋" w:hAnsi="仿宋" w:eastAsia="仿宋" w:cs="仿宋"/>
          <w:sz w:val="24"/>
        </w:rPr>
      </w:pPr>
      <w:r>
        <w:rPr>
          <w:rFonts w:hint="eastAsia" w:ascii="仿宋" w:hAnsi="仿宋" w:eastAsia="仿宋" w:cs="仿宋"/>
          <w:sz w:val="24"/>
        </w:rPr>
        <w:t>评委会将按评标总得分由高到低的排名顺序，按照综合评价得分由高到低的顺序推荐前2名中标候选人，排名第一的投标人为第一中标候选人，排名第二的投标人为第二中标候选人，并由采购人依法按询价文件约定确定中标供应商。评标得分相同的，按下列顺序比较确定：（1）节能产品；（2）环保产品；（3）投标报价（由低到高）；（4）技术评分（由高到低）；（5）均相同时，由评标委员会集体决定。（投标人所投产品如在最新的节能产品政府采购清单或环境标志产品政府采购清单内，应当提供产品所在页的扫描件并注明所在位置，才能证明所投产品在清单内。）</w:t>
      </w:r>
    </w:p>
    <w:p>
      <w:pPr>
        <w:autoSpaceDE w:val="0"/>
        <w:autoSpaceDN w:val="0"/>
        <w:adjustRightInd w:val="0"/>
        <w:snapToGrid w:val="0"/>
        <w:spacing w:line="440" w:lineRule="exact"/>
        <w:rPr>
          <w:rFonts w:ascii="仿宋" w:hAnsi="仿宋" w:eastAsia="仿宋" w:cs="仿宋"/>
          <w:sz w:val="24"/>
        </w:rPr>
      </w:pPr>
    </w:p>
    <w:p>
      <w:pPr>
        <w:pStyle w:val="6"/>
        <w:rPr>
          <w:rFonts w:ascii="仿宋" w:hAnsi="仿宋" w:eastAsia="仿宋" w:cs="仿宋"/>
        </w:rPr>
      </w:pPr>
      <w:r>
        <w:rPr>
          <w:rFonts w:hint="eastAsia" w:ascii="仿宋" w:hAnsi="仿宋" w:eastAsia="仿宋" w:cs="仿宋"/>
        </w:rPr>
        <w:t>三、投标人提供的报价资料中技术和售后方案须含以下资料：</w:t>
      </w:r>
    </w:p>
    <w:p>
      <w:pPr>
        <w:pStyle w:val="6"/>
        <w:rPr>
          <w:rFonts w:ascii="仿宋" w:hAnsi="仿宋" w:eastAsia="仿宋" w:cs="仿宋"/>
          <w:sz w:val="24"/>
        </w:rPr>
      </w:pPr>
      <w:r>
        <w:rPr>
          <w:rFonts w:hint="eastAsia" w:ascii="仿宋" w:hAnsi="仿宋" w:eastAsia="仿宋" w:cs="仿宋"/>
        </w:rPr>
        <w:t>（一）技术方案</w:t>
      </w:r>
    </w:p>
    <w:p>
      <w:pPr>
        <w:tabs>
          <w:tab w:val="left" w:pos="1322"/>
        </w:tabs>
        <w:spacing w:line="360" w:lineRule="auto"/>
        <w:rPr>
          <w:rFonts w:ascii="仿宋" w:hAnsi="仿宋" w:eastAsia="仿宋" w:cs="仿宋"/>
          <w:sz w:val="24"/>
        </w:rPr>
      </w:pPr>
      <w:r>
        <w:rPr>
          <w:rFonts w:hint="eastAsia" w:ascii="仿宋" w:hAnsi="仿宋" w:eastAsia="仿宋" w:cs="仿宋"/>
          <w:szCs w:val="21"/>
        </w:rPr>
        <w:t xml:space="preserve">    </w:t>
      </w:r>
      <w:r>
        <w:rPr>
          <w:rFonts w:hint="eastAsia" w:ascii="仿宋" w:hAnsi="仿宋" w:eastAsia="仿宋" w:cs="仿宋"/>
          <w:sz w:val="24"/>
          <w:lang w:val="en-GB"/>
        </w:rPr>
        <w:t>技术方案设计必须科学合理、真实可行，能充分体现出自身技术和专业优势。其</w:t>
      </w:r>
      <w:r>
        <w:rPr>
          <w:rFonts w:hint="eastAsia" w:ascii="仿宋" w:hAnsi="仿宋" w:eastAsia="仿宋" w:cs="仿宋"/>
          <w:sz w:val="24"/>
        </w:rPr>
        <w:t>要点和</w:t>
      </w:r>
      <w:r>
        <w:rPr>
          <w:rFonts w:hint="eastAsia" w:ascii="仿宋" w:hAnsi="仿宋" w:eastAsia="仿宋" w:cs="仿宋"/>
          <w:sz w:val="24"/>
          <w:lang w:val="en-GB"/>
        </w:rPr>
        <w:t>主要内容为：</w:t>
      </w:r>
    </w:p>
    <w:p>
      <w:pPr>
        <w:spacing w:line="360" w:lineRule="auto"/>
        <w:ind w:left="62"/>
        <w:rPr>
          <w:rFonts w:ascii="仿宋" w:hAnsi="仿宋" w:eastAsia="仿宋" w:cs="仿宋"/>
          <w:bCs/>
          <w:sz w:val="24"/>
          <w:lang w:val="en-GB"/>
        </w:rPr>
      </w:pPr>
    </w:p>
    <w:p>
      <w:pPr>
        <w:tabs>
          <w:tab w:val="left" w:pos="1322"/>
        </w:tabs>
        <w:spacing w:line="360" w:lineRule="auto"/>
        <w:ind w:left="420"/>
        <w:rPr>
          <w:rFonts w:ascii="仿宋" w:hAnsi="仿宋" w:eastAsia="仿宋" w:cs="仿宋"/>
          <w:sz w:val="24"/>
          <w:lang w:val="en-GB"/>
        </w:rPr>
      </w:pPr>
      <w:r>
        <w:rPr>
          <w:rFonts w:hint="eastAsia" w:ascii="仿宋" w:hAnsi="仿宋" w:eastAsia="仿宋" w:cs="仿宋"/>
          <w:sz w:val="24"/>
          <w:lang w:val="en-GB"/>
        </w:rPr>
        <w:t>1.设备配置简介</w:t>
      </w:r>
    </w:p>
    <w:p>
      <w:pPr>
        <w:tabs>
          <w:tab w:val="left" w:pos="1322"/>
        </w:tabs>
        <w:spacing w:line="360" w:lineRule="auto"/>
        <w:ind w:left="420"/>
        <w:rPr>
          <w:rFonts w:ascii="仿宋" w:hAnsi="仿宋" w:eastAsia="仿宋" w:cs="仿宋"/>
          <w:sz w:val="24"/>
          <w:lang w:val="en-GB"/>
        </w:rPr>
      </w:pPr>
      <w:r>
        <w:rPr>
          <w:rFonts w:hint="eastAsia" w:ascii="仿宋" w:hAnsi="仿宋" w:eastAsia="仿宋" w:cs="仿宋"/>
          <w:sz w:val="24"/>
          <w:lang w:val="en-GB"/>
        </w:rPr>
        <w:t>2.设备技术特点说明</w:t>
      </w:r>
    </w:p>
    <w:p>
      <w:pPr>
        <w:tabs>
          <w:tab w:val="left" w:pos="1322"/>
        </w:tabs>
        <w:spacing w:line="360" w:lineRule="auto"/>
        <w:ind w:left="420"/>
        <w:rPr>
          <w:rFonts w:ascii="仿宋" w:hAnsi="仿宋" w:eastAsia="仿宋" w:cs="仿宋"/>
          <w:sz w:val="24"/>
          <w:lang w:val="en-GB"/>
        </w:rPr>
      </w:pPr>
      <w:r>
        <w:rPr>
          <w:rFonts w:hint="eastAsia" w:ascii="仿宋" w:hAnsi="仿宋" w:eastAsia="仿宋" w:cs="仿宋"/>
          <w:sz w:val="24"/>
        </w:rPr>
        <w:t>3.</w:t>
      </w:r>
      <w:r>
        <w:rPr>
          <w:rFonts w:hint="eastAsia" w:ascii="仿宋" w:hAnsi="仿宋" w:eastAsia="仿宋" w:cs="仿宋"/>
          <w:sz w:val="24"/>
          <w:lang w:val="en-GB"/>
        </w:rPr>
        <w:t>项目施工方案</w:t>
      </w:r>
    </w:p>
    <w:p>
      <w:pPr>
        <w:tabs>
          <w:tab w:val="left" w:pos="1322"/>
        </w:tabs>
        <w:spacing w:line="360" w:lineRule="auto"/>
        <w:ind w:left="420"/>
        <w:rPr>
          <w:rFonts w:ascii="仿宋" w:hAnsi="仿宋" w:eastAsia="仿宋" w:cs="仿宋"/>
          <w:sz w:val="24"/>
        </w:rPr>
      </w:pPr>
      <w:r>
        <w:rPr>
          <w:rFonts w:hint="eastAsia" w:ascii="仿宋" w:hAnsi="仿宋" w:eastAsia="仿宋" w:cs="仿宋"/>
          <w:sz w:val="24"/>
        </w:rPr>
        <w:t>4.</w:t>
      </w:r>
      <w:r>
        <w:rPr>
          <w:rFonts w:hint="eastAsia" w:ascii="仿宋" w:hAnsi="仿宋" w:eastAsia="仿宋" w:cs="仿宋"/>
          <w:sz w:val="24"/>
          <w:lang w:val="en-GB"/>
        </w:rPr>
        <w:t>质量保证措施</w:t>
      </w:r>
    </w:p>
    <w:p>
      <w:pPr>
        <w:pStyle w:val="6"/>
        <w:rPr>
          <w:rFonts w:ascii="仿宋" w:hAnsi="仿宋" w:eastAsia="仿宋" w:cs="仿宋"/>
        </w:rPr>
      </w:pPr>
      <w:r>
        <w:rPr>
          <w:rFonts w:hint="eastAsia" w:ascii="仿宋" w:hAnsi="仿宋" w:eastAsia="仿宋" w:cs="仿宋"/>
        </w:rPr>
        <w:t>（二）售后服务方案</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售后服务须包括但不限于以下内容，主要根据招标需求的要求（格式自定）</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1.免费保修期；</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2.应急维修时间安排；</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3.维修地点、地址、联系电话及技术服务人员（包括厂商认证工程师等人员）；</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4.维修服务收费标准；</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5.制造商的技术支持；</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6.其它服务承诺；</w:t>
      </w:r>
    </w:p>
    <w:p>
      <w:pPr>
        <w:spacing w:line="360" w:lineRule="auto"/>
        <w:ind w:firstLine="480" w:firstLineChars="200"/>
        <w:rPr>
          <w:rFonts w:ascii="仿宋" w:hAnsi="仿宋" w:eastAsia="仿宋" w:cs="仿宋"/>
          <w:sz w:val="24"/>
          <w:lang w:val="en-GB"/>
        </w:rPr>
      </w:pPr>
      <w:r>
        <w:rPr>
          <w:rFonts w:hint="eastAsia" w:ascii="仿宋" w:hAnsi="仿宋" w:eastAsia="仿宋" w:cs="仿宋"/>
          <w:sz w:val="24"/>
          <w:lang w:val="en-GB"/>
        </w:rPr>
        <w:t>7.培训计划。</w:t>
      </w:r>
    </w:p>
    <w:p>
      <w:pPr>
        <w:pStyle w:val="12"/>
      </w:pPr>
    </w:p>
    <w:sectPr>
      <w:headerReference r:id="rId4" w:type="default"/>
      <w:footerReference r:id="rId5" w:type="default"/>
      <w:pgSz w:w="11906" w:h="16838"/>
      <w:pgMar w:top="1440" w:right="1627" w:bottom="1440" w:left="162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7"/>
                            <w:jc w:val="center"/>
                          </w:pPr>
                          <w:r>
                            <w:fldChar w:fldCharType="begin"/>
                          </w:r>
                          <w:r>
                            <w:instrText xml:space="preserve">PAGE   \* MERGEFORMAT</w:instrText>
                          </w:r>
                          <w:r>
                            <w:fldChar w:fldCharType="separate"/>
                          </w:r>
                          <w:r>
                            <w:rPr>
                              <w:lang w:val="zh-CN"/>
                            </w:rPr>
                            <w:t>8</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OFH0TywEAAJgDAAAOAAAAAAAAAAEAIAAAACIBAABkcnMv&#10;ZTJvRG9jLnhtbFBLBQYAAAAABgAGAFkBAABfBQAAAAA=&#10;">
              <v:fill on="f" focussize="0,0"/>
              <v:stroke on="f" weight="1.25pt"/>
              <v:imagedata o:title=""/>
              <o:lock v:ext="edit" aspectratio="f"/>
              <v:textbox inset="0mm,0mm,0mm,0mm" style="mso-fit-shape-to-text:t;">
                <w:txbxContent>
                  <w:p>
                    <w:pPr>
                      <w:pStyle w:val="17"/>
                      <w:jc w:val="center"/>
                    </w:pPr>
                    <w:r>
                      <w:fldChar w:fldCharType="begin"/>
                    </w:r>
                    <w:r>
                      <w:instrText xml:space="preserve">PAGE   \* MERGEFORMAT</w:instrText>
                    </w:r>
                    <w:r>
                      <w:fldChar w:fldCharType="separate"/>
                    </w:r>
                    <w:r>
                      <w:rPr>
                        <w:lang w:val="zh-CN"/>
                      </w:rPr>
                      <w:t>8</w:t>
                    </w:r>
                    <w:r>
                      <w:fldChar w:fldCharType="end"/>
                    </w:r>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7"/>
                            <w:jc w:val="center"/>
                          </w:pPr>
                          <w:r>
                            <w:fldChar w:fldCharType="begin"/>
                          </w:r>
                          <w:r>
                            <w:instrText xml:space="preserve">PAGE   \* MERGEFORMAT</w:instrText>
                          </w:r>
                          <w:r>
                            <w:fldChar w:fldCharType="separate"/>
                          </w:r>
                          <w:r>
                            <w:rPr>
                              <w:lang w:val="zh-CN"/>
                            </w:rPr>
                            <w:t>15</w:t>
                          </w:r>
                          <w:r>
                            <w:fldChar w:fldCharType="end"/>
                          </w:r>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AFbTJlywEAAJgDAAAOAAAAAAAAAAEAIAAAACIBAABkcnMv&#10;ZTJvRG9jLnhtbFBLBQYAAAAABgAGAFkBAABfBQAAAAA=&#10;">
              <v:fill on="f" focussize="0,0"/>
              <v:stroke on="f" weight="1.25pt"/>
              <v:imagedata o:title=""/>
              <o:lock v:ext="edit" aspectratio="f"/>
              <v:textbox inset="0mm,0mm,0mm,0mm" style="mso-fit-shape-to-text:t;">
                <w:txbxContent>
                  <w:p>
                    <w:pPr>
                      <w:pStyle w:val="17"/>
                      <w:jc w:val="center"/>
                    </w:pPr>
                    <w:r>
                      <w:fldChar w:fldCharType="begin"/>
                    </w:r>
                    <w:r>
                      <w:instrText xml:space="preserve">PAGE   \* MERGEFORMAT</w:instrText>
                    </w:r>
                    <w:r>
                      <w:fldChar w:fldCharType="separate"/>
                    </w:r>
                    <w:r>
                      <w:rPr>
                        <w:lang w:val="zh-CN"/>
                      </w:rPr>
                      <w:t>15</w:t>
                    </w:r>
                    <w:r>
                      <w:fldChar w:fldCharType="end"/>
                    </w:r>
                  </w:p>
                </w:txbxContent>
              </v:textbox>
            </v:shape>
          </w:pict>
        </mc:Fallback>
      </mc:AlternateContent>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420"/>
        <w:tab w:val="left" w:pos="6660"/>
      </w:tabs>
      <w:spacing w:line="360" w:lineRule="auto"/>
      <w:rPr>
        <w:rFonts w:ascii="宋体" w:hAnsi="宋体"/>
        <w:b/>
        <w:sz w:val="44"/>
        <w:szCs w:val="44"/>
        <w:u w:val="single"/>
        <w:lang w:val="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58497E"/>
    <w:multiLevelType w:val="singleLevel"/>
    <w:tmpl w:val="A158497E"/>
    <w:lvl w:ilvl="0" w:tentative="0">
      <w:start w:val="2"/>
      <w:numFmt w:val="chineseCounting"/>
      <w:suff w:val="nothing"/>
      <w:lvlText w:val="%1、"/>
      <w:lvlJc w:val="left"/>
      <w:rPr>
        <w:rFonts w:hint="eastAsia"/>
      </w:rPr>
    </w:lvl>
  </w:abstractNum>
  <w:abstractNum w:abstractNumId="1">
    <w:nsid w:val="08B06583"/>
    <w:multiLevelType w:val="singleLevel"/>
    <w:tmpl w:val="08B06583"/>
    <w:lvl w:ilvl="0" w:tentative="0">
      <w:start w:val="1"/>
      <w:numFmt w:val="decimal"/>
      <w:suff w:val="nothing"/>
      <w:lvlText w:val="%1、"/>
      <w:lvlJc w:val="left"/>
    </w:lvl>
  </w:abstractNum>
  <w:abstractNum w:abstractNumId="2">
    <w:nsid w:val="0A2BEBFA"/>
    <w:multiLevelType w:val="singleLevel"/>
    <w:tmpl w:val="0A2BEBFA"/>
    <w:lvl w:ilvl="0" w:tentative="0">
      <w:start w:val="1"/>
      <w:numFmt w:val="decimal"/>
      <w:suff w:val="nothing"/>
      <w:lvlText w:val="（%1）"/>
      <w:lvlJc w:val="left"/>
    </w:lvl>
  </w:abstractNum>
  <w:abstractNum w:abstractNumId="3">
    <w:nsid w:val="568FCD8E"/>
    <w:multiLevelType w:val="singleLevel"/>
    <w:tmpl w:val="568FCD8E"/>
    <w:lvl w:ilvl="0" w:tentative="0">
      <w:start w:val="2"/>
      <w:numFmt w:val="decimal"/>
      <w:suff w:val="space"/>
      <w:lvlText w:val="%1."/>
      <w:lvlJc w:val="left"/>
    </w:lvl>
  </w:abstractNum>
  <w:abstractNum w:abstractNumId="4">
    <w:nsid w:val="59B4A5E9"/>
    <w:multiLevelType w:val="singleLevel"/>
    <w:tmpl w:val="59B4A5E9"/>
    <w:lvl w:ilvl="0" w:tentative="0">
      <w:start w:val="4"/>
      <w:numFmt w:val="chineseCounting"/>
      <w:suff w:val="nothing"/>
      <w:lvlText w:val="（%1）"/>
      <w:lvlJc w:val="left"/>
    </w:lvl>
  </w:abstractNum>
  <w:abstractNum w:abstractNumId="5">
    <w:nsid w:val="7F74561F"/>
    <w:multiLevelType w:val="multilevel"/>
    <w:tmpl w:val="7F7456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5"/>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85B49"/>
    <w:rsid w:val="000004A2"/>
    <w:rsid w:val="000018A5"/>
    <w:rsid w:val="000022FE"/>
    <w:rsid w:val="00011BA0"/>
    <w:rsid w:val="00015699"/>
    <w:rsid w:val="00022E06"/>
    <w:rsid w:val="00025F9B"/>
    <w:rsid w:val="00042CB2"/>
    <w:rsid w:val="00043339"/>
    <w:rsid w:val="00050B0B"/>
    <w:rsid w:val="0005327A"/>
    <w:rsid w:val="00060031"/>
    <w:rsid w:val="000642FB"/>
    <w:rsid w:val="00067879"/>
    <w:rsid w:val="00072B32"/>
    <w:rsid w:val="00077E09"/>
    <w:rsid w:val="000816FC"/>
    <w:rsid w:val="00083801"/>
    <w:rsid w:val="000859E0"/>
    <w:rsid w:val="00092F88"/>
    <w:rsid w:val="000A1155"/>
    <w:rsid w:val="000A531F"/>
    <w:rsid w:val="000F22A3"/>
    <w:rsid w:val="000F2DE7"/>
    <w:rsid w:val="00102209"/>
    <w:rsid w:val="001040FD"/>
    <w:rsid w:val="00132657"/>
    <w:rsid w:val="001339AA"/>
    <w:rsid w:val="0013516D"/>
    <w:rsid w:val="0014487D"/>
    <w:rsid w:val="0015411B"/>
    <w:rsid w:val="00154E25"/>
    <w:rsid w:val="0016049A"/>
    <w:rsid w:val="00166A1C"/>
    <w:rsid w:val="001751A4"/>
    <w:rsid w:val="00182271"/>
    <w:rsid w:val="001824D0"/>
    <w:rsid w:val="00183BA8"/>
    <w:rsid w:val="00190927"/>
    <w:rsid w:val="0019249F"/>
    <w:rsid w:val="00194A08"/>
    <w:rsid w:val="001B0B6C"/>
    <w:rsid w:val="001B100D"/>
    <w:rsid w:val="001B22D1"/>
    <w:rsid w:val="001B2F17"/>
    <w:rsid w:val="001B6E20"/>
    <w:rsid w:val="001C26DA"/>
    <w:rsid w:val="001D23EC"/>
    <w:rsid w:val="001D4BFB"/>
    <w:rsid w:val="001D6EC6"/>
    <w:rsid w:val="001E581C"/>
    <w:rsid w:val="001F695E"/>
    <w:rsid w:val="002013D1"/>
    <w:rsid w:val="002022C0"/>
    <w:rsid w:val="00202924"/>
    <w:rsid w:val="0021287A"/>
    <w:rsid w:val="002165CF"/>
    <w:rsid w:val="0022184E"/>
    <w:rsid w:val="00224C09"/>
    <w:rsid w:val="00233D69"/>
    <w:rsid w:val="002418AA"/>
    <w:rsid w:val="00245634"/>
    <w:rsid w:val="00245B78"/>
    <w:rsid w:val="002617BB"/>
    <w:rsid w:val="00265652"/>
    <w:rsid w:val="00267321"/>
    <w:rsid w:val="002829EF"/>
    <w:rsid w:val="00283FE2"/>
    <w:rsid w:val="002979E0"/>
    <w:rsid w:val="002B5E95"/>
    <w:rsid w:val="002C0211"/>
    <w:rsid w:val="002C464B"/>
    <w:rsid w:val="002D4FD0"/>
    <w:rsid w:val="002D5A6C"/>
    <w:rsid w:val="002E718D"/>
    <w:rsid w:val="00301025"/>
    <w:rsid w:val="00323594"/>
    <w:rsid w:val="00323E91"/>
    <w:rsid w:val="00324DCD"/>
    <w:rsid w:val="0032560B"/>
    <w:rsid w:val="00336DBB"/>
    <w:rsid w:val="00345F5D"/>
    <w:rsid w:val="0034734C"/>
    <w:rsid w:val="00360911"/>
    <w:rsid w:val="00360D1E"/>
    <w:rsid w:val="00363F3E"/>
    <w:rsid w:val="00366CD7"/>
    <w:rsid w:val="0037026A"/>
    <w:rsid w:val="003773DF"/>
    <w:rsid w:val="00385A69"/>
    <w:rsid w:val="00387ACA"/>
    <w:rsid w:val="003962DA"/>
    <w:rsid w:val="003A6B28"/>
    <w:rsid w:val="003B1C5B"/>
    <w:rsid w:val="003B5740"/>
    <w:rsid w:val="003D43B3"/>
    <w:rsid w:val="003E41C0"/>
    <w:rsid w:val="003E6364"/>
    <w:rsid w:val="003F57E1"/>
    <w:rsid w:val="0040404A"/>
    <w:rsid w:val="00411610"/>
    <w:rsid w:val="00420422"/>
    <w:rsid w:val="0042095D"/>
    <w:rsid w:val="004321DE"/>
    <w:rsid w:val="004350D1"/>
    <w:rsid w:val="00435C24"/>
    <w:rsid w:val="0045331A"/>
    <w:rsid w:val="0046135E"/>
    <w:rsid w:val="00467DCD"/>
    <w:rsid w:val="00483209"/>
    <w:rsid w:val="00496962"/>
    <w:rsid w:val="004A2BF0"/>
    <w:rsid w:val="004A5ABD"/>
    <w:rsid w:val="004A69D8"/>
    <w:rsid w:val="004B2165"/>
    <w:rsid w:val="004B6C60"/>
    <w:rsid w:val="004C1CC0"/>
    <w:rsid w:val="004C238C"/>
    <w:rsid w:val="004C4237"/>
    <w:rsid w:val="004D0441"/>
    <w:rsid w:val="004E18C5"/>
    <w:rsid w:val="004F2914"/>
    <w:rsid w:val="0050059F"/>
    <w:rsid w:val="00504BAB"/>
    <w:rsid w:val="00505F0F"/>
    <w:rsid w:val="00507434"/>
    <w:rsid w:val="005108EC"/>
    <w:rsid w:val="00510B49"/>
    <w:rsid w:val="0051295F"/>
    <w:rsid w:val="00514A3B"/>
    <w:rsid w:val="005248E7"/>
    <w:rsid w:val="00533F2A"/>
    <w:rsid w:val="005379A4"/>
    <w:rsid w:val="0054271A"/>
    <w:rsid w:val="005433F5"/>
    <w:rsid w:val="00566870"/>
    <w:rsid w:val="00572202"/>
    <w:rsid w:val="005737B7"/>
    <w:rsid w:val="00583F11"/>
    <w:rsid w:val="00585FDE"/>
    <w:rsid w:val="00593AF0"/>
    <w:rsid w:val="00593C75"/>
    <w:rsid w:val="00594932"/>
    <w:rsid w:val="00594AE2"/>
    <w:rsid w:val="005A0BB7"/>
    <w:rsid w:val="005A6501"/>
    <w:rsid w:val="005B1E12"/>
    <w:rsid w:val="005B60E2"/>
    <w:rsid w:val="005B77D5"/>
    <w:rsid w:val="005C0623"/>
    <w:rsid w:val="005D0BEF"/>
    <w:rsid w:val="005D3B22"/>
    <w:rsid w:val="005E2275"/>
    <w:rsid w:val="005E536F"/>
    <w:rsid w:val="005E56F3"/>
    <w:rsid w:val="005E573E"/>
    <w:rsid w:val="005E62D9"/>
    <w:rsid w:val="005F1F92"/>
    <w:rsid w:val="005F7B9D"/>
    <w:rsid w:val="006109B1"/>
    <w:rsid w:val="00622B60"/>
    <w:rsid w:val="00635D97"/>
    <w:rsid w:val="006453A8"/>
    <w:rsid w:val="00651B8A"/>
    <w:rsid w:val="0065442B"/>
    <w:rsid w:val="00654689"/>
    <w:rsid w:val="006627C8"/>
    <w:rsid w:val="006665C9"/>
    <w:rsid w:val="006736CC"/>
    <w:rsid w:val="0067513C"/>
    <w:rsid w:val="00691F10"/>
    <w:rsid w:val="00694D48"/>
    <w:rsid w:val="006A1873"/>
    <w:rsid w:val="006A1F91"/>
    <w:rsid w:val="006B36BF"/>
    <w:rsid w:val="006B54ED"/>
    <w:rsid w:val="006C0096"/>
    <w:rsid w:val="006C0650"/>
    <w:rsid w:val="006C242D"/>
    <w:rsid w:val="006C331F"/>
    <w:rsid w:val="006D7EDA"/>
    <w:rsid w:val="006E3198"/>
    <w:rsid w:val="006F6362"/>
    <w:rsid w:val="00701C04"/>
    <w:rsid w:val="00707CDF"/>
    <w:rsid w:val="007116A5"/>
    <w:rsid w:val="00721892"/>
    <w:rsid w:val="00721D0B"/>
    <w:rsid w:val="00722DAD"/>
    <w:rsid w:val="007244DD"/>
    <w:rsid w:val="007272A6"/>
    <w:rsid w:val="007273B7"/>
    <w:rsid w:val="00734483"/>
    <w:rsid w:val="00747A36"/>
    <w:rsid w:val="00747CBD"/>
    <w:rsid w:val="00747D11"/>
    <w:rsid w:val="0076334D"/>
    <w:rsid w:val="007634B2"/>
    <w:rsid w:val="00764172"/>
    <w:rsid w:val="007955C8"/>
    <w:rsid w:val="007A2E2C"/>
    <w:rsid w:val="007B473B"/>
    <w:rsid w:val="007C0A87"/>
    <w:rsid w:val="007C26B4"/>
    <w:rsid w:val="007D1274"/>
    <w:rsid w:val="007E5D6A"/>
    <w:rsid w:val="007F7B4F"/>
    <w:rsid w:val="00802E84"/>
    <w:rsid w:val="00804ACF"/>
    <w:rsid w:val="008226BB"/>
    <w:rsid w:val="008304F4"/>
    <w:rsid w:val="00833BAC"/>
    <w:rsid w:val="00854C67"/>
    <w:rsid w:val="00855A8E"/>
    <w:rsid w:val="008568A1"/>
    <w:rsid w:val="00863E53"/>
    <w:rsid w:val="00867572"/>
    <w:rsid w:val="00876DBC"/>
    <w:rsid w:val="0087766D"/>
    <w:rsid w:val="008853F5"/>
    <w:rsid w:val="008924A3"/>
    <w:rsid w:val="008976ED"/>
    <w:rsid w:val="008A220B"/>
    <w:rsid w:val="008B288A"/>
    <w:rsid w:val="008C2D6C"/>
    <w:rsid w:val="008C4D9A"/>
    <w:rsid w:val="00900E1D"/>
    <w:rsid w:val="00903D88"/>
    <w:rsid w:val="00907037"/>
    <w:rsid w:val="00911517"/>
    <w:rsid w:val="00914D55"/>
    <w:rsid w:val="009209E9"/>
    <w:rsid w:val="0092224E"/>
    <w:rsid w:val="0092348B"/>
    <w:rsid w:val="009246DC"/>
    <w:rsid w:val="009314FC"/>
    <w:rsid w:val="00936B35"/>
    <w:rsid w:val="00955352"/>
    <w:rsid w:val="0097008E"/>
    <w:rsid w:val="00972DA7"/>
    <w:rsid w:val="009856C1"/>
    <w:rsid w:val="00986488"/>
    <w:rsid w:val="00990075"/>
    <w:rsid w:val="009916E1"/>
    <w:rsid w:val="00992CA9"/>
    <w:rsid w:val="009969EA"/>
    <w:rsid w:val="009A5D72"/>
    <w:rsid w:val="009B01DF"/>
    <w:rsid w:val="009B04BE"/>
    <w:rsid w:val="009B23A6"/>
    <w:rsid w:val="009D0C8A"/>
    <w:rsid w:val="009D3D4E"/>
    <w:rsid w:val="009D7CBB"/>
    <w:rsid w:val="009E5882"/>
    <w:rsid w:val="009F0F4B"/>
    <w:rsid w:val="009F4138"/>
    <w:rsid w:val="009F75B4"/>
    <w:rsid w:val="009F7B37"/>
    <w:rsid w:val="009F7BF2"/>
    <w:rsid w:val="00A0070A"/>
    <w:rsid w:val="00A038E7"/>
    <w:rsid w:val="00A116A2"/>
    <w:rsid w:val="00A13373"/>
    <w:rsid w:val="00A229F2"/>
    <w:rsid w:val="00A26553"/>
    <w:rsid w:val="00A35E67"/>
    <w:rsid w:val="00A4099C"/>
    <w:rsid w:val="00A45C30"/>
    <w:rsid w:val="00A50F91"/>
    <w:rsid w:val="00A55C32"/>
    <w:rsid w:val="00A662C8"/>
    <w:rsid w:val="00A70551"/>
    <w:rsid w:val="00A7678C"/>
    <w:rsid w:val="00A8789B"/>
    <w:rsid w:val="00A900B7"/>
    <w:rsid w:val="00A904A3"/>
    <w:rsid w:val="00A9584F"/>
    <w:rsid w:val="00A962BB"/>
    <w:rsid w:val="00AA1573"/>
    <w:rsid w:val="00AA1C3E"/>
    <w:rsid w:val="00AA3F59"/>
    <w:rsid w:val="00AA5060"/>
    <w:rsid w:val="00AA709E"/>
    <w:rsid w:val="00AA7CBD"/>
    <w:rsid w:val="00AA7DF4"/>
    <w:rsid w:val="00AC113C"/>
    <w:rsid w:val="00AD10BD"/>
    <w:rsid w:val="00AD1717"/>
    <w:rsid w:val="00AD6792"/>
    <w:rsid w:val="00B05CDD"/>
    <w:rsid w:val="00B16297"/>
    <w:rsid w:val="00B3143E"/>
    <w:rsid w:val="00B33D02"/>
    <w:rsid w:val="00B35648"/>
    <w:rsid w:val="00B44E8E"/>
    <w:rsid w:val="00B46DFC"/>
    <w:rsid w:val="00B46F1E"/>
    <w:rsid w:val="00B547B9"/>
    <w:rsid w:val="00B563B8"/>
    <w:rsid w:val="00B60FBC"/>
    <w:rsid w:val="00B71FE9"/>
    <w:rsid w:val="00B776F0"/>
    <w:rsid w:val="00B77E1C"/>
    <w:rsid w:val="00B8500C"/>
    <w:rsid w:val="00B96544"/>
    <w:rsid w:val="00BA278E"/>
    <w:rsid w:val="00BA2A98"/>
    <w:rsid w:val="00BB38BF"/>
    <w:rsid w:val="00BB6784"/>
    <w:rsid w:val="00BC3E41"/>
    <w:rsid w:val="00BC7ADD"/>
    <w:rsid w:val="00BD7623"/>
    <w:rsid w:val="00BE21BA"/>
    <w:rsid w:val="00BF15A0"/>
    <w:rsid w:val="00BF38CD"/>
    <w:rsid w:val="00BF3D40"/>
    <w:rsid w:val="00BF5E94"/>
    <w:rsid w:val="00C03137"/>
    <w:rsid w:val="00C041A0"/>
    <w:rsid w:val="00C04253"/>
    <w:rsid w:val="00C25FB1"/>
    <w:rsid w:val="00C34D00"/>
    <w:rsid w:val="00C57857"/>
    <w:rsid w:val="00C6524B"/>
    <w:rsid w:val="00C740B9"/>
    <w:rsid w:val="00C74963"/>
    <w:rsid w:val="00C84507"/>
    <w:rsid w:val="00C85477"/>
    <w:rsid w:val="00C869A7"/>
    <w:rsid w:val="00C923DA"/>
    <w:rsid w:val="00CA2C58"/>
    <w:rsid w:val="00CA68C0"/>
    <w:rsid w:val="00CA69DF"/>
    <w:rsid w:val="00CC33EC"/>
    <w:rsid w:val="00CD2BE0"/>
    <w:rsid w:val="00CE004F"/>
    <w:rsid w:val="00CF0D33"/>
    <w:rsid w:val="00CF0E60"/>
    <w:rsid w:val="00D174F3"/>
    <w:rsid w:val="00D17D9B"/>
    <w:rsid w:val="00D21D5D"/>
    <w:rsid w:val="00D27F2A"/>
    <w:rsid w:val="00D33ED5"/>
    <w:rsid w:val="00D42E82"/>
    <w:rsid w:val="00D43559"/>
    <w:rsid w:val="00D441AA"/>
    <w:rsid w:val="00D6174A"/>
    <w:rsid w:val="00D6213F"/>
    <w:rsid w:val="00D63877"/>
    <w:rsid w:val="00D65EEC"/>
    <w:rsid w:val="00D70669"/>
    <w:rsid w:val="00D71C69"/>
    <w:rsid w:val="00D85A57"/>
    <w:rsid w:val="00D86EC3"/>
    <w:rsid w:val="00D939F8"/>
    <w:rsid w:val="00D94B8E"/>
    <w:rsid w:val="00DA52FC"/>
    <w:rsid w:val="00DB18F1"/>
    <w:rsid w:val="00DB4650"/>
    <w:rsid w:val="00DB4846"/>
    <w:rsid w:val="00DB5E0D"/>
    <w:rsid w:val="00DC0206"/>
    <w:rsid w:val="00DC1091"/>
    <w:rsid w:val="00DC37A4"/>
    <w:rsid w:val="00DF0AF7"/>
    <w:rsid w:val="00DF2260"/>
    <w:rsid w:val="00DF253F"/>
    <w:rsid w:val="00DF6F5E"/>
    <w:rsid w:val="00E05BD3"/>
    <w:rsid w:val="00E26655"/>
    <w:rsid w:val="00E35D7C"/>
    <w:rsid w:val="00E41145"/>
    <w:rsid w:val="00E46CD0"/>
    <w:rsid w:val="00E51776"/>
    <w:rsid w:val="00E52E8C"/>
    <w:rsid w:val="00E54B87"/>
    <w:rsid w:val="00E63C9E"/>
    <w:rsid w:val="00E73484"/>
    <w:rsid w:val="00E742A3"/>
    <w:rsid w:val="00E77243"/>
    <w:rsid w:val="00E83FDB"/>
    <w:rsid w:val="00E91C33"/>
    <w:rsid w:val="00E92201"/>
    <w:rsid w:val="00E950ED"/>
    <w:rsid w:val="00EA0F11"/>
    <w:rsid w:val="00EA293A"/>
    <w:rsid w:val="00EA4134"/>
    <w:rsid w:val="00EB070F"/>
    <w:rsid w:val="00EB352B"/>
    <w:rsid w:val="00EC1574"/>
    <w:rsid w:val="00ED7F59"/>
    <w:rsid w:val="00F060FC"/>
    <w:rsid w:val="00F12C23"/>
    <w:rsid w:val="00F14172"/>
    <w:rsid w:val="00F16F77"/>
    <w:rsid w:val="00F216BF"/>
    <w:rsid w:val="00F30D54"/>
    <w:rsid w:val="00F333CD"/>
    <w:rsid w:val="00F33C34"/>
    <w:rsid w:val="00F37CD3"/>
    <w:rsid w:val="00F42CB8"/>
    <w:rsid w:val="00F47DB1"/>
    <w:rsid w:val="00F57030"/>
    <w:rsid w:val="00F62D51"/>
    <w:rsid w:val="00F6362E"/>
    <w:rsid w:val="00F67ACE"/>
    <w:rsid w:val="00F73ADB"/>
    <w:rsid w:val="00F77E71"/>
    <w:rsid w:val="00F943C1"/>
    <w:rsid w:val="00F96AA8"/>
    <w:rsid w:val="00F97485"/>
    <w:rsid w:val="00FA093F"/>
    <w:rsid w:val="00FA09E4"/>
    <w:rsid w:val="00FA38C6"/>
    <w:rsid w:val="00FA768E"/>
    <w:rsid w:val="00FB17C7"/>
    <w:rsid w:val="00FB250A"/>
    <w:rsid w:val="00FB3AF0"/>
    <w:rsid w:val="00FB4931"/>
    <w:rsid w:val="00FB53E4"/>
    <w:rsid w:val="00FC221D"/>
    <w:rsid w:val="00FD3DB8"/>
    <w:rsid w:val="00FE1E6C"/>
    <w:rsid w:val="00FE64A2"/>
    <w:rsid w:val="00FE76B0"/>
    <w:rsid w:val="00FF60C5"/>
    <w:rsid w:val="012E7CB0"/>
    <w:rsid w:val="014A6202"/>
    <w:rsid w:val="01514D7F"/>
    <w:rsid w:val="016E3105"/>
    <w:rsid w:val="01B70388"/>
    <w:rsid w:val="01C820A5"/>
    <w:rsid w:val="01D91EF3"/>
    <w:rsid w:val="020256B3"/>
    <w:rsid w:val="029B441B"/>
    <w:rsid w:val="02D80BA5"/>
    <w:rsid w:val="033502C0"/>
    <w:rsid w:val="03563A04"/>
    <w:rsid w:val="036F6240"/>
    <w:rsid w:val="03BC2CB4"/>
    <w:rsid w:val="03DD05F9"/>
    <w:rsid w:val="04381573"/>
    <w:rsid w:val="046947A8"/>
    <w:rsid w:val="047247FB"/>
    <w:rsid w:val="04D35C62"/>
    <w:rsid w:val="05DB116F"/>
    <w:rsid w:val="068253F0"/>
    <w:rsid w:val="06A34F1C"/>
    <w:rsid w:val="06B234B9"/>
    <w:rsid w:val="06F7541D"/>
    <w:rsid w:val="06FE6F3C"/>
    <w:rsid w:val="074F167B"/>
    <w:rsid w:val="077764D1"/>
    <w:rsid w:val="0791128B"/>
    <w:rsid w:val="083E09AE"/>
    <w:rsid w:val="090F0E40"/>
    <w:rsid w:val="09137FF2"/>
    <w:rsid w:val="09842781"/>
    <w:rsid w:val="09AB6076"/>
    <w:rsid w:val="0A564FBF"/>
    <w:rsid w:val="0A6C72C2"/>
    <w:rsid w:val="0AD17989"/>
    <w:rsid w:val="0AEB69DF"/>
    <w:rsid w:val="0B006A13"/>
    <w:rsid w:val="0B1A469F"/>
    <w:rsid w:val="0B650784"/>
    <w:rsid w:val="0B9A07DD"/>
    <w:rsid w:val="0BC46688"/>
    <w:rsid w:val="0BE13FC3"/>
    <w:rsid w:val="0C0121C5"/>
    <w:rsid w:val="0C20680A"/>
    <w:rsid w:val="0C565C61"/>
    <w:rsid w:val="0CEE403C"/>
    <w:rsid w:val="0D6834A2"/>
    <w:rsid w:val="0DAF475A"/>
    <w:rsid w:val="0EE13936"/>
    <w:rsid w:val="0F1C0F06"/>
    <w:rsid w:val="0F2157F4"/>
    <w:rsid w:val="0F944441"/>
    <w:rsid w:val="10164C4F"/>
    <w:rsid w:val="10402469"/>
    <w:rsid w:val="10501F8A"/>
    <w:rsid w:val="10CD3F59"/>
    <w:rsid w:val="110C7FF0"/>
    <w:rsid w:val="11265AE9"/>
    <w:rsid w:val="119F4A69"/>
    <w:rsid w:val="121A126E"/>
    <w:rsid w:val="1263134E"/>
    <w:rsid w:val="129F448C"/>
    <w:rsid w:val="1353240C"/>
    <w:rsid w:val="136711FF"/>
    <w:rsid w:val="138A7959"/>
    <w:rsid w:val="14616CFA"/>
    <w:rsid w:val="14B469D4"/>
    <w:rsid w:val="156162A2"/>
    <w:rsid w:val="15B503DC"/>
    <w:rsid w:val="15C04B4B"/>
    <w:rsid w:val="15CC235F"/>
    <w:rsid w:val="16060934"/>
    <w:rsid w:val="16244CB6"/>
    <w:rsid w:val="167F7AFE"/>
    <w:rsid w:val="16972ED6"/>
    <w:rsid w:val="170734BA"/>
    <w:rsid w:val="17097637"/>
    <w:rsid w:val="17FE2C41"/>
    <w:rsid w:val="184A4948"/>
    <w:rsid w:val="19532E0D"/>
    <w:rsid w:val="1BA4454E"/>
    <w:rsid w:val="1BD40DAA"/>
    <w:rsid w:val="1C14316F"/>
    <w:rsid w:val="1C7963C6"/>
    <w:rsid w:val="1C855421"/>
    <w:rsid w:val="1CE90C57"/>
    <w:rsid w:val="1D5423F4"/>
    <w:rsid w:val="1D602F09"/>
    <w:rsid w:val="1D814F08"/>
    <w:rsid w:val="1DDE672F"/>
    <w:rsid w:val="1DE60EB3"/>
    <w:rsid w:val="1E1A506F"/>
    <w:rsid w:val="1E8F16E7"/>
    <w:rsid w:val="1F6375E1"/>
    <w:rsid w:val="1FC13CC2"/>
    <w:rsid w:val="207922F2"/>
    <w:rsid w:val="21511395"/>
    <w:rsid w:val="21D330FC"/>
    <w:rsid w:val="22083224"/>
    <w:rsid w:val="220F4DB8"/>
    <w:rsid w:val="22957DD7"/>
    <w:rsid w:val="235B5B13"/>
    <w:rsid w:val="238D25C7"/>
    <w:rsid w:val="242D67FC"/>
    <w:rsid w:val="248352BB"/>
    <w:rsid w:val="24A01C2F"/>
    <w:rsid w:val="24B64796"/>
    <w:rsid w:val="2524370F"/>
    <w:rsid w:val="2546509D"/>
    <w:rsid w:val="2554292C"/>
    <w:rsid w:val="2722718F"/>
    <w:rsid w:val="2730040E"/>
    <w:rsid w:val="27BD2AD9"/>
    <w:rsid w:val="27C10790"/>
    <w:rsid w:val="27DC10EC"/>
    <w:rsid w:val="27F81816"/>
    <w:rsid w:val="289B2B79"/>
    <w:rsid w:val="28E06657"/>
    <w:rsid w:val="29106FCE"/>
    <w:rsid w:val="29CA2C5D"/>
    <w:rsid w:val="2A04562C"/>
    <w:rsid w:val="2A1137CD"/>
    <w:rsid w:val="2A281499"/>
    <w:rsid w:val="2B9A6E4B"/>
    <w:rsid w:val="2BB32141"/>
    <w:rsid w:val="2C153F79"/>
    <w:rsid w:val="2C2B2067"/>
    <w:rsid w:val="2DFD0FF6"/>
    <w:rsid w:val="2E6C2761"/>
    <w:rsid w:val="303109D8"/>
    <w:rsid w:val="303A5422"/>
    <w:rsid w:val="303D6CAC"/>
    <w:rsid w:val="31086321"/>
    <w:rsid w:val="312528D6"/>
    <w:rsid w:val="31A00D42"/>
    <w:rsid w:val="31A6547E"/>
    <w:rsid w:val="31EB469E"/>
    <w:rsid w:val="321B4A56"/>
    <w:rsid w:val="33C11D3B"/>
    <w:rsid w:val="33CF5BCE"/>
    <w:rsid w:val="33D12155"/>
    <w:rsid w:val="35843F29"/>
    <w:rsid w:val="361270C5"/>
    <w:rsid w:val="361C59B8"/>
    <w:rsid w:val="364C6F95"/>
    <w:rsid w:val="36DC0D0F"/>
    <w:rsid w:val="36F65E1F"/>
    <w:rsid w:val="378721B3"/>
    <w:rsid w:val="379E453E"/>
    <w:rsid w:val="38585B49"/>
    <w:rsid w:val="39490267"/>
    <w:rsid w:val="39612D7D"/>
    <w:rsid w:val="399C643D"/>
    <w:rsid w:val="39CB547B"/>
    <w:rsid w:val="3A0F29A2"/>
    <w:rsid w:val="3A2351DB"/>
    <w:rsid w:val="3A3626A2"/>
    <w:rsid w:val="3A543A1E"/>
    <w:rsid w:val="3A771D8A"/>
    <w:rsid w:val="3AEC0764"/>
    <w:rsid w:val="3B583C3B"/>
    <w:rsid w:val="3BB6780B"/>
    <w:rsid w:val="3BB81C8B"/>
    <w:rsid w:val="3C1C55B5"/>
    <w:rsid w:val="3C2213E0"/>
    <w:rsid w:val="3CB046C4"/>
    <w:rsid w:val="3CFD2692"/>
    <w:rsid w:val="3DB10311"/>
    <w:rsid w:val="3DBA32EC"/>
    <w:rsid w:val="3E37701E"/>
    <w:rsid w:val="3ECA3122"/>
    <w:rsid w:val="3F9B6229"/>
    <w:rsid w:val="40FD6BCD"/>
    <w:rsid w:val="40FF5C9B"/>
    <w:rsid w:val="412D587E"/>
    <w:rsid w:val="413B315D"/>
    <w:rsid w:val="413F20A8"/>
    <w:rsid w:val="41452B8F"/>
    <w:rsid w:val="417902EB"/>
    <w:rsid w:val="423B37F2"/>
    <w:rsid w:val="427E7738"/>
    <w:rsid w:val="428D3A27"/>
    <w:rsid w:val="43015AD2"/>
    <w:rsid w:val="43304C30"/>
    <w:rsid w:val="448B195A"/>
    <w:rsid w:val="44AE4936"/>
    <w:rsid w:val="450F3A22"/>
    <w:rsid w:val="45B13282"/>
    <w:rsid w:val="45ED4983"/>
    <w:rsid w:val="464E35BB"/>
    <w:rsid w:val="4731414D"/>
    <w:rsid w:val="475129BF"/>
    <w:rsid w:val="48467F8D"/>
    <w:rsid w:val="48567AB0"/>
    <w:rsid w:val="4879058C"/>
    <w:rsid w:val="491C0811"/>
    <w:rsid w:val="49A25E18"/>
    <w:rsid w:val="4A6B29B6"/>
    <w:rsid w:val="4AC10F9C"/>
    <w:rsid w:val="4AE13FBC"/>
    <w:rsid w:val="4B314BA9"/>
    <w:rsid w:val="4C612D15"/>
    <w:rsid w:val="4C8F667F"/>
    <w:rsid w:val="4CDB38C8"/>
    <w:rsid w:val="4D1C0A85"/>
    <w:rsid w:val="4D3F6D2D"/>
    <w:rsid w:val="4EA74E8C"/>
    <w:rsid w:val="4EBD3441"/>
    <w:rsid w:val="4EED48E6"/>
    <w:rsid w:val="4EFF3F59"/>
    <w:rsid w:val="4F220EE0"/>
    <w:rsid w:val="4F25147B"/>
    <w:rsid w:val="4F533FBE"/>
    <w:rsid w:val="4FA218C9"/>
    <w:rsid w:val="50625194"/>
    <w:rsid w:val="50803E85"/>
    <w:rsid w:val="514A31EB"/>
    <w:rsid w:val="51A66A92"/>
    <w:rsid w:val="522E254A"/>
    <w:rsid w:val="52633688"/>
    <w:rsid w:val="526D617D"/>
    <w:rsid w:val="526E478B"/>
    <w:rsid w:val="52D642D4"/>
    <w:rsid w:val="53052EEF"/>
    <w:rsid w:val="53BA6122"/>
    <w:rsid w:val="53E1102B"/>
    <w:rsid w:val="558B408C"/>
    <w:rsid w:val="55DE303B"/>
    <w:rsid w:val="568D1CED"/>
    <w:rsid w:val="57113221"/>
    <w:rsid w:val="571B4E67"/>
    <w:rsid w:val="574B2585"/>
    <w:rsid w:val="576E7434"/>
    <w:rsid w:val="577F33AA"/>
    <w:rsid w:val="579A34C0"/>
    <w:rsid w:val="57E1036D"/>
    <w:rsid w:val="58676DE0"/>
    <w:rsid w:val="58B22EF7"/>
    <w:rsid w:val="59164A36"/>
    <w:rsid w:val="59311EDF"/>
    <w:rsid w:val="59EE285D"/>
    <w:rsid w:val="5A2533AB"/>
    <w:rsid w:val="5AA90CAC"/>
    <w:rsid w:val="5ACB3E2A"/>
    <w:rsid w:val="5B4C4882"/>
    <w:rsid w:val="5C220A23"/>
    <w:rsid w:val="5C8A5337"/>
    <w:rsid w:val="5D3B63CB"/>
    <w:rsid w:val="5DE62BBD"/>
    <w:rsid w:val="5DF92BF6"/>
    <w:rsid w:val="5ECD0BD7"/>
    <w:rsid w:val="5F372197"/>
    <w:rsid w:val="5F43085E"/>
    <w:rsid w:val="61752BC7"/>
    <w:rsid w:val="61783470"/>
    <w:rsid w:val="61A83486"/>
    <w:rsid w:val="61F10AA0"/>
    <w:rsid w:val="621F4CF4"/>
    <w:rsid w:val="6241032A"/>
    <w:rsid w:val="62575F49"/>
    <w:rsid w:val="626A48D4"/>
    <w:rsid w:val="62700713"/>
    <w:rsid w:val="627913C9"/>
    <w:rsid w:val="62AA7083"/>
    <w:rsid w:val="631736DB"/>
    <w:rsid w:val="6327708C"/>
    <w:rsid w:val="63D030BE"/>
    <w:rsid w:val="64801BFA"/>
    <w:rsid w:val="64F43B65"/>
    <w:rsid w:val="656D5511"/>
    <w:rsid w:val="65854E1F"/>
    <w:rsid w:val="66412F86"/>
    <w:rsid w:val="66820F49"/>
    <w:rsid w:val="66A80E9A"/>
    <w:rsid w:val="67EA49F2"/>
    <w:rsid w:val="67FD2B0A"/>
    <w:rsid w:val="683364F6"/>
    <w:rsid w:val="685E2A5C"/>
    <w:rsid w:val="68CB5D91"/>
    <w:rsid w:val="69192BCC"/>
    <w:rsid w:val="69511ECB"/>
    <w:rsid w:val="69784DF9"/>
    <w:rsid w:val="69EC74FB"/>
    <w:rsid w:val="6A7342D1"/>
    <w:rsid w:val="6A9B704A"/>
    <w:rsid w:val="6A9F08B3"/>
    <w:rsid w:val="6B08587D"/>
    <w:rsid w:val="6B183F35"/>
    <w:rsid w:val="6B5C5CAF"/>
    <w:rsid w:val="6BB51C4A"/>
    <w:rsid w:val="6BB56B2F"/>
    <w:rsid w:val="6BBE4A47"/>
    <w:rsid w:val="6C194990"/>
    <w:rsid w:val="6C7C19EB"/>
    <w:rsid w:val="6C8E263D"/>
    <w:rsid w:val="6E086BF6"/>
    <w:rsid w:val="6E5B767F"/>
    <w:rsid w:val="6E7071CC"/>
    <w:rsid w:val="6EC6113E"/>
    <w:rsid w:val="6EF62F37"/>
    <w:rsid w:val="6FCC4D15"/>
    <w:rsid w:val="6FD70956"/>
    <w:rsid w:val="6FDB3CBA"/>
    <w:rsid w:val="70753566"/>
    <w:rsid w:val="714464C8"/>
    <w:rsid w:val="718664D9"/>
    <w:rsid w:val="71B02770"/>
    <w:rsid w:val="71D75D34"/>
    <w:rsid w:val="71E56267"/>
    <w:rsid w:val="724C5830"/>
    <w:rsid w:val="728E22BD"/>
    <w:rsid w:val="73686D84"/>
    <w:rsid w:val="74B30D4B"/>
    <w:rsid w:val="74EE5DA4"/>
    <w:rsid w:val="7570300A"/>
    <w:rsid w:val="758814F6"/>
    <w:rsid w:val="75BF3886"/>
    <w:rsid w:val="75C90D11"/>
    <w:rsid w:val="75F87685"/>
    <w:rsid w:val="762963F9"/>
    <w:rsid w:val="762E1675"/>
    <w:rsid w:val="76421DB7"/>
    <w:rsid w:val="765D19D3"/>
    <w:rsid w:val="767371EE"/>
    <w:rsid w:val="76C30606"/>
    <w:rsid w:val="76FC7131"/>
    <w:rsid w:val="778E3360"/>
    <w:rsid w:val="788F4D03"/>
    <w:rsid w:val="7904160E"/>
    <w:rsid w:val="7A4B1630"/>
    <w:rsid w:val="7ACC0DC0"/>
    <w:rsid w:val="7B9A4BFD"/>
    <w:rsid w:val="7CC81420"/>
    <w:rsid w:val="7CFE1142"/>
    <w:rsid w:val="7D0467B7"/>
    <w:rsid w:val="7D423B03"/>
    <w:rsid w:val="7D9A62C9"/>
    <w:rsid w:val="7DC408EE"/>
    <w:rsid w:val="7DC73C96"/>
    <w:rsid w:val="7DE22C9D"/>
    <w:rsid w:val="7DF35720"/>
    <w:rsid w:val="7E7E65D8"/>
    <w:rsid w:val="7ED804F3"/>
    <w:rsid w:val="7EF6749E"/>
    <w:rsid w:val="7F325E8B"/>
    <w:rsid w:val="7F625912"/>
    <w:rsid w:val="7FBF3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qFormat="1" w:uiPriority="99" w:semiHidden="0"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30"/>
      <w:szCs w:val="44"/>
    </w:rPr>
  </w:style>
  <w:style w:type="paragraph" w:styleId="4">
    <w:name w:val="heading 2"/>
    <w:basedOn w:val="1"/>
    <w:next w:val="1"/>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9"/>
    <w:pPr>
      <w:keepNext/>
      <w:keepLines/>
      <w:spacing w:before="260" w:after="260" w:line="413" w:lineRule="auto"/>
      <w:outlineLvl w:val="2"/>
    </w:pPr>
    <w:rPr>
      <w:b/>
      <w:sz w:val="32"/>
    </w:rPr>
  </w:style>
  <w:style w:type="paragraph" w:styleId="6">
    <w:name w:val="heading 4"/>
    <w:basedOn w:val="1"/>
    <w:next w:val="1"/>
    <w:qFormat/>
    <w:uiPriority w:val="9"/>
    <w:pPr>
      <w:keepNext/>
      <w:keepLines/>
      <w:spacing w:before="280" w:after="290" w:line="376" w:lineRule="auto"/>
      <w:outlineLvl w:val="3"/>
    </w:pPr>
    <w:rPr>
      <w:rFonts w:ascii="Arial" w:hAnsi="Arial" w:eastAsia="黑体"/>
      <w:b/>
      <w:bCs/>
      <w:sz w:val="28"/>
      <w:szCs w:val="28"/>
    </w:rPr>
  </w:style>
  <w:style w:type="character" w:default="1" w:styleId="26">
    <w:name w:val="Default Paragraph Font"/>
    <w:semiHidden/>
    <w:unhideWhenUsed/>
    <w:qFormat/>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2">
    <w:name w:val="Body Text Indent 2"/>
    <w:basedOn w:val="1"/>
    <w:qFormat/>
    <w:uiPriority w:val="0"/>
    <w:pPr>
      <w:tabs>
        <w:tab w:val="left" w:pos="8640"/>
      </w:tabs>
      <w:ind w:left="1260"/>
    </w:pPr>
    <w:rPr>
      <w:szCs w:val="20"/>
    </w:rPr>
  </w:style>
  <w:style w:type="paragraph" w:styleId="7">
    <w:name w:val="Normal Indent"/>
    <w:basedOn w:val="1"/>
    <w:link w:val="65"/>
    <w:unhideWhenUsed/>
    <w:qFormat/>
    <w:uiPriority w:val="0"/>
    <w:pPr>
      <w:ind w:firstLine="420"/>
    </w:pPr>
    <w:rPr>
      <w:szCs w:val="20"/>
    </w:rPr>
  </w:style>
  <w:style w:type="paragraph" w:styleId="8">
    <w:name w:val="caption"/>
    <w:basedOn w:val="1"/>
    <w:next w:val="1"/>
    <w:qFormat/>
    <w:uiPriority w:val="35"/>
    <w:rPr>
      <w:rFonts w:ascii="Arial" w:hAnsi="Arial" w:eastAsia="黑体" w:cs="Arial"/>
      <w:sz w:val="20"/>
      <w:szCs w:val="20"/>
    </w:rPr>
  </w:style>
  <w:style w:type="paragraph" w:styleId="9">
    <w:name w:val="Document Map"/>
    <w:basedOn w:val="1"/>
    <w:semiHidden/>
    <w:qFormat/>
    <w:uiPriority w:val="0"/>
    <w:pPr>
      <w:shd w:val="clear" w:color="auto" w:fill="000080"/>
    </w:pPr>
  </w:style>
  <w:style w:type="paragraph" w:styleId="10">
    <w:name w:val="annotation text"/>
    <w:basedOn w:val="1"/>
    <w:qFormat/>
    <w:uiPriority w:val="0"/>
    <w:pPr>
      <w:jc w:val="left"/>
    </w:pPr>
  </w:style>
  <w:style w:type="paragraph" w:styleId="11">
    <w:name w:val="Body Text 3"/>
    <w:basedOn w:val="1"/>
    <w:unhideWhenUsed/>
    <w:qFormat/>
    <w:uiPriority w:val="99"/>
    <w:pPr>
      <w:spacing w:after="120"/>
    </w:pPr>
    <w:rPr>
      <w:sz w:val="16"/>
      <w:szCs w:val="16"/>
    </w:rPr>
  </w:style>
  <w:style w:type="paragraph" w:styleId="12">
    <w:name w:val="Body Text"/>
    <w:basedOn w:val="1"/>
    <w:qFormat/>
    <w:uiPriority w:val="0"/>
    <w:pPr>
      <w:spacing w:line="360" w:lineRule="auto"/>
    </w:pPr>
    <w:rPr>
      <w:szCs w:val="20"/>
    </w:rPr>
  </w:style>
  <w:style w:type="paragraph" w:styleId="13">
    <w:name w:val="Body Text Indent"/>
    <w:basedOn w:val="1"/>
    <w:qFormat/>
    <w:uiPriority w:val="0"/>
    <w:pPr>
      <w:ind w:firstLine="570"/>
    </w:pPr>
    <w:rPr>
      <w:rFonts w:ascii="宋体" w:hAnsi="宋体"/>
      <w:sz w:val="28"/>
      <w:szCs w:val="20"/>
    </w:rPr>
  </w:style>
  <w:style w:type="paragraph" w:styleId="14">
    <w:name w:val="toc 3"/>
    <w:basedOn w:val="1"/>
    <w:next w:val="1"/>
    <w:unhideWhenUsed/>
    <w:qFormat/>
    <w:uiPriority w:val="39"/>
    <w:pPr>
      <w:ind w:left="840" w:leftChars="400"/>
    </w:pPr>
  </w:style>
  <w:style w:type="paragraph" w:styleId="15">
    <w:name w:val="Plain Text"/>
    <w:basedOn w:val="1"/>
    <w:unhideWhenUsed/>
    <w:qFormat/>
    <w:uiPriority w:val="99"/>
    <w:rPr>
      <w:rFonts w:ascii="宋体" w:hAnsi="Courier New" w:cs="Courier New"/>
      <w:szCs w:val="21"/>
    </w:rPr>
  </w:style>
  <w:style w:type="paragraph" w:styleId="16">
    <w:name w:val="Balloon Text"/>
    <w:basedOn w:val="1"/>
    <w:link w:val="53"/>
    <w:unhideWhenUsed/>
    <w:qFormat/>
    <w:uiPriority w:val="99"/>
    <w:rPr>
      <w:sz w:val="18"/>
      <w:szCs w:val="18"/>
    </w:rPr>
  </w:style>
  <w:style w:type="paragraph" w:styleId="17">
    <w:name w:val="footer"/>
    <w:basedOn w:val="1"/>
    <w:link w:val="61"/>
    <w:unhideWhenUsed/>
    <w:qFormat/>
    <w:uiPriority w:val="99"/>
    <w:pPr>
      <w:tabs>
        <w:tab w:val="center" w:pos="4153"/>
        <w:tab w:val="right" w:pos="8306"/>
      </w:tabs>
      <w:snapToGrid w:val="0"/>
      <w:jc w:val="left"/>
    </w:pPr>
    <w:rPr>
      <w:sz w:val="18"/>
      <w:szCs w:val="18"/>
    </w:rPr>
  </w:style>
  <w:style w:type="paragraph" w:styleId="18">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spacing w:before="120" w:after="120"/>
      <w:jc w:val="left"/>
    </w:pPr>
    <w:rPr>
      <w:b/>
      <w:bCs/>
      <w:caps/>
      <w:sz w:val="20"/>
      <w:szCs w:val="20"/>
    </w:rPr>
  </w:style>
  <w:style w:type="paragraph" w:styleId="20">
    <w:name w:val="index heading"/>
    <w:basedOn w:val="1"/>
    <w:next w:val="21"/>
    <w:unhideWhenUsed/>
    <w:qFormat/>
    <w:uiPriority w:val="99"/>
    <w:rPr>
      <w:szCs w:val="20"/>
    </w:rPr>
  </w:style>
  <w:style w:type="paragraph" w:styleId="21">
    <w:name w:val="index 1"/>
    <w:basedOn w:val="1"/>
    <w:next w:val="1"/>
    <w:unhideWhenUsed/>
    <w:qFormat/>
    <w:uiPriority w:val="99"/>
  </w:style>
  <w:style w:type="paragraph" w:styleId="22">
    <w:name w:val="toc 2"/>
    <w:basedOn w:val="1"/>
    <w:next w:val="1"/>
    <w:unhideWhenUsed/>
    <w:qFormat/>
    <w:uiPriority w:val="39"/>
    <w:pPr>
      <w:ind w:left="210"/>
      <w:jc w:val="left"/>
    </w:pPr>
    <w:rPr>
      <w:smallCaps/>
      <w:sz w:val="20"/>
      <w:szCs w:val="20"/>
    </w:rPr>
  </w:style>
  <w:style w:type="paragraph" w:styleId="23">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25">
    <w:name w:val="Table Grid"/>
    <w:basedOn w:val="2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rFonts w:cs="Times New Roman"/>
      <w:b/>
      <w:bCs/>
    </w:rPr>
  </w:style>
  <w:style w:type="character" w:styleId="28">
    <w:name w:val="page number"/>
    <w:basedOn w:val="26"/>
    <w:unhideWhenUsed/>
    <w:qFormat/>
    <w:uiPriority w:val="99"/>
  </w:style>
  <w:style w:type="character" w:styleId="29">
    <w:name w:val="FollowedHyperlink"/>
    <w:unhideWhenUsed/>
    <w:qFormat/>
    <w:uiPriority w:val="0"/>
    <w:rPr>
      <w:color w:val="000000"/>
      <w:sz w:val="18"/>
      <w:szCs w:val="18"/>
      <w:u w:val="none"/>
    </w:rPr>
  </w:style>
  <w:style w:type="character" w:styleId="30">
    <w:name w:val="Hyperlink"/>
    <w:unhideWhenUsed/>
    <w:qFormat/>
    <w:uiPriority w:val="99"/>
    <w:rPr>
      <w:color w:val="000000"/>
      <w:sz w:val="18"/>
      <w:szCs w:val="18"/>
      <w:u w:val="none"/>
    </w:rPr>
  </w:style>
  <w:style w:type="paragraph" w:customStyle="1" w:styleId="31">
    <w:name w:val="列出段落1"/>
    <w:basedOn w:val="1"/>
    <w:qFormat/>
    <w:uiPriority w:val="0"/>
    <w:pPr>
      <w:ind w:firstLine="420" w:firstLineChars="200"/>
    </w:pPr>
    <w:rPr>
      <w:szCs w:val="22"/>
    </w:rPr>
  </w:style>
  <w:style w:type="paragraph" w:customStyle="1" w:styleId="32">
    <w:name w:val="样式1"/>
    <w:basedOn w:val="5"/>
    <w:next w:val="1"/>
    <w:qFormat/>
    <w:uiPriority w:val="0"/>
    <w:rPr>
      <w:rFonts w:ascii="Times New Roman" w:hAnsi="Times New Roman"/>
      <w:sz w:val="24"/>
    </w:rPr>
  </w:style>
  <w:style w:type="paragraph" w:customStyle="1" w:styleId="33">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34">
    <w:name w:val="_Style 31"/>
    <w:basedOn w:val="1"/>
    <w:qFormat/>
    <w:uiPriority w:val="0"/>
    <w:pPr>
      <w:spacing w:after="160" w:line="240" w:lineRule="exact"/>
      <w:jc w:val="left"/>
    </w:pPr>
  </w:style>
  <w:style w:type="paragraph" w:customStyle="1" w:styleId="35">
    <w:name w:val="表格文字"/>
    <w:basedOn w:val="1"/>
    <w:link w:val="62"/>
    <w:qFormat/>
    <w:uiPriority w:val="0"/>
    <w:pPr>
      <w:spacing w:before="25" w:after="25"/>
      <w:jc w:val="left"/>
    </w:pPr>
    <w:rPr>
      <w:bCs/>
      <w:spacing w:val="10"/>
      <w:kern w:val="0"/>
      <w:sz w:val="24"/>
      <w:szCs w:val="20"/>
    </w:rPr>
  </w:style>
  <w:style w:type="paragraph" w:customStyle="1" w:styleId="36">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
    <w:name w:val="题注5"/>
    <w:basedOn w:val="1"/>
    <w:next w:val="8"/>
    <w:qFormat/>
    <w:uiPriority w:val="0"/>
    <w:pPr>
      <w:jc w:val="center"/>
    </w:pPr>
    <w:rPr>
      <w:b/>
      <w:color w:val="000000"/>
      <w:sz w:val="24"/>
      <w:szCs w:val="21"/>
    </w:rPr>
  </w:style>
  <w:style w:type="paragraph" w:customStyle="1" w:styleId="38">
    <w:name w:val="_Style 2"/>
    <w:qFormat/>
    <w:uiPriority w:val="1"/>
    <w:pPr>
      <w:widowControl w:val="0"/>
      <w:jc w:val="both"/>
    </w:pPr>
    <w:rPr>
      <w:rFonts w:ascii="Calibri" w:hAnsi="Calibri" w:eastAsia="宋体" w:cs="Times New Roman"/>
      <w:kern w:val="2"/>
      <w:sz w:val="21"/>
      <w:szCs w:val="24"/>
      <w:lang w:val="en-US" w:eastAsia="zh-CN" w:bidi="ar-SA"/>
    </w:rPr>
  </w:style>
  <w:style w:type="paragraph" w:customStyle="1" w:styleId="3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40">
    <w:name w:val="Table Paragraph"/>
    <w:basedOn w:val="1"/>
    <w:qFormat/>
    <w:uiPriority w:val="1"/>
    <w:rPr>
      <w:rFonts w:ascii="宋体" w:hAnsi="宋体" w:cs="宋体"/>
      <w:lang w:val="zh-CN" w:bidi="zh-CN"/>
    </w:rPr>
  </w:style>
  <w:style w:type="paragraph" w:customStyle="1" w:styleId="41">
    <w:name w:val="正文缩进1"/>
    <w:basedOn w:val="1"/>
    <w:qFormat/>
    <w:uiPriority w:val="0"/>
    <w:pPr>
      <w:autoSpaceDE w:val="0"/>
      <w:autoSpaceDN w:val="0"/>
      <w:adjustRightInd w:val="0"/>
      <w:ind w:firstLine="420"/>
      <w:jc w:val="left"/>
      <w:textAlignment w:val="baseline"/>
    </w:pPr>
    <w:rPr>
      <w:rFonts w:ascii="宋体"/>
      <w:kern w:val="0"/>
      <w:sz w:val="34"/>
      <w:szCs w:val="20"/>
    </w:rPr>
  </w:style>
  <w:style w:type="paragraph" w:customStyle="1" w:styleId="42">
    <w:name w:val="Char Char Char Char Char Char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43">
    <w:name w:val="无间隔1"/>
    <w:qFormat/>
    <w:uiPriority w:val="0"/>
    <w:pPr>
      <w:widowControl w:val="0"/>
      <w:jc w:val="both"/>
    </w:pPr>
    <w:rPr>
      <w:rFonts w:ascii="Calibri" w:hAnsi="Calibri" w:eastAsia="宋体" w:cs="Times New Roman"/>
      <w:kern w:val="2"/>
      <w:sz w:val="21"/>
      <w:szCs w:val="24"/>
      <w:lang w:val="en-US" w:eastAsia="zh-CN" w:bidi="ar-SA"/>
    </w:rPr>
  </w:style>
  <w:style w:type="paragraph" w:styleId="44">
    <w:name w:val="List Paragraph"/>
    <w:basedOn w:val="1"/>
    <w:qFormat/>
    <w:uiPriority w:val="34"/>
    <w:pPr>
      <w:ind w:firstLine="420" w:firstLineChars="200"/>
    </w:pPr>
    <w:rPr>
      <w:szCs w:val="22"/>
    </w:rPr>
  </w:style>
  <w:style w:type="paragraph" w:customStyle="1" w:styleId="45">
    <w:name w:val="标题 41"/>
    <w:basedOn w:val="1"/>
    <w:unhideWhenUsed/>
    <w:qFormat/>
    <w:uiPriority w:val="1"/>
    <w:pPr>
      <w:autoSpaceDE w:val="0"/>
      <w:autoSpaceDN w:val="0"/>
      <w:ind w:left="118"/>
      <w:jc w:val="left"/>
      <w:outlineLvl w:val="3"/>
    </w:pPr>
    <w:rPr>
      <w:rFonts w:ascii="Microsoft JhengHei" w:hAnsi="Microsoft JhengHei" w:eastAsia="Microsoft JhengHei" w:cs="Microsoft JhengHei"/>
      <w:b/>
      <w:bCs/>
      <w:kern w:val="0"/>
      <w:sz w:val="28"/>
      <w:szCs w:val="28"/>
    </w:rPr>
  </w:style>
  <w:style w:type="paragraph" w:customStyle="1" w:styleId="46">
    <w:name w:val="Char Char Char Char Char Char Char Char Char Char Char Char Char"/>
    <w:basedOn w:val="1"/>
    <w:qFormat/>
    <w:uiPriority w:val="0"/>
    <w:pPr>
      <w:widowControl/>
      <w:spacing w:after="160" w:line="240" w:lineRule="exact"/>
      <w:jc w:val="left"/>
    </w:pPr>
  </w:style>
  <w:style w:type="paragraph" w:customStyle="1" w:styleId="47">
    <w:name w:val="题注4"/>
    <w:basedOn w:val="1"/>
    <w:next w:val="8"/>
    <w:qFormat/>
    <w:uiPriority w:val="0"/>
    <w:pPr>
      <w:ind w:left="-132" w:leftChars="-64" w:right="-105" w:rightChars="-50" w:hanging="2"/>
      <w:jc w:val="center"/>
    </w:pPr>
    <w:rPr>
      <w:b/>
      <w:color w:val="FF0000"/>
      <w:szCs w:val="21"/>
      <w:lang w:val="en-GB"/>
    </w:rPr>
  </w:style>
  <w:style w:type="paragraph" w:customStyle="1" w:styleId="48">
    <w:name w:val="Char Char10 Char Char"/>
    <w:basedOn w:val="1"/>
    <w:qFormat/>
    <w:uiPriority w:val="0"/>
    <w:pPr>
      <w:widowControl/>
      <w:spacing w:line="400" w:lineRule="exact"/>
      <w:jc w:val="center"/>
    </w:pPr>
  </w:style>
  <w:style w:type="character" w:customStyle="1" w:styleId="49">
    <w:name w:val="font31"/>
    <w:basedOn w:val="26"/>
    <w:qFormat/>
    <w:uiPriority w:val="0"/>
    <w:rPr>
      <w:rFonts w:hint="eastAsia" w:ascii="宋体" w:hAnsi="宋体" w:eastAsia="宋体" w:cs="宋体"/>
      <w:color w:val="000000"/>
      <w:sz w:val="20"/>
      <w:szCs w:val="20"/>
      <w:u w:val="none"/>
    </w:rPr>
  </w:style>
  <w:style w:type="character" w:customStyle="1" w:styleId="50">
    <w:name w:val="qxdate"/>
    <w:qFormat/>
    <w:uiPriority w:val="0"/>
    <w:rPr>
      <w:color w:val="333333"/>
      <w:sz w:val="18"/>
      <w:szCs w:val="18"/>
    </w:rPr>
  </w:style>
  <w:style w:type="character" w:customStyle="1" w:styleId="51">
    <w:name w:val="apple-converted-space"/>
    <w:qFormat/>
    <w:uiPriority w:val="0"/>
    <w:rPr>
      <w:rFonts w:cs="Times New Roman"/>
    </w:rPr>
  </w:style>
  <w:style w:type="character" w:customStyle="1" w:styleId="52">
    <w:name w:val="标题 2 Char"/>
    <w:qFormat/>
    <w:uiPriority w:val="0"/>
    <w:rPr>
      <w:rFonts w:ascii="Arial" w:hAnsi="Arial" w:eastAsia="黑体" w:cs="Times New Roman"/>
      <w:b/>
      <w:bCs/>
      <w:sz w:val="32"/>
      <w:szCs w:val="32"/>
    </w:rPr>
  </w:style>
  <w:style w:type="character" w:customStyle="1" w:styleId="53">
    <w:name w:val="批注框文本 字符"/>
    <w:link w:val="16"/>
    <w:semiHidden/>
    <w:qFormat/>
    <w:uiPriority w:val="99"/>
    <w:rPr>
      <w:kern w:val="2"/>
      <w:sz w:val="18"/>
      <w:szCs w:val="18"/>
    </w:rPr>
  </w:style>
  <w:style w:type="character" w:customStyle="1" w:styleId="54">
    <w:name w:val="cfdate"/>
    <w:qFormat/>
    <w:uiPriority w:val="0"/>
    <w:rPr>
      <w:color w:val="333333"/>
      <w:sz w:val="18"/>
      <w:szCs w:val="18"/>
    </w:rPr>
  </w:style>
  <w:style w:type="character" w:customStyle="1" w:styleId="55">
    <w:name w:val="gjfg"/>
    <w:basedOn w:val="26"/>
    <w:qFormat/>
    <w:uiPriority w:val="0"/>
  </w:style>
  <w:style w:type="character" w:customStyle="1" w:styleId="56">
    <w:name w:val="Char Char1"/>
    <w:qFormat/>
    <w:uiPriority w:val="0"/>
    <w:rPr>
      <w:rFonts w:eastAsia="宋体"/>
      <w:kern w:val="2"/>
      <w:sz w:val="18"/>
      <w:szCs w:val="18"/>
      <w:lang w:val="en-US" w:eastAsia="zh-CN" w:bidi="ar-SA"/>
    </w:rPr>
  </w:style>
  <w:style w:type="character" w:customStyle="1" w:styleId="57">
    <w:name w:val="标题 2 Char1"/>
    <w:qFormat/>
    <w:uiPriority w:val="0"/>
    <w:rPr>
      <w:rFonts w:ascii="Arial" w:hAnsi="Arial" w:eastAsia="宋体"/>
      <w:b/>
      <w:bCs/>
      <w:kern w:val="2"/>
      <w:sz w:val="24"/>
      <w:szCs w:val="32"/>
      <w:lang w:val="en-US" w:eastAsia="zh-CN" w:bidi="ar-SA"/>
    </w:rPr>
  </w:style>
  <w:style w:type="character" w:customStyle="1" w:styleId="58">
    <w:name w:val="displayarti"/>
    <w:qFormat/>
    <w:uiPriority w:val="0"/>
    <w:rPr>
      <w:color w:val="FFFFFF"/>
      <w:shd w:val="clear" w:color="auto" w:fill="A00000"/>
    </w:rPr>
  </w:style>
  <w:style w:type="character" w:customStyle="1" w:styleId="59">
    <w:name w:val="font11"/>
    <w:basedOn w:val="26"/>
    <w:qFormat/>
    <w:uiPriority w:val="0"/>
    <w:rPr>
      <w:rFonts w:hint="eastAsia" w:ascii="宋体" w:hAnsi="宋体" w:eastAsia="宋体" w:cs="宋体"/>
      <w:color w:val="000000"/>
      <w:sz w:val="21"/>
      <w:szCs w:val="21"/>
      <w:u w:val="none"/>
    </w:rPr>
  </w:style>
  <w:style w:type="character" w:customStyle="1" w:styleId="60">
    <w:name w:val="mainfield"/>
    <w:qFormat/>
    <w:uiPriority w:val="0"/>
  </w:style>
  <w:style w:type="character" w:customStyle="1" w:styleId="61">
    <w:name w:val="页脚 字符"/>
    <w:link w:val="17"/>
    <w:qFormat/>
    <w:uiPriority w:val="99"/>
    <w:rPr>
      <w:kern w:val="2"/>
      <w:sz w:val="18"/>
      <w:szCs w:val="18"/>
    </w:rPr>
  </w:style>
  <w:style w:type="character" w:customStyle="1" w:styleId="62">
    <w:name w:val="表格文字 Char Char"/>
    <w:link w:val="35"/>
    <w:qFormat/>
    <w:uiPriority w:val="0"/>
    <w:rPr>
      <w:rFonts w:eastAsia="宋体"/>
      <w:bCs/>
      <w:spacing w:val="10"/>
      <w:sz w:val="24"/>
      <w:lang w:val="en-US" w:eastAsia="zh-CN" w:bidi="ar-SA"/>
    </w:rPr>
  </w:style>
  <w:style w:type="character" w:customStyle="1" w:styleId="63">
    <w:name w:val="redfilenumber"/>
    <w:qFormat/>
    <w:uiPriority w:val="0"/>
    <w:rPr>
      <w:color w:val="BA2636"/>
      <w:sz w:val="18"/>
      <w:szCs w:val="18"/>
    </w:rPr>
  </w:style>
  <w:style w:type="character" w:customStyle="1" w:styleId="64">
    <w:name w:val="font61"/>
    <w:basedOn w:val="26"/>
    <w:qFormat/>
    <w:uiPriority w:val="0"/>
    <w:rPr>
      <w:rFonts w:hint="default" w:ascii="Arial" w:hAnsi="Arial" w:cs="Arial"/>
      <w:color w:val="000000"/>
      <w:sz w:val="20"/>
      <w:szCs w:val="20"/>
      <w:u w:val="none"/>
    </w:rPr>
  </w:style>
  <w:style w:type="character" w:customStyle="1" w:styleId="65">
    <w:name w:val="正文缩进 字符"/>
    <w:link w:val="7"/>
    <w:qFormat/>
    <w:uiPriority w:val="0"/>
    <w:rPr>
      <w:kern w:val="2"/>
      <w:sz w:val="21"/>
    </w:rPr>
  </w:style>
  <w:style w:type="character" w:customStyle="1" w:styleId="66">
    <w:name w:val="font71"/>
    <w:basedOn w:val="26"/>
    <w:qFormat/>
    <w:uiPriority w:val="0"/>
    <w:rPr>
      <w:rFonts w:hint="eastAsia" w:ascii="宋体" w:hAnsi="宋体" w:eastAsia="宋体" w:cs="宋体"/>
      <w:color w:val="000000"/>
      <w:sz w:val="20"/>
      <w:szCs w:val="20"/>
      <w:u w:val="none"/>
    </w:rPr>
  </w:style>
  <w:style w:type="character" w:customStyle="1" w:styleId="67">
    <w:name w:val="font21"/>
    <w:basedOn w:val="26"/>
    <w:qFormat/>
    <w:uiPriority w:val="0"/>
    <w:rPr>
      <w:rFonts w:hint="default" w:ascii="Times New Roman" w:hAnsi="Times New Roman" w:cs="Times New Roman"/>
      <w:color w:val="000000"/>
      <w:sz w:val="21"/>
      <w:szCs w:val="21"/>
      <w:u w:val="none"/>
    </w:rPr>
  </w:style>
  <w:style w:type="character" w:customStyle="1" w:styleId="68">
    <w:name w:val="redfilefwwh"/>
    <w:qFormat/>
    <w:uiPriority w:val="0"/>
    <w:rPr>
      <w:color w:val="BA2636"/>
      <w:sz w:val="18"/>
      <w:szCs w:val="18"/>
    </w:rPr>
  </w:style>
  <w:style w:type="table" w:customStyle="1" w:styleId="69">
    <w:name w:val="Table Normal"/>
    <w:semiHidden/>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1268</Words>
  <Characters>7231</Characters>
  <Lines>60</Lines>
  <Paragraphs>16</Paragraphs>
  <TotalTime>7</TotalTime>
  <ScaleCrop>false</ScaleCrop>
  <LinksUpToDate>false</LinksUpToDate>
  <CharactersWithSpaces>8483</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2022-11-22T05:04:00Z</dcterms:created>
  <dc:creator>Administrator.PC-20170430NZQE</dc:creator>
  <cp:lastModifiedBy>Administrator</cp:lastModifiedBy>
  <cp:lastPrinted>2022-12-02T01:19:00Z</cp:lastPrinted>
  <dcterms:modified xsi:type="dcterms:W3CDTF">2022-12-02T07:05:31Z</dcterms:modified>
  <dc:title>文件</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A774B444A8D444EF9F060C598849FEAE</vt:lpwstr>
  </property>
</Properties>
</file>