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p>
    <w:p>
      <w:pPr>
        <w:tabs>
          <w:tab w:val="left" w:pos="5898"/>
        </w:tabs>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bookmarkStart w:id="13" w:name="_GoBack"/>
      <w:bookmarkEnd w:id="13"/>
    </w:p>
    <w:p>
      <w:pPr>
        <w:pStyle w:val="45"/>
        <w:rPr>
          <w:color w:val="000000" w:themeColor="text1"/>
          <w14:textFill>
            <w14:solidFill>
              <w14:schemeClr w14:val="tx1"/>
            </w14:solidFill>
          </w14:textFill>
        </w:rPr>
      </w:pPr>
    </w:p>
    <w:p>
      <w:pPr>
        <w:adjustRightInd w:val="0"/>
        <w:snapToGrid w:val="0"/>
        <w:jc w:val="center"/>
        <w:outlineLvl w:val="0"/>
        <w:rPr>
          <w:bCs/>
          <w:color w:val="000000" w:themeColor="text1"/>
          <w:sz w:val="72"/>
          <w:szCs w:val="72"/>
          <w14:textFill>
            <w14:solidFill>
              <w14:schemeClr w14:val="tx1"/>
            </w14:solidFill>
          </w14:textFill>
        </w:rPr>
      </w:pPr>
      <w:r>
        <w:rPr>
          <w:bCs/>
          <w:color w:val="000000" w:themeColor="text1"/>
          <w:sz w:val="72"/>
          <w:szCs w:val="72"/>
          <w14:textFill>
            <w14:solidFill>
              <w14:schemeClr w14:val="tx1"/>
            </w14:solidFill>
          </w14:textFill>
        </w:rPr>
        <w:t>建设项目环境影响报告表</w:t>
      </w:r>
    </w:p>
    <w:p>
      <w:pPr>
        <w:adjustRightInd w:val="0"/>
        <w:snapToGrid w:val="0"/>
        <w:spacing w:before="249" w:beforeLines="80"/>
        <w:jc w:val="center"/>
        <w:rPr>
          <w:color w:val="000000" w:themeColor="text1"/>
          <w:sz w:val="48"/>
          <w:szCs w:val="48"/>
          <w14:textFill>
            <w14:solidFill>
              <w14:schemeClr w14:val="tx1"/>
            </w14:solidFill>
          </w14:textFill>
        </w:rPr>
      </w:pPr>
      <w:r>
        <w:rPr>
          <w:color w:val="000000" w:themeColor="text1"/>
          <w:sz w:val="48"/>
          <w:szCs w:val="48"/>
          <w14:textFill>
            <w14:solidFill>
              <w14:schemeClr w14:val="tx1"/>
            </w14:solidFill>
          </w14:textFill>
        </w:rPr>
        <w:t>（污染影响类）</w:t>
      </w:r>
    </w:p>
    <w:p>
      <w:pPr>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p>
    <w:p>
      <w:pPr>
        <w:tabs>
          <w:tab w:val="left" w:pos="5898"/>
        </w:tabs>
        <w:spacing w:line="360" w:lineRule="auto"/>
        <w:jc w:val="center"/>
        <w:rPr>
          <w:b/>
          <w:color w:val="000000" w:themeColor="text1"/>
          <w:sz w:val="48"/>
          <w:szCs w:val="48"/>
          <w14:textFill>
            <w14:solidFill>
              <w14:schemeClr w14:val="tx1"/>
            </w14:solidFill>
          </w14:textFill>
        </w:rPr>
      </w:pPr>
    </w:p>
    <w:p>
      <w:pPr>
        <w:tabs>
          <w:tab w:val="left" w:pos="5898"/>
        </w:tabs>
        <w:spacing w:line="360" w:lineRule="auto"/>
        <w:jc w:val="center"/>
        <w:rPr>
          <w:b/>
          <w:color w:val="000000" w:themeColor="text1"/>
          <w:sz w:val="48"/>
          <w:szCs w:val="48"/>
          <w14:textFill>
            <w14:solidFill>
              <w14:schemeClr w14:val="tx1"/>
            </w14:solidFill>
          </w14:textFill>
        </w:rPr>
      </w:pPr>
    </w:p>
    <w:p>
      <w:pPr>
        <w:adjustRightInd w:val="0"/>
        <w:snapToGrid w:val="0"/>
        <w:spacing w:line="360" w:lineRule="auto"/>
        <w:jc w:val="center"/>
        <w:rPr>
          <w:color w:val="000000" w:themeColor="text1"/>
          <w:sz w:val="30"/>
          <w:szCs w:val="30"/>
          <w:u w:val="single"/>
          <w14:textFill>
            <w14:solidFill>
              <w14:schemeClr w14:val="tx1"/>
            </w14:solidFill>
          </w14:textFill>
        </w:rPr>
      </w:pPr>
      <w:r>
        <w:rPr>
          <w:color w:val="000000" w:themeColor="text1"/>
          <w:sz w:val="30"/>
          <w:szCs w:val="30"/>
          <w14:textFill>
            <w14:solidFill>
              <w14:schemeClr w14:val="tx1"/>
            </w14:solidFill>
          </w14:textFill>
        </w:rPr>
        <w:t>项目名称：</w:t>
      </w:r>
      <w:r>
        <w:rPr>
          <w:color w:val="000000" w:themeColor="text1"/>
          <w:kern w:val="21"/>
          <w:sz w:val="30"/>
          <w:szCs w:val="30"/>
          <w:u w:val="single"/>
          <w14:textFill>
            <w14:solidFill>
              <w14:schemeClr w14:val="tx1"/>
            </w14:solidFill>
          </w14:textFill>
        </w:rPr>
        <w:t>博罗县石湾镇富特塑胶五金厂建设项目</w:t>
      </w:r>
    </w:p>
    <w:p>
      <w:pPr>
        <w:adjustRightInd w:val="0"/>
        <w:snapToGrid w:val="0"/>
        <w:spacing w:line="360" w:lineRule="auto"/>
        <w:jc w:val="center"/>
        <w:rPr>
          <w:color w:val="000000" w:themeColor="text1"/>
          <w:sz w:val="30"/>
          <w:szCs w:val="30"/>
          <w:u w:val="single"/>
          <w14:textFill>
            <w14:solidFill>
              <w14:schemeClr w14:val="tx1"/>
            </w14:solidFill>
          </w14:textFill>
        </w:rPr>
      </w:pPr>
      <w:r>
        <w:rPr>
          <w:color w:val="000000" w:themeColor="text1"/>
          <w:sz w:val="30"/>
          <w:szCs w:val="30"/>
          <w14:textFill>
            <w14:solidFill>
              <w14:schemeClr w14:val="tx1"/>
            </w14:solidFill>
          </w14:textFill>
        </w:rPr>
        <w:t>建设单位（盖章）：</w:t>
      </w:r>
      <w:r>
        <w:rPr>
          <w:color w:val="000000" w:themeColor="text1"/>
          <w:kern w:val="21"/>
          <w:sz w:val="30"/>
          <w:szCs w:val="30"/>
          <w:u w:val="single"/>
          <w14:textFill>
            <w14:solidFill>
              <w14:schemeClr w14:val="tx1"/>
            </w14:solidFill>
          </w14:textFill>
        </w:rPr>
        <w:t>博罗县石湾镇富特塑胶五金厂</w:t>
      </w:r>
    </w:p>
    <w:p>
      <w:pPr>
        <w:adjustRightInd w:val="0"/>
        <w:snapToGrid w:val="0"/>
        <w:spacing w:line="360" w:lineRule="auto"/>
        <w:ind w:firstLine="1200" w:firstLineChars="400"/>
        <w:jc w:val="left"/>
        <w:rPr>
          <w:rFonts w:hint="default" w:eastAsia="宋体"/>
          <w:color w:val="000000" w:themeColor="text1"/>
          <w:sz w:val="30"/>
          <w:szCs w:val="30"/>
          <w:u w:val="single"/>
          <w:lang w:val="en-US" w:eastAsia="zh-CN"/>
          <w14:textFill>
            <w14:solidFill>
              <w14:schemeClr w14:val="tx1"/>
            </w14:solidFill>
          </w14:textFill>
        </w:rPr>
      </w:pPr>
      <w:r>
        <w:rPr>
          <w:color w:val="000000" w:themeColor="text1"/>
          <w:sz w:val="30"/>
          <w:szCs w:val="30"/>
          <w14:textFill>
            <w14:solidFill>
              <w14:schemeClr w14:val="tx1"/>
            </w14:solidFill>
          </w14:textFill>
        </w:rPr>
        <w:t>编制日期：</w:t>
      </w:r>
      <w:r>
        <w:rPr>
          <w:rFonts w:hint="default"/>
          <w:color w:val="000000" w:themeColor="text1"/>
          <w:sz w:val="30"/>
          <w:szCs w:val="30"/>
          <w:u w:val="single"/>
          <w:lang w:val="en-US"/>
          <w14:textFill>
            <w14:solidFill>
              <w14:schemeClr w14:val="tx1"/>
            </w14:solidFill>
          </w14:textFill>
        </w:rPr>
        <w:t xml:space="preserve">        2022</w:t>
      </w:r>
      <w:r>
        <w:rPr>
          <w:rFonts w:hint="eastAsia"/>
          <w:color w:val="000000" w:themeColor="text1"/>
          <w:sz w:val="30"/>
          <w:szCs w:val="30"/>
          <w:u w:val="single"/>
          <w:lang w:val="en-US" w:eastAsia="zh-CN"/>
          <w14:textFill>
            <w14:solidFill>
              <w14:schemeClr w14:val="tx1"/>
            </w14:solidFill>
          </w14:textFill>
        </w:rPr>
        <w:t>年11月</w:t>
      </w:r>
      <w:r>
        <w:rPr>
          <w:rFonts w:hint="default"/>
          <w:color w:val="000000" w:themeColor="text1"/>
          <w:sz w:val="30"/>
          <w:szCs w:val="30"/>
          <w:u w:val="single"/>
          <w:lang w:val="en-US" w:eastAsia="zh-CN"/>
          <w14:textFill>
            <w14:solidFill>
              <w14:schemeClr w14:val="tx1"/>
            </w14:solidFill>
          </w14:textFill>
        </w:rPr>
        <w:t xml:space="preserve">               </w:t>
      </w:r>
    </w:p>
    <w:p>
      <w:pPr>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p>
    <w:p>
      <w:pPr>
        <w:spacing w:line="360" w:lineRule="auto"/>
        <w:jc w:val="center"/>
        <w:rPr>
          <w:b/>
          <w:color w:val="000000" w:themeColor="text1"/>
          <w:sz w:val="48"/>
          <w:szCs w:val="48"/>
          <w14:textFill>
            <w14:solidFill>
              <w14:schemeClr w14:val="tx1"/>
            </w14:solidFill>
          </w14:textFill>
        </w:rPr>
      </w:pPr>
    </w:p>
    <w:p>
      <w:pPr>
        <w:rPr>
          <w:color w:val="000000" w:themeColor="text1"/>
          <w:sz w:val="36"/>
          <w:szCs w:val="36"/>
          <w14:textFill>
            <w14:solidFill>
              <w14:schemeClr w14:val="tx1"/>
            </w14:solidFill>
          </w14:textFill>
        </w:rPr>
      </w:pPr>
    </w:p>
    <w:p>
      <w:pPr>
        <w:jc w:val="center"/>
        <w:rPr>
          <w:color w:val="000000" w:themeColor="text1"/>
          <w:sz w:val="36"/>
          <w:szCs w:val="36"/>
          <w14:textFill>
            <w14:solidFill>
              <w14:schemeClr w14:val="tx1"/>
            </w14:solidFill>
          </w14:textFill>
        </w:rPr>
      </w:pPr>
      <w:r>
        <w:rPr>
          <w:color w:val="000000" w:themeColor="text1"/>
          <w:sz w:val="36"/>
          <w:szCs w:val="36"/>
          <w14:textFill>
            <w14:solidFill>
              <w14:schemeClr w14:val="tx1"/>
            </w14:solidFill>
          </w14:textFill>
        </w:rPr>
        <w:t>中华人民共和国生态环境部制</w:t>
      </w:r>
    </w:p>
    <w:p>
      <w:pPr>
        <w:spacing w:line="360" w:lineRule="auto"/>
        <w:rPr>
          <w:color w:val="000000" w:themeColor="text1"/>
          <w:sz w:val="24"/>
          <w14:textFill>
            <w14:solidFill>
              <w14:schemeClr w14:val="tx1"/>
            </w14:solidFill>
          </w14:textFill>
        </w:rPr>
        <w:sectPr>
          <w:pgSz w:w="11906" w:h="16838"/>
          <w:pgMar w:top="1418" w:right="1418" w:bottom="1418" w:left="1418" w:header="851" w:footer="992" w:gutter="0"/>
          <w:cols w:space="425"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一、建设项目基本情况</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2591"/>
        <w:gridCol w:w="1976"/>
        <w:gridCol w:w="3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建设项目名称</w:t>
            </w:r>
          </w:p>
        </w:tc>
        <w:tc>
          <w:tcPr>
            <w:tcW w:w="4106" w:type="pct"/>
            <w:gridSpan w:val="3"/>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博罗县石湾镇富特塑胶五金厂建设项目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项目代码</w:t>
            </w:r>
          </w:p>
        </w:tc>
        <w:tc>
          <w:tcPr>
            <w:tcW w:w="4106" w:type="pct"/>
            <w:gridSpan w:val="3"/>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建设单位联系人</w:t>
            </w:r>
          </w:p>
        </w:tc>
        <w:tc>
          <w:tcPr>
            <w:tcW w:w="1395"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联系方式</w:t>
            </w:r>
          </w:p>
        </w:tc>
        <w:tc>
          <w:tcPr>
            <w:tcW w:w="1648"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建设地点</w:t>
            </w:r>
          </w:p>
        </w:tc>
        <w:tc>
          <w:tcPr>
            <w:tcW w:w="4106" w:type="pct"/>
            <w:gridSpan w:val="3"/>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u w:val="single"/>
                <w14:textFill>
                  <w14:solidFill>
                    <w14:schemeClr w14:val="tx1"/>
                  </w14:solidFill>
                </w14:textFill>
              </w:rPr>
              <w:t xml:space="preserve">广东  </w:t>
            </w:r>
            <w:r>
              <w:rPr>
                <w:color w:val="000000" w:themeColor="text1"/>
                <w:szCs w:val="21"/>
                <w14:textFill>
                  <w14:solidFill>
                    <w14:schemeClr w14:val="tx1"/>
                  </w14:solidFill>
                </w14:textFill>
              </w:rPr>
              <w:t>省（自治区）</w:t>
            </w:r>
            <w:r>
              <w:rPr>
                <w:color w:val="000000" w:themeColor="text1"/>
                <w:szCs w:val="21"/>
                <w:u w:val="single"/>
                <w14:textFill>
                  <w14:solidFill>
                    <w14:schemeClr w14:val="tx1"/>
                  </w14:solidFill>
                </w14:textFill>
              </w:rPr>
              <w:t xml:space="preserve">  惠州  </w:t>
            </w:r>
            <w:r>
              <w:rPr>
                <w:color w:val="000000" w:themeColor="text1"/>
                <w:szCs w:val="21"/>
                <w14:textFill>
                  <w14:solidFill>
                    <w14:schemeClr w14:val="tx1"/>
                  </w14:solidFill>
                </w14:textFill>
              </w:rPr>
              <w:t>市</w:t>
            </w:r>
            <w:r>
              <w:rPr>
                <w:color w:val="000000" w:themeColor="text1"/>
                <w:szCs w:val="21"/>
                <w:u w:val="single"/>
                <w14:textFill>
                  <w14:solidFill>
                    <w14:schemeClr w14:val="tx1"/>
                  </w14:solidFill>
                </w14:textFill>
              </w:rPr>
              <w:t xml:space="preserve">  博罗  </w:t>
            </w:r>
            <w:r>
              <w:rPr>
                <w:color w:val="000000" w:themeColor="text1"/>
                <w:szCs w:val="21"/>
                <w14:textFill>
                  <w14:solidFill>
                    <w14:schemeClr w14:val="tx1"/>
                  </w14:solidFill>
                </w14:textFill>
              </w:rPr>
              <w:t>县（区）</w:t>
            </w:r>
            <w:r>
              <w:rPr>
                <w:color w:val="000000" w:themeColor="text1"/>
                <w:szCs w:val="21"/>
                <w:u w:val="single"/>
                <w14:textFill>
                  <w14:solidFill>
                    <w14:schemeClr w14:val="tx1"/>
                  </w14:solidFill>
                </w14:textFill>
              </w:rPr>
              <w:t xml:space="preserve"> 石湾镇  </w:t>
            </w:r>
            <w:r>
              <w:rPr>
                <w:color w:val="000000" w:themeColor="text1"/>
                <w:szCs w:val="21"/>
                <w14:textFill>
                  <w14:solidFill>
                    <w14:schemeClr w14:val="tx1"/>
                  </w14:solidFill>
                </w14:textFill>
              </w:rPr>
              <w:t>乡（街道）</w:t>
            </w:r>
            <w:r>
              <w:rPr>
                <w:color w:val="000000" w:themeColor="text1"/>
                <w:szCs w:val="21"/>
                <w:u w:val="single"/>
                <w14:textFill>
                  <w14:solidFill>
                    <w14:schemeClr w14:val="tx1"/>
                  </w14:solidFill>
                </w14:textFill>
              </w:rPr>
              <w:t xml:space="preserve">  鸾岗大道南侧明月二路354号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地理坐标</w:t>
            </w:r>
          </w:p>
        </w:tc>
        <w:tc>
          <w:tcPr>
            <w:tcW w:w="4106" w:type="pct"/>
            <w:gridSpan w:val="3"/>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（E</w:t>
            </w:r>
            <w:r>
              <w:rPr>
                <w:color w:val="000000" w:themeColor="text1"/>
                <w:szCs w:val="21"/>
                <w:u w:val="single"/>
                <w14:textFill>
                  <w14:solidFill>
                    <w14:schemeClr w14:val="tx1"/>
                  </w14:solidFill>
                </w14:textFill>
              </w:rPr>
              <w:t xml:space="preserve"> 113 </w:t>
            </w:r>
            <w:r>
              <w:rPr>
                <w:color w:val="000000" w:themeColor="text1"/>
                <w:szCs w:val="21"/>
                <w14:textFill>
                  <w14:solidFill>
                    <w14:schemeClr w14:val="tx1"/>
                  </w14:solidFill>
                </w14:textFill>
              </w:rPr>
              <w:t>度</w:t>
            </w:r>
            <w:r>
              <w:rPr>
                <w:color w:val="000000" w:themeColor="text1"/>
                <w:szCs w:val="21"/>
                <w:u w:val="single"/>
                <w14:textFill>
                  <w14:solidFill>
                    <w14:schemeClr w14:val="tx1"/>
                  </w14:solidFill>
                </w14:textFill>
              </w:rPr>
              <w:t xml:space="preserve"> 53 </w:t>
            </w:r>
            <w:r>
              <w:rPr>
                <w:color w:val="000000" w:themeColor="text1"/>
                <w:szCs w:val="21"/>
                <w14:textFill>
                  <w14:solidFill>
                    <w14:schemeClr w14:val="tx1"/>
                  </w14:solidFill>
                </w14:textFill>
              </w:rPr>
              <w:t>分</w:t>
            </w:r>
            <w:r>
              <w:rPr>
                <w:color w:val="000000" w:themeColor="text1"/>
                <w:szCs w:val="21"/>
                <w:u w:val="single"/>
                <w14:textFill>
                  <w14:solidFill>
                    <w14:schemeClr w14:val="tx1"/>
                  </w14:solidFill>
                </w14:textFill>
              </w:rPr>
              <w:t xml:space="preserve"> 8.754 </w:t>
            </w:r>
            <w:r>
              <w:rPr>
                <w:color w:val="000000" w:themeColor="text1"/>
                <w:szCs w:val="21"/>
                <w14:textFill>
                  <w14:solidFill>
                    <w14:schemeClr w14:val="tx1"/>
                  </w14:solidFill>
                </w14:textFill>
              </w:rPr>
              <w:t>秒，N</w:t>
            </w:r>
            <w:r>
              <w:rPr>
                <w:color w:val="000000" w:themeColor="text1"/>
                <w:szCs w:val="21"/>
                <w:u w:val="single"/>
                <w14:textFill>
                  <w14:solidFill>
                    <w14:schemeClr w14:val="tx1"/>
                  </w14:solidFill>
                </w14:textFill>
              </w:rPr>
              <w:t xml:space="preserve"> 23 </w:t>
            </w:r>
            <w:r>
              <w:rPr>
                <w:color w:val="000000" w:themeColor="text1"/>
                <w:szCs w:val="21"/>
                <w14:textFill>
                  <w14:solidFill>
                    <w14:schemeClr w14:val="tx1"/>
                  </w14:solidFill>
                </w14:textFill>
              </w:rPr>
              <w:t>度</w:t>
            </w:r>
            <w:r>
              <w:rPr>
                <w:color w:val="000000" w:themeColor="text1"/>
                <w:szCs w:val="21"/>
                <w:u w:val="single"/>
                <w14:textFill>
                  <w14:solidFill>
                    <w14:schemeClr w14:val="tx1"/>
                  </w14:solidFill>
                </w14:textFill>
              </w:rPr>
              <w:t xml:space="preserve"> 9 </w:t>
            </w:r>
            <w:r>
              <w:rPr>
                <w:color w:val="000000" w:themeColor="text1"/>
                <w:szCs w:val="21"/>
                <w14:textFill>
                  <w14:solidFill>
                    <w14:schemeClr w14:val="tx1"/>
                  </w14:solidFill>
                </w14:textFill>
              </w:rPr>
              <w:t>分</w:t>
            </w:r>
            <w:r>
              <w:rPr>
                <w:color w:val="000000" w:themeColor="text1"/>
                <w:szCs w:val="21"/>
                <w:u w:val="single"/>
                <w14:textFill>
                  <w14:solidFill>
                    <w14:schemeClr w14:val="tx1"/>
                  </w14:solidFill>
                </w14:textFill>
              </w:rPr>
              <w:t xml:space="preserve"> 18.140 </w:t>
            </w:r>
            <w:r>
              <w:rPr>
                <w:color w:val="000000" w:themeColor="text1"/>
                <w:szCs w:val="21"/>
                <w14:textFill>
                  <w14:solidFill>
                    <w14:schemeClr w14:val="tx1"/>
                  </w14:solidFill>
                </w14:textFill>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国民经济</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139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C3872照明灯具制造和C2929塑料零件及其他塑料制品制造</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行业类别</w:t>
            </w:r>
          </w:p>
        </w:tc>
        <w:tc>
          <w:tcPr>
            <w:tcW w:w="16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kern w:val="21"/>
                <w14:textFill>
                  <w14:solidFill>
                    <w14:schemeClr w14:val="tx1"/>
                  </w14:solidFill>
                </w14:textFill>
              </w:rPr>
              <w:t>77照明器具制造和53塑料制品业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建设性质</w:t>
            </w:r>
          </w:p>
        </w:tc>
        <w:tc>
          <w:tcPr>
            <w:tcW w:w="1395" w:type="pct"/>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新建（迁建）</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改建</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扩建</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技术改造</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申报情形</w:t>
            </w:r>
          </w:p>
        </w:tc>
        <w:tc>
          <w:tcPr>
            <w:tcW w:w="1648" w:type="pct"/>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首次申报项目</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不予批准后再次申报项目</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超五年重新审核项目</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项目审批（核准/备案）部门（选填）</w:t>
            </w:r>
          </w:p>
        </w:tc>
        <w:tc>
          <w:tcPr>
            <w:tcW w:w="139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项目审批（核准/</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备案）文号（选填）</w:t>
            </w:r>
          </w:p>
        </w:tc>
        <w:tc>
          <w:tcPr>
            <w:tcW w:w="16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总投资（万元）</w:t>
            </w:r>
          </w:p>
        </w:tc>
        <w:tc>
          <w:tcPr>
            <w:tcW w:w="139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150.00</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环保投资（万元）</w:t>
            </w:r>
          </w:p>
        </w:tc>
        <w:tc>
          <w:tcPr>
            <w:tcW w:w="16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环保投资占比（%）</w:t>
            </w:r>
          </w:p>
        </w:tc>
        <w:tc>
          <w:tcPr>
            <w:tcW w:w="139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施工工期</w:t>
            </w:r>
          </w:p>
        </w:tc>
        <w:tc>
          <w:tcPr>
            <w:tcW w:w="16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是否开工建设</w:t>
            </w:r>
          </w:p>
        </w:tc>
        <w:tc>
          <w:tcPr>
            <w:tcW w:w="1395" w:type="pct"/>
            <w:vAlign w:val="center"/>
          </w:tcPr>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52"/>
            </w:r>
            <w:r>
              <w:rPr>
                <w:color w:val="000000" w:themeColor="text1"/>
                <w:szCs w:val="21"/>
                <w14:textFill>
                  <w14:solidFill>
                    <w14:schemeClr w14:val="tx1"/>
                  </w14:solidFill>
                </w14:textFill>
              </w:rPr>
              <w:t>否</w:t>
            </w:r>
          </w:p>
          <w:p>
            <w:pPr>
              <w:adjustRightInd w:val="0"/>
              <w:snapToGrid w:val="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sym w:font="Wingdings 2" w:char="00A3"/>
            </w:r>
            <w:r>
              <w:rPr>
                <w:color w:val="000000" w:themeColor="text1"/>
                <w:szCs w:val="21"/>
                <w14:textFill>
                  <w14:solidFill>
                    <w14:schemeClr w14:val="tx1"/>
                  </w14:solidFill>
                </w14:textFill>
              </w:rPr>
              <w:t>是：</w:t>
            </w:r>
            <w:r>
              <w:rPr>
                <w:color w:val="000000" w:themeColor="text1"/>
                <w:szCs w:val="21"/>
                <w:u w:val="single"/>
                <w14:textFill>
                  <w14:solidFill>
                    <w14:schemeClr w14:val="tx1"/>
                  </w14:solidFill>
                </w14:textFill>
              </w:rPr>
              <w:t xml:space="preserve">            </w:t>
            </w:r>
          </w:p>
        </w:tc>
        <w:tc>
          <w:tcPr>
            <w:tcW w:w="106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用地（用海）</w:t>
            </w:r>
          </w:p>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面积（m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w:t>
            </w:r>
          </w:p>
        </w:tc>
        <w:tc>
          <w:tcPr>
            <w:tcW w:w="16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2230.49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专项评价设置情况</w:t>
            </w:r>
          </w:p>
        </w:tc>
        <w:tc>
          <w:tcPr>
            <w:tcW w:w="4106" w:type="pct"/>
            <w:gridSpan w:val="3"/>
            <w:vAlign w:val="center"/>
          </w:tcPr>
          <w:p>
            <w:pPr>
              <w:adjustRightInd w:val="0"/>
              <w:snapToGrid w:val="0"/>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规划情况</w:t>
            </w:r>
          </w:p>
        </w:tc>
        <w:tc>
          <w:tcPr>
            <w:tcW w:w="4106" w:type="pct"/>
            <w:gridSpan w:val="3"/>
            <w:vAlign w:val="center"/>
          </w:tcPr>
          <w:p>
            <w:pPr>
              <w:adjustRightInd w:val="0"/>
              <w:snapToGrid w:val="0"/>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规划环境影响评价情况</w:t>
            </w:r>
          </w:p>
        </w:tc>
        <w:tc>
          <w:tcPr>
            <w:tcW w:w="4106" w:type="pct"/>
            <w:gridSpan w:val="3"/>
            <w:vAlign w:val="center"/>
          </w:tcPr>
          <w:p>
            <w:pPr>
              <w:adjustRightInd w:val="0"/>
              <w:snapToGrid w:val="0"/>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规划及规划环境影响评价符合性分析</w:t>
            </w:r>
          </w:p>
        </w:tc>
        <w:tc>
          <w:tcPr>
            <w:tcW w:w="4106" w:type="pct"/>
            <w:gridSpan w:val="3"/>
            <w:vAlign w:val="center"/>
          </w:tcPr>
          <w:p>
            <w:pPr>
              <w:adjustRightInd w:val="0"/>
              <w:snapToGrid w:val="0"/>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94" w:type="pct"/>
            <w:vAlign w:val="center"/>
          </w:tcPr>
          <w:p>
            <w:pPr>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其他符合性分析</w:t>
            </w:r>
          </w:p>
        </w:tc>
        <w:tc>
          <w:tcPr>
            <w:tcW w:w="4106" w:type="pct"/>
            <w:gridSpan w:val="3"/>
            <w:vAlign w:val="center"/>
          </w:tcPr>
          <w:p>
            <w:pPr>
              <w:numPr>
                <w:ilvl w:val="0"/>
                <w:numId w:val="2"/>
              </w:numPr>
              <w:spacing w:line="360" w:lineRule="auto"/>
              <w:ind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与三线一单的相符性分析</w:t>
            </w:r>
          </w:p>
          <w:p>
            <w:pPr>
              <w:pStyle w:val="67"/>
              <w:numPr>
                <w:ilvl w:val="0"/>
                <w:numId w:val="3"/>
              </w:numPr>
              <w:adjustRightInd w:val="0"/>
              <w:snapToGrid w:val="0"/>
              <w:spacing w:line="360" w:lineRule="auto"/>
              <w:ind w:left="0" w:firstLine="422"/>
              <w:rPr>
                <w:b/>
                <w:snapToGrid w:val="0"/>
                <w:color w:val="000000" w:themeColor="text1"/>
                <w:kern w:val="0"/>
                <w:szCs w:val="21"/>
                <w14:textFill>
                  <w14:solidFill>
                    <w14:schemeClr w14:val="tx1"/>
                  </w14:solidFill>
                </w14:textFill>
              </w:rPr>
            </w:pPr>
            <w:r>
              <w:rPr>
                <w:b/>
                <w:snapToGrid w:val="0"/>
                <w:color w:val="000000" w:themeColor="text1"/>
                <w:kern w:val="0"/>
                <w:szCs w:val="21"/>
                <w14:textFill>
                  <w14:solidFill>
                    <w14:schemeClr w14:val="tx1"/>
                  </w14:solidFill>
                </w14:textFill>
              </w:rPr>
              <w:t>与生态保护红线相符性分析</w:t>
            </w:r>
          </w:p>
          <w:p>
            <w:pPr>
              <w:adjustRightInd w:val="0"/>
              <w:snapToGrid w:val="0"/>
              <w:spacing w:line="360" w:lineRule="auto"/>
              <w:ind w:firstLine="420" w:firstLineChars="200"/>
              <w:rPr>
                <w:snapToGrid w:val="0"/>
                <w:color w:val="000000" w:themeColor="text1"/>
                <w:kern w:val="0"/>
                <w:szCs w:val="21"/>
                <w14:textFill>
                  <w14:solidFill>
                    <w14:schemeClr w14:val="tx1"/>
                  </w14:solidFill>
                </w14:textFill>
              </w:rPr>
            </w:pPr>
            <w:r>
              <w:rPr>
                <w:snapToGrid w:val="0"/>
                <w:color w:val="000000" w:themeColor="text1"/>
                <w:kern w:val="0"/>
                <w:szCs w:val="21"/>
                <w14:textFill>
                  <w14:solidFill>
                    <w14:schemeClr w14:val="tx1"/>
                  </w14:solidFill>
                </w14:textFill>
              </w:rPr>
              <w:t>根据《博罗县分类环境管控单元及环境准入负面清单》可知，项目属于</w:t>
            </w:r>
            <w:r>
              <w:rPr>
                <w:color w:val="000000" w:themeColor="text1"/>
                <w:szCs w:val="21"/>
                <w14:textFill>
                  <w14:solidFill>
                    <w14:schemeClr w14:val="tx1"/>
                  </w14:solidFill>
                </w14:textFill>
              </w:rPr>
              <w:t>“博罗沙河流域重点管控单元”，</w:t>
            </w:r>
            <w:r>
              <w:rPr>
                <w:bCs/>
                <w:iCs/>
                <w:color w:val="000000" w:themeColor="text1"/>
                <w:szCs w:val="21"/>
                <w14:textFill>
                  <w14:solidFill>
                    <w14:schemeClr w14:val="tx1"/>
                  </w14:solidFill>
                </w14:textFill>
              </w:rPr>
              <w:t>环境管控单元编码为</w:t>
            </w:r>
            <w:r>
              <w:rPr>
                <w:color w:val="000000" w:themeColor="text1"/>
                <w:szCs w:val="21"/>
                <w14:textFill>
                  <w14:solidFill>
                    <w14:schemeClr w14:val="tx1"/>
                  </w14:solidFill>
                </w14:textFill>
              </w:rPr>
              <w:t>ZH44132220001</w:t>
            </w:r>
            <w:r>
              <w:rPr>
                <w:snapToGrid w:val="0"/>
                <w:color w:val="000000" w:themeColor="text1"/>
                <w:kern w:val="0"/>
                <w:szCs w:val="21"/>
                <w14:textFill>
                  <w14:solidFill>
                    <w14:schemeClr w14:val="tx1"/>
                  </w14:solidFill>
                </w14:textFill>
              </w:rPr>
              <w:t>，</w:t>
            </w:r>
            <w:r>
              <w:rPr>
                <w:b/>
                <w:snapToGrid w:val="0"/>
                <w:color w:val="000000" w:themeColor="text1"/>
                <w:kern w:val="0"/>
                <w:szCs w:val="21"/>
                <w14:textFill>
                  <w14:solidFill>
                    <w14:schemeClr w14:val="tx1"/>
                  </w14:solidFill>
                </w14:textFill>
              </w:rPr>
              <w:t>见附图18</w:t>
            </w:r>
            <w:r>
              <w:rPr>
                <w:snapToGrid w:val="0"/>
                <w:color w:val="000000" w:themeColor="text1"/>
                <w:kern w:val="0"/>
                <w:szCs w:val="21"/>
                <w14:textFill>
                  <w14:solidFill>
                    <w14:schemeClr w14:val="tx1"/>
                  </w14:solidFill>
                </w14:textFill>
              </w:rPr>
              <w:t>。根据《博罗县“三线一单”生态环境分区管控图集》图7《博罗县生态空间最终划定情况》（</w:t>
            </w:r>
            <w:r>
              <w:rPr>
                <w:b/>
                <w:snapToGrid w:val="0"/>
                <w:color w:val="000000" w:themeColor="text1"/>
                <w:kern w:val="0"/>
                <w:szCs w:val="21"/>
                <w14:textFill>
                  <w14:solidFill>
                    <w14:schemeClr w14:val="tx1"/>
                  </w14:solidFill>
                </w14:textFill>
              </w:rPr>
              <w:t>见附图12</w:t>
            </w:r>
            <w:r>
              <w:rPr>
                <w:snapToGrid w:val="0"/>
                <w:color w:val="000000" w:themeColor="text1"/>
                <w:kern w:val="0"/>
                <w:szCs w:val="21"/>
                <w14:textFill>
                  <w14:solidFill>
                    <w14:schemeClr w14:val="tx1"/>
                  </w14:solidFill>
                </w14:textFill>
              </w:rPr>
              <w:t>），本项目不在生态保护红线范围内，满足重点管控单元管控措施及环境保护要求。</w:t>
            </w:r>
          </w:p>
          <w:p>
            <w:pPr>
              <w:pStyle w:val="67"/>
              <w:numPr>
                <w:ilvl w:val="0"/>
                <w:numId w:val="3"/>
              </w:numPr>
              <w:adjustRightInd w:val="0"/>
              <w:spacing w:line="360" w:lineRule="auto"/>
              <w:ind w:firstLineChars="0"/>
              <w:rPr>
                <w:b/>
                <w:snapToGrid w:val="0"/>
                <w:color w:val="000000" w:themeColor="text1"/>
                <w:kern w:val="0"/>
                <w:szCs w:val="21"/>
                <w14:textFill>
                  <w14:solidFill>
                    <w14:schemeClr w14:val="tx1"/>
                  </w14:solidFill>
                </w14:textFill>
              </w:rPr>
            </w:pPr>
            <w:r>
              <w:rPr>
                <w:b/>
                <w:snapToGrid w:val="0"/>
                <w:color w:val="000000" w:themeColor="text1"/>
                <w:kern w:val="0"/>
                <w:szCs w:val="21"/>
                <w14:textFill>
                  <w14:solidFill>
                    <w14:schemeClr w14:val="tx1"/>
                  </w14:solidFill>
                </w14:textFill>
              </w:rPr>
              <w:t>与环境质量底线相符性分析</w:t>
            </w:r>
          </w:p>
          <w:p>
            <w:pPr>
              <w:adjustRightInd w:val="0"/>
              <w:spacing w:line="360" w:lineRule="auto"/>
              <w:ind w:firstLine="420" w:firstLineChars="200"/>
              <w:rPr>
                <w:color w:val="000000" w:themeColor="text1"/>
                <w:szCs w:val="21"/>
                <w14:textFill>
                  <w14:solidFill>
                    <w14:schemeClr w14:val="tx1"/>
                  </w14:solidFill>
                </w14:textFill>
              </w:rPr>
            </w:pPr>
            <w:r>
              <w:rPr>
                <w:snapToGrid w:val="0"/>
                <w:color w:val="000000" w:themeColor="text1"/>
                <w:kern w:val="0"/>
                <w:szCs w:val="21"/>
                <w14:textFill>
                  <w14:solidFill>
                    <w14:schemeClr w14:val="tx1"/>
                  </w14:solidFill>
                </w14:textFill>
              </w:rPr>
              <w:t>根据《博罗县“三线一单”生态环境分区管控图集》图9《博罗县水环境管控单元细化情况及对应监测断面》</w:t>
            </w:r>
            <w:r>
              <w:rPr>
                <w:snapToGrid w:val="0"/>
                <w:kern w:val="0"/>
                <w:szCs w:val="21"/>
              </w:rPr>
              <w:t>和</w:t>
            </w:r>
            <w:r>
              <w:rPr>
                <w:snapToGrid w:val="0"/>
                <w:color w:val="FF0000"/>
                <w:kern w:val="0"/>
                <w:szCs w:val="21"/>
              </w:rPr>
              <w:t>图10《博罗县水环境质量底线管控分区划定情况》</w:t>
            </w:r>
            <w:r>
              <w:rPr>
                <w:snapToGrid w:val="0"/>
                <w:color w:val="000000" w:themeColor="text1"/>
                <w:kern w:val="0"/>
                <w:szCs w:val="21"/>
                <w14:textFill>
                  <w14:solidFill>
                    <w14:schemeClr w14:val="tx1"/>
                  </w14:solidFill>
                </w14:textFill>
              </w:rPr>
              <w:t>（</w:t>
            </w:r>
            <w:r>
              <w:rPr>
                <w:b/>
                <w:snapToGrid w:val="0"/>
                <w:color w:val="000000" w:themeColor="text1"/>
                <w:kern w:val="0"/>
                <w:szCs w:val="21"/>
                <w14:textFill>
                  <w14:solidFill>
                    <w14:schemeClr w14:val="tx1"/>
                  </w14:solidFill>
                </w14:textFill>
              </w:rPr>
              <w:t>见附图13</w:t>
            </w:r>
            <w:r>
              <w:rPr>
                <w:snapToGrid w:val="0"/>
                <w:color w:val="000000" w:themeColor="text1"/>
                <w:kern w:val="0"/>
                <w:szCs w:val="21"/>
                <w14:textFill>
                  <w14:solidFill>
                    <w14:schemeClr w14:val="tx1"/>
                  </w14:solidFill>
                </w14:textFill>
              </w:rPr>
              <w:t>），本项目位于中心排渠惠州市石湾镇控制单元内和水环境生活污染重点管控区内，</w:t>
            </w:r>
            <w:r>
              <w:rPr>
                <w:color w:val="000000" w:themeColor="text1"/>
                <w:kern w:val="1"/>
                <w:szCs w:val="21"/>
                <w14:textFill>
                  <w14:solidFill>
                    <w14:schemeClr w14:val="tx1"/>
                  </w14:solidFill>
                </w14:textFill>
              </w:rPr>
              <w:t>根据</w:t>
            </w:r>
            <w:r>
              <w:rPr>
                <w:color w:val="000000" w:themeColor="text1"/>
                <w:szCs w:val="21"/>
                <w14:textFill>
                  <w14:solidFill>
                    <w14:schemeClr w14:val="tx1"/>
                  </w14:solidFill>
                </w14:textFill>
              </w:rPr>
              <w:t>监测结果表明，中心排渠未能达到《地表水环境质量标准》（GB3838-2002）的</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类标准，中心排渠水质环境质量现状较差</w:t>
            </w:r>
            <w:r>
              <w:rPr>
                <w:color w:val="000000" w:themeColor="text1"/>
                <w:kern w:val="1"/>
                <w:szCs w:val="21"/>
                <w14:textFill>
                  <w14:solidFill>
                    <w14:schemeClr w14:val="tx1"/>
                  </w14:solidFill>
                </w14:textFill>
              </w:rPr>
              <w:t>。本项目无工业废水排放，项目所在区域为</w:t>
            </w:r>
            <w:r>
              <w:rPr>
                <w:color w:val="000000" w:themeColor="text1"/>
                <w14:textFill>
                  <w14:solidFill>
                    <w14:schemeClr w14:val="tx1"/>
                  </w14:solidFill>
                </w14:textFill>
              </w:rPr>
              <w:t>博罗县石湾镇西基生活污水处理厂纳污范围</w:t>
            </w:r>
            <w:r>
              <w:rPr>
                <w:color w:val="000000" w:themeColor="text1"/>
                <w:kern w:val="1"/>
                <w:szCs w:val="21"/>
                <w14:textFill>
                  <w14:solidFill>
                    <w14:schemeClr w14:val="tx1"/>
                  </w14:solidFill>
                </w14:textFill>
              </w:rPr>
              <w:t>，</w:t>
            </w:r>
            <w:r>
              <w:rPr>
                <w:color w:val="000000" w:themeColor="text1"/>
                <w:szCs w:val="21"/>
                <w:lang w:bidi="ar"/>
                <w14:textFill>
                  <w14:solidFill>
                    <w14:schemeClr w14:val="tx1"/>
                  </w14:solidFill>
                </w14:textFill>
              </w:rPr>
              <w:t>员工生活污水经三级化粪池预处理后通过市政纳污管网排入</w:t>
            </w:r>
            <w:r>
              <w:rPr>
                <w:color w:val="000000" w:themeColor="text1"/>
                <w14:textFill>
                  <w14:solidFill>
                    <w14:schemeClr w14:val="tx1"/>
                  </w14:solidFill>
                </w14:textFill>
              </w:rPr>
              <w:t>博罗县石湾镇西基生活污水处理厂进一步处理</w:t>
            </w:r>
            <w:r>
              <w:rPr>
                <w:color w:val="000000" w:themeColor="text1"/>
                <w:kern w:val="1"/>
                <w:szCs w:val="21"/>
                <w14:textFill>
                  <w14:solidFill>
                    <w14:schemeClr w14:val="tx1"/>
                  </w14:solidFill>
                </w14:textFill>
              </w:rPr>
              <w:t>，在严格落实各项污染防治措施的前提下，本项目的建设对周边环境影响较小，建成后不会突破当地环境质量底线。</w:t>
            </w:r>
          </w:p>
          <w:p>
            <w:pPr>
              <w:adjustRightInd w:val="0"/>
              <w:spacing w:line="360" w:lineRule="auto"/>
              <w:ind w:firstLine="420" w:firstLineChars="200"/>
              <w:rPr>
                <w:snapToGrid w:val="0"/>
                <w:color w:val="000000" w:themeColor="text1"/>
                <w:kern w:val="0"/>
                <w:szCs w:val="21"/>
                <w14:textFill>
                  <w14:solidFill>
                    <w14:schemeClr w14:val="tx1"/>
                  </w14:solidFill>
                </w14:textFill>
              </w:rPr>
            </w:pPr>
            <w:r>
              <w:rPr>
                <w:snapToGrid w:val="0"/>
                <w:color w:val="000000" w:themeColor="text1"/>
                <w:kern w:val="0"/>
                <w:szCs w:val="21"/>
                <w14:textFill>
                  <w14:solidFill>
                    <w14:schemeClr w14:val="tx1"/>
                  </w14:solidFill>
                </w14:textFill>
              </w:rPr>
              <w:t>根据《博罗县“三线一单”生态环境分区管控图集》图14《博罗县大气环境质量底线管控分区划定情况》（</w:t>
            </w:r>
            <w:r>
              <w:rPr>
                <w:b/>
                <w:snapToGrid w:val="0"/>
                <w:color w:val="000000" w:themeColor="text1"/>
                <w:kern w:val="0"/>
                <w:szCs w:val="21"/>
                <w14:textFill>
                  <w14:solidFill>
                    <w14:schemeClr w14:val="tx1"/>
                  </w14:solidFill>
                </w14:textFill>
              </w:rPr>
              <w:t>见附图14</w:t>
            </w:r>
            <w:r>
              <w:rPr>
                <w:snapToGrid w:val="0"/>
                <w:color w:val="000000" w:themeColor="text1"/>
                <w:kern w:val="0"/>
                <w:szCs w:val="21"/>
                <w14:textFill>
                  <w14:solidFill>
                    <w14:schemeClr w14:val="tx1"/>
                  </w14:solidFill>
                </w14:textFill>
              </w:rPr>
              <w:t>），本项目所在区域属于大气环境高排放重点管控区，</w:t>
            </w:r>
            <w:r>
              <w:rPr>
                <w:color w:val="000000" w:themeColor="text1"/>
                <w:kern w:val="1"/>
                <w:szCs w:val="21"/>
                <w14:textFill>
                  <w14:solidFill>
                    <w14:schemeClr w14:val="tx1"/>
                  </w14:solidFill>
                </w14:textFill>
              </w:rPr>
              <w:t>根据2021年惠州市环境质量公报和监测数据可知，项目所在区域大气能够满足相应功能区划要求，特征因子监测结果表明，</w:t>
            </w:r>
            <w:r>
              <w:rPr>
                <w:color w:val="000000" w:themeColor="text1"/>
                <w:szCs w:val="21"/>
                <w14:textFill>
                  <w14:solidFill>
                    <w14:schemeClr w14:val="tx1"/>
                  </w14:solidFill>
                </w14:textFill>
              </w:rPr>
              <w:t>特征因子</w:t>
            </w:r>
            <w:r>
              <w:rPr>
                <w:bCs/>
                <w:color w:val="000000" w:themeColor="text1"/>
                <w:spacing w:val="4"/>
                <w:kern w:val="18"/>
                <w:szCs w:val="21"/>
                <w14:textFill>
                  <w14:solidFill>
                    <w14:schemeClr w14:val="tx1"/>
                  </w14:solidFill>
                </w14:textFill>
              </w:rPr>
              <w:t>TVOC可以达到《环境影响评价技术导则大气环境》（HJ2.2-2018）附录D.1其他污染物空气质量浓度参考限值，</w:t>
            </w:r>
            <w:r>
              <w:rPr>
                <w:color w:val="000000" w:themeColor="text1"/>
                <w:szCs w:val="21"/>
                <w14:textFill>
                  <w14:solidFill>
                    <w14:schemeClr w14:val="tx1"/>
                  </w14:solidFill>
                </w14:textFill>
              </w:rPr>
              <w:t>项目注塑工序产生的有机废气通过两级活性炭处理后达标排放</w:t>
            </w:r>
            <w:r>
              <w:rPr>
                <w:color w:val="000000" w:themeColor="text1"/>
                <w:kern w:val="1"/>
                <w:szCs w:val="21"/>
                <w14:textFill>
                  <w14:solidFill>
                    <w14:schemeClr w14:val="tx1"/>
                  </w14:solidFill>
                </w14:textFill>
              </w:rPr>
              <w:t>，符合文件要求的</w:t>
            </w:r>
            <w:r>
              <w:rPr>
                <w:color w:val="000000" w:themeColor="text1"/>
                <w:szCs w:val="21"/>
                <w14:textFill>
                  <w14:solidFill>
                    <w14:schemeClr w14:val="tx1"/>
                  </w14:solidFill>
                </w14:textFill>
              </w:rPr>
              <w:t>强化达标监管</w:t>
            </w:r>
            <w:r>
              <w:rPr>
                <w:snapToGrid w:val="0"/>
                <w:color w:val="000000" w:themeColor="text1"/>
                <w:kern w:val="0"/>
                <w:szCs w:val="21"/>
                <w14:textFill>
                  <w14:solidFill>
                    <w14:schemeClr w14:val="tx1"/>
                  </w14:solidFill>
                </w14:textFill>
              </w:rPr>
              <w:t>。</w:t>
            </w:r>
          </w:p>
          <w:p>
            <w:pPr>
              <w:adjustRightInd w:val="0"/>
              <w:spacing w:line="360" w:lineRule="auto"/>
              <w:ind w:firstLine="420" w:firstLineChars="200"/>
              <w:rPr>
                <w:color w:val="000000" w:themeColor="text1"/>
                <w:kern w:val="1"/>
                <w:szCs w:val="21"/>
                <w14:textFill>
                  <w14:solidFill>
                    <w14:schemeClr w14:val="tx1"/>
                  </w14:solidFill>
                </w14:textFill>
              </w:rPr>
            </w:pPr>
            <w:r>
              <w:rPr>
                <w:snapToGrid w:val="0"/>
                <w:color w:val="000000" w:themeColor="text1"/>
                <w:kern w:val="0"/>
                <w:szCs w:val="21"/>
                <w14:textFill>
                  <w14:solidFill>
                    <w14:schemeClr w14:val="tx1"/>
                  </w14:solidFill>
                </w14:textFill>
              </w:rPr>
              <w:t>根据《博罗县“三线一单”生态环境分区管控图集》图1</w:t>
            </w:r>
            <w:r>
              <w:rPr>
                <w:color w:val="000000" w:themeColor="text1"/>
                <w:kern w:val="1"/>
                <w:szCs w:val="21"/>
                <w14:textFill>
                  <w14:solidFill>
                    <w14:schemeClr w14:val="tx1"/>
                  </w14:solidFill>
                </w14:textFill>
              </w:rPr>
              <w:t>5《博罗县建设用地土壤管控分区划定情况》</w:t>
            </w:r>
            <w:r>
              <w:rPr>
                <w:snapToGrid w:val="0"/>
                <w:color w:val="000000" w:themeColor="text1"/>
                <w:kern w:val="0"/>
                <w:szCs w:val="21"/>
                <w14:textFill>
                  <w14:solidFill>
                    <w14:schemeClr w14:val="tx1"/>
                  </w14:solidFill>
                </w14:textFill>
              </w:rPr>
              <w:t>（</w:t>
            </w:r>
            <w:r>
              <w:rPr>
                <w:b/>
                <w:snapToGrid w:val="0"/>
                <w:color w:val="000000" w:themeColor="text1"/>
                <w:kern w:val="0"/>
                <w:szCs w:val="21"/>
                <w14:textFill>
                  <w14:solidFill>
                    <w14:schemeClr w14:val="tx1"/>
                  </w14:solidFill>
                </w14:textFill>
              </w:rPr>
              <w:t>见附图15</w:t>
            </w:r>
            <w:r>
              <w:rPr>
                <w:snapToGrid w:val="0"/>
                <w:color w:val="000000" w:themeColor="text1"/>
                <w:kern w:val="0"/>
                <w:szCs w:val="21"/>
                <w14:textFill>
                  <w14:solidFill>
                    <w14:schemeClr w14:val="tx1"/>
                  </w14:solidFill>
                </w14:textFill>
              </w:rPr>
              <w:t>），本项目位于博罗县土壤环境一般管控区（不含农用地），项目不排放重金属污染物，符合文件要求。</w:t>
            </w:r>
          </w:p>
          <w:p>
            <w:pPr>
              <w:adjustRightInd w:val="0"/>
              <w:snapToGrid w:val="0"/>
              <w:spacing w:line="360" w:lineRule="auto"/>
              <w:ind w:left="482"/>
              <w:rPr>
                <w:b/>
                <w:snapToGrid w:val="0"/>
                <w:kern w:val="0"/>
                <w:szCs w:val="21"/>
              </w:rPr>
            </w:pPr>
            <w:r>
              <w:rPr>
                <w:rFonts w:hint="eastAsia" w:ascii="宋体" w:hAnsi="宋体" w:cs="宋体"/>
                <w:b/>
                <w:snapToGrid w:val="0"/>
                <w:kern w:val="0"/>
                <w:szCs w:val="21"/>
                <w:highlight w:val="lightGray"/>
              </w:rPr>
              <w:t>③</w:t>
            </w:r>
            <w:r>
              <w:rPr>
                <w:b/>
                <w:snapToGrid w:val="0"/>
                <w:kern w:val="0"/>
                <w:szCs w:val="21"/>
              </w:rPr>
              <w:t>与资源利用上线相符性分析</w:t>
            </w:r>
          </w:p>
          <w:p>
            <w:pPr>
              <w:widowControl/>
              <w:adjustRightInd w:val="0"/>
              <w:snapToGrid w:val="0"/>
              <w:spacing w:line="360" w:lineRule="auto"/>
              <w:ind w:firstLine="420" w:firstLineChars="200"/>
              <w:rPr>
                <w:szCs w:val="21"/>
              </w:rPr>
            </w:pPr>
            <w:r>
              <w:rPr>
                <w:szCs w:val="21"/>
              </w:rPr>
              <w:t>A、土地资源</w:t>
            </w:r>
          </w:p>
          <w:p>
            <w:pPr>
              <w:widowControl/>
              <w:adjustRightInd w:val="0"/>
              <w:snapToGrid w:val="0"/>
              <w:spacing w:line="360" w:lineRule="auto"/>
              <w:ind w:firstLine="420" w:firstLineChars="200"/>
              <w:rPr>
                <w:snapToGrid w:val="0"/>
                <w:kern w:val="0"/>
                <w:szCs w:val="21"/>
              </w:rPr>
            </w:pPr>
            <w:r>
              <w:rPr>
                <w:szCs w:val="21"/>
              </w:rPr>
              <w:t>对于土地资源分区，将土地资源划分为优先保护区、重点管控区和一般管控区。</w:t>
            </w:r>
            <w:r>
              <w:rPr>
                <w:snapToGrid w:val="0"/>
                <w:kern w:val="0"/>
                <w:szCs w:val="21"/>
              </w:rPr>
              <w:t>根据《博罗县“三线一单”生态环境分区管控图集》图1</w:t>
            </w:r>
            <w:r>
              <w:rPr>
                <w:kern w:val="1"/>
                <w:szCs w:val="21"/>
              </w:rPr>
              <w:t>5《博罗县建设用地土壤管控分区划定情况》</w:t>
            </w:r>
            <w:r>
              <w:rPr>
                <w:snapToGrid w:val="0"/>
                <w:kern w:val="0"/>
                <w:szCs w:val="21"/>
              </w:rPr>
              <w:t>（</w:t>
            </w:r>
            <w:r>
              <w:rPr>
                <w:b/>
                <w:snapToGrid w:val="0"/>
                <w:kern w:val="0"/>
                <w:szCs w:val="21"/>
              </w:rPr>
              <w:t>见附图15</w:t>
            </w:r>
            <w:r>
              <w:rPr>
                <w:snapToGrid w:val="0"/>
                <w:kern w:val="0"/>
                <w:szCs w:val="21"/>
              </w:rPr>
              <w:t>）</w:t>
            </w:r>
            <w:r>
              <w:rPr>
                <w:szCs w:val="21"/>
              </w:rPr>
              <w:t>，本项目所在区域位于一般管控区</w:t>
            </w:r>
            <w:r>
              <w:rPr>
                <w:snapToGrid w:val="0"/>
                <w:kern w:val="0"/>
                <w:szCs w:val="21"/>
              </w:rPr>
              <w:t>。</w:t>
            </w:r>
          </w:p>
          <w:p>
            <w:pPr>
              <w:widowControl/>
              <w:adjustRightInd w:val="0"/>
              <w:snapToGrid w:val="0"/>
              <w:spacing w:line="360" w:lineRule="auto"/>
              <w:ind w:firstLine="420" w:firstLineChars="200"/>
              <w:rPr>
                <w:kern w:val="0"/>
                <w:szCs w:val="21"/>
              </w:rPr>
            </w:pPr>
            <w:r>
              <w:rPr>
                <w:kern w:val="0"/>
                <w:szCs w:val="21"/>
              </w:rPr>
              <w:t xml:space="preserve">根据《中华人民共和国土壤污染防治法》 、《广东省环境保护条例》、《土 壤污染防治行动计划》、《惠州市土壤污染防治行动计划工作方案》、《惠州市实施〈广东省重金属污染综合防治“十三五”规划〉工作方案》等法律法规、规 划和文件的相关要求，并结合惠州实际，编制博罗县土壤环境风险管控分区管控要求，其中总体要求如下： </w:t>
            </w:r>
          </w:p>
          <w:p>
            <w:pPr>
              <w:widowControl/>
              <w:adjustRightInd w:val="0"/>
              <w:snapToGrid w:val="0"/>
              <w:spacing w:line="360" w:lineRule="auto"/>
              <w:ind w:firstLine="420" w:firstLineChars="200"/>
              <w:rPr>
                <w:kern w:val="0"/>
                <w:szCs w:val="21"/>
              </w:rPr>
            </w:pPr>
            <w:r>
              <w:rPr>
                <w:kern w:val="0"/>
                <w:szCs w:val="21"/>
              </w:rPr>
              <w:t xml:space="preserve">严格控制新增重金属污染物排放。继续严格实施重金属污染防治分区防控策 略，禁止在重点防控区内新建、改建、扩建增加重金属污染物排放总量的建设项 目。重金属污染防控非重点区新建、改扩建重金属排放项目，应落实重金属总量 替代与削减要求，严格控制重点行业发展规模。强化涉重金属污染行业建设项目 环评审批管理，严格执行环保“三同时”制度。 </w:t>
            </w:r>
          </w:p>
          <w:p>
            <w:pPr>
              <w:widowControl/>
              <w:adjustRightInd w:val="0"/>
              <w:snapToGrid w:val="0"/>
              <w:spacing w:line="360" w:lineRule="auto"/>
              <w:ind w:firstLine="420" w:firstLineChars="200"/>
              <w:rPr>
                <w:kern w:val="0"/>
                <w:szCs w:val="21"/>
              </w:rPr>
            </w:pPr>
            <w:r>
              <w:rPr>
                <w:kern w:val="0"/>
                <w:szCs w:val="21"/>
              </w:rPr>
              <w:t xml:space="preserve">强化土壤环境风险管控。实施农用地分类管理，保障农产品质量安全。严格 控制在优先保护类耕地集中区域新建涉环境污染重点行业企业、污水处理厂、垃 圾填埋场、垃圾焚烧厂及污染处理处置设施等公用设施。强化建设用地风险管控， 防范人居环境风险。规范受污染建设用地再开发。 </w:t>
            </w:r>
          </w:p>
          <w:p>
            <w:pPr>
              <w:widowControl/>
              <w:adjustRightInd w:val="0"/>
              <w:snapToGrid w:val="0"/>
              <w:spacing w:line="360" w:lineRule="auto"/>
              <w:ind w:firstLine="420" w:firstLineChars="200"/>
              <w:rPr>
                <w:kern w:val="0"/>
                <w:szCs w:val="21"/>
              </w:rPr>
            </w:pPr>
            <w:r>
              <w:rPr>
                <w:kern w:val="0"/>
                <w:szCs w:val="21"/>
              </w:rPr>
              <w:t>强化重金属风险管控。加强涉重金属污染源环境风险管控。强化涉重危险废 物安全处理处置。加强污染地块风险管控，建立污染地块清单，实施污染地块分类管理，强化污染场地开发利用环境管理</w:t>
            </w:r>
          </w:p>
          <w:p>
            <w:pPr>
              <w:widowControl/>
              <w:adjustRightInd w:val="0"/>
              <w:snapToGrid w:val="0"/>
              <w:spacing w:line="360" w:lineRule="auto"/>
              <w:ind w:firstLine="420" w:firstLineChars="200"/>
              <w:rPr>
                <w:szCs w:val="21"/>
              </w:rPr>
            </w:pPr>
            <w:r>
              <w:rPr>
                <w:szCs w:val="21"/>
              </w:rPr>
              <w:t>符合性分析：项目不涉及重金属的排放，不</w:t>
            </w:r>
            <w:r>
              <w:rPr>
                <w:kern w:val="0"/>
                <w:szCs w:val="21"/>
              </w:rPr>
              <w:t>在优先保护类耕地集中区域。</w:t>
            </w:r>
          </w:p>
          <w:p>
            <w:pPr>
              <w:widowControl/>
              <w:adjustRightInd w:val="0"/>
              <w:snapToGrid w:val="0"/>
              <w:spacing w:line="360" w:lineRule="auto"/>
              <w:ind w:firstLine="420" w:firstLineChars="200"/>
              <w:rPr>
                <w:szCs w:val="21"/>
              </w:rPr>
            </w:pPr>
            <w:r>
              <w:rPr>
                <w:szCs w:val="21"/>
              </w:rPr>
              <w:t>B、高污染燃烧禁燃区</w:t>
            </w:r>
          </w:p>
          <w:p>
            <w:pPr>
              <w:widowControl/>
              <w:adjustRightInd w:val="0"/>
              <w:snapToGrid w:val="0"/>
              <w:spacing w:line="360" w:lineRule="auto"/>
              <w:ind w:firstLine="420" w:firstLineChars="200"/>
              <w:rPr>
                <w:szCs w:val="21"/>
              </w:rPr>
            </w:pPr>
            <w:r>
              <w:rPr>
                <w:szCs w:val="21"/>
              </w:rPr>
              <w:t>将《惠州市人民政府关于重新划定惠州市高污染燃料禁燃区的通告》（惠府 2018〕2 号）文件中</w:t>
            </w:r>
            <w:r>
              <w:rPr>
                <w:rFonts w:hint="eastAsia" w:ascii="宋体" w:hAnsi="宋体" w:cs="宋体"/>
                <w:szCs w:val="21"/>
              </w:rPr>
              <w:t>Ⅲ</w:t>
            </w:r>
            <w:r>
              <w:rPr>
                <w:szCs w:val="21"/>
              </w:rPr>
              <w:t>类管控燃料控制区划入高污染燃料禁燃区，根据《博罗县“三线一单”生态环境分区管控图集》图18《博罗县资源利用上线——高污染燃料禁燃区划定情况》</w:t>
            </w:r>
            <w:r>
              <w:rPr>
                <w:snapToGrid w:val="0"/>
                <w:kern w:val="0"/>
                <w:szCs w:val="21"/>
              </w:rPr>
              <w:t>（</w:t>
            </w:r>
            <w:r>
              <w:rPr>
                <w:b/>
                <w:snapToGrid w:val="0"/>
                <w:kern w:val="0"/>
                <w:szCs w:val="21"/>
              </w:rPr>
              <w:t>见附图16</w:t>
            </w:r>
            <w:r>
              <w:rPr>
                <w:snapToGrid w:val="0"/>
                <w:kern w:val="0"/>
                <w:szCs w:val="21"/>
              </w:rPr>
              <w:t>）</w:t>
            </w:r>
            <w:r>
              <w:rPr>
                <w:szCs w:val="21"/>
              </w:rPr>
              <w:t>本项目不位于高污染燃烧禁燃区。</w:t>
            </w:r>
          </w:p>
          <w:p>
            <w:pPr>
              <w:widowControl/>
              <w:adjustRightInd w:val="0"/>
              <w:snapToGrid w:val="0"/>
              <w:spacing w:line="360" w:lineRule="auto"/>
              <w:ind w:firstLine="420" w:firstLineChars="200"/>
              <w:rPr>
                <w:szCs w:val="21"/>
              </w:rPr>
            </w:pPr>
            <w:r>
              <w:rPr>
                <w:szCs w:val="21"/>
              </w:rPr>
              <w:t>C、矿产资源</w:t>
            </w:r>
          </w:p>
          <w:p>
            <w:pPr>
              <w:widowControl/>
              <w:adjustRightInd w:val="0"/>
              <w:snapToGrid w:val="0"/>
              <w:spacing w:line="360" w:lineRule="auto"/>
              <w:ind w:firstLine="420" w:firstLineChars="200"/>
              <w:rPr>
                <w:szCs w:val="21"/>
              </w:rPr>
            </w:pPr>
            <w:r>
              <w:rPr>
                <w:szCs w:val="21"/>
              </w:rPr>
              <w:t>对于矿产资源管控分区，衔接省市矿产资源总体规划中勘查及开采规划分区，划分优先保护区、重点管控区和一般管控区 3 类分区。</w:t>
            </w:r>
            <w:r>
              <w:rPr>
                <w:kern w:val="0"/>
                <w:szCs w:val="21"/>
              </w:rPr>
              <w:t>其中，将生态保护红线和 县级以上禁止开发区域叠加形成矿产资源开采敏感区，作为优先保护区；将重点勘查区中的连片山区（结合地类斑块进行边界落地）和重点矿区作为重点管控区；其他区域为一般管控区。博罗县划定为优先保护区和一般管控区 2 类。</w:t>
            </w:r>
            <w:r>
              <w:rPr>
                <w:szCs w:val="21"/>
              </w:rPr>
              <w:t>根据《博罗县“三线一单”生态环境分区管控图集》图17《博罗县资源利用上线——矿产资源开发敏感区划定情况》</w:t>
            </w:r>
            <w:r>
              <w:rPr>
                <w:snapToGrid w:val="0"/>
                <w:kern w:val="0"/>
                <w:szCs w:val="21"/>
              </w:rPr>
              <w:t>（</w:t>
            </w:r>
            <w:r>
              <w:rPr>
                <w:b/>
                <w:snapToGrid w:val="0"/>
                <w:kern w:val="0"/>
                <w:szCs w:val="21"/>
              </w:rPr>
              <w:t>见附图17</w:t>
            </w:r>
            <w:r>
              <w:rPr>
                <w:snapToGrid w:val="0"/>
                <w:kern w:val="0"/>
                <w:szCs w:val="21"/>
              </w:rPr>
              <w:t>）</w:t>
            </w:r>
            <w:r>
              <w:rPr>
                <w:szCs w:val="21"/>
              </w:rPr>
              <w:t>，本项目不在博罗县矿产资源开采敏感区内。</w:t>
            </w:r>
          </w:p>
          <w:p>
            <w:pPr>
              <w:adjustRightInd w:val="0"/>
              <w:spacing w:line="360" w:lineRule="auto"/>
              <w:ind w:firstLine="420" w:firstLineChars="200"/>
              <w:rPr>
                <w:szCs w:val="21"/>
              </w:rPr>
            </w:pPr>
            <w:r>
              <w:rPr>
                <w:szCs w:val="21"/>
              </w:rPr>
              <w:t>本项目生产过程中所用的资源主要为水、电资源，不属于高水耗、高能耗的产业。项目运营期消耗一定量的水资源、电能，由当地市政供水和供电，区域水电资源较为充足，项目消耗量没有超出资源负荷，不超出资源利用上线。</w:t>
            </w:r>
          </w:p>
          <w:p>
            <w:pPr>
              <w:adjustRightInd w:val="0"/>
              <w:spacing w:line="360" w:lineRule="auto"/>
              <w:ind w:firstLine="422" w:firstLineChars="200"/>
              <w:rPr>
                <w:b/>
                <w:snapToGrid w:val="0"/>
                <w:color w:val="000000" w:themeColor="text1"/>
                <w:kern w:val="0"/>
                <w:szCs w:val="21"/>
                <w14:textFill>
                  <w14:solidFill>
                    <w14:schemeClr w14:val="tx1"/>
                  </w14:solidFill>
                </w14:textFill>
              </w:rPr>
            </w:pPr>
            <w:r>
              <w:rPr>
                <w:rFonts w:hint="eastAsia" w:ascii="宋体" w:hAnsi="宋体" w:cs="宋体"/>
                <w:b/>
                <w:snapToGrid w:val="0"/>
                <w:color w:val="000000" w:themeColor="text1"/>
                <w:kern w:val="0"/>
                <w:szCs w:val="21"/>
                <w14:textFill>
                  <w14:solidFill>
                    <w14:schemeClr w14:val="tx1"/>
                  </w14:solidFill>
                </w14:textFill>
              </w:rPr>
              <w:t>④</w:t>
            </w:r>
            <w:r>
              <w:rPr>
                <w:b/>
                <w:snapToGrid w:val="0"/>
                <w:color w:val="000000" w:themeColor="text1"/>
                <w:kern w:val="0"/>
                <w:szCs w:val="21"/>
                <w14:textFill>
                  <w14:solidFill>
                    <w14:schemeClr w14:val="tx1"/>
                  </w14:solidFill>
                </w14:textFill>
              </w:rPr>
              <w:t>与生态环境准入清单的相符性分析</w:t>
            </w:r>
          </w:p>
          <w:p>
            <w:pPr>
              <w:pStyle w:val="25"/>
              <w:shd w:val="clear" w:color="auto" w:fill="FFFFFF"/>
              <w:adjustRightInd w:val="0"/>
              <w:snapToGrid w:val="0"/>
              <w:spacing w:before="0" w:beforeAutospacing="0" w:after="0" w:afterAutospacing="0" w:line="360" w:lineRule="auto"/>
              <w:ind w:firstLine="420" w:firstLineChars="200"/>
              <w:rPr>
                <w:color w:val="000000" w:themeColor="text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项目位于惠州市博罗县石湾镇鸾岗大道南侧明月二路354号，</w:t>
            </w:r>
            <w:r>
              <w:rPr>
                <w:rFonts w:ascii="Times New Roman" w:hAnsi="Times New Roman"/>
                <w:snapToGrid w:val="0"/>
                <w:color w:val="000000" w:themeColor="text1"/>
                <w:sz w:val="21"/>
                <w:szCs w:val="21"/>
                <w14:textFill>
                  <w14:solidFill>
                    <w14:schemeClr w14:val="tx1"/>
                  </w14:solidFill>
                </w14:textFill>
              </w:rPr>
              <w:t>根据《博罗县分类环境管控单元及环境准入负面清单》可知，项目属于</w:t>
            </w:r>
            <w:r>
              <w:rPr>
                <w:rFonts w:ascii="Times New Roman" w:hAnsi="Times New Roman"/>
                <w:color w:val="000000" w:themeColor="text1"/>
                <w:sz w:val="21"/>
                <w:szCs w:val="21"/>
                <w14:textFill>
                  <w14:solidFill>
                    <w14:schemeClr w14:val="tx1"/>
                  </w14:solidFill>
                </w14:textFill>
              </w:rPr>
              <w:t>“博罗沙河流域重点管控单元”，</w:t>
            </w:r>
            <w:r>
              <w:rPr>
                <w:rFonts w:ascii="Times New Roman" w:hAnsi="Times New Roman"/>
                <w:bCs/>
                <w:iCs/>
                <w:color w:val="000000" w:themeColor="text1"/>
                <w:sz w:val="21"/>
                <w:szCs w:val="21"/>
                <w14:textFill>
                  <w14:solidFill>
                    <w14:schemeClr w14:val="tx1"/>
                  </w14:solidFill>
                </w14:textFill>
              </w:rPr>
              <w:t>环境管控单元编码为</w:t>
            </w:r>
            <w:r>
              <w:rPr>
                <w:rFonts w:ascii="Times New Roman" w:hAnsi="Times New Roman"/>
                <w:color w:val="000000" w:themeColor="text1"/>
                <w:sz w:val="21"/>
                <w:szCs w:val="21"/>
                <w14:textFill>
                  <w14:solidFill>
                    <w14:schemeClr w14:val="tx1"/>
                  </w14:solidFill>
                </w14:textFill>
              </w:rPr>
              <w:t>ZH44132220001，属于博罗沙河流域重点管控单元，应执行 “惠州市陆域重点管控和一般管控单元生态环境准入清单”的相关要求</w:t>
            </w:r>
          </w:p>
        </w:tc>
      </w:tr>
    </w:tbl>
    <w:p>
      <w:pPr>
        <w:spacing w:line="360" w:lineRule="auto"/>
        <w:rPr>
          <w:color w:val="000000" w:themeColor="text1"/>
          <w:sz w:val="24"/>
          <w14:textFill>
            <w14:solidFill>
              <w14:schemeClr w14:val="tx1"/>
            </w14:solidFill>
          </w14:textFill>
        </w:rPr>
        <w:sectPr>
          <w:footerReference r:id="rId3" w:type="default"/>
          <w:pgSz w:w="11906" w:h="16838"/>
          <w:pgMar w:top="1418" w:right="1418" w:bottom="1418" w:left="1418" w:header="567" w:footer="567" w:gutter="0"/>
          <w:pgNumType w:start="1"/>
          <w:cols w:space="425"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0"/>
        <w:gridCol w:w="12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7" w:hRule="atLeast"/>
          <w:jc w:val="center"/>
        </w:trPr>
        <w:tc>
          <w:tcPr>
            <w:tcW w:w="612" w:type="pct"/>
            <w:vAlign w:val="center"/>
          </w:tcPr>
          <w:p>
            <w:pPr>
              <w:pStyle w:val="2"/>
              <w:spacing w:line="360" w:lineRule="auto"/>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其他符合性分析</w:t>
            </w:r>
          </w:p>
        </w:tc>
        <w:tc>
          <w:tcPr>
            <w:tcW w:w="4388" w:type="pct"/>
          </w:tcPr>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相符性分析见下表。</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表1-1 与《博罗县分类环境管控单元及环境准入负面清单》相符性分析一览表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80"/>
              <w:gridCol w:w="899"/>
              <w:gridCol w:w="6449"/>
              <w:gridCol w:w="3129"/>
              <w:gridCol w:w="79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400"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要素细类</w:t>
                  </w:r>
                </w:p>
              </w:tc>
              <w:tc>
                <w:tcPr>
                  <w:tcW w:w="2999" w:type="pct"/>
                  <w:gridSpan w:val="2"/>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管控要求</w:t>
                  </w:r>
                </w:p>
              </w:tc>
              <w:tc>
                <w:tcPr>
                  <w:tcW w:w="1277"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本项目情况</w:t>
                  </w:r>
                </w:p>
              </w:tc>
              <w:tc>
                <w:tcPr>
                  <w:tcW w:w="324" w:type="pct"/>
                  <w:vAlign w:val="center"/>
                </w:tcPr>
                <w:p>
                  <w:pPr>
                    <w:jc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符合性结论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00"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一般生态空间、水环境优先保护区、水环境城镇生活污染重点管控区、大气环境受体敏感重点管控区、高污染燃料禁燃区、建设用地污染风险重点管控区</w:t>
                  </w:r>
                </w:p>
              </w:tc>
              <w:tc>
                <w:tcPr>
                  <w:tcW w:w="36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区域布局管控</w:t>
                  </w:r>
                </w:p>
              </w:tc>
              <w:tc>
                <w:tcPr>
                  <w:tcW w:w="2632"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 【产业/鼓励引导类】饮用水水源保护区外的区域，重点发展电子信息、智能家电、先进材料等产业。</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1-2. 【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1-3. 【产业/限制类】严格限制化工、包装印刷、工业涂装等高 VOCs 排放建设项目。</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1-4. 【生态/限制类】一般生态空间内可开展生态保护红线内允许的活动，在不影响主导生态功能的前提下，还可开展国家和省规定不纳入环评管理的项目建设，以及生态旅游、基础设施建设、村庄建设等人为活动。</w:t>
                  </w:r>
                </w:p>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1-7. 【水/禁止类】畜禽禁养区内不得从事畜禽养殖业。</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1-10. 【大气/鼓励引导类】大气环境高排放重点管控区内，强化达标监管，引导工业项目落地集聚发展，有序推进区域内行业企业提标改造。</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1-11. 【土壤/禁止类】禁止在重金属重点防控区域内新建、改建、扩建增加重金属污染物排放总量的建设项目。</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1-12.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277"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1-1.本项目</w:t>
                  </w:r>
                  <w:r>
                    <w:rPr>
                      <w:color w:val="000000" w:themeColor="text1"/>
                      <w14:textFill>
                        <w14:solidFill>
                          <w14:schemeClr w14:val="tx1"/>
                        </w14:solidFill>
                      </w14:textFill>
                    </w:rPr>
                    <w:t>不属于产业/鼓励引导类</w:t>
                  </w:r>
                  <w:r>
                    <w:rPr>
                      <w:color w:val="000000" w:themeColor="text1"/>
                      <w:szCs w:val="21"/>
                      <w14:textFill>
                        <w14:solidFill>
                          <w14:schemeClr w14:val="tx1"/>
                        </w14:solidFill>
                      </w14:textFill>
                    </w:rPr>
                    <w:t>。</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-2.本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pPr>
                    <w:jc w:val="left"/>
                    <w:rPr>
                      <w:color w:val="000000" w:themeColor="text1"/>
                      <w14:textFill>
                        <w14:solidFill>
                          <w14:schemeClr w14:val="tx1"/>
                        </w14:solidFill>
                      </w14:textFill>
                    </w:rPr>
                  </w:pPr>
                  <w:r>
                    <w:rPr>
                      <w:color w:val="000000" w:themeColor="text1"/>
                      <w14:textFill>
                        <w14:solidFill>
                          <w14:schemeClr w14:val="tx1"/>
                        </w14:solidFill>
                      </w14:textFill>
                    </w:rPr>
                    <w:t>1-3.</w:t>
                  </w:r>
                  <w:r>
                    <w:rPr>
                      <w:color w:val="000000" w:themeColor="text1"/>
                      <w:szCs w:val="21"/>
                      <w14:textFill>
                        <w14:solidFill>
                          <w14:schemeClr w14:val="tx1"/>
                        </w14:solidFill>
                      </w14:textFill>
                    </w:rPr>
                    <w:t xml:space="preserve"> 项目</w:t>
                  </w:r>
                  <w:r>
                    <w:rPr>
                      <w:color w:val="000000" w:themeColor="text1"/>
                      <w14:textFill>
                        <w14:solidFill>
                          <w14:schemeClr w14:val="tx1"/>
                        </w14:solidFill>
                      </w14:textFill>
                    </w:rPr>
                    <w:t>不属于</w:t>
                  </w:r>
                  <w:r>
                    <w:rPr>
                      <w:color w:val="000000" w:themeColor="text1"/>
                      <w:szCs w:val="21"/>
                      <w14:textFill>
                        <w14:solidFill>
                          <w14:schemeClr w14:val="tx1"/>
                        </w14:solidFill>
                      </w14:textFill>
                    </w:rPr>
                    <w:t>化工、包装印刷、工业涂装等高 VOCs 排放建设项目</w:t>
                  </w:r>
                  <w:r>
                    <w:rPr>
                      <w:color w:val="000000" w:themeColor="text1"/>
                      <w14:textFill>
                        <w14:solidFill>
                          <w14:schemeClr w14:val="tx1"/>
                        </w14:solidFill>
                      </w14:textFill>
                    </w:rPr>
                    <w:t>。</w:t>
                  </w:r>
                </w:p>
                <w:p>
                  <w:pPr>
                    <w:jc w:val="left"/>
                    <w:rPr>
                      <w:color w:val="000000" w:themeColor="text1"/>
                      <w:szCs w:val="21"/>
                      <w14:textFill>
                        <w14:solidFill>
                          <w14:schemeClr w14:val="tx1"/>
                        </w14:solidFill>
                      </w14:textFill>
                    </w:rPr>
                  </w:pPr>
                  <w:r>
                    <w:rPr>
                      <w:color w:val="000000" w:themeColor="text1"/>
                      <w14:textFill>
                        <w14:solidFill>
                          <w14:schemeClr w14:val="tx1"/>
                        </w14:solidFill>
                      </w14:textFill>
                    </w:rPr>
                    <w:t>1-4.项目不属于</w:t>
                  </w:r>
                  <w:r>
                    <w:rPr>
                      <w:color w:val="000000" w:themeColor="text1"/>
                      <w:szCs w:val="21"/>
                      <w14:textFill>
                        <w14:solidFill>
                          <w14:schemeClr w14:val="tx1"/>
                        </w14:solidFill>
                      </w14:textFill>
                    </w:rPr>
                    <w:t>一般生态空间，不涉及生态保护红线。</w:t>
                  </w:r>
                </w:p>
                <w:p>
                  <w:pPr>
                    <w:jc w:val="left"/>
                    <w:rPr>
                      <w:color w:val="000000" w:themeColor="text1"/>
                      <w:szCs w:val="21"/>
                      <w14:textFill>
                        <w14:solidFill>
                          <w14:schemeClr w14:val="tx1"/>
                        </w14:solidFill>
                      </w14:textFill>
                    </w:rPr>
                  </w:pPr>
                  <w:r>
                    <w:rPr>
                      <w:color w:val="000000" w:themeColor="text1"/>
                      <w14:textFill>
                        <w14:solidFill>
                          <w14:schemeClr w14:val="tx1"/>
                        </w14:solidFill>
                      </w14:textFill>
                    </w:rPr>
                    <w:t>1-5.</w:t>
                  </w:r>
                  <w:r>
                    <w:rPr>
                      <w:color w:val="FF0000"/>
                      <w:szCs w:val="21"/>
                    </w:rPr>
                    <w:t xml:space="preserve"> 根据《博罗县水环境质量底线管控分区划定情况》（见附图13）项目不属于饮用水水源保护区准保护区范围内</w:t>
                  </w:r>
                  <w:r>
                    <w:rPr>
                      <w:color w:val="000000" w:themeColor="text1"/>
                      <w:szCs w:val="21"/>
                      <w14:textFill>
                        <w14:solidFill>
                          <w14:schemeClr w14:val="tx1"/>
                        </w14:solidFill>
                      </w14:textFill>
                    </w:rPr>
                    <w:t>。</w:t>
                  </w:r>
                </w:p>
                <w:p>
                  <w:pPr>
                    <w:jc w:val="left"/>
                    <w:rPr>
                      <w:color w:val="000000" w:themeColor="text1"/>
                      <w:szCs w:val="21"/>
                      <w14:textFill>
                        <w14:solidFill>
                          <w14:schemeClr w14:val="tx1"/>
                        </w14:solidFill>
                      </w14:textFill>
                    </w:rPr>
                  </w:pPr>
                  <w:r>
                    <w:rPr>
                      <w:color w:val="000000" w:themeColor="text1"/>
                      <w14:textFill>
                        <w14:solidFill>
                          <w14:schemeClr w14:val="tx1"/>
                        </w14:solidFill>
                      </w14:textFill>
                    </w:rPr>
                    <w:t>1-6.项目不涉及</w:t>
                  </w:r>
                  <w:r>
                    <w:rPr>
                      <w:color w:val="000000" w:themeColor="text1"/>
                      <w:szCs w:val="21"/>
                      <w14:textFill>
                        <w14:solidFill>
                          <w14:schemeClr w14:val="tx1"/>
                        </w14:solidFill>
                      </w14:textFill>
                    </w:rPr>
                    <w:t>废弃物堆放场和处理场。</w:t>
                  </w:r>
                </w:p>
                <w:p>
                  <w:pPr>
                    <w:jc w:val="left"/>
                    <w:rPr>
                      <w:color w:val="000000" w:themeColor="text1"/>
                      <w:szCs w:val="21"/>
                      <w14:textFill>
                        <w14:solidFill>
                          <w14:schemeClr w14:val="tx1"/>
                        </w14:solidFill>
                      </w14:textFill>
                    </w:rPr>
                  </w:pPr>
                  <w:r>
                    <w:rPr>
                      <w:color w:val="000000" w:themeColor="text1"/>
                      <w14:textFill>
                        <w14:solidFill>
                          <w14:schemeClr w14:val="tx1"/>
                        </w14:solidFill>
                      </w14:textFill>
                    </w:rPr>
                    <w:t>1-7.项目</w:t>
                  </w:r>
                  <w:r>
                    <w:rPr>
                      <w:color w:val="000000" w:themeColor="text1"/>
                      <w:szCs w:val="21"/>
                      <w14:textFill>
                        <w14:solidFill>
                          <w14:schemeClr w14:val="tx1"/>
                        </w14:solidFill>
                      </w14:textFill>
                    </w:rPr>
                    <w:t>不从事畜禽养殖业。</w:t>
                  </w:r>
                </w:p>
                <w:p>
                  <w:pPr>
                    <w:jc w:val="left"/>
                    <w:rPr>
                      <w:color w:val="000000" w:themeColor="text1"/>
                      <w:szCs w:val="21"/>
                      <w14:textFill>
                        <w14:solidFill>
                          <w14:schemeClr w14:val="tx1"/>
                        </w14:solidFill>
                      </w14:textFill>
                    </w:rPr>
                  </w:pPr>
                  <w:r>
                    <w:rPr>
                      <w:color w:val="000000" w:themeColor="text1"/>
                      <w14:textFill>
                        <w14:solidFill>
                          <w14:schemeClr w14:val="tx1"/>
                        </w14:solidFill>
                      </w14:textFill>
                    </w:rPr>
                    <w:t>1-8.项目</w:t>
                  </w:r>
                  <w:r>
                    <w:rPr>
                      <w:color w:val="000000" w:themeColor="text1"/>
                      <w:szCs w:val="21"/>
                      <w14:textFill>
                        <w14:solidFill>
                          <w14:schemeClr w14:val="tx1"/>
                        </w14:solidFill>
                      </w14:textFill>
                    </w:rPr>
                    <w:t>不从事畜禽养殖业，不涉及散户养殖。</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1-9.项目不在大气环境受体敏感重点管控区范围内，且不属于油库项目，不使用溶剂型油墨、涂料、清洗剂、胶黏剂等高挥发性有机物原辅材料。</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1-10.项目在大气环境高排放重点管控区内，项目注塑工序产生的有机废气通过两级活性炭处理后高空排放，符合文件要求。</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1-11.项目不排放重金属污染物。</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1-12.项目不排放重金属污染物，不属于涉重金属污染行业建设项目。</w:t>
                  </w:r>
                </w:p>
              </w:tc>
              <w:tc>
                <w:tcPr>
                  <w:tcW w:w="3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00" w:type="pct"/>
                  <w:vMerge w:val="continue"/>
                  <w:vAlign w:val="center"/>
                </w:tcPr>
                <w:p>
                  <w:pPr>
                    <w:jc w:val="center"/>
                    <w:rPr>
                      <w:color w:val="000000" w:themeColor="text1"/>
                      <w:szCs w:val="21"/>
                      <w14:textFill>
                        <w14:solidFill>
                          <w14:schemeClr w14:val="tx1"/>
                        </w14:solidFill>
                      </w14:textFill>
                    </w:rPr>
                  </w:pPr>
                </w:p>
              </w:tc>
              <w:tc>
                <w:tcPr>
                  <w:tcW w:w="36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能源资源利用</w:t>
                  </w:r>
                </w:p>
              </w:tc>
              <w:tc>
                <w:tcPr>
                  <w:tcW w:w="2632"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2-1. 【能源/鼓励引导类】鼓励降低煤炭消耗、能源消耗，引导光伏等多种形式的新能源利用。</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2-2. 【能源/综合类】根据本地区大气环境质量改善要求逐步扩大高污染燃料禁燃区范围。</w:t>
                  </w:r>
                </w:p>
              </w:tc>
              <w:tc>
                <w:tcPr>
                  <w:tcW w:w="1277"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w:t>
                  </w:r>
                  <w:r>
                    <w:rPr>
                      <w:bCs/>
                      <w:iCs/>
                      <w:color w:val="000000" w:themeColor="text1"/>
                      <w:szCs w:val="21"/>
                      <w14:textFill>
                        <w14:solidFill>
                          <w14:schemeClr w14:val="tx1"/>
                        </w14:solidFill>
                      </w14:textFill>
                    </w:rPr>
                    <w:t>所用资源主要为电能。</w:t>
                  </w:r>
                </w:p>
              </w:tc>
              <w:tc>
                <w:tcPr>
                  <w:tcW w:w="3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00" w:type="pct"/>
                  <w:vMerge w:val="continue"/>
                  <w:vAlign w:val="center"/>
                </w:tcPr>
                <w:p>
                  <w:pPr>
                    <w:jc w:val="center"/>
                    <w:rPr>
                      <w:color w:val="000000" w:themeColor="text1"/>
                      <w:szCs w:val="21"/>
                      <w14:textFill>
                        <w14:solidFill>
                          <w14:schemeClr w14:val="tx1"/>
                        </w14:solidFill>
                      </w14:textFill>
                    </w:rPr>
                  </w:pPr>
                </w:p>
              </w:tc>
              <w:tc>
                <w:tcPr>
                  <w:tcW w:w="36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污染物排放管控</w:t>
                  </w:r>
                </w:p>
              </w:tc>
              <w:tc>
                <w:tcPr>
                  <w:tcW w:w="2632"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3-1. 【水/限制类】单元内城镇生活污水处理厂出水水质 COD、氨氮、总磷排放执行国家《地表水环境质量》（GB3838-2002）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标准与广东省《水污染物排放限值》较严值的标准。</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3-2. 【水/限制类】严格控制流域内增加水污染物排放或对东江水质、水环境安全构成影响的项目。</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3-4.【水/综合类】强化农业面源污染治理，控制农药化肥使用量。</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3-5.【大气/限制类】重点行业新建涉VOCs排放的工业企业原则上应入园进区。新建项目 VOCs 实施倍量替代。</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3-6. 【土壤/禁止类】禁止向农用地排放重金属或者其他有毒有害物质含量超标的污水、污泥，以及可能造成土壤污染的清淤底泥、尾矿、矿渣等。</w:t>
                  </w:r>
                </w:p>
              </w:tc>
              <w:tc>
                <w:tcPr>
                  <w:tcW w:w="1277"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3-1.</w:t>
                  </w:r>
                  <w:r>
                    <w:rPr>
                      <w:color w:val="000000" w:themeColor="text1"/>
                      <w:kern w:val="1"/>
                      <w:szCs w:val="21"/>
                      <w14:textFill>
                        <w14:solidFill>
                          <w14:schemeClr w14:val="tx1"/>
                        </w14:solidFill>
                      </w14:textFill>
                    </w:rPr>
                    <w:t xml:space="preserve"> 本项目无工业废水排放，项目所在区域为博罗县石湾镇西基生活污水处理厂纳污范围，员工生活污水经三级化粪池预处理后通过市政纳污管网排入博罗县石湾镇西基生活污水处理厂进一步处理，其尾水中的</w:t>
                  </w:r>
                  <w:r>
                    <w:rPr>
                      <w:color w:val="000000" w:themeColor="text1"/>
                      <w:szCs w:val="21"/>
                      <w14:textFill>
                        <w14:solidFill>
                          <w14:schemeClr w14:val="tx1"/>
                        </w14:solidFill>
                      </w14:textFill>
                    </w:rPr>
                    <w:t>COD、氨氮、总磷</w:t>
                  </w:r>
                  <w:r>
                    <w:rPr>
                      <w:color w:val="000000" w:themeColor="text1"/>
                      <w:kern w:val="1"/>
                      <w:szCs w:val="21"/>
                      <w14:textFill>
                        <w14:solidFill>
                          <w14:schemeClr w14:val="tx1"/>
                        </w14:solidFill>
                      </w14:textFill>
                    </w:rPr>
                    <w:t>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3-2.</w:t>
                  </w:r>
                  <w:r>
                    <w:rPr>
                      <w:color w:val="000000" w:themeColor="text1"/>
                      <w14:textFill>
                        <w14:solidFill>
                          <w14:schemeClr w14:val="tx1"/>
                        </w14:solidFill>
                      </w14:textFill>
                    </w:rPr>
                    <w:t xml:space="preserve"> </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本项目无工业废水排放，项目所在区域为博罗县石湾镇西基生活污水处理厂纳污范围，员工生活污水经三级化粪池预处理后通过市政纳污管网排入博罗县石湾镇西基生活污水处理厂进一步处理</w:t>
                  </w:r>
                  <w:r>
                    <w:rPr>
                      <w:color w:val="000000" w:themeColor="text1"/>
                      <w:szCs w:val="21"/>
                      <w:lang w:bidi="ar"/>
                      <w14:textFill>
                        <w14:solidFill>
                          <w14:schemeClr w14:val="tx1"/>
                        </w14:solidFill>
                      </w14:textFill>
                    </w:rPr>
                    <w:t>，不属于</w:t>
                  </w:r>
                  <w:r>
                    <w:rPr>
                      <w:color w:val="000000" w:themeColor="text1"/>
                      <w:szCs w:val="21"/>
                      <w14:textFill>
                        <w14:solidFill>
                          <w14:schemeClr w14:val="tx1"/>
                        </w14:solidFill>
                      </w14:textFill>
                    </w:rPr>
                    <w:t>对东江水质、水环境安全构成影响的项目。</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3-3.项目不涉及农业生产。</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3-4.项目不涉及农业面源污染和农药化肥的使用。</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3-5.项目涉及VOCs排放，通过对废气进行收集处理对项目VOCs排放量进行控制。</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3-6.项目不排放重金属污染物。</w:t>
                  </w:r>
                </w:p>
              </w:tc>
              <w:tc>
                <w:tcPr>
                  <w:tcW w:w="3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00" w:type="pct"/>
                  <w:vMerge w:val="continue"/>
                  <w:vAlign w:val="center"/>
                </w:tcPr>
                <w:p>
                  <w:pPr>
                    <w:jc w:val="center"/>
                    <w:rPr>
                      <w:color w:val="000000" w:themeColor="text1"/>
                      <w:szCs w:val="21"/>
                      <w14:textFill>
                        <w14:solidFill>
                          <w14:schemeClr w14:val="tx1"/>
                        </w14:solidFill>
                      </w14:textFill>
                    </w:rPr>
                  </w:pPr>
                </w:p>
              </w:tc>
              <w:tc>
                <w:tcPr>
                  <w:tcW w:w="36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环境风险防控</w:t>
                  </w:r>
                </w:p>
              </w:tc>
              <w:tc>
                <w:tcPr>
                  <w:tcW w:w="2632"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4-1. 【水/综合类】城镇污水处理厂、涉水企业应采取有效措施，防止事故废水直接排入水体。</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4-2. 【水/综合类】加强饮用水水源保护区内环境风险排查，开展风险评估及水环境预警监测。</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277"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本项目根据国家环境应急预案管理的要求编制突发环境事件应急预案。</w:t>
                  </w:r>
                </w:p>
              </w:tc>
              <w:tc>
                <w:tcPr>
                  <w:tcW w:w="3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相符</w:t>
                  </w:r>
                </w:p>
              </w:tc>
            </w:tr>
          </w:tbl>
          <w:p>
            <w:pPr>
              <w:spacing w:line="360" w:lineRule="auto"/>
              <w:ind w:firstLine="480" w:firstLineChars="200"/>
              <w:jc w:val="left"/>
              <w:rPr>
                <w:bCs/>
                <w:iCs/>
                <w:color w:val="000000" w:themeColor="text1"/>
                <w:sz w:val="24"/>
                <w14:textFill>
                  <w14:solidFill>
                    <w14:schemeClr w14:val="tx1"/>
                  </w14:solidFill>
                </w14:textFill>
              </w:rPr>
            </w:pPr>
            <w:r>
              <w:rPr>
                <w:bCs/>
                <w:iCs/>
                <w:color w:val="000000" w:themeColor="text1"/>
                <w:sz w:val="24"/>
                <w14:textFill>
                  <w14:solidFill>
                    <w14:schemeClr w14:val="tx1"/>
                  </w14:solidFill>
                </w14:textFill>
              </w:rPr>
              <w:t>因此，本项目</w:t>
            </w:r>
            <w:r>
              <w:rPr>
                <w:bCs/>
                <w:iCs/>
                <w:color w:val="000000" w:themeColor="text1"/>
                <w:szCs w:val="21"/>
                <w14:textFill>
                  <w14:solidFill>
                    <w14:schemeClr w14:val="tx1"/>
                  </w14:solidFill>
                </w14:textFill>
              </w:rPr>
              <w:t>建设与</w:t>
            </w:r>
            <w:r>
              <w:rPr>
                <w:color w:val="000000" w:themeColor="text1"/>
                <w:szCs w:val="21"/>
                <w14:textFill>
                  <w14:solidFill>
                    <w14:schemeClr w14:val="tx1"/>
                  </w14:solidFill>
                </w14:textFill>
              </w:rPr>
              <w:t>《博罗县分类环境管控单元及环境准入负面清单》</w:t>
            </w:r>
            <w:r>
              <w:rPr>
                <w:bCs/>
                <w:iCs/>
                <w:color w:val="000000" w:themeColor="text1"/>
                <w:szCs w:val="21"/>
                <w14:textFill>
                  <w14:solidFill>
                    <w14:schemeClr w14:val="tx1"/>
                  </w14:solidFill>
                </w14:textFill>
              </w:rPr>
              <w:t>要求相符。</w:t>
            </w:r>
          </w:p>
          <w:p>
            <w:pPr>
              <w:spacing w:line="360" w:lineRule="auto"/>
              <w:ind w:firstLine="420" w:firstLineChars="200"/>
              <w:jc w:val="left"/>
              <w:rPr>
                <w:bCs/>
                <w:iCs/>
                <w:color w:val="000000" w:themeColor="text1"/>
                <w:szCs w:val="21"/>
                <w14:textFill>
                  <w14:solidFill>
                    <w14:schemeClr w14:val="tx1"/>
                  </w14:solidFill>
                </w14:textFill>
              </w:rPr>
            </w:pPr>
          </w:p>
          <w:p>
            <w:pPr>
              <w:spacing w:line="360" w:lineRule="auto"/>
              <w:ind w:firstLine="420" w:firstLineChars="200"/>
              <w:jc w:val="left"/>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pPr>
    </w:p>
    <w:p>
      <w:pPr>
        <w:spacing w:line="360" w:lineRule="auto"/>
        <w:rPr>
          <w:color w:val="000000" w:themeColor="text1"/>
          <w:sz w:val="24"/>
          <w14:textFill>
            <w14:solidFill>
              <w14:schemeClr w14:val="tx1"/>
            </w14:solidFill>
          </w14:textFill>
        </w:rPr>
        <w:sectPr>
          <w:pgSz w:w="16838" w:h="11906" w:orient="landscape"/>
          <w:pgMar w:top="1418" w:right="1418" w:bottom="1418" w:left="1418" w:header="567" w:footer="567" w:gutter="0"/>
          <w:cols w:space="425" w:num="1"/>
          <w:docGrid w:type="lines"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1" w:type="dxa"/>
            <w:vAlign w:val="center"/>
          </w:tcPr>
          <w:p>
            <w:pPr>
              <w:jc w:val="center"/>
              <w:rPr>
                <w:snapToGrid w:val="0"/>
                <w:color w:val="000000" w:themeColor="text1"/>
                <w14:textFill>
                  <w14:solidFill>
                    <w14:schemeClr w14:val="tx1"/>
                  </w14:solidFill>
                </w14:textFill>
              </w:rPr>
            </w:pPr>
            <w:r>
              <w:rPr>
                <w:color w:val="000000" w:themeColor="text1"/>
                <w:kern w:val="0"/>
                <w:szCs w:val="21"/>
                <w14:textFill>
                  <w14:solidFill>
                    <w14:schemeClr w14:val="tx1"/>
                  </w14:solidFill>
                </w14:textFill>
              </w:rPr>
              <w:t>其他符合性分析</w:t>
            </w:r>
          </w:p>
        </w:tc>
        <w:tc>
          <w:tcPr>
            <w:tcW w:w="10035" w:type="dxa"/>
          </w:tcPr>
          <w:p>
            <w:pPr>
              <w:numPr>
                <w:ilvl w:val="0"/>
                <w:numId w:val="2"/>
              </w:numPr>
              <w:spacing w:line="360" w:lineRule="auto"/>
              <w:ind w:firstLine="0"/>
              <w:rPr>
                <w:b/>
                <w:bCs/>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产业政策相符性分析</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属于《国民经济行业分类》（GB/T4754-2017）及其国家标准第1号修改单中C3872照明灯具制造和C2929塑料零件及其他塑料制品制造，不属于《产业结构调整指导目录（2019年本）》中鼓励类、限制类、淘汰类项目，属于允许类项目。</w:t>
            </w:r>
          </w:p>
          <w:p>
            <w:pPr>
              <w:numPr>
                <w:ilvl w:val="0"/>
                <w:numId w:val="2"/>
              </w:numPr>
              <w:spacing w:line="360" w:lineRule="auto"/>
              <w:ind w:firstLine="0"/>
              <w:rPr>
                <w:b/>
                <w:bCs/>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市场准入负面清单相符性分析</w:t>
            </w:r>
          </w:p>
          <w:p>
            <w:pPr>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本项目属于《国民经济行业分类》（GB/T4754-2017）及其国家标准第1号修改单中C3872照明灯具制造和C2929塑料零件及其他塑料制品制造，不属于《市场准入负面清单（2022年版）》（发改体改规[2022]397号）禁止准入类，也不属于禁止新建、严格控制项目类别。</w:t>
            </w:r>
          </w:p>
          <w:p>
            <w:pPr>
              <w:numPr>
                <w:ilvl w:val="0"/>
                <w:numId w:val="2"/>
              </w:numPr>
              <w:spacing w:line="360" w:lineRule="auto"/>
              <w:ind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用地性质相符性分析</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本项目拟选址于惠州市博罗县石湾镇鸾岗大道南侧明月二路354号，查阅《石湾镇土地利用总体规划图（2010-2020年）》（</w:t>
            </w:r>
            <w:r>
              <w:rPr>
                <w:b/>
                <w:bCs/>
                <w:color w:val="000000" w:themeColor="text1"/>
                <w:szCs w:val="21"/>
                <w14:textFill>
                  <w14:solidFill>
                    <w14:schemeClr w14:val="tx1"/>
                  </w14:solidFill>
                </w14:textFill>
              </w:rPr>
              <w:t>见附图10</w:t>
            </w:r>
            <w:r>
              <w:rPr>
                <w:color w:val="000000" w:themeColor="text1"/>
                <w:szCs w:val="21"/>
                <w14:textFill>
                  <w14:solidFill>
                    <w14:schemeClr w14:val="tx1"/>
                  </w14:solidFill>
                </w14:textFill>
              </w:rPr>
              <w:t>）可知，本项目所属地块属于允许建设区。根据业主提供的房产证，房屋用途为厂房，根据现场勘察，本项目区域附近无集中式饮用水源地保护区、无自然保护区、风景名胜区等特别需要保护的区域，周边区域内无濒危动植物物种及国家保护物种，本项目区域敏感度为一般。因此，本项目符合用地规划要求。</w:t>
            </w:r>
          </w:p>
          <w:p>
            <w:pPr>
              <w:numPr>
                <w:ilvl w:val="0"/>
                <w:numId w:val="2"/>
              </w:numPr>
              <w:spacing w:line="360" w:lineRule="auto"/>
              <w:ind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区域环境功能区划相符性分析</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根据《广东省人民政府关于调整惠州市饮用水源保护区的批复》（粤府函〔2014〕188号）、《广东省人民政府关于调整惠州市部分饮用水水源保护区的批复》（粤府函〔2019〕270号）</w:t>
            </w:r>
            <w:r>
              <w:rPr>
                <w:rStyle w:val="36"/>
                <w:color w:val="000000" w:themeColor="text1"/>
                <w:szCs w:val="21"/>
                <w14:textFill>
                  <w14:solidFill>
                    <w14:schemeClr w14:val="tx1"/>
                  </w14:solidFill>
                </w14:textFill>
              </w:rPr>
              <w:t>、</w:t>
            </w:r>
            <w:r>
              <w:rPr>
                <w:color w:val="000000" w:themeColor="text1"/>
                <w:szCs w:val="21"/>
                <w14:textFill>
                  <w14:solidFill>
                    <w14:schemeClr w14:val="tx1"/>
                  </w14:solidFill>
                </w14:textFill>
              </w:rPr>
              <w:t>《惠州市人民政府关于&lt;惠州市乡镇级及以下集中式饮用水水源保护区划定（调整）方案&gt;的批复》（惠府函〔2020〕317号），本项目所在区域不属于饮用水水源保护区。</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项目附近河流为石湾中心排渠，根据《广东省地表水功能区划》（粤环[2011]14号）规定，未明确石湾中心排渠水质目标，根据其实际使用功能纳污排洪，本次将石湾中心排渠水质保护目标确定为</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类，执行《地表水环境质量标准》（GB3838-2002）中</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惠州市环境空气质量功能区划（2021年修订）》，区域空气环境功能区划为二类区，根据《2021年惠州市生态环境质量公报》，项目所在区域环境空气质量达标；项目所在区域声环境功能区划为2类功能区，声环境达标。厂址周围无国家、省、市、区重点保护的文物、古迹、无名胜风景区、自然保护区等，选址符合环境功能区划的要求。该项目废（污）水、废气、噪声和固体废物通过采取评价中提出的治理措施进行有效治理后，不会改变区域环境功能。则该项目的运营与环境功能区划相符合。</w:t>
            </w:r>
          </w:p>
          <w:p>
            <w:pPr>
              <w:numPr>
                <w:ilvl w:val="0"/>
                <w:numId w:val="2"/>
              </w:numPr>
              <w:spacing w:line="360" w:lineRule="auto"/>
              <w:ind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其它相关环保政策相符性分析</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（1）水方面</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1）与《关于严格限制东江流域水污染项目建设进一步做好东江水质保护工作的通知》（粤府函〔2011〕339号）及（粤府函〔2013〕231号）的相符性分析</w:t>
            </w:r>
          </w:p>
          <w:p>
            <w:pPr>
              <w:spacing w:line="360" w:lineRule="auto"/>
              <w:ind w:firstLine="420" w:firstLineChars="200"/>
              <w:rPr>
                <w:b/>
                <w:bCs/>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《关于严格限制东江流域水污染项目建设进一步做好东江水质保护工作的通知》（粤府函〔2011〕339号）及（粤府函〔2013〕231号）的相符性分析，具体如下：</w:t>
            </w:r>
          </w:p>
          <w:p>
            <w:pPr>
              <w:spacing w:line="360" w:lineRule="auto"/>
              <w:ind w:firstLine="422" w:firstLineChars="200"/>
              <w:rPr>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1、严格控制重污染项目建设：</w:t>
            </w:r>
            <w:r>
              <w:rPr>
                <w:color w:val="000000" w:themeColor="text1"/>
                <w:kern w:val="0"/>
                <w:szCs w:val="21"/>
                <w14:textFill>
                  <w14:solidFill>
                    <w14:schemeClr w14:val="tx1"/>
                  </w14:solidFill>
                </w14:textFill>
              </w:rPr>
              <w:t>严格执行《广东省东江水系水质保护条例》等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spacing w:line="360" w:lineRule="auto"/>
              <w:ind w:firstLine="422" w:firstLineChars="200"/>
              <w:rPr>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2、强化涉重金属污染项目管理：</w:t>
            </w:r>
            <w:r>
              <w:rPr>
                <w:color w:val="000000" w:themeColor="text1"/>
                <w:kern w:val="0"/>
                <w:szCs w:val="21"/>
                <w14:textFill>
                  <w14:solidFill>
                    <w14:schemeClr w14:val="tx1"/>
                  </w14:solidFill>
                </w14:textFill>
              </w:rPr>
              <w:t>东江流域内停止审批向河流排放汞、砷、镉、铬、铅等重金属污染物和持久性有机污染物的项目。</w:t>
            </w:r>
          </w:p>
          <w:p>
            <w:pPr>
              <w:spacing w:line="360" w:lineRule="auto"/>
              <w:ind w:firstLine="422" w:firstLineChars="200"/>
              <w:rPr>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3、</w:t>
            </w:r>
            <w:r>
              <w:rPr>
                <w:b/>
                <w:bCs/>
                <w:color w:val="000000" w:themeColor="text1"/>
                <w:kern w:val="0"/>
                <w:szCs w:val="21"/>
                <w14:textFill>
                  <w14:solidFill>
                    <w14:schemeClr w14:val="tx1"/>
                  </w14:solidFill>
                </w14:textFill>
              </w:rPr>
              <w:t>严格控制支流污染增量</w:t>
            </w:r>
            <w:r>
              <w:rPr>
                <w:color w:val="000000" w:themeColor="text1"/>
                <w:kern w:val="0"/>
                <w:szCs w:val="21"/>
                <w14:textFill>
                  <w14:solidFill>
                    <w14:schemeClr w14:val="tx1"/>
                  </w14:solidFill>
                </w14:textFill>
              </w:rPr>
              <w:t>：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符合性分析：</w:t>
            </w:r>
          </w:p>
          <w:p>
            <w:pPr>
              <w:adjustRightInd w:val="0"/>
              <w:snapToGrid w:val="0"/>
              <w:spacing w:line="360" w:lineRule="auto"/>
              <w:ind w:firstLine="420" w:firstLineChars="200"/>
              <w:rPr>
                <w:b/>
                <w:iCs/>
                <w:color w:val="000000" w:themeColor="text1"/>
                <w:szCs w:val="21"/>
                <w14:textFill>
                  <w14:solidFill>
                    <w14:schemeClr w14:val="tx1"/>
                  </w14:solidFill>
                </w14:textFill>
              </w:rPr>
            </w:pPr>
            <w:r>
              <w:rPr>
                <w:bCs/>
                <w:iCs/>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拟选址于</w:t>
            </w:r>
            <w:r>
              <w:rPr>
                <w:bCs/>
                <w:iCs/>
                <w:color w:val="000000" w:themeColor="text1"/>
                <w:szCs w:val="21"/>
                <w14:textFill>
                  <w14:solidFill>
                    <w14:schemeClr w14:val="tx1"/>
                  </w14:solidFill>
                </w14:textFill>
              </w:rPr>
              <w:t>惠州市博罗县石湾镇鸾岗大道南侧明月二路354号，属于东江流域范围。</w:t>
            </w:r>
            <w:r>
              <w:rPr>
                <w:color w:val="000000" w:themeColor="text1"/>
                <w:szCs w:val="21"/>
                <w14:textFill>
                  <w14:solidFill>
                    <w14:schemeClr w14:val="tx1"/>
                  </w14:solidFill>
                </w14:textFill>
              </w:rPr>
              <w:t>本</w:t>
            </w:r>
            <w:r>
              <w:rPr>
                <w:bCs/>
                <w:iCs/>
                <w:color w:val="000000" w:themeColor="text1"/>
                <w:szCs w:val="21"/>
                <w14:textFill>
                  <w14:solidFill>
                    <w14:schemeClr w14:val="tx1"/>
                  </w14:solidFill>
                </w14:textFill>
              </w:rPr>
              <w:t>项目主要从事</w:t>
            </w:r>
            <w:r>
              <w:rPr>
                <w:color w:val="000000" w:themeColor="text1"/>
                <w:szCs w:val="21"/>
                <w14:textFill>
                  <w14:solidFill>
                    <w14:schemeClr w14:val="tx1"/>
                  </w14:solidFill>
                </w14:textFill>
              </w:rPr>
              <w:t>灯具和装饰牌</w:t>
            </w:r>
            <w:r>
              <w:rPr>
                <w:bCs/>
                <w:iCs/>
                <w:color w:val="000000" w:themeColor="text1"/>
                <w:szCs w:val="21"/>
                <w14:textFill>
                  <w14:solidFill>
                    <w14:schemeClr w14:val="tx1"/>
                  </w14:solidFill>
                </w14:textFill>
              </w:rPr>
              <w:t>的生产，</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后通过市政纳污管网排入博罗县石湾镇西基生活污水处理厂进一步处理，其尾水中的COD、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r>
              <w:rPr>
                <w:bCs/>
                <w:iCs/>
                <w:color w:val="000000" w:themeColor="text1"/>
                <w:szCs w:val="21"/>
                <w14:textFill>
                  <w14:solidFill>
                    <w14:schemeClr w14:val="tx1"/>
                  </w14:solidFill>
                </w14:textFill>
              </w:rPr>
              <w:t>。</w:t>
            </w:r>
            <w:r>
              <w:rPr>
                <w:b/>
                <w:iCs/>
                <w:color w:val="000000" w:themeColor="text1"/>
                <w:szCs w:val="21"/>
                <w14:textFill>
                  <w14:solidFill>
                    <w14:schemeClr w14:val="tx1"/>
                  </w14:solidFill>
                </w14:textFill>
              </w:rPr>
              <w:t>本项目不属于以上禁批或限批行业。</w:t>
            </w:r>
          </w:p>
          <w:p>
            <w:pPr>
              <w:adjustRightInd w:val="0"/>
              <w:snapToGrid w:val="0"/>
              <w:spacing w:line="360" w:lineRule="auto"/>
              <w:ind w:firstLine="420" w:firstLineChars="200"/>
              <w:jc w:val="left"/>
              <w:rPr>
                <w:color w:val="000000" w:themeColor="text1"/>
                <w:szCs w:val="21"/>
                <w14:textFill>
                  <w14:solidFill>
                    <w14:schemeClr w14:val="tx1"/>
                  </w14:solidFill>
                </w14:textFill>
              </w:rPr>
            </w:pPr>
            <w:r>
              <w:rPr>
                <w:bCs/>
                <w:iCs/>
                <w:color w:val="000000" w:themeColor="text1"/>
                <w:szCs w:val="21"/>
                <w14:textFill>
                  <w14:solidFill>
                    <w14:schemeClr w14:val="tx1"/>
                  </w14:solidFill>
                </w14:textFill>
              </w:rPr>
              <w:t>因此，本项目建设符合</w:t>
            </w:r>
            <w:r>
              <w:rPr>
                <w:color w:val="000000" w:themeColor="text1"/>
                <w:spacing w:val="-6"/>
                <w:szCs w:val="21"/>
                <w14:textFill>
                  <w14:solidFill>
                    <w14:schemeClr w14:val="tx1"/>
                  </w14:solidFill>
                </w14:textFill>
              </w:rPr>
              <w:t>《</w:t>
            </w:r>
            <w:r>
              <w:rPr>
                <w:color w:val="000000" w:themeColor="text1"/>
                <w:szCs w:val="21"/>
                <w14:textFill>
                  <w14:solidFill>
                    <w14:schemeClr w14:val="tx1"/>
                  </w14:solidFill>
                </w14:textFill>
              </w:rPr>
              <w:t>关于严格限制东江流域水污染项目建设进一步做好东江水质保护工作的通知》（粤府函〔2011〕339号）及（粤府函〔2013〕231号）</w:t>
            </w:r>
            <w:r>
              <w:rPr>
                <w:bCs/>
                <w:iCs/>
                <w:color w:val="000000" w:themeColor="text1"/>
                <w:szCs w:val="21"/>
                <w14:textFill>
                  <w14:solidFill>
                    <w14:schemeClr w14:val="tx1"/>
                  </w14:solidFill>
                </w14:textFill>
              </w:rPr>
              <w:t>。</w:t>
            </w:r>
          </w:p>
          <w:p>
            <w:pPr>
              <w:pStyle w:val="2"/>
              <w:autoSpaceDE/>
              <w:autoSpaceDN/>
              <w:snapToGrid w:val="0"/>
              <w:spacing w:line="360" w:lineRule="auto"/>
              <w:ind w:firstLine="422" w:firstLineChars="200"/>
              <w:jc w:val="both"/>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（2）与《广东省水污染防治条例》（广东省第十三届人民代表大会常务委员会公告（第73号），2021年1月1日实施）的相符性分析</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以下内容引用条例：</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第八条  排放水污染物的企业事业单位和其他生产经营者应当承担水污染防治主体责任，防止、减少水环境污染和生态破坏，对所造成的损害依法承担责任。</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第二十条  本省根据国家有关规定，对直接或者间接向水体排放废水、污水的企业事业单位和其他生产经营者实行排污许可管理。</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第二十九条  企业应当采用原材料利用效率高、污染物排放量少的清洁工艺，并加强管理，按照规定实施清洁生产审核，从源头上减少水污染物的产生。</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县级以上人民政府应当鼓励企业实行清洁生产，对为减少水污染进行技术改造或者转产的企业，通过财政、金融、土地使用、能源供应、政府采购等措施予以扶持。</w:t>
            </w:r>
          </w:p>
          <w:p>
            <w:pPr>
              <w:pStyle w:val="2"/>
              <w:snapToGrid w:val="0"/>
              <w:spacing w:line="360" w:lineRule="auto"/>
              <w:ind w:firstLine="422" w:firstLineChars="200"/>
              <w:jc w:val="both"/>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符合性分析：</w:t>
            </w:r>
            <w:r>
              <w:rPr>
                <w:bCs/>
                <w:iCs/>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拟选址于</w:t>
            </w:r>
            <w:r>
              <w:rPr>
                <w:bCs/>
                <w:iCs/>
                <w:color w:val="000000" w:themeColor="text1"/>
                <w:szCs w:val="21"/>
                <w14:textFill>
                  <w14:solidFill>
                    <w14:schemeClr w14:val="tx1"/>
                  </w14:solidFill>
                </w14:textFill>
              </w:rPr>
              <w:t>惠州市博罗县石湾镇鸾岗大道南侧明月二路354号。</w:t>
            </w:r>
            <w:r>
              <w:rPr>
                <w:color w:val="000000" w:themeColor="text1"/>
                <w:szCs w:val="21"/>
                <w14:textFill>
                  <w14:solidFill>
                    <w14:schemeClr w14:val="tx1"/>
                  </w14:solidFill>
                </w14:textFill>
              </w:rPr>
              <w:t>本</w:t>
            </w:r>
            <w:r>
              <w:rPr>
                <w:bCs/>
                <w:iCs/>
                <w:color w:val="000000" w:themeColor="text1"/>
                <w:szCs w:val="21"/>
                <w14:textFill>
                  <w14:solidFill>
                    <w14:schemeClr w14:val="tx1"/>
                  </w14:solidFill>
                </w14:textFill>
              </w:rPr>
              <w:t>项目主要从事</w:t>
            </w:r>
            <w:r>
              <w:rPr>
                <w:color w:val="000000" w:themeColor="text1"/>
                <w:szCs w:val="21"/>
                <w14:textFill>
                  <w14:solidFill>
                    <w14:schemeClr w14:val="tx1"/>
                  </w14:solidFill>
                </w14:textFill>
              </w:rPr>
              <w:t>灯具和装饰牌</w:t>
            </w:r>
            <w:r>
              <w:rPr>
                <w:bCs/>
                <w:iCs/>
                <w:color w:val="000000" w:themeColor="text1"/>
                <w:szCs w:val="21"/>
                <w14:textFill>
                  <w14:solidFill>
                    <w14:schemeClr w14:val="tx1"/>
                  </w14:solidFill>
                </w14:textFill>
              </w:rPr>
              <w:t>的生产，</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后通过市政纳污管网排入博罗县石湾镇西基生活污水处理厂进一步处理，其尾水中的COD、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p>
          <w:p>
            <w:pPr>
              <w:autoSpaceDE w:val="0"/>
              <w:autoSpaceDN w:val="0"/>
              <w:adjustRightInd w:val="0"/>
              <w:snapToGrid w:val="0"/>
              <w:spacing w:line="360" w:lineRule="auto"/>
              <w:ind w:firstLine="422" w:firstLineChars="200"/>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因此本项目符合</w:t>
            </w:r>
            <w:r>
              <w:rPr>
                <w:b/>
                <w:bCs/>
                <w:color w:val="000000" w:themeColor="text1"/>
                <w:szCs w:val="21"/>
                <w14:textFill>
                  <w14:solidFill>
                    <w14:schemeClr w14:val="tx1"/>
                  </w14:solidFill>
                </w14:textFill>
              </w:rPr>
              <w:t>《广东省水污染防治条例》（2021年1月1日实施）的相关要求。</w:t>
            </w:r>
          </w:p>
          <w:p>
            <w:pPr>
              <w:adjustRightInd w:val="0"/>
              <w:snapToGrid w:val="0"/>
              <w:spacing w:line="360" w:lineRule="auto"/>
              <w:ind w:firstLine="482"/>
              <w:jc w:val="left"/>
              <w:textAlignment w:val="baseline"/>
              <w:rPr>
                <w:b/>
                <w:color w:val="000000" w:themeColor="text1"/>
                <w14:textFill>
                  <w14:solidFill>
                    <w14:schemeClr w14:val="tx1"/>
                  </w14:solidFill>
                </w14:textFill>
              </w:rPr>
            </w:pPr>
            <w:r>
              <w:rPr>
                <w:rStyle w:val="57"/>
                <w:b/>
                <w:bCs/>
                <w:color w:val="000000" w:themeColor="text1"/>
                <w:szCs w:val="21"/>
                <w14:textFill>
                  <w14:solidFill>
                    <w14:schemeClr w14:val="tx1"/>
                  </w14:solidFill>
                </w14:textFill>
              </w:rPr>
              <w:t>3）</w:t>
            </w:r>
            <w:r>
              <w:rPr>
                <w:b/>
                <w:color w:val="000000" w:themeColor="text1"/>
                <w14:textFill>
                  <w14:solidFill>
                    <w14:schemeClr w14:val="tx1"/>
                  </w14:solidFill>
                </w14:textFill>
              </w:rPr>
              <w:t>与《关于印发&lt;惠州市2022年水污染防治攻坚工作方案&gt;的通知》（惠市环〔2022〕12号）的相符性分析</w:t>
            </w:r>
          </w:p>
          <w:p>
            <w:pPr>
              <w:adjustRightInd w:val="0"/>
              <w:snapToGrid w:val="0"/>
              <w:spacing w:line="360" w:lineRule="auto"/>
              <w:ind w:firstLine="482"/>
              <w:jc w:val="left"/>
              <w:textAlignment w:val="baseline"/>
              <w:rPr>
                <w:color w:val="000000" w:themeColor="text1"/>
                <w14:textFill>
                  <w14:solidFill>
                    <w14:schemeClr w14:val="tx1"/>
                  </w14:solidFill>
                </w14:textFill>
              </w:rPr>
            </w:pPr>
            <w:r>
              <w:rPr>
                <w:color w:val="000000" w:themeColor="text1"/>
                <w14:textFill>
                  <w14:solidFill>
                    <w14:schemeClr w14:val="tx1"/>
                  </w14:solidFill>
                </w14:textFill>
              </w:rPr>
              <w:t>总体目标：坚持统筹山水林田湖草一体化保护修复，“增好水、重生态”的原则，2022 年，全市地表水国考断面优良（达到或优于</w:t>
            </w:r>
            <w:r>
              <w:rPr>
                <w:rFonts w:hint="eastAsia" w:ascii="宋体" w:hAnsi="宋体" w:cs="宋体"/>
                <w:color w:val="000000" w:themeColor="text1"/>
                <w14:textFill>
                  <w14:solidFill>
                    <w14:schemeClr w14:val="tx1"/>
                  </w14:solidFill>
                </w14:textFill>
              </w:rPr>
              <w:t>Ⅲ</w:t>
            </w:r>
            <w:r>
              <w:rPr>
                <w:color w:val="000000" w:themeColor="text1"/>
                <w14:textFill>
                  <w14:solidFill>
                    <w14:schemeClr w14:val="tx1"/>
                  </w14:solidFill>
                </w14:textFill>
              </w:rPr>
              <w:t>类）比例力争达到 90.9%，省考断面达到年度水质目标要求，九大水系主要一级支流水质基本达标，主要一级支流优良水体比例稳步提升，县级及以上城市集中式饮用水水源地水质稳定达标，重要江河源头、重点水库水生态环境安全得到保障。</w:t>
            </w:r>
          </w:p>
          <w:p>
            <w:pPr>
              <w:adjustRightInd w:val="0"/>
              <w:snapToGrid w:val="0"/>
              <w:spacing w:line="360" w:lineRule="auto"/>
              <w:ind w:firstLine="482"/>
              <w:jc w:val="left"/>
              <w:textAlignment w:val="baseline"/>
              <w:rPr>
                <w:color w:val="000000" w:themeColor="text1"/>
                <w14:textFill>
                  <w14:solidFill>
                    <w14:schemeClr w14:val="tx1"/>
                  </w14:solidFill>
                </w14:textFill>
              </w:rPr>
            </w:pPr>
            <w:bookmarkStart w:id="0" w:name="_Hlk102251022"/>
            <w:r>
              <w:rPr>
                <w:color w:val="000000" w:themeColor="text1"/>
                <w14:textFill>
                  <w14:solidFill>
                    <w14:schemeClr w14:val="tx1"/>
                  </w14:solidFill>
                </w14:textFill>
              </w:rPr>
              <w:t>博罗县：东江干流博罗城下（新角）、石龙北水质保持</w:t>
            </w:r>
            <w:r>
              <w:rPr>
                <w:rFonts w:hint="eastAsia" w:ascii="宋体" w:hAnsi="宋体" w:cs="宋体"/>
                <w:color w:val="000000" w:themeColor="text1"/>
                <w14:textFill>
                  <w14:solidFill>
                    <w14:schemeClr w14:val="tx1"/>
                  </w14:solidFill>
                </w14:textFill>
              </w:rPr>
              <w:t>Ⅱ</w:t>
            </w:r>
            <w:r>
              <w:rPr>
                <w:color w:val="000000" w:themeColor="text1"/>
                <w14:textFill>
                  <w14:solidFill>
                    <w14:schemeClr w14:val="tx1"/>
                  </w14:solidFill>
                </w14:textFill>
              </w:rPr>
              <w:t>类，黄大仙、沙河河口、公庄泰美断面巩固</w:t>
            </w:r>
            <w:r>
              <w:rPr>
                <w:rFonts w:hint="eastAsia" w:ascii="宋体" w:hAnsi="宋体" w:cs="宋体"/>
                <w:color w:val="000000" w:themeColor="text1"/>
                <w14:textFill>
                  <w14:solidFill>
                    <w14:schemeClr w14:val="tx1"/>
                  </w14:solidFill>
                </w14:textFill>
              </w:rPr>
              <w:t>Ⅱ</w:t>
            </w:r>
            <w:r>
              <w:rPr>
                <w:color w:val="000000" w:themeColor="text1"/>
                <w14:textFill>
                  <w14:solidFill>
                    <w14:schemeClr w14:val="tx1"/>
                  </w14:solidFill>
                </w14:textFill>
              </w:rPr>
              <w:t>类水质，显岗水库达到</w:t>
            </w:r>
            <w:r>
              <w:rPr>
                <w:rFonts w:hint="eastAsia" w:ascii="宋体" w:hAnsi="宋体" w:cs="宋体"/>
                <w:color w:val="000000" w:themeColor="text1"/>
                <w14:textFill>
                  <w14:solidFill>
                    <w14:schemeClr w14:val="tx1"/>
                  </w14:solidFill>
                </w14:textFill>
              </w:rPr>
              <w:t>Ⅱ</w:t>
            </w:r>
            <w:r>
              <w:rPr>
                <w:color w:val="000000" w:themeColor="text1"/>
                <w14:textFill>
                  <w14:solidFill>
                    <w14:schemeClr w14:val="tx1"/>
                  </w14:solidFill>
                </w14:textFill>
              </w:rPr>
              <w:t>类以上，辖区内东江、沙河、公庄河主要支流水质全面达标、稳步提升。</w:t>
            </w:r>
          </w:p>
          <w:bookmarkEnd w:id="0"/>
          <w:p>
            <w:pPr>
              <w:adjustRightInd w:val="0"/>
              <w:snapToGrid w:val="0"/>
              <w:spacing w:line="360" w:lineRule="auto"/>
              <w:ind w:firstLine="482"/>
              <w:jc w:val="left"/>
              <w:textAlignment w:val="baseline"/>
              <w:rPr>
                <w:color w:val="000000" w:themeColor="text1"/>
                <w14:textFill>
                  <w14:solidFill>
                    <w14:schemeClr w14:val="tx1"/>
                  </w14:solidFill>
                </w14:textFill>
              </w:rPr>
            </w:pPr>
            <w:r>
              <w:rPr>
                <w:color w:val="000000" w:themeColor="text1"/>
                <w14:textFill>
                  <w14:solidFill>
                    <w14:schemeClr w14:val="tx1"/>
                  </w14:solidFill>
                </w14:textFill>
              </w:rPr>
              <w:t>持续开展工业污染防治：推动涉水固定污染源排污许可提质增效，组织做好新增源排污许可发证登记工作，强化排污许可“一证式”执法监管。优化工业废水处理工艺，推动不能稳定达标的工业废水处理设施提标改造。对淡水河、沙河、潼湖水等存在工业污染的重点流域，组织开展联合执法、交叉执法。持续实施“双随机、一公开”监管，严厉打击重点排污单位自动监测数据弄虚作假违法行为。</w:t>
            </w:r>
          </w:p>
          <w:p>
            <w:pPr>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符合性分析：</w:t>
            </w:r>
            <w:r>
              <w:rPr>
                <w:bCs/>
                <w:iCs/>
                <w:color w:val="000000" w:themeColor="text1"/>
                <w:szCs w:val="21"/>
                <w14:textFill>
                  <w14:solidFill>
                    <w14:schemeClr w14:val="tx1"/>
                  </w14:solidFill>
                </w14:textFill>
              </w:rPr>
              <w:t>本项目</w:t>
            </w:r>
            <w:r>
              <w:rPr>
                <w:color w:val="000000" w:themeColor="text1"/>
                <w:szCs w:val="21"/>
                <w14:textFill>
                  <w14:solidFill>
                    <w14:schemeClr w14:val="tx1"/>
                  </w14:solidFill>
                </w14:textFill>
              </w:rPr>
              <w:t>拟选址于</w:t>
            </w:r>
            <w:r>
              <w:rPr>
                <w:bCs/>
                <w:iCs/>
                <w:color w:val="000000" w:themeColor="text1"/>
                <w:szCs w:val="21"/>
                <w14:textFill>
                  <w14:solidFill>
                    <w14:schemeClr w14:val="tx1"/>
                  </w14:solidFill>
                </w14:textFill>
              </w:rPr>
              <w:t>惠州市博罗县石湾镇鸾岗大道南侧明月二路354号。</w:t>
            </w:r>
            <w:r>
              <w:rPr>
                <w:color w:val="000000" w:themeColor="text1"/>
                <w:szCs w:val="21"/>
                <w14:textFill>
                  <w14:solidFill>
                    <w14:schemeClr w14:val="tx1"/>
                  </w14:solidFill>
                </w14:textFill>
              </w:rPr>
              <w:t>本</w:t>
            </w:r>
            <w:r>
              <w:rPr>
                <w:bCs/>
                <w:iCs/>
                <w:color w:val="000000" w:themeColor="text1"/>
                <w:szCs w:val="21"/>
                <w14:textFill>
                  <w14:solidFill>
                    <w14:schemeClr w14:val="tx1"/>
                  </w14:solidFill>
                </w14:textFill>
              </w:rPr>
              <w:t>项目主要从事</w:t>
            </w:r>
            <w:r>
              <w:rPr>
                <w:color w:val="000000" w:themeColor="text1"/>
                <w:szCs w:val="21"/>
                <w14:textFill>
                  <w14:solidFill>
                    <w14:schemeClr w14:val="tx1"/>
                  </w14:solidFill>
                </w14:textFill>
              </w:rPr>
              <w:t>灯具和装饰牌</w:t>
            </w:r>
            <w:r>
              <w:rPr>
                <w:bCs/>
                <w:iCs/>
                <w:color w:val="000000" w:themeColor="text1"/>
                <w:szCs w:val="21"/>
                <w14:textFill>
                  <w14:solidFill>
                    <w14:schemeClr w14:val="tx1"/>
                  </w14:solidFill>
                </w14:textFill>
              </w:rPr>
              <w:t>的生产，</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后通过市政纳污管网排入博罗县石湾镇西基生活污水处理厂进一步处理，其尾水中的COD、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r>
              <w:rPr>
                <w:b/>
                <w:bCs/>
                <w:color w:val="000000" w:themeColor="text1"/>
                <w:szCs w:val="21"/>
                <w14:textFill>
                  <w14:solidFill>
                    <w14:schemeClr w14:val="tx1"/>
                  </w14:solidFill>
                </w14:textFill>
              </w:rPr>
              <w:t>不属于涉水重污染行业。</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因此，本项目建设符合</w:t>
            </w:r>
            <w:r>
              <w:rPr>
                <w:color w:val="000000" w:themeColor="text1"/>
                <w14:textFill>
                  <w14:solidFill>
                    <w14:schemeClr w14:val="tx1"/>
                  </w14:solidFill>
                </w14:textFill>
              </w:rPr>
              <w:t>《关于印发&lt;惠州市2022年水污染防治攻坚工作方案&gt;的通知》（惠市环〔2022〕12号）</w:t>
            </w:r>
            <w:r>
              <w:rPr>
                <w:color w:val="000000" w:themeColor="text1"/>
                <w:szCs w:val="21"/>
                <w14:textFill>
                  <w14:solidFill>
                    <w14:schemeClr w14:val="tx1"/>
                  </w14:solidFill>
                </w14:textFill>
              </w:rPr>
              <w:t>。</w:t>
            </w:r>
          </w:p>
          <w:p>
            <w:pPr>
              <w:spacing w:line="360" w:lineRule="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（2）气方面</w:t>
            </w:r>
          </w:p>
          <w:p>
            <w:pPr>
              <w:pStyle w:val="67"/>
              <w:numPr>
                <w:ilvl w:val="0"/>
                <w:numId w:val="4"/>
              </w:numPr>
              <w:spacing w:line="360" w:lineRule="auto"/>
              <w:ind w:left="0" w:firstLine="357" w:firstLineChars="0"/>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与《关于印发重点行业挥发性有机物综合治理方案的通知》（环大气[2019]57号）相符性分</w:t>
            </w:r>
            <w:r>
              <w:rPr>
                <w:b/>
                <w:bCs/>
                <w:color w:val="000000" w:themeColor="text1"/>
                <w:szCs w:val="21"/>
                <w14:textFill>
                  <w14:solidFill>
                    <w14:schemeClr w14:val="tx1"/>
                  </w14:solidFill>
                </w14:textFill>
              </w:rPr>
              <w:t>析</w:t>
            </w:r>
          </w:p>
          <w:p>
            <w:pPr>
              <w:pStyle w:val="87"/>
              <w:adjustRightInd w:val="0"/>
              <w:snapToGrid w:val="0"/>
              <w:spacing w:line="360" w:lineRule="auto"/>
              <w:ind w:firstLine="420"/>
              <w:rPr>
                <w:color w:val="000000" w:themeColor="text1"/>
                <w:kern w:val="0"/>
                <w:sz w:val="21"/>
                <w:szCs w:val="21"/>
                <w14:textFill>
                  <w14:solidFill>
                    <w14:schemeClr w14:val="tx1"/>
                  </w14:solidFill>
                </w14:textFill>
              </w:rPr>
            </w:pPr>
            <w:r>
              <w:rPr>
                <w:color w:val="000000" w:themeColor="text1"/>
                <w:sz w:val="21"/>
                <w:szCs w:val="21"/>
                <w:lang w:val="en"/>
                <w14:textFill>
                  <w14:solidFill>
                    <w14:schemeClr w14:val="tx1"/>
                  </w14:solidFill>
                </w14:textFill>
              </w:rPr>
              <w:t>提高废气收集率。遵循“应收尽收、分质收集”的原则，科学设计废气收集系统，将无组织排放转变为有组织排放进行控制。采用全密闭集气罩或密闭空间的，除行业有特殊要求外，应保持微负压状态，并根据相关规范合理设置通风量。采用局部集气罩的，距集气罩开口面最远处的VOCs无组织排放位置，控制风速应不低于0.3米/秒，有行业要求的按相关规定执行</w:t>
            </w:r>
            <w:r>
              <w:rPr>
                <w:color w:val="000000" w:themeColor="text1"/>
                <w:kern w:val="0"/>
                <w:sz w:val="21"/>
                <w:szCs w:val="21"/>
                <w14:textFill>
                  <w14:solidFill>
                    <w14:schemeClr w14:val="tx1"/>
                  </w14:solidFill>
                </w14:textFill>
              </w:rPr>
              <w:t>。</w:t>
            </w:r>
          </w:p>
          <w:p>
            <w:pPr>
              <w:pStyle w:val="87"/>
              <w:adjustRightInd w:val="0"/>
              <w:snapToGrid w:val="0"/>
              <w:spacing w:line="360" w:lineRule="auto"/>
              <w:ind w:firstLine="420"/>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项目产生的有机废气浓度较低，回收价值不大，采用“</w:t>
            </w:r>
            <w:r>
              <w:rPr>
                <w:color w:val="000000" w:themeColor="text1"/>
                <w:sz w:val="21"/>
                <w:szCs w:val="21"/>
                <w14:textFill>
                  <w14:solidFill>
                    <w14:schemeClr w14:val="tx1"/>
                  </w14:solidFill>
                </w14:textFill>
              </w:rPr>
              <w:t>两级活性炭吸附装置</w:t>
            </w:r>
            <w:r>
              <w:rPr>
                <w:color w:val="000000" w:themeColor="text1"/>
                <w:kern w:val="0"/>
                <w:sz w:val="21"/>
                <w:szCs w:val="21"/>
                <w14:textFill>
                  <w14:solidFill>
                    <w14:schemeClr w14:val="tx1"/>
                  </w14:solidFill>
                </w14:textFill>
              </w:rPr>
              <w:t>”处理后达标排放，符合</w:t>
            </w:r>
            <w:r>
              <w:rPr>
                <w:color w:val="000000" w:themeColor="text1"/>
                <w:sz w:val="21"/>
                <w:szCs w:val="21"/>
                <w14:textFill>
                  <w14:solidFill>
                    <w14:schemeClr w14:val="tx1"/>
                  </w14:solidFill>
                </w14:textFill>
              </w:rPr>
              <w:t>《挥发性有机物（VOCs）污染防治技术政策》（环保部公告2013年第31号）相关规定要求。</w:t>
            </w:r>
          </w:p>
          <w:p>
            <w:pPr>
              <w:pStyle w:val="87"/>
              <w:adjustRightInd w:val="0"/>
              <w:snapToGrid w:val="0"/>
              <w:spacing w:line="360" w:lineRule="auto"/>
              <w:ind w:firstLine="420"/>
              <w:rPr>
                <w:color w:val="000000" w:themeColor="text1"/>
                <w:sz w:val="21"/>
                <w:szCs w:val="21"/>
                <w:lang w:val="en"/>
                <w14:textFill>
                  <w14:solidFill>
                    <w14:schemeClr w14:val="tx1"/>
                  </w14:solidFill>
                </w14:textFill>
              </w:rPr>
            </w:pPr>
            <w:r>
              <w:rPr>
                <w:color w:val="000000" w:themeColor="text1"/>
                <w:sz w:val="21"/>
                <w:szCs w:val="21"/>
                <w:lang w:val="en"/>
                <w14:textFill>
                  <w14:solidFill>
                    <w14:schemeClr w14:val="tx1"/>
                  </w14:solidFill>
                </w14:textFill>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autoSpaceDE w:val="0"/>
              <w:autoSpaceDN w:val="0"/>
              <w:adjustRightInd w:val="0"/>
              <w:snapToGrid w:val="0"/>
              <w:spacing w:line="360" w:lineRule="auto"/>
              <w:ind w:left="105" w:leftChars="50" w:firstLine="315" w:firstLineChars="15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为提高项目废气的收集率，建设单位通过加大风量，确保其保持微负压状态，直接设置管道从全自动海绵自动发泡机中进行有机废气的收集，有效的提高废气收集率，减少无组织废气的排放。</w:t>
            </w:r>
          </w:p>
          <w:p>
            <w:pPr>
              <w:autoSpaceDE w:val="0"/>
              <w:autoSpaceDN w:val="0"/>
              <w:adjustRightInd w:val="0"/>
              <w:snapToGrid w:val="0"/>
              <w:spacing w:line="360" w:lineRule="auto"/>
              <w:ind w:firstLine="422" w:firstLineChars="200"/>
              <w:jc w:val="left"/>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相符性分析：</w:t>
            </w:r>
            <w:r>
              <w:rPr>
                <w:color w:val="000000" w:themeColor="text1"/>
                <w:szCs w:val="21"/>
                <w14:textFill>
                  <w14:solidFill>
                    <w14:schemeClr w14:val="tx1"/>
                  </w14:solidFill>
                </w14:textFill>
              </w:rPr>
              <w:t>针对项目产生的有机废气特点，项目采用组合工艺，采用“两级活性炭吸附装置”处理后达标排放，针对活性炭每3个月更换一次，更换出来的废活性炭委托有危险废物处理资质的单位处理。</w:t>
            </w:r>
          </w:p>
          <w:p>
            <w:pPr>
              <w:autoSpaceDE w:val="0"/>
              <w:autoSpaceDN w:val="0"/>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综上，本项目的建设符合《关于印发重点行业挥发性有机物综合治理方案的通知》（环大气[2019]57号）相关规定要求。</w:t>
            </w:r>
          </w:p>
          <w:p>
            <w:pPr>
              <w:pStyle w:val="67"/>
              <w:numPr>
                <w:ilvl w:val="0"/>
                <w:numId w:val="4"/>
              </w:numPr>
              <w:spacing w:line="360" w:lineRule="auto"/>
              <w:ind w:left="0" w:firstLine="357" w:firstLineChars="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与《关于印发〈广东省涉VOCs重点行业治理指引〉的通知》（粤环办[2021]43号文）的相符性分析</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项目主要产污工艺为注塑，因此参照</w:t>
            </w:r>
            <w:r>
              <w:rPr>
                <w:bCs/>
                <w:color w:val="000000" w:themeColor="text1"/>
                <w14:textFill>
                  <w14:solidFill>
                    <w14:schemeClr w14:val="tx1"/>
                  </w14:solidFill>
                </w14:textFill>
              </w:rPr>
              <w:t>《关于印发〈广东省涉VOCs重点行业治理指引〉的通知》（粤环办[2021]43号文）六、橡胶和塑料制品业 VOCs 治理指引</w:t>
            </w:r>
            <w:r>
              <w:rPr>
                <w:color w:val="000000" w:themeColor="text1"/>
                <w14:textFill>
                  <w14:solidFill>
                    <w14:schemeClr w14:val="tx1"/>
                  </w14:solidFill>
                </w14:textFill>
              </w:rPr>
              <w:t>：</w:t>
            </w:r>
          </w:p>
          <w:p>
            <w:pPr>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表1-2 与</w:t>
            </w:r>
            <w:r>
              <w:rPr>
                <w:b/>
                <w:color w:val="000000" w:themeColor="text1"/>
                <w14:textFill>
                  <w14:solidFill>
                    <w14:schemeClr w14:val="tx1"/>
                  </w14:solidFill>
                </w14:textFill>
              </w:rPr>
              <w:t>（粤环办[2021]43号文）</w:t>
            </w:r>
            <w:r>
              <w:rPr>
                <w:b/>
                <w:bCs/>
                <w:color w:val="000000" w:themeColor="text1"/>
                <w14:textFill>
                  <w14:solidFill>
                    <w14:schemeClr w14:val="tx1"/>
                  </w14:solidFill>
                </w14:textFill>
              </w:rPr>
              <w:t>相符性分析一览表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4"/>
              <w:gridCol w:w="4191"/>
              <w:gridCol w:w="287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类别</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要求</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相符性分析</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VOCs物料储存</w:t>
                  </w:r>
                </w:p>
              </w:tc>
              <w:tc>
                <w:tcPr>
                  <w:tcW w:w="2427" w:type="pct"/>
                  <w:vAlign w:val="center"/>
                </w:tcPr>
                <w:p>
                  <w:pPr>
                    <w:pStyle w:val="2"/>
                    <w:numPr>
                      <w:ilvl w:val="0"/>
                      <w:numId w:val="5"/>
                    </w:numPr>
                    <w:snapToGrid w:val="0"/>
                    <w:ind w:left="0" w:firstLine="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VOCs 物料应储存于密闭的容器、包装袋、储罐、储库、料仓中。</w:t>
                  </w:r>
                </w:p>
                <w:p>
                  <w:pPr>
                    <w:pStyle w:val="37"/>
                    <w:spacing w:before="0" w:beforeLines="0" w:line="240" w:lineRule="auto"/>
                    <w:ind w:firstLine="0"/>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2、盛装 VOCs 物料的容器是否存放于室内，或存放于设置有雨棚、遮阳和防渗设施的专用场地。盛装 VOCs 物料的容器在非取用状态时应加盖、封口，保持密闭。</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项目物料储存于密闭的容器中，再放置于密闭的原料仓中。</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VOCs物料转移和输送</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粉状、粒状 VOCs 物料采用气力输送设备、管状带式输送机、螺旋输送机等密闭输送方式，或者采用密闭的包装袋、容器或罐车进行物料转移。</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项目物料采用密闭的包装容器进行物料转移，与文件要求相符。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工艺过程</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在混合/混炼、塑炼/塑化/熔化、加工成型（挤出、注射、压制、压延、发泡、纺丝等）、硫化等作业中应采用密闭设备或在密闭空间中操作，废气应排至 VOCs 废气收集处理系统；无法密闭的，应采取局部气体收集措施，废气应排至 VOCs 废气收集处理系统</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项目注塑工序产生的废气通过集气罩收集后抽至两级活性炭吸附装置进行处理，与文件要求相符。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Merge w:val="restar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废气收集</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采用包围型集气罩的，距集气罩开口面最远处的 VOCs 无组织排放位置，控制风速不低于 0.3m/s。</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采用包围型集气罩的，距集气罩开口面最远处的VOCs 无组织排放位置，控制风速0.5m/s，与文件要求相符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Merge w:val="continue"/>
                  <w:vAlign w:val="center"/>
                </w:tcPr>
                <w:p>
                  <w:pPr>
                    <w:pStyle w:val="2"/>
                    <w:snapToGrid w:val="0"/>
                    <w:rPr>
                      <w:color w:val="000000" w:themeColor="text1"/>
                      <w:szCs w:val="21"/>
                      <w14:textFill>
                        <w14:solidFill>
                          <w14:schemeClr w14:val="tx1"/>
                        </w14:solidFill>
                      </w14:textFill>
                    </w:rPr>
                  </w:pP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废气收集系统的输送管道应密闭。废气收集系统应在负压下运行，若处于正压状态，应对管道组件的密封点进行泄漏检测，泄漏检测值不应超过 500μmol/mol，亦不应有感官可察觉泄漏。</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项目废气收集系统的输送管道密闭，与文件要求相符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排放水平</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塑料制品行业：a）有机废气排气筒排放浓度不高于广东省《大气污染物排放限值》（DB4427-2001）第</w:t>
                  </w:r>
                  <w:r>
                    <w:rPr>
                      <w:rFonts w:hint="eastAsia" w:ascii="宋体" w:hAnsi="宋体" w:cs="宋体"/>
                      <w:color w:val="000000" w:themeColor="text1"/>
                      <w:szCs w:val="21"/>
                      <w14:textFill>
                        <w14:solidFill>
                          <w14:schemeClr w14:val="tx1"/>
                        </w14:solidFill>
                      </w14:textFill>
                    </w:rPr>
                    <w:t>Ⅱ</w:t>
                  </w:r>
                  <w:r>
                    <w:rPr>
                      <w:color w:val="000000" w:themeColor="text1"/>
                      <w:szCs w:val="21"/>
                      <w14:textFill>
                        <w14:solidFill>
                          <w14:schemeClr w14:val="tx1"/>
                        </w14:solidFill>
                      </w14:textFill>
                    </w:rPr>
                    <w:t>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 NMHC 初始排放速率≥3 kg/h 时，建设 VOCs 处理设施且处理效率≥80%；b）厂区内无组织排放监控点 NMHC 的小时平均浓度值不超过 6 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，任意一次浓度值不超过 20 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项目生产设施排气中 NMHC 初始排放速率&lt;3 kg/h 时，建设 VOCs 处理设施且处理效率75%；项目注塑工序产生的有机废气排气筒排放浓度达到《合成树脂工业污染物排放标准》（GB31572-2015）表5特别排放限值，厂区内无组织排放监控点 NMHC 的小时平均浓度值不超过 6 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，任意一次浓度值不超过 20 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Merge w:val="restar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治理设施设计与运</w:t>
                  </w:r>
                </w:p>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行管理</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项目选择两级活性炭吸附装置对废气进行处理，活性炭定期更换，与文件要求相符。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Merge w:val="continue"/>
                  <w:vAlign w:val="center"/>
                </w:tcPr>
                <w:p>
                  <w:pPr>
                    <w:pStyle w:val="2"/>
                    <w:snapToGrid w:val="0"/>
                    <w:rPr>
                      <w:color w:val="000000" w:themeColor="text1"/>
                      <w:szCs w:val="21"/>
                      <w14:textFill>
                        <w14:solidFill>
                          <w14:schemeClr w14:val="tx1"/>
                        </w14:solidFill>
                      </w14:textFill>
                    </w:rPr>
                  </w:pP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VOCs 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项目废气处理设施与生产工艺设备同步运行，VOCs 治理设施发生故障或检修时，对应的生产工艺设备停止运行，与文件要求相符。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管理台账</w:t>
                  </w:r>
                </w:p>
              </w:tc>
              <w:tc>
                <w:tcPr>
                  <w:tcW w:w="2427" w:type="pct"/>
                  <w:vAlign w:val="center"/>
                </w:tcPr>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1、建立含 VOCs 原辅材料台账，记录含 VOCs 原辅材料的名称及其 VOCs 含量、采购量、使用量、库存量、含 VOCs 原辅材料回收方式及回收量。</w:t>
                  </w:r>
                </w:p>
                <w:p>
                  <w:pPr>
                    <w:pStyle w:val="37"/>
                    <w:spacing w:before="0" w:beforeLines="0" w:line="240" w:lineRule="auto"/>
                    <w:ind w:firstLine="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建立废气收集处理设施台账，记录废气处理设施进出口的监测数据（废气量、浓度、温度、含氧量等）、废气收集与处理设施关键参数、废气处理设施相关耗材（吸收剂、吸附剂、催化剂等）购买和处理记录。</w:t>
                  </w:r>
                </w:p>
                <w:p>
                  <w:pPr>
                    <w:pStyle w:val="39"/>
                    <w:adjustRightInd w:val="0"/>
                    <w:snapToGrid w:val="0"/>
                    <w:spacing w:line="24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3、建立危废台账，整理危废处置合同、转移联单及危废处理方资质佐证材料。</w:t>
                  </w:r>
                </w:p>
                <w:p>
                  <w:pPr>
                    <w:pStyle w:val="24"/>
                    <w:snapToGrid w:val="0"/>
                    <w:spacing w:line="240" w:lineRule="auto"/>
                    <w:ind w:left="0" w:leftChars="0"/>
                    <w:rPr>
                      <w:color w:val="000000" w:themeColor="text1"/>
                      <w:szCs w:val="21"/>
                      <w14:textFill>
                        <w14:solidFill>
                          <w14:schemeClr w14:val="tx1"/>
                        </w14:solidFill>
                      </w14:textFill>
                    </w:rPr>
                  </w:pPr>
                  <w:r>
                    <w:rPr>
                      <w:color w:val="000000" w:themeColor="text1"/>
                      <w:szCs w:val="21"/>
                      <w14:textFill>
                        <w14:solidFill>
                          <w14:schemeClr w14:val="tx1"/>
                        </w14:solidFill>
                      </w14:textFill>
                    </w:rPr>
                    <w:t>4、台账保存期限不少于 3 年。</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按相应要求管理台账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自行监测</w:t>
                  </w:r>
                </w:p>
              </w:tc>
              <w:tc>
                <w:tcPr>
                  <w:tcW w:w="2427" w:type="pct"/>
                  <w:vAlign w:val="center"/>
                </w:tcPr>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塑料制品行业简化管理排污单位废气排放口及无组织排放每年一次。</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项目每年监测一次排放口及无组织排放废气的监测</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危废管理</w:t>
                  </w:r>
                </w:p>
              </w:tc>
              <w:tc>
                <w:tcPr>
                  <w:tcW w:w="242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工艺过程产生的含 VOCs 废料（渣、液）应按照相关要求进行储存、转移和输送。盛装过 VOCs 物料的废包装容器应加盖密闭。</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项目生产过程中产生的废活性炭按相关要求进行储存、转移和输送。盛装过 VOCs 物料的废包装容器加盖密闭。</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6"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建设项目 VOCs 总</w:t>
                  </w:r>
                </w:p>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量管理</w:t>
                  </w:r>
                </w:p>
              </w:tc>
              <w:tc>
                <w:tcPr>
                  <w:tcW w:w="2427" w:type="pct"/>
                  <w:vAlign w:val="center"/>
                </w:tcPr>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新、改、扩建项目应执行总量替代制度，明确 VOCs 总量指标来源。</w:t>
                  </w:r>
                </w:p>
              </w:tc>
              <w:tc>
                <w:tcPr>
                  <w:tcW w:w="1667" w:type="pct"/>
                  <w:vAlign w:val="center"/>
                </w:tcPr>
                <w:p>
                  <w:pPr>
                    <w:pStyle w:val="2"/>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项目总量控制指标由生态环境局分配</w:t>
                  </w:r>
                </w:p>
              </w:tc>
            </w:tr>
          </w:tbl>
          <w:p>
            <w:pPr>
              <w:snapToGrid w:val="0"/>
              <w:spacing w:line="360" w:lineRule="auto"/>
              <w:ind w:firstLine="420" w:firstLineChars="200"/>
              <w:rPr>
                <w:b/>
                <w:bCs/>
                <w:color w:val="000000" w:themeColor="text1"/>
                <w14:textFill>
                  <w14:solidFill>
                    <w14:schemeClr w14:val="tx1"/>
                  </w14:solidFill>
                </w14:textFill>
              </w:rPr>
            </w:pPr>
            <w:r>
              <w:rPr>
                <w:color w:val="000000" w:themeColor="text1"/>
                <w14:textFill>
                  <w14:solidFill>
                    <w14:schemeClr w14:val="tx1"/>
                  </w14:solidFill>
                </w14:textFill>
              </w:rPr>
              <w:t>3）</w:t>
            </w:r>
            <w:r>
              <w:rPr>
                <w:b/>
                <w:bCs/>
                <w:color w:val="000000" w:themeColor="text1"/>
                <w14:textFill>
                  <w14:solidFill>
                    <w14:schemeClr w14:val="tx1"/>
                  </w14:solidFill>
                </w14:textFill>
              </w:rPr>
              <w:t>与《广东省大气污染防治条例》（广东省第十三届人民代表大会常务委员会公告（第20号））相符性分析</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第二十六条 新建、改建、扩建排放挥发性有机物的建设项目，应当使用污染防治先进可行技术。</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(一)石油、化工、煤炭加工与转化等含挥发性有机物原料的生产;</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(二)燃油、溶剂的储存、运输和销售;</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(三)涂料、油墨、胶粘剂、农药等以挥发性有机物为原料的生产;</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(四)涂装、印刷、粘合、工业清洗等使用含挥发性有机物产品的生产活动;</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(五)其他产生挥发性有机物的生产和服务活动。</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p>
          <w:p>
            <w:pPr>
              <w:pStyle w:val="25"/>
              <w:shd w:val="clear" w:color="auto" w:fill="FFFFFF"/>
              <w:snapToGrid w:val="0"/>
              <w:spacing w:before="0" w:beforeAutospacing="0" w:after="0" w:afterAutospacing="0" w:line="360" w:lineRule="auto"/>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　　其他产生挥发性有机物的工业企业应当按照国家和省的有关规定，建立台账并向县级以上人民政府生态环境主管部门如实申报原辅材料使用等情况。台账保存期限不少于三年。</w:t>
            </w:r>
          </w:p>
          <w:p>
            <w:pPr>
              <w:snapToGrid w:val="0"/>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符合性分析：</w:t>
            </w:r>
            <w:r>
              <w:rPr>
                <w:color w:val="000000" w:themeColor="text1"/>
                <w:szCs w:val="21"/>
                <w14:textFill>
                  <w14:solidFill>
                    <w14:schemeClr w14:val="tx1"/>
                  </w14:solidFill>
                </w14:textFill>
              </w:rPr>
              <w:t>建设单位生产过程产生的有机废气集中收集至“两级活性炭吸附”处理达标后通过 15m 排气筒高空排放，建设单位建成后将按照国家和省的有关规定，建立台账并向县级以上人民政府生态环境主管部门如实申报原辅材料使用等情况，并保存台账不少于三年，项目建设符合文件的要求。</w:t>
            </w:r>
          </w:p>
          <w:p>
            <w:pPr>
              <w:pStyle w:val="67"/>
              <w:numPr>
                <w:ilvl w:val="0"/>
                <w:numId w:val="6"/>
              </w:numPr>
              <w:snapToGrid w:val="0"/>
              <w:spacing w:line="360" w:lineRule="auto"/>
              <w:ind w:firstLineChars="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其他方面</w:t>
            </w:r>
          </w:p>
          <w:p>
            <w:pPr>
              <w:snapToGrid w:val="0"/>
              <w:spacing w:line="360" w:lineRule="auto"/>
              <w:ind w:left="42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1）项目选址与《广东省生态环境保护“十四五”规划》的相符性分析</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根据《广东省生态环境保护“十四五”规划》：</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第五章 加强协同控制，引领大气环境质量改善</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大力推进挥发性有机物（VOCs）源头控制和重点行业深度治理。开展原油、成品油、有机化学品等涉 VOCs 物质储罐排查，深化重点行业 VOCs 排放基数调查，系统掌握工业源 VOCs 产生、处理、排放及分布情况，分类建立台账，实施 VOCs 精细化管理。在石化、化工、包装印刷、工业涂装等重点行业建立完善源头、过程和末端的 VOCs 全过程控制体系。大力推进低 VOCs 含量原辅材料源头替代，严格落实国家和地方产品 VOCs 含量限值质量标准，禁止建设生产和使用高 VOCs 含量的溶剂型涂料、油墨、胶粘剂等项目。严格实施 VOCs 排放企业分级管控，全面推进涉 VOCs 排放企业深度治理。开展中小型企业废气收集和治理设施建设、运行情况的评估，强化对企业涉 VOCs 生产车间/工序废气的收集管理，推动企业开展治理设施升级改造。推进工业园区、企业集群因地制宜统筹规划建设一批集中喷涂中心（共性工厂）、活性炭集中再生中心，实现 VOCs 集中高效处理。开展无组织排放源排查，加强含VOCs 物料全方位、全链条、全环节密闭管理，深入推进泄漏检测与修复（LDAR）工作。</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第六章 实施系统治理修复，推进南粤秀水长清</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深入推进水污染减排。聚焦国考断面达标、万里碧道建设，围绕“查、测、溯、治”，分类推进入河排污口规范化整治，以佛山、中山、东莞等市为重点试点推进入河排污口规范化管理体系建设，建立入河排污口动态更新及定期排查机制。持续推进工业、城镇、农业农村、港口船舶等污染源治理。加强农副产品加工、印染、化工等重点行业综合整治，持续推进清洁化改造。推进高耗水行业实施废水深度处理回用，强化工业园区工业废水和生活污水分质分类处理，推进省级以上工业园区“污水零直排区”创建。实施城镇生活污水处理提质增效，推进生活污水管网全覆盖，补足生活污水处理厂弱项，稳步提升生活污水处理厂进水生化需氧量（BOD）浓度，提升生活污水收集和处理效能。到 2025 年，基本实现地级及以上城市建成区污水“零直排”，全省城市生活污水集中收集率力争达到 70%以上，广州、深圳达到 85%以上，粤港澳大湾区地级市（广州、深圳、肇庆除外）达到 75%以上，其他城市提升 15 个百分点。加快推进污泥无害化处置和资源化利用，到 2025 年，全省地级及以上城市污泥无害化处置率达到 95%。强化农村生活污水治理、畜禽及水产养殖污染防治、种植污染管控。系统推进航运污染整治，加快推进船舶污水治理、老旧及难以达标船舶淘汰，统筹规划建设港口码头船舶污染物接收设施，提升船舶水污染物收集转运处理能力。不满足船舶水污染物排放要求的 400 总吨以下内河船舶应当完成水污染物收集储存设备改造，采取船上储存、交岸接收的方式处置。</w:t>
            </w:r>
          </w:p>
          <w:p>
            <w:pPr>
              <w:snapToGrid w:val="0"/>
              <w:spacing w:line="360" w:lineRule="auto"/>
              <w:ind w:firstLine="422" w:firstLineChars="200"/>
              <w:rPr>
                <w:color w:val="000000" w:themeColor="text1"/>
                <w:szCs w:val="21"/>
                <w14:textFill>
                  <w14:solidFill>
                    <w14:schemeClr w14:val="tx1"/>
                  </w14:solidFill>
                </w14:textFill>
              </w:rPr>
            </w:pPr>
            <w:r>
              <w:rPr>
                <w:b/>
                <w:color w:val="000000" w:themeColor="text1"/>
                <w:szCs w:val="21"/>
                <w14:textFill>
                  <w14:solidFill>
                    <w14:schemeClr w14:val="tx1"/>
                  </w14:solidFill>
                </w14:textFill>
              </w:rPr>
              <w:t>相符性分析：</w:t>
            </w:r>
            <w:r>
              <w:rPr>
                <w:color w:val="000000" w:themeColor="text1"/>
                <w:szCs w:val="21"/>
                <w14:textFill>
                  <w14:solidFill>
                    <w14:schemeClr w14:val="tx1"/>
                  </w14:solidFill>
                </w14:textFill>
              </w:rPr>
              <w:t>博罗县石湾镇富特塑胶五金厂建设项目选址位于惠州市博罗县石湾镇鸾岗大道南侧明月二路354号，属于东江流域范围。</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本项目无工业废水排放，项目所在区域为博罗县石湾镇西基生活污水处理厂纳污范围，员工生活污水经三级化粪池预处理达到</w:t>
            </w:r>
            <w:r>
              <w:rPr>
                <w:color w:val="000000" w:themeColor="text1"/>
                <w:szCs w:val="21"/>
                <w14:textFill>
                  <w14:solidFill>
                    <w14:schemeClr w14:val="tx1"/>
                  </w14:solidFill>
                </w14:textFill>
              </w:rPr>
              <w:t>广东省地方标准《水污染物排放限值》（DB44/26-2001）第二时段三级标准</w:t>
            </w:r>
            <w:r>
              <w:rPr>
                <w:color w:val="000000" w:themeColor="text1"/>
                <w:kern w:val="1"/>
                <w:szCs w:val="21"/>
                <w14:textFill>
                  <w14:solidFill>
                    <w14:schemeClr w14:val="tx1"/>
                  </w14:solidFill>
                </w14:textFill>
              </w:rPr>
              <w:t>后通过市政纳污管网排入博罗县石湾镇西基生活污水处理厂进一步处理，其尾水中的COD、氨氮、总氮和总磷执行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szCs w:val="21"/>
                <w14:textFill>
                  <w14:solidFill>
                    <w14:schemeClr w14:val="tx1"/>
                  </w14:solidFill>
                </w14:textFill>
              </w:rPr>
              <w:t>2）</w:t>
            </w:r>
            <w:r>
              <w:rPr>
                <w:b/>
                <w:bCs/>
                <w:color w:val="000000" w:themeColor="text1"/>
                <w14:textFill>
                  <w14:solidFill>
                    <w14:schemeClr w14:val="tx1"/>
                  </w14:solidFill>
                </w14:textFill>
              </w:rPr>
              <w:t>项目建设与</w:t>
            </w:r>
            <w:bookmarkStart w:id="1" w:name="_Hlk108018696"/>
            <w:r>
              <w:rPr>
                <w:b/>
                <w:bCs/>
                <w:color w:val="000000" w:themeColor="text1"/>
                <w14:textFill>
                  <w14:solidFill>
                    <w14:schemeClr w14:val="tx1"/>
                  </w14:solidFill>
                </w14:textFill>
              </w:rPr>
              <w:t>《惠州市人民政府关于印发惠州市生态环境保护“十四五”规划的通知》（惠府【2022】11号）的相符性分析</w:t>
            </w:r>
          </w:p>
          <w:bookmarkEnd w:id="1"/>
          <w:p>
            <w:pPr>
              <w:adjustRightInd w:val="0"/>
              <w:snapToGrid w:val="0"/>
              <w:spacing w:line="360" w:lineRule="auto"/>
              <w:ind w:firstLine="420" w:firstLineChars="200"/>
              <w:rPr>
                <w:color w:val="000000" w:themeColor="text1"/>
                <w14:textFill>
                  <w14:solidFill>
                    <w14:schemeClr w14:val="tx1"/>
                  </w14:solidFill>
                </w14:textFill>
              </w:rPr>
            </w:pPr>
            <w:bookmarkStart w:id="2" w:name="_Hlk108018738"/>
            <w:r>
              <w:rPr>
                <w:color w:val="000000" w:themeColor="text1"/>
                <w14:textFill>
                  <w14:solidFill>
                    <w14:schemeClr w14:val="tx1"/>
                  </w14:solidFill>
                </w14:textFill>
              </w:rPr>
              <w:t>根据《惠州市人民政府关于印发惠州市生态环境保护“十四五”规划的通知》（惠府[2022]11号）：</w:t>
            </w:r>
          </w:p>
          <w:bookmarkEnd w:id="2"/>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1）第五章 加强大气环境精细化管理，打造全国空气质量</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第二节 大力推进工业源深度治理</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14:textFill>
                  <w14:solidFill>
                    <w14:schemeClr w14:val="tx1"/>
                  </w14:solidFill>
                </w14:textFill>
              </w:rPr>
              <w:t>加强挥发性有机物（VOCs）深度治理。建立健全全市 VOCs重点管控企业清单，督促重点行业企业编制VOCs深度治理手册，指导辖区内 VOCs 重点监管企业“按单施治”。实施 VOCs 重点企业分级管控，更新建立重点企业分级管理台账。加强低挥发性有机物原辅材料替代，严格执行大宗有机溶剂产品 VOCs 含量限值标准，禁止建设生产和使用高 VOCs 含量的溶剂型涂料、油墨、胶粘剂等项目。落实建设项目 VOCs 削减替代制度，重点推进炼油石化、化工、工业涂装、印刷、制鞋、电子制造等重点行业，以及机动车和油品储运销等领域 VOCs 减排。以加油站、储油库为重点，加强 VOCs 无组织排放控制，加强储罐、装卸、设备管线组件、污水处理厂等通用设施污染源项管理。大亚湾石化区石油炼制及化工</w:t>
            </w:r>
            <w:r>
              <w:rPr>
                <w:color w:val="000000" w:themeColor="text1"/>
                <w:szCs w:val="21"/>
                <w14:textFill>
                  <w14:solidFill>
                    <w14:schemeClr w14:val="tx1"/>
                  </w14:solidFill>
                </w14:textFill>
              </w:rPr>
              <w:t>行业全面实施 VOCs 泄漏检测与修复（LDAR）工作，加快应用 VOCs 走航监测等新技术，加快推动车用汽油年销售量 5000 吨以上的加油站开展油气回收在线监控。</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第六章 推动水生态系统提质修复，打造河畅水清的水生态景观</w:t>
            </w:r>
          </w:p>
          <w:p>
            <w:pPr>
              <w:pStyle w:val="2"/>
              <w:snapToGrid w:val="0"/>
              <w:spacing w:line="360" w:lineRule="auto"/>
              <w:ind w:firstLine="482"/>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二、深化水污染源头治理</w:t>
            </w:r>
          </w:p>
          <w:p>
            <w:pPr>
              <w:pStyle w:val="2"/>
              <w:snapToGrid w:val="0"/>
              <w:spacing w:line="360" w:lineRule="auto"/>
              <w:ind w:firstLine="482"/>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持续开展入河排污口“查、测、溯、治”，按照封堵一批、整治一批、规范一批要求，建立入河排污口动态更新及定期排查机制，分类推进入河排污口规范化整治。严格实行东江、西枝江沿岸，淡水河、潼湖、沙河等重点流域水污染型项目限批准入，对存在重大环境问题、未完成污染整治任务的区域实行区域限批，对定点园区外的电镀、印染、化工等重污染项目实行行业限批。以国省考断面汇水范围为重点，加强流域内电镀、制革、印染、有色金属、化工等行业企业搬迁和清洁化改造，推进高耗水行业实施废水深度处理回用，推进工业集聚区“污水零直排区”创建。全面推进工业集聚区建设污水集中处理设施并安装在线监控系统。强化农村生活污水治理、畜禽及水产养殖污染防治、种植污染管控，严防禁养区内非法养殖反弹。以惠州港为重点，加强船舶污染物、废弃物接收、转运及处理处置设施建设，不满足船舶水污染物排放要求的400总吨以下内河船舶应当完成水污染物收集储存设备改造，采取船上储存、交岸接收的方式处置，确保船舶水污染物达标排放。</w:t>
            </w:r>
          </w:p>
          <w:p>
            <w:pPr>
              <w:pStyle w:val="2"/>
              <w:snapToGrid w:val="0"/>
              <w:spacing w:line="360" w:lineRule="auto"/>
              <w:ind w:firstLine="482"/>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p>
            <w:pPr>
              <w:adjustRightInd w:val="0"/>
              <w:snapToGrid w:val="0"/>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相符性分析：</w:t>
            </w:r>
            <w:r>
              <w:rPr>
                <w:color w:val="000000" w:themeColor="text1"/>
                <w:szCs w:val="21"/>
                <w14:textFill>
                  <w14:solidFill>
                    <w14:schemeClr w14:val="tx1"/>
                  </w14:solidFill>
                </w14:textFill>
              </w:rPr>
              <w:t>本项目属于《国民经济行业分类》（GB/T 4754-2017）及第1号修改单中的C3872照明灯具制造和C2929塑料零件及其他塑料制品制造，项目生产过程产生的有机废气经处理达标后排放</w:t>
            </w:r>
            <w:r>
              <w:rPr>
                <w:color w:val="000000" w:themeColor="text1"/>
                <w:lang w:bidi="ar"/>
                <w14:textFill>
                  <w14:solidFill>
                    <w14:schemeClr w14:val="tx1"/>
                  </w14:solidFill>
                </w14:textFill>
              </w:rPr>
              <w:t>；</w:t>
            </w:r>
            <w:r>
              <w:rPr>
                <w:color w:val="000000" w:themeColor="text1"/>
                <w:kern w:val="1"/>
                <w:szCs w:val="21"/>
                <w14:textFill>
                  <w14:solidFill>
                    <w14:schemeClr w14:val="tx1"/>
                  </w14:solidFill>
                </w14:textFill>
              </w:rPr>
              <w:t>本项目无工业废水排放，项目所在区域为博罗县石湾镇西基生活污水处理厂纳污范围，员工生活污水经三级化粪池预处理达到</w:t>
            </w:r>
            <w:r>
              <w:rPr>
                <w:color w:val="000000" w:themeColor="text1"/>
                <w:szCs w:val="21"/>
                <w14:textFill>
                  <w14:solidFill>
                    <w14:schemeClr w14:val="tx1"/>
                  </w14:solidFill>
                </w14:textFill>
              </w:rPr>
              <w:t>广东省地方标准《水污染物排放限值》（DB44/26-2001）第二时段三级标准</w:t>
            </w:r>
            <w:r>
              <w:rPr>
                <w:color w:val="000000" w:themeColor="text1"/>
                <w:kern w:val="1"/>
                <w:szCs w:val="21"/>
                <w14:textFill>
                  <w14:solidFill>
                    <w14:schemeClr w14:val="tx1"/>
                  </w14:solidFill>
                </w14:textFill>
              </w:rPr>
              <w:t>后通过市政纳污管网排入博罗县石湾镇西基生活污水处理厂进一步处理，其尾水中的COD、氨氮、总氮和总磷执行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项目</w:t>
            </w:r>
            <w:r>
              <w:rPr>
                <w:b/>
                <w:color w:val="000000" w:themeColor="text1"/>
                <w:szCs w:val="21"/>
                <w14:textFill>
                  <w14:solidFill>
                    <w14:schemeClr w14:val="tx1"/>
                  </w14:solidFill>
                </w14:textFill>
              </w:rPr>
              <w:t>与《惠州市推进工业企业低挥发性有机物原辅材料替代工作方案》（惠市工信[2021]228号）相符性分析</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以下内容引自《惠州市推进工业企业低挥发性有机物原辅材料替代工作方案》</w:t>
            </w:r>
            <w:r>
              <w:rPr>
                <w:bCs/>
                <w:color w:val="000000" w:themeColor="text1"/>
                <w:szCs w:val="21"/>
                <w14:textFill>
                  <w14:solidFill>
                    <w14:schemeClr w14:val="tx1"/>
                  </w14:solidFill>
                </w14:textFill>
              </w:rPr>
              <w:t>（惠市工信[2021]228号）</w:t>
            </w:r>
            <w:r>
              <w:rPr>
                <w:color w:val="000000" w:themeColor="text1"/>
                <w:szCs w:val="21"/>
                <w14:textFill>
                  <w14:solidFill>
                    <w14:schemeClr w14:val="tx1"/>
                  </w14:solidFill>
                </w14:textFill>
              </w:rPr>
              <w:t>：</w:t>
            </w:r>
          </w:p>
          <w:p>
            <w:pPr>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分类处置，应替尽替”的原则，通过“示范引领，执法倒逼”等方式，推动工业涂装、家具喷涂、包装印刷等重点行业低VOCs含量源头替代，采用符合国家有关低VOCs含量产品规定的涂料、油墨、胶粘剂、切削液、润滑液等，或使用的原辅材VOCs含量（质量比）均低于10%的工序。工业涂装行业根据《涂料中挥发性有机物限量》中VOCs含量限值要求，重点加快使用粉末、水性、高固体分、辐射固化等低VOCs含量的涂料替代溶剂型涂料；包装印刷行业重点推广使用植物基油基油墨、辐射固化油墨、低醇润版液等低VOCs含量原辅材料，重点推进塑料软包装印刷、印铁制罐等企业的替代任务。大力推进企业低挥发性有机物源头替代工作，从源头上减少挥发性有机物排放。</w:t>
            </w:r>
          </w:p>
          <w:p>
            <w:pPr>
              <w:snapToGrid w:val="0"/>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相符性分析：</w:t>
            </w:r>
            <w:r>
              <w:rPr>
                <w:color w:val="000000" w:themeColor="text1"/>
                <w:szCs w:val="21"/>
                <w14:textFill>
                  <w14:solidFill>
                    <w14:schemeClr w14:val="tx1"/>
                  </w14:solidFill>
                </w14:textFill>
              </w:rPr>
              <w:t>本项目属于《国民经济行业分类》（GB/T 4754-2017）及第1号修改单中的C3872照明灯具制造和C2929塑料零件及其他塑料制品制造，项目生产过程产生的有机废气经处理达标后排放。因此，项目建设与《惠州市推进工业企业低挥发性有机物原辅材料替代工作方案》（惠市工信[2021]228号）相符。</w:t>
            </w: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ind w:firstLine="420" w:firstLineChars="200"/>
              <w:rPr>
                <w:snapToGrid w:val="0"/>
                <w:color w:val="000000" w:themeColor="text1"/>
                <w14:textFill>
                  <w14:solidFill>
                    <w14:schemeClr w14:val="tx1"/>
                  </w14:solidFill>
                </w14:textFill>
              </w:rPr>
            </w:pPr>
          </w:p>
          <w:p>
            <w:pPr>
              <w:adjustRightInd w:val="0"/>
              <w:snapToGrid w:val="0"/>
              <w:spacing w:line="360" w:lineRule="auto"/>
              <w:rPr>
                <w:snapToGrid w:val="0"/>
                <w:color w:val="000000" w:themeColor="text1"/>
                <w14:textFill>
                  <w14:solidFill>
                    <w14:schemeClr w14:val="tx1"/>
                  </w14:solidFill>
                </w14:textFill>
              </w:rPr>
            </w:pPr>
          </w:p>
        </w:tc>
      </w:tr>
    </w:tbl>
    <w:p>
      <w:pPr>
        <w:rPr>
          <w:snapToGrid w:val="0"/>
          <w:color w:val="000000" w:themeColor="text1"/>
          <w14:textFill>
            <w14:solidFill>
              <w14:schemeClr w14:val="tx1"/>
            </w14:solidFill>
          </w14:textFill>
        </w:rPr>
        <w:sectPr>
          <w:pgSz w:w="11906" w:h="16838"/>
          <w:pgMar w:top="1418" w:right="1418" w:bottom="1418" w:left="1418" w:header="567" w:footer="567" w:gutter="0"/>
          <w:cols w:space="425"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二、建设项目工程分析</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 w:type="pct"/>
            <w:vAlign w:val="center"/>
          </w:tcPr>
          <w:p>
            <w:pPr>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w:t>
            </w:r>
          </w:p>
          <w:p>
            <w:pPr>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内容</w:t>
            </w:r>
          </w:p>
        </w:tc>
        <w:tc>
          <w:tcPr>
            <w:tcW w:w="4794" w:type="pct"/>
          </w:tcPr>
          <w:p>
            <w:pPr>
              <w:numPr>
                <w:ilvl w:val="0"/>
                <w:numId w:val="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工程组成</w:t>
            </w:r>
          </w:p>
          <w:p>
            <w:pPr>
              <w:spacing w:line="360" w:lineRule="auto"/>
              <w:ind w:firstLine="420" w:firstLineChars="200"/>
              <w:rPr>
                <w:color w:val="000000" w:themeColor="text1"/>
                <w:szCs w:val="21"/>
                <w14:textFill>
                  <w14:solidFill>
                    <w14:schemeClr w14:val="tx1"/>
                  </w14:solidFill>
                </w14:textFill>
              </w:rPr>
            </w:pPr>
            <w:bookmarkStart w:id="3" w:name="_Hlk111931194"/>
            <w:r>
              <w:rPr>
                <w:color w:val="000000" w:themeColor="text1"/>
                <w:szCs w:val="21"/>
                <w14:textFill>
                  <w14:solidFill>
                    <w14:schemeClr w14:val="tx1"/>
                  </w14:solidFill>
                </w14:textFill>
              </w:rPr>
              <w:t>博罗县石湾镇富特塑胶五金厂建设项目（以下简称“本项目”）位于</w:t>
            </w:r>
            <w:bookmarkStart w:id="4" w:name="_Hlk108423519"/>
            <w:r>
              <w:rPr>
                <w:color w:val="000000" w:themeColor="text1"/>
                <w:szCs w:val="21"/>
                <w14:textFill>
                  <w14:solidFill>
                    <w14:schemeClr w14:val="tx1"/>
                  </w14:solidFill>
                </w14:textFill>
              </w:rPr>
              <w:t>惠州市博罗县石湾镇鸾岗大道南侧明月二路354号（项目所在地经纬度为E113°53'8.754"（113.885765°），N23°9'18.140"（23.155039°））</w:t>
            </w:r>
            <w:bookmarkEnd w:id="4"/>
            <w:r>
              <w:rPr>
                <w:color w:val="000000" w:themeColor="text1"/>
                <w:szCs w:val="21"/>
                <w14:textFill>
                  <w14:solidFill>
                    <w14:schemeClr w14:val="tx1"/>
                  </w14:solidFill>
                </w14:textFill>
              </w:rPr>
              <w:t>，占地面积约为666m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，建筑面积约为2230.49m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，主要从事灯具和装饰牌的生产，年产灯具16500套（其中射灯1000套、头灯电筒5000套、挂灯500套、普通灯具10000套）和装饰牌100万套。项目员工人数50人，不在项目内食宿，年平均工作300天，每天平均工作8小时</w:t>
            </w:r>
            <w:bookmarkEnd w:id="3"/>
            <w:r>
              <w:rPr>
                <w:color w:val="000000" w:themeColor="text1"/>
                <w:szCs w:val="21"/>
                <w14:textFill>
                  <w14:solidFill>
                    <w14:schemeClr w14:val="tx1"/>
                  </w14:solidFill>
                </w14:textFill>
              </w:rPr>
              <w:t>。项目工程组成一览表见下表：</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表2-1  项目工程组成一览表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6"/>
              <w:gridCol w:w="1012"/>
              <w:gridCol w:w="1345"/>
              <w:gridCol w:w="481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工程类别</w:t>
                  </w: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lang w:bidi="ar"/>
                      <w14:textFill>
                        <w14:solidFill>
                          <w14:schemeClr w14:val="tx1"/>
                        </w14:solidFill>
                      </w14:textFill>
                    </w:rPr>
                    <w:t>构筑物名称</w:t>
                  </w: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建设规模</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restar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主体工程</w:t>
                  </w: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厂房</w:t>
                  </w:r>
                </w:p>
              </w:tc>
              <w:tc>
                <w:tcPr>
                  <w:tcW w:w="2786" w:type="pct"/>
                  <w:vAlign w:val="center"/>
                </w:tcPr>
                <w:p>
                  <w:pPr>
                    <w:tabs>
                      <w:tab w:val="left" w:pos="2220"/>
                      <w:tab w:val="center" w:pos="4952"/>
                    </w:tabs>
                    <w:jc w:val="center"/>
                    <w:rPr>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1栋3层的厂房，项目租赁整栋厂房，其中1F和2F为生产车间，3F为办公室和仓库，建筑面积合计2230.49m</w:t>
                  </w:r>
                  <w:r>
                    <w:rPr>
                      <w:bCs/>
                      <w:color w:val="000000" w:themeColor="text1"/>
                      <w:szCs w:val="21"/>
                      <w:vertAlign w:val="superscript"/>
                      <w:lang w:bidi="ar"/>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注塑车间</w:t>
                  </w:r>
                </w:p>
              </w:tc>
              <w:tc>
                <w:tcPr>
                  <w:tcW w:w="2786" w:type="pct"/>
                  <w:vAlign w:val="center"/>
                </w:tcPr>
                <w:p>
                  <w:pPr>
                    <w:tabs>
                      <w:tab w:val="left" w:pos="2220"/>
                      <w:tab w:val="center" w:pos="4952"/>
                    </w:tabs>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位于厂房1F东北部，包括注塑区和模具维修区，</w:t>
                  </w:r>
                  <w:r>
                    <w:rPr>
                      <w:bCs/>
                      <w:color w:val="000000" w:themeColor="text1"/>
                      <w:szCs w:val="21"/>
                      <w:lang w:bidi="ar"/>
                      <w14:textFill>
                        <w14:solidFill>
                          <w14:schemeClr w14:val="tx1"/>
                        </w14:solidFill>
                      </w14:textFill>
                    </w:rPr>
                    <w:t>建筑面积216m</w:t>
                  </w:r>
                  <w:r>
                    <w:rPr>
                      <w:bCs/>
                      <w:color w:val="000000" w:themeColor="text1"/>
                      <w:szCs w:val="21"/>
                      <w:vertAlign w:val="superscript"/>
                      <w:lang w:bidi="ar"/>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机加工车间</w:t>
                  </w:r>
                </w:p>
              </w:tc>
              <w:tc>
                <w:tcPr>
                  <w:tcW w:w="2786" w:type="pct"/>
                  <w:vAlign w:val="center"/>
                </w:tcPr>
                <w:p>
                  <w:pPr>
                    <w:tabs>
                      <w:tab w:val="left" w:pos="2220"/>
                      <w:tab w:val="center" w:pos="4952"/>
                    </w:tabs>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位于厂房1F西部和东南部，</w:t>
                  </w:r>
                  <w:r>
                    <w:rPr>
                      <w:bCs/>
                      <w:color w:val="000000" w:themeColor="text1"/>
                      <w:szCs w:val="21"/>
                      <w:lang w:bidi="ar"/>
                      <w14:textFill>
                        <w14:solidFill>
                          <w14:schemeClr w14:val="tx1"/>
                        </w14:solidFill>
                      </w14:textFill>
                    </w:rPr>
                    <w:t>建筑面积420m</w:t>
                  </w:r>
                  <w:r>
                    <w:rPr>
                      <w:bCs/>
                      <w:color w:val="000000" w:themeColor="text1"/>
                      <w:szCs w:val="21"/>
                      <w:vertAlign w:val="superscript"/>
                      <w:lang w:bidi="ar"/>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装配车间</w:t>
                  </w:r>
                </w:p>
              </w:tc>
              <w:tc>
                <w:tcPr>
                  <w:tcW w:w="2786" w:type="pct"/>
                  <w:vAlign w:val="center"/>
                </w:tcPr>
                <w:p>
                  <w:pPr>
                    <w:tabs>
                      <w:tab w:val="left" w:pos="2220"/>
                      <w:tab w:val="center" w:pos="4952"/>
                    </w:tabs>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位于厂房2F</w:t>
                  </w:r>
                  <w:r>
                    <w:rPr>
                      <w:bCs/>
                      <w:color w:val="000000" w:themeColor="text1"/>
                      <w:szCs w:val="21"/>
                      <w:lang w:bidi="ar"/>
                      <w14:textFill>
                        <w14:solidFill>
                          <w14:schemeClr w14:val="tx1"/>
                        </w14:solidFill>
                      </w14:textFill>
                    </w:rPr>
                    <w:t>，建筑面积666m</w:t>
                  </w:r>
                  <w:r>
                    <w:rPr>
                      <w:bCs/>
                      <w:color w:val="000000" w:themeColor="text1"/>
                      <w:szCs w:val="21"/>
                      <w:vertAlign w:val="superscript"/>
                      <w:lang w:bidi="ar"/>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849"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辅助工程</w:t>
                  </w:r>
                </w:p>
              </w:tc>
              <w:tc>
                <w:tcPr>
                  <w:tcW w:w="1365" w:type="pct"/>
                  <w:gridSpan w:val="2"/>
                  <w:vAlign w:val="center"/>
                </w:tcPr>
                <w:p>
                  <w:pPr>
                    <w:jc w:val="center"/>
                    <w:rPr>
                      <w:bCs/>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办公室</w:t>
                  </w:r>
                </w:p>
              </w:tc>
              <w:tc>
                <w:tcPr>
                  <w:tcW w:w="2786" w:type="pct"/>
                  <w:vAlign w:val="center"/>
                </w:tcPr>
                <w:p>
                  <w:pPr>
                    <w:jc w:val="center"/>
                    <w:rPr>
                      <w:bCs/>
                      <w:color w:val="000000" w:themeColor="text1"/>
                      <w:szCs w:val="21"/>
                      <w14:textFill>
                        <w14:solidFill>
                          <w14:schemeClr w14:val="tx1"/>
                        </w14:solidFill>
                      </w14:textFill>
                    </w:rPr>
                  </w:pPr>
                  <w:r>
                    <w:rPr>
                      <w:bCs/>
                      <w:color w:val="000000" w:themeColor="text1"/>
                      <w:szCs w:val="21"/>
                      <w:lang w:bidi="ar"/>
                      <w14:textFill>
                        <w14:solidFill>
                          <w14:schemeClr w14:val="tx1"/>
                        </w14:solidFill>
                      </w14:textFill>
                    </w:rPr>
                    <w:t>办公室</w:t>
                  </w:r>
                  <w:r>
                    <w:rPr>
                      <w:color w:val="000000" w:themeColor="text1"/>
                      <w:szCs w:val="21"/>
                      <w14:textFill>
                        <w14:solidFill>
                          <w14:schemeClr w14:val="tx1"/>
                        </w14:solidFill>
                      </w14:textFill>
                    </w:rPr>
                    <w:t>位于厂房3F的东北部和南部，建筑面积366</w:t>
                  </w:r>
                  <w:r>
                    <w:rPr>
                      <w:bCs/>
                      <w:color w:val="000000" w:themeColor="text1"/>
                      <w:szCs w:val="21"/>
                      <w:lang w:bidi="ar"/>
                      <w14:textFill>
                        <w14:solidFill>
                          <w14:schemeClr w14:val="tx1"/>
                        </w14:solidFill>
                      </w14:textFill>
                    </w:rPr>
                    <w:t xml:space="preserve"> m</w:t>
                  </w:r>
                  <w:r>
                    <w:rPr>
                      <w:bCs/>
                      <w:color w:val="000000" w:themeColor="text1"/>
                      <w:szCs w:val="21"/>
                      <w:vertAlign w:val="superscript"/>
                      <w:lang w:bidi="ar"/>
                      <w14:textFill>
                        <w14:solidFill>
                          <w14:schemeClr w14:val="tx1"/>
                        </w14:solidFill>
                      </w14:textFill>
                    </w:rPr>
                    <w:t>2</w:t>
                  </w:r>
                  <w:r>
                    <w:rPr>
                      <w:bCs/>
                      <w:color w:val="000000" w:themeColor="text1"/>
                      <w:szCs w:val="21"/>
                      <w:lang w:bidi="ar"/>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849" w:type="pct"/>
                  <w:vMerge w:val="restar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储运工程</w:t>
                  </w:r>
                </w:p>
              </w:tc>
              <w:tc>
                <w:tcPr>
                  <w:tcW w:w="1365" w:type="pct"/>
                  <w:gridSpan w:val="2"/>
                  <w:vMerge w:val="restart"/>
                  <w:vAlign w:val="center"/>
                </w:tcPr>
                <w:p>
                  <w:pPr>
                    <w:jc w:val="center"/>
                    <w:rPr>
                      <w:bCs/>
                      <w:color w:val="000000" w:themeColor="text1"/>
                      <w:szCs w:val="21"/>
                      <w:lang w:bidi="ar"/>
                      <w14:textFill>
                        <w14:solidFill>
                          <w14:schemeClr w14:val="tx1"/>
                        </w14:solidFill>
                      </w14:textFill>
                    </w:rPr>
                  </w:pPr>
                  <w:r>
                    <w:rPr>
                      <w:bCs/>
                      <w:color w:val="000000" w:themeColor="text1"/>
                      <w:szCs w:val="21"/>
                      <w:lang w:bidi="ar"/>
                      <w14:textFill>
                        <w14:solidFill>
                          <w14:schemeClr w14:val="tx1"/>
                        </w14:solidFill>
                      </w14:textFill>
                    </w:rPr>
                    <w:t>仓库</w:t>
                  </w:r>
                </w:p>
              </w:tc>
              <w:tc>
                <w:tcPr>
                  <w:tcW w:w="2786" w:type="pct"/>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原料仓：位于生产车西北部，建筑面积150</w:t>
                  </w:r>
                  <w:r>
                    <w:rPr>
                      <w:bCs/>
                      <w:color w:val="000000" w:themeColor="text1"/>
                      <w:szCs w:val="21"/>
                      <w:lang w:bidi="ar"/>
                      <w14:textFill>
                        <w14:solidFill>
                          <w14:schemeClr w14:val="tx1"/>
                        </w14:solidFill>
                      </w14:textFill>
                    </w:rPr>
                    <w:t xml:space="preserve"> m</w:t>
                  </w:r>
                  <w:r>
                    <w:rPr>
                      <w:bCs/>
                      <w:color w:val="000000" w:themeColor="text1"/>
                      <w:szCs w:val="21"/>
                      <w:vertAlign w:val="superscript"/>
                      <w:lang w:bidi="ar"/>
                      <w14:textFill>
                        <w14:solidFill>
                          <w14:schemeClr w14:val="tx1"/>
                        </w14:solidFill>
                      </w14:textFill>
                    </w:rPr>
                    <w:t>2</w:t>
                  </w:r>
                  <w:r>
                    <w:rPr>
                      <w:bCs/>
                      <w:color w:val="000000" w:themeColor="text1"/>
                      <w:szCs w:val="21"/>
                      <w:lang w:bidi="ar"/>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849" w:type="pct"/>
                  <w:vMerge w:val="continue"/>
                  <w:vAlign w:val="center"/>
                </w:tcPr>
                <w:p>
                  <w:pPr>
                    <w:jc w:val="center"/>
                    <w:rPr>
                      <w:bCs/>
                      <w:color w:val="000000" w:themeColor="text1"/>
                      <w:szCs w:val="21"/>
                      <w14:textFill>
                        <w14:solidFill>
                          <w14:schemeClr w14:val="tx1"/>
                        </w14:solidFill>
                      </w14:textFill>
                    </w:rPr>
                  </w:pPr>
                </w:p>
              </w:tc>
              <w:tc>
                <w:tcPr>
                  <w:tcW w:w="1365" w:type="pct"/>
                  <w:gridSpan w:val="2"/>
                  <w:vMerge w:val="continue"/>
                  <w:vAlign w:val="center"/>
                </w:tcPr>
                <w:p>
                  <w:pPr>
                    <w:jc w:val="center"/>
                    <w:rPr>
                      <w:bCs/>
                      <w:color w:val="000000" w:themeColor="text1"/>
                      <w:szCs w:val="21"/>
                      <w:lang w:bidi="ar"/>
                      <w14:textFill>
                        <w14:solidFill>
                          <w14:schemeClr w14:val="tx1"/>
                        </w14:solidFill>
                      </w14:textFill>
                    </w:rPr>
                  </w:pP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成品仓：位于生产车间北部，建筑面积150</w:t>
                  </w:r>
                  <w:r>
                    <w:rPr>
                      <w:bCs/>
                      <w:color w:val="000000" w:themeColor="text1"/>
                      <w:szCs w:val="21"/>
                      <w:lang w:bidi="ar"/>
                      <w14:textFill>
                        <w14:solidFill>
                          <w14:schemeClr w14:val="tx1"/>
                        </w14:solidFill>
                      </w14:textFill>
                    </w:rPr>
                    <w:t xml:space="preserve"> m</w:t>
                  </w:r>
                  <w:r>
                    <w:rPr>
                      <w:bCs/>
                      <w:color w:val="000000" w:themeColor="text1"/>
                      <w:szCs w:val="21"/>
                      <w:vertAlign w:val="superscript"/>
                      <w:lang w:bidi="ar"/>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依托工程</w:t>
                  </w: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生活污水依托</w:t>
                  </w:r>
                  <w:r>
                    <w:rPr>
                      <w:color w:val="000000" w:themeColor="text1"/>
                      <w14:textFill>
                        <w14:solidFill>
                          <w14:schemeClr w14:val="tx1"/>
                        </w14:solidFill>
                      </w14:textFill>
                    </w:rPr>
                    <w:t>博罗县石湾镇西基生活污水处理厂进一步处理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restar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公用工程</w:t>
                  </w:r>
                </w:p>
              </w:tc>
              <w:tc>
                <w:tcPr>
                  <w:tcW w:w="1365" w:type="pct"/>
                  <w:gridSpan w:val="2"/>
                  <w:vAlign w:val="center"/>
                </w:tcPr>
                <w:p>
                  <w:pPr>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给水工程</w:t>
                  </w:r>
                </w:p>
              </w:tc>
              <w:tc>
                <w:tcPr>
                  <w:tcW w:w="2786" w:type="pct"/>
                  <w:vAlign w:val="center"/>
                </w:tcPr>
                <w:p>
                  <w:pPr>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市政供水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供电工程</w:t>
                  </w:r>
                </w:p>
              </w:tc>
              <w:tc>
                <w:tcPr>
                  <w:tcW w:w="2786" w:type="pct"/>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市政供电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restart"/>
                  <w:vAlign w:val="center"/>
                </w:tcPr>
                <w:p>
                  <w:pPr>
                    <w:jc w:val="center"/>
                    <w:rPr>
                      <w:bCs/>
                      <w:color w:val="000000" w:themeColor="text1"/>
                      <w:szCs w:val="21"/>
                      <w:lang w:bidi="ar"/>
                      <w14:textFill>
                        <w14:solidFill>
                          <w14:schemeClr w14:val="tx1"/>
                        </w14:solidFill>
                      </w14:textFill>
                    </w:rPr>
                  </w:pPr>
                  <w:r>
                    <w:rPr>
                      <w:bCs/>
                      <w:color w:val="000000" w:themeColor="text1"/>
                      <w:szCs w:val="21"/>
                      <w14:textFill>
                        <w14:solidFill>
                          <w14:schemeClr w14:val="tx1"/>
                        </w14:solidFill>
                      </w14:textFill>
                    </w:rPr>
                    <w:t>环保工程</w:t>
                  </w:r>
                </w:p>
              </w:tc>
              <w:tc>
                <w:tcPr>
                  <w:tcW w:w="586" w:type="pct"/>
                  <w:vMerge w:val="restart"/>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废水</w:t>
                  </w:r>
                </w:p>
              </w:tc>
              <w:tc>
                <w:tcPr>
                  <w:tcW w:w="77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生产废水</w:t>
                  </w:r>
                </w:p>
              </w:tc>
              <w:tc>
                <w:tcPr>
                  <w:tcW w:w="2786" w:type="pct"/>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项目间接冷却用水经冷却塔循环回用，不外排，本项目无生产废水的排放</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586" w:type="pct"/>
                  <w:vMerge w:val="continue"/>
                  <w:vAlign w:val="center"/>
                </w:tcPr>
                <w:p>
                  <w:pPr>
                    <w:jc w:val="center"/>
                    <w:rPr>
                      <w:bCs/>
                      <w:color w:val="000000" w:themeColor="text1"/>
                      <w:szCs w:val="21"/>
                      <w:lang w:bidi="ar"/>
                      <w14:textFill>
                        <w14:solidFill>
                          <w14:schemeClr w14:val="tx1"/>
                        </w14:solidFill>
                      </w14:textFill>
                    </w:rPr>
                  </w:pPr>
                </w:p>
              </w:tc>
              <w:tc>
                <w:tcPr>
                  <w:tcW w:w="779" w:type="pct"/>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生活污水</w:t>
                  </w:r>
                </w:p>
              </w:tc>
              <w:tc>
                <w:tcPr>
                  <w:tcW w:w="2786" w:type="pct"/>
                  <w:vAlign w:val="center"/>
                </w:tcPr>
                <w:p>
                  <w:pPr>
                    <w:jc w:val="left"/>
                    <w:rPr>
                      <w:color w:val="000000" w:themeColor="text1"/>
                      <w:szCs w:val="21"/>
                      <w14:textFill>
                        <w14:solidFill>
                          <w14:schemeClr w14:val="tx1"/>
                        </w14:solidFill>
                      </w14:textFill>
                    </w:rPr>
                  </w:pPr>
                  <w:r>
                    <w:rPr>
                      <w:color w:val="000000" w:themeColor="text1"/>
                      <w:szCs w:val="21"/>
                      <w:lang w:bidi="ar"/>
                      <w14:textFill>
                        <w14:solidFill>
                          <w14:schemeClr w14:val="tx1"/>
                        </w14:solidFill>
                      </w14:textFill>
                    </w:rPr>
                    <w:t>员工生活污水经三级化粪池预处理达到广东省地方标准《水污染物排放限值》（DB44/26-2001）第二时段三级标准后通过市政纳污管网排入</w:t>
                  </w:r>
                  <w:r>
                    <w:rPr>
                      <w:color w:val="000000" w:themeColor="text1"/>
                      <w14:textFill>
                        <w14:solidFill>
                          <w14:schemeClr w14:val="tx1"/>
                        </w14:solidFill>
                      </w14:textFill>
                    </w:rPr>
                    <w:t>博罗县石湾镇西基生活污水处理厂进一步处理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8台注塑机产生的有机废气：8个包围型集气罩+两级活性炭吸附装置+4500m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/h风机+15m排气筒（1#）</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设备噪声：使用低噪声设备、隔声等措施</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一般工业固废</w:t>
                  </w:r>
                </w:p>
              </w:tc>
              <w:tc>
                <w:tcPr>
                  <w:tcW w:w="2786" w:type="pct"/>
                  <w:vAlign w:val="center"/>
                </w:tcPr>
                <w:p>
                  <w:pP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位于厂房1F西南角设置一般工业固废暂存间1间（15m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），一般工业固体废物经分类收集后交由专业回收单位回收利用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w:t>
                  </w:r>
                </w:p>
              </w:tc>
              <w:tc>
                <w:tcPr>
                  <w:tcW w:w="278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位于厂房1F西南角设置危废仓1间（15m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），危险废物经分类收集后交有危险废物处理资质的单位处置</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9" w:type="pct"/>
                  <w:vMerge w:val="continue"/>
                  <w:vAlign w:val="center"/>
                </w:tcPr>
                <w:p>
                  <w:pPr>
                    <w:jc w:val="center"/>
                    <w:rPr>
                      <w:bCs/>
                      <w:color w:val="000000" w:themeColor="text1"/>
                      <w:szCs w:val="21"/>
                      <w:lang w:bidi="ar"/>
                      <w14:textFill>
                        <w14:solidFill>
                          <w14:schemeClr w14:val="tx1"/>
                        </w14:solidFill>
                      </w14:textFill>
                    </w:rPr>
                  </w:pPr>
                </w:p>
              </w:tc>
              <w:tc>
                <w:tcPr>
                  <w:tcW w:w="1365" w:type="pct"/>
                  <w:gridSpan w:val="2"/>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生活垃圾</w:t>
                  </w:r>
                </w:p>
              </w:tc>
              <w:tc>
                <w:tcPr>
                  <w:tcW w:w="2786" w:type="pct"/>
                  <w:vAlign w:val="center"/>
                </w:tcPr>
                <w:p>
                  <w:pPr>
                    <w:jc w:val="center"/>
                    <w:rPr>
                      <w:bCs/>
                      <w:color w:val="000000" w:themeColor="text1"/>
                      <w:szCs w:val="21"/>
                      <w:lang w:bidi="ar"/>
                      <w14:textFill>
                        <w14:solidFill>
                          <w14:schemeClr w14:val="tx1"/>
                        </w14:solidFill>
                      </w14:textFill>
                    </w:rPr>
                  </w:pPr>
                  <w:r>
                    <w:rPr>
                      <w:color w:val="000000" w:themeColor="text1"/>
                      <w:szCs w:val="21"/>
                      <w14:textFill>
                        <w14:solidFill>
                          <w14:schemeClr w14:val="tx1"/>
                        </w14:solidFill>
                      </w14:textFill>
                    </w:rPr>
                    <w:t>交由环卫部门清运处理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4"/>
                  <w:vAlign w:val="center"/>
                </w:tcPr>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备注：项目为3层厂房，其中厂房1F高度约5.5m、2~5F高度约4.5m，则项目楼高14.5m，因此排气筒高度设置为15m</w:t>
                  </w:r>
                </w:p>
              </w:tc>
            </w:tr>
          </w:tbl>
          <w:p>
            <w:pPr>
              <w:numPr>
                <w:ilvl w:val="0"/>
                <w:numId w:val="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项目主要产品、产量</w:t>
            </w:r>
          </w:p>
          <w:p>
            <w:pPr>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项目主要产品、产量见下表。</w:t>
            </w:r>
            <w:bookmarkStart w:id="5" w:name="_Ref11746284"/>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表2-2 项目主要产品、产量一览表</w:t>
            </w:r>
          </w:p>
          <w:bookmarkEnd w:id="5"/>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649"/>
              <w:gridCol w:w="1105"/>
              <w:gridCol w:w="983"/>
              <w:gridCol w:w="1596"/>
              <w:gridCol w:w="137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534" w:type="pct"/>
                  <w:vAlign w:val="center"/>
                </w:tcPr>
                <w:p>
                  <w:pPr>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产品名称</w:t>
                  </w:r>
                </w:p>
              </w:tc>
              <w:tc>
                <w:tcPr>
                  <w:tcW w:w="640" w:type="pct"/>
                  <w:vAlign w:val="center"/>
                </w:tcPr>
                <w:p>
                  <w:pPr>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单位</w:t>
                  </w:r>
                </w:p>
              </w:tc>
              <w:tc>
                <w:tcPr>
                  <w:tcW w:w="569" w:type="pct"/>
                  <w:vAlign w:val="center"/>
                </w:tcPr>
                <w:p>
                  <w:pPr>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产量</w:t>
                  </w:r>
                </w:p>
              </w:tc>
              <w:tc>
                <w:tcPr>
                  <w:tcW w:w="924"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单件塑料重量（g）</w:t>
                  </w:r>
                </w:p>
              </w:tc>
              <w:tc>
                <w:tcPr>
                  <w:tcW w:w="796"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总重量（t）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numPr>
                      <w:ilvl w:val="0"/>
                      <w:numId w:val="8"/>
                    </w:numPr>
                    <w:jc w:val="center"/>
                    <w:rPr>
                      <w:color w:val="000000" w:themeColor="text1"/>
                      <w:szCs w:val="21"/>
                      <w14:textFill>
                        <w14:solidFill>
                          <w14:schemeClr w14:val="tx1"/>
                        </w14:solidFill>
                      </w14:textFill>
                    </w:rPr>
                  </w:pP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射灯</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3000</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numPr>
                      <w:ilvl w:val="0"/>
                      <w:numId w:val="8"/>
                    </w:numPr>
                    <w:jc w:val="center"/>
                    <w:rPr>
                      <w:color w:val="000000" w:themeColor="text1"/>
                      <w:szCs w:val="21"/>
                      <w14:textFill>
                        <w14:solidFill>
                          <w14:schemeClr w14:val="tx1"/>
                        </w14:solidFill>
                      </w14:textFill>
                    </w:rPr>
                  </w:pP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头灯电筒</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挂灯</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普通灯具</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1035</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10.35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合计</w:t>
                  </w: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灯具</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53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装饰牌</w:t>
                  </w:r>
                </w:p>
              </w:tc>
              <w:tc>
                <w:tcPr>
                  <w:tcW w:w="64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万套/年</w:t>
                  </w:r>
                </w:p>
              </w:tc>
              <w:tc>
                <w:tcPr>
                  <w:tcW w:w="56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w:t>
                  </w:r>
                </w:p>
              </w:tc>
              <w:tc>
                <w:tcPr>
                  <w:tcW w:w="9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79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r>
          </w:tbl>
          <w:p>
            <w:pPr>
              <w:numPr>
                <w:ilvl w:val="0"/>
                <w:numId w:val="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项目主要原辅材料及用量</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（1）项目主要原辅材料及用量见下表。</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表2-3项目主要原辅材料及用量一览表</w:t>
            </w:r>
          </w:p>
          <w:tbl>
            <w:tblPr>
              <w:tblStyle w:val="29"/>
              <w:tblW w:w="8468"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8"/>
              <w:gridCol w:w="1463"/>
              <w:gridCol w:w="723"/>
              <w:gridCol w:w="742"/>
              <w:gridCol w:w="838"/>
              <w:gridCol w:w="1551"/>
              <w:gridCol w:w="1127"/>
              <w:gridCol w:w="159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864"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427"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单位</w:t>
                  </w:r>
                </w:p>
              </w:tc>
              <w:tc>
                <w:tcPr>
                  <w:tcW w:w="438"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用量</w:t>
                  </w:r>
                </w:p>
              </w:tc>
              <w:tc>
                <w:tcPr>
                  <w:tcW w:w="495"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性状</w:t>
                  </w:r>
                </w:p>
              </w:tc>
              <w:tc>
                <w:tcPr>
                  <w:tcW w:w="916"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最大贮存量</w:t>
                  </w:r>
                </w:p>
              </w:tc>
              <w:tc>
                <w:tcPr>
                  <w:tcW w:w="665"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贮存位置</w:t>
                  </w:r>
                </w:p>
              </w:tc>
              <w:tc>
                <w:tcPr>
                  <w:tcW w:w="942"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ABS塑料</w:t>
                  </w:r>
                  <w:r>
                    <w:rPr>
                      <w:color w:val="000000" w:themeColor="text1"/>
                      <w:szCs w:val="21"/>
                      <w:shd w:val="clear" w:color="auto" w:fill="FFFFFF"/>
                      <w14:textFill>
                        <w14:solidFill>
                          <w14:schemeClr w14:val="tx1"/>
                        </w14:solidFill>
                      </w14:textFill>
                    </w:rPr>
                    <w:t>颗粒</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25kg/袋，0.05t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项目使用的ABS塑料</w:t>
                  </w:r>
                  <w:r>
                    <w:rPr>
                      <w:color w:val="000000" w:themeColor="text1"/>
                      <w:szCs w:val="21"/>
                      <w:shd w:val="clear" w:color="auto" w:fill="FFFFFF"/>
                      <w14:textFill>
                        <w14:solidFill>
                          <w14:schemeClr w14:val="tx1"/>
                        </w14:solidFill>
                      </w14:textFill>
                    </w:rPr>
                    <w:t>颗粒、</w:t>
                  </w:r>
                  <w:r>
                    <w:rPr>
                      <w:color w:val="000000" w:themeColor="text1"/>
                      <w:szCs w:val="21"/>
                      <w14:textFill>
                        <w14:solidFill>
                          <w14:schemeClr w14:val="tx1"/>
                        </w14:solidFill>
                      </w14:textFill>
                    </w:rPr>
                    <w:t>PC塑料</w:t>
                  </w:r>
                  <w:r>
                    <w:rPr>
                      <w:color w:val="000000" w:themeColor="text1"/>
                      <w:szCs w:val="21"/>
                      <w:shd w:val="clear" w:color="auto" w:fill="FFFFFF"/>
                      <w14:textFill>
                        <w14:solidFill>
                          <w14:schemeClr w14:val="tx1"/>
                        </w14:solidFill>
                      </w14:textFill>
                    </w:rPr>
                    <w:t>颗粒、GPPS塑料颗粒、尼龙</w:t>
                  </w:r>
                  <w:r>
                    <w:rPr>
                      <w:color w:val="000000" w:themeColor="text1"/>
                      <w:szCs w:val="21"/>
                      <w14:textFill>
                        <w14:solidFill>
                          <w14:schemeClr w14:val="tx1"/>
                        </w14:solidFill>
                      </w14:textFill>
                    </w:rPr>
                    <w:t>均为新料，本项目不使用废旧塑料颗粒</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PC塑料</w:t>
                  </w:r>
                  <w:r>
                    <w:rPr>
                      <w:color w:val="000000" w:themeColor="text1"/>
                      <w:szCs w:val="21"/>
                      <w:shd w:val="clear" w:color="auto" w:fill="FFFFFF"/>
                      <w14:textFill>
                        <w14:solidFill>
                          <w14:schemeClr w14:val="tx1"/>
                        </w14:solidFill>
                      </w14:textFill>
                    </w:rPr>
                    <w:t>颗粒</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25kg/袋，0.05t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GPPS塑料</w:t>
                  </w:r>
                  <w:r>
                    <w:rPr>
                      <w:color w:val="000000" w:themeColor="text1"/>
                      <w:szCs w:val="21"/>
                      <w:shd w:val="clear" w:color="auto" w:fill="FFFFFF"/>
                      <w14:textFill>
                        <w14:solidFill>
                          <w14:schemeClr w14:val="tx1"/>
                        </w14:solidFill>
                      </w14:textFill>
                    </w:rPr>
                    <w:t>颗粒</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25kg/袋，0.05t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尼龙</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10.5</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25kg/袋，0.05t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铝材</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用于生产灯具的五金配件</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电线</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万m/a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用于灯具的装配</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LED灯</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电子零配件</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开关电源</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PCB线路板</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螺丝</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套/年</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16500</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Merge w:val="continue"/>
                  <w:vAlign w:val="center"/>
                </w:tcPr>
                <w:p>
                  <w:pPr>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切削液</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200kg/桶，0.2t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 w:type="pct"/>
                  <w:vAlign w:val="center"/>
                </w:tcPr>
                <w:p>
                  <w:pPr>
                    <w:numPr>
                      <w:ilvl w:val="0"/>
                      <w:numId w:val="9"/>
                    </w:numPr>
                    <w:jc w:val="center"/>
                    <w:rPr>
                      <w:color w:val="000000" w:themeColor="text1"/>
                      <w:szCs w:val="21"/>
                      <w14:textFill>
                        <w14:solidFill>
                          <w14:schemeClr w14:val="tx1"/>
                        </w14:solidFill>
                      </w14:textFill>
                    </w:rPr>
                  </w:pPr>
                </w:p>
              </w:tc>
              <w:tc>
                <w:tcPr>
                  <w:tcW w:w="86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机油</w:t>
                  </w:r>
                </w:p>
              </w:tc>
              <w:tc>
                <w:tcPr>
                  <w:tcW w:w="4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4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49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液态</w:t>
                  </w:r>
                </w:p>
              </w:tc>
              <w:tc>
                <w:tcPr>
                  <w:tcW w:w="9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200kg/桶，0.2t</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原料仓</w:t>
                  </w:r>
                </w:p>
              </w:tc>
              <w:tc>
                <w:tcPr>
                  <w:tcW w:w="9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pPr>
              <w:pStyle w:val="47"/>
              <w:ind w:left="1260" w:hanging="420"/>
              <w:rPr>
                <w:color w:val="000000" w:themeColor="text1"/>
                <w:szCs w:val="21"/>
                <w14:textFill>
                  <w14:solidFill>
                    <w14:schemeClr w14:val="tx1"/>
                  </w14:solidFill>
                </w14:textFill>
              </w:rPr>
            </w:pPr>
            <w:r>
              <w:rPr>
                <w:color w:val="000000" w:themeColor="text1"/>
                <w:szCs w:val="21"/>
                <w14:textFill>
                  <w14:solidFill>
                    <w14:schemeClr w14:val="tx1"/>
                  </w14:solidFill>
                </w14:textFill>
              </w:rPr>
              <w:t>表2-4不同产品对应的原辅材料及用量一览表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333"/>
              <w:gridCol w:w="1601"/>
              <w:gridCol w:w="1456"/>
              <w:gridCol w:w="235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351"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原辅材料名称</w:t>
                  </w:r>
                </w:p>
              </w:tc>
              <w:tc>
                <w:tcPr>
                  <w:tcW w:w="927"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单位</w:t>
                  </w:r>
                </w:p>
              </w:tc>
              <w:tc>
                <w:tcPr>
                  <w:tcW w:w="843"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用量</w:t>
                  </w:r>
                </w:p>
              </w:tc>
              <w:tc>
                <w:tcPr>
                  <w:tcW w:w="1366"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产品名称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ABS塑料</w:t>
                  </w:r>
                  <w:r>
                    <w:rPr>
                      <w:color w:val="000000" w:themeColor="text1"/>
                      <w:szCs w:val="21"/>
                      <w:shd w:val="clear" w:color="auto" w:fill="FFFFFF"/>
                      <w14:textFill>
                        <w14:solidFill>
                          <w14:schemeClr w14:val="tx1"/>
                        </w14:solidFill>
                      </w14:textFill>
                    </w:rPr>
                    <w:t>颗粒</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射灯</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PC塑料</w:t>
                  </w:r>
                  <w:r>
                    <w:rPr>
                      <w:color w:val="000000" w:themeColor="text1"/>
                      <w:szCs w:val="21"/>
                      <w:shd w:val="clear" w:color="auto" w:fill="FFFFFF"/>
                      <w14:textFill>
                        <w14:solidFill>
                          <w14:schemeClr w14:val="tx1"/>
                        </w14:solidFill>
                      </w14:textFill>
                    </w:rPr>
                    <w:t>颗粒</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头灯电筒</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GPPS塑料</w:t>
                  </w:r>
                  <w:r>
                    <w:rPr>
                      <w:color w:val="000000" w:themeColor="text1"/>
                      <w:szCs w:val="21"/>
                      <w:shd w:val="clear" w:color="auto" w:fill="FFFFFF"/>
                      <w14:textFill>
                        <w14:solidFill>
                          <w14:schemeClr w14:val="tx1"/>
                        </w14:solidFill>
                      </w14:textFill>
                    </w:rPr>
                    <w:t>颗粒</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装饰牌</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尼龙</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0.15</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挂灯</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尼龙</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10.35</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其他灯具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3" w:type="pct"/>
                  <w:vAlign w:val="center"/>
                </w:tcPr>
                <w:p>
                  <w:pPr>
                    <w:numPr>
                      <w:ilvl w:val="0"/>
                      <w:numId w:val="10"/>
                    </w:numPr>
                    <w:jc w:val="center"/>
                    <w:rPr>
                      <w:color w:val="000000" w:themeColor="text1"/>
                      <w:szCs w:val="21"/>
                      <w14:textFill>
                        <w14:solidFill>
                          <w14:schemeClr w14:val="tx1"/>
                        </w14:solidFill>
                      </w14:textFill>
                    </w:rPr>
                  </w:pPr>
                </w:p>
              </w:tc>
              <w:tc>
                <w:tcPr>
                  <w:tcW w:w="135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铝材</w:t>
                  </w:r>
                </w:p>
              </w:tc>
              <w:tc>
                <w:tcPr>
                  <w:tcW w:w="92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t/a</w:t>
                  </w:r>
                </w:p>
              </w:tc>
              <w:tc>
                <w:tcPr>
                  <w:tcW w:w="8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136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灯具金属配件</w:t>
                  </w:r>
                </w:p>
              </w:tc>
            </w:tr>
          </w:tbl>
          <w:p>
            <w:pPr>
              <w:autoSpaceDE w:val="0"/>
              <w:autoSpaceDN w:val="0"/>
              <w:adjustRightInd w:val="0"/>
              <w:spacing w:line="360" w:lineRule="auto"/>
              <w:ind w:firstLine="422" w:firstLineChars="200"/>
              <w:jc w:val="left"/>
              <w:rPr>
                <w:b/>
                <w:color w:val="000000" w:themeColor="text1"/>
                <w:szCs w:val="21"/>
                <w14:textFill>
                  <w14:solidFill>
                    <w14:schemeClr w14:val="tx1"/>
                  </w14:solidFill>
                </w14:textFill>
              </w:rPr>
            </w:pPr>
            <w:r>
              <w:rPr>
                <w:b/>
                <w:color w:val="000000" w:themeColor="text1"/>
                <w:szCs w:val="21"/>
                <w14:textFill>
                  <w14:solidFill>
                    <w14:schemeClr w14:val="tx1"/>
                  </w14:solidFill>
                </w14:textFill>
              </w:rPr>
              <w:t>（2）原辅材料理化性质</w:t>
            </w:r>
          </w:p>
          <w:p>
            <w:pPr>
              <w:adjustRightInd w:val="0"/>
              <w:snapToGrid w:val="0"/>
              <w:spacing w:line="500" w:lineRule="exact"/>
              <w:jc w:val="center"/>
              <w:rPr>
                <w:b/>
                <w:bCs/>
                <w:color w:val="000000" w:themeColor="text1"/>
                <w:spacing w:val="4"/>
                <w:szCs w:val="21"/>
                <w14:textFill>
                  <w14:solidFill>
                    <w14:schemeClr w14:val="tx1"/>
                  </w14:solidFill>
                </w14:textFill>
              </w:rPr>
            </w:pPr>
            <w:r>
              <w:rPr>
                <w:b/>
                <w:bCs/>
                <w:color w:val="000000" w:themeColor="text1"/>
                <w:spacing w:val="4"/>
                <w:szCs w:val="21"/>
                <w14:textFill>
                  <w14:solidFill>
                    <w14:schemeClr w14:val="tx1"/>
                  </w14:solidFill>
                </w14:textFill>
              </w:rPr>
              <w:t>表2-5 项目</w:t>
            </w:r>
            <w:r>
              <w:rPr>
                <w:b/>
                <w:bCs/>
                <w:color w:val="000000" w:themeColor="text1"/>
                <w:szCs w:val="21"/>
                <w14:textFill>
                  <w14:solidFill>
                    <w14:schemeClr w14:val="tx1"/>
                  </w14:solidFill>
                </w14:textFill>
              </w:rPr>
              <w:t>部分原辅材料</w:t>
            </w:r>
            <w:r>
              <w:rPr>
                <w:b/>
                <w:bCs/>
                <w:color w:val="000000" w:themeColor="text1"/>
                <w:spacing w:val="4"/>
                <w:szCs w:val="21"/>
                <w14:textFill>
                  <w14:solidFill>
                    <w14:schemeClr w14:val="tx1"/>
                  </w14:solidFill>
                </w14:textFill>
              </w:rPr>
              <w:t>理化性质一览表</w:t>
            </w:r>
          </w:p>
          <w:tbl>
            <w:tblPr>
              <w:tblStyle w:val="29"/>
              <w:tblW w:w="4977"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91"/>
              <w:gridCol w:w="856"/>
              <w:gridCol w:w="610"/>
              <w:gridCol w:w="925"/>
              <w:gridCol w:w="571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b/>
                      <w:bCs/>
                      <w:color w:val="000000" w:themeColor="text1"/>
                      <w:spacing w:val="-6"/>
                      <w:szCs w:val="21"/>
                      <w14:textFill>
                        <w14:solidFill>
                          <w14:schemeClr w14:val="tx1"/>
                        </w14:solidFill>
                      </w14:textFill>
                    </w:rPr>
                  </w:pPr>
                  <w:r>
                    <w:rPr>
                      <w:b/>
                      <w:bCs/>
                      <w:color w:val="000000" w:themeColor="text1"/>
                      <w:spacing w:val="-6"/>
                      <w:szCs w:val="21"/>
                      <w14:textFill>
                        <w14:solidFill>
                          <w14:schemeClr w14:val="tx1"/>
                        </w14:solidFill>
                      </w14:textFill>
                    </w:rPr>
                    <w:t>序号</w:t>
                  </w:r>
                </w:p>
              </w:tc>
              <w:tc>
                <w:tcPr>
                  <w:tcW w:w="498" w:type="pct"/>
                  <w:vAlign w:val="center"/>
                </w:tcPr>
                <w:p>
                  <w:pPr>
                    <w:adjustRightInd w:val="0"/>
                    <w:snapToGrid w:val="0"/>
                    <w:jc w:val="center"/>
                    <w:rPr>
                      <w:b/>
                      <w:bCs/>
                      <w:color w:val="000000" w:themeColor="text1"/>
                      <w:spacing w:val="-6"/>
                      <w:szCs w:val="21"/>
                      <w14:textFill>
                        <w14:solidFill>
                          <w14:schemeClr w14:val="tx1"/>
                        </w14:solidFill>
                      </w14:textFill>
                    </w:rPr>
                  </w:pPr>
                  <w:r>
                    <w:rPr>
                      <w:b/>
                      <w:bCs/>
                      <w:color w:val="000000" w:themeColor="text1"/>
                      <w:spacing w:val="-6"/>
                      <w:szCs w:val="21"/>
                      <w14:textFill>
                        <w14:solidFill>
                          <w14:schemeClr w14:val="tx1"/>
                        </w14:solidFill>
                      </w14:textFill>
                    </w:rPr>
                    <w:t>原料名称</w:t>
                  </w:r>
                </w:p>
              </w:tc>
              <w:tc>
                <w:tcPr>
                  <w:tcW w:w="355"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形态</w:t>
                  </w:r>
                </w:p>
              </w:tc>
              <w:tc>
                <w:tcPr>
                  <w:tcW w:w="538"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危险特性</w:t>
                  </w:r>
                </w:p>
              </w:tc>
              <w:tc>
                <w:tcPr>
                  <w:tcW w:w="3323" w:type="pct"/>
                  <w:vAlign w:val="center"/>
                </w:tcPr>
                <w:p>
                  <w:pPr>
                    <w:adjustRightInd w:val="0"/>
                    <w:snapToGrid w:val="0"/>
                    <w:jc w:val="center"/>
                    <w:rPr>
                      <w:b/>
                      <w:bCs/>
                      <w:color w:val="000000" w:themeColor="text1"/>
                      <w:spacing w:val="-6"/>
                      <w:szCs w:val="21"/>
                      <w14:textFill>
                        <w14:solidFill>
                          <w14:schemeClr w14:val="tx1"/>
                        </w14:solidFill>
                      </w14:textFill>
                    </w:rPr>
                  </w:pPr>
                  <w:r>
                    <w:rPr>
                      <w:b/>
                      <w:bCs/>
                      <w:color w:val="000000" w:themeColor="text1"/>
                      <w:spacing w:val="-6"/>
                      <w:szCs w:val="21"/>
                      <w14:textFill>
                        <w14:solidFill>
                          <w14:schemeClr w14:val="tx1"/>
                        </w14:solidFill>
                      </w14:textFill>
                    </w:rPr>
                    <w:t>理化性质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1</w:t>
                  </w:r>
                </w:p>
              </w:tc>
              <w:tc>
                <w:tcPr>
                  <w:tcW w:w="49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机油</w:t>
                  </w:r>
                </w:p>
              </w:tc>
              <w:tc>
                <w:tcPr>
                  <w:tcW w:w="355"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固态</w:t>
                  </w:r>
                </w:p>
              </w:tc>
              <w:tc>
                <w:tcPr>
                  <w:tcW w:w="538"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非危险品</w:t>
                  </w:r>
                </w:p>
              </w:tc>
              <w:tc>
                <w:tcPr>
                  <w:tcW w:w="3323"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即润滑油，是用在各种类型汽车、机械设备上以减少摩擦，保护机械及加工件的液体或半固体润滑剂，主要起润滑、辅助冷却、防锈、清洁、密封和缓冲等作用。油状液体，淡黄色至褐色，无气味或略带异味，不溶于水，相对密度（水=1）＜1，遇明火、高热可燃，闪点76</w:t>
                  </w:r>
                  <w:r>
                    <w:rPr>
                      <w:rFonts w:hint="eastAsia" w:ascii="宋体" w:hAnsi="宋体" w:cs="宋体"/>
                      <w:color w:val="000000" w:themeColor="text1"/>
                      <w:spacing w:val="-6"/>
                      <w:szCs w:val="21"/>
                      <w14:textFill>
                        <w14:solidFill>
                          <w14:schemeClr w14:val="tx1"/>
                        </w14:solidFill>
                      </w14:textFill>
                    </w:rPr>
                    <w:t>℃</w:t>
                  </w:r>
                  <w:r>
                    <w:rPr>
                      <w:color w:val="000000" w:themeColor="text1"/>
                      <w:spacing w:val="-6"/>
                      <w:szCs w:val="21"/>
                      <w14:textFill>
                        <w14:solidFill>
                          <w14:schemeClr w14:val="tx1"/>
                        </w14:solidFill>
                      </w14:textFill>
                    </w:rPr>
                    <w:t>、引燃温度248</w:t>
                  </w:r>
                  <w:r>
                    <w:rPr>
                      <w:rFonts w:hint="eastAsia" w:ascii="宋体" w:hAnsi="宋体" w:cs="宋体"/>
                      <w:color w:val="000000" w:themeColor="text1"/>
                      <w:spacing w:val="-6"/>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2</w:t>
                  </w:r>
                </w:p>
              </w:tc>
              <w:tc>
                <w:tcPr>
                  <w:tcW w:w="49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ABS塑料颗粒</w:t>
                  </w:r>
                </w:p>
              </w:tc>
              <w:tc>
                <w:tcPr>
                  <w:tcW w:w="355"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固态</w:t>
                  </w:r>
                </w:p>
              </w:tc>
              <w:tc>
                <w:tcPr>
                  <w:tcW w:w="538"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非危险品</w:t>
                  </w:r>
                </w:p>
              </w:tc>
              <w:tc>
                <w:tcPr>
                  <w:tcW w:w="3323"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ABS塑料颗粒是一种强度高、韧性好、易于加工成型的热塑型高分子材料结构;微黄色固体，有一定的韧性，密度约为1.04~1.06g/cm</w:t>
                  </w:r>
                  <w:r>
                    <w:rPr>
                      <w:color w:val="000000" w:themeColor="text1"/>
                      <w:spacing w:val="-6"/>
                      <w:szCs w:val="21"/>
                      <w:vertAlign w:val="superscript"/>
                      <w14:textFill>
                        <w14:solidFill>
                          <w14:schemeClr w14:val="tx1"/>
                        </w14:solidFill>
                      </w14:textFill>
                    </w:rPr>
                    <w:t>3</w:t>
                  </w:r>
                  <w:r>
                    <w:rPr>
                      <w:color w:val="000000" w:themeColor="text1"/>
                      <w:spacing w:val="-6"/>
                      <w:szCs w:val="21"/>
                      <w14:textFill>
                        <w14:solidFill>
                          <w14:schemeClr w14:val="tx1"/>
                        </w14:solidFill>
                      </w14:textFill>
                    </w:rPr>
                    <w:t>，</w:t>
                  </w:r>
                  <w:r>
                    <w:rPr>
                      <w:color w:val="000000" w:themeColor="text1"/>
                      <w:szCs w:val="21"/>
                      <w:shd w:val="clear" w:color="auto" w:fill="FFFFFF"/>
                      <w14:textFill>
                        <w14:solidFill>
                          <w14:schemeClr w14:val="tx1"/>
                        </w14:solidFill>
                      </w14:textFill>
                    </w:rPr>
                    <w:t>它抗酸、碱、盐的腐蚀能力比较强，也可在一定程度上耐受有机溶剂溶解。</w:t>
                  </w:r>
                  <w:r>
                    <w:rPr>
                      <w:color w:val="000000" w:themeColor="text1"/>
                      <w:spacing w:val="-6"/>
                      <w:szCs w:val="21"/>
                      <w14:textFill>
                        <w14:solidFill>
                          <w14:schemeClr w14:val="tx1"/>
                        </w14:solidFill>
                      </w14:textFill>
                    </w:rPr>
                    <w:t>熔化温度210~280°C</w:t>
                  </w:r>
                  <w:r>
                    <w:rPr>
                      <w:color w:val="000000" w:themeColor="text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3</w:t>
                  </w:r>
                </w:p>
              </w:tc>
              <w:tc>
                <w:tcPr>
                  <w:tcW w:w="49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shd w:val="clear" w:color="auto" w:fill="FFFFFF"/>
                      <w14:textFill>
                        <w14:solidFill>
                          <w14:schemeClr w14:val="tx1"/>
                        </w14:solidFill>
                      </w14:textFill>
                    </w:rPr>
                    <w:t>PC塑料颗粒</w:t>
                  </w:r>
                </w:p>
              </w:tc>
              <w:tc>
                <w:tcPr>
                  <w:tcW w:w="355"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zCs w:val="21"/>
                      <w14:textFill>
                        <w14:solidFill>
                          <w14:schemeClr w14:val="tx1"/>
                        </w14:solidFill>
                      </w14:textFill>
                    </w:rPr>
                    <w:t>固态</w:t>
                  </w:r>
                </w:p>
              </w:tc>
              <w:tc>
                <w:tcPr>
                  <w:tcW w:w="538"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非危险品</w:t>
                  </w:r>
                </w:p>
              </w:tc>
              <w:tc>
                <w:tcPr>
                  <w:tcW w:w="3323" w:type="pct"/>
                  <w:vAlign w:val="center"/>
                </w:tcPr>
                <w:p>
                  <w:pPr>
                    <w:adjustRightInd w:val="0"/>
                    <w:snapToGrid w:val="0"/>
                    <w:jc w:val="center"/>
                    <w:rPr>
                      <w:color w:val="000000" w:themeColor="text1"/>
                      <w14:textFill>
                        <w14:solidFill>
                          <w14:schemeClr w14:val="tx1"/>
                        </w14:solidFill>
                      </w14:textFill>
                    </w:rPr>
                  </w:pPr>
                  <w:r>
                    <w:rPr>
                      <w:color w:val="333333"/>
                      <w:szCs w:val="21"/>
                      <w:shd w:val="clear" w:color="auto" w:fill="FFFFFF"/>
                    </w:rPr>
                    <w:t>聚碳酸酯(英文简称PC)是分子链中含有</w:t>
                  </w:r>
                  <w:r>
                    <w:fldChar w:fldCharType="begin"/>
                  </w:r>
                  <w:r>
                    <w:instrText xml:space="preserve"> HYPERLINK "https://baike.so.com/doc/5915352-6128264.html" \t "_blank" </w:instrText>
                  </w:r>
                  <w:r>
                    <w:fldChar w:fldCharType="separate"/>
                  </w:r>
                  <w:r>
                    <w:rPr>
                      <w:rStyle w:val="35"/>
                      <w:color w:val="136EC2"/>
                      <w:szCs w:val="21"/>
                      <w:shd w:val="clear" w:color="auto" w:fill="FFFFFF"/>
                    </w:rPr>
                    <w:t>碳酸酯</w:t>
                  </w:r>
                  <w:r>
                    <w:rPr>
                      <w:rStyle w:val="35"/>
                      <w:color w:val="136EC2"/>
                      <w:szCs w:val="21"/>
                      <w:shd w:val="clear" w:color="auto" w:fill="FFFFFF"/>
                    </w:rPr>
                    <w:fldChar w:fldCharType="end"/>
                  </w:r>
                  <w:r>
                    <w:rPr>
                      <w:color w:val="333333"/>
                      <w:szCs w:val="21"/>
                      <w:shd w:val="clear" w:color="auto" w:fill="FFFFFF"/>
                    </w:rPr>
                    <w:t>基的</w:t>
                  </w:r>
                  <w:r>
                    <w:fldChar w:fldCharType="begin"/>
                  </w:r>
                  <w:r>
                    <w:instrText xml:space="preserve"> HYPERLINK "https://baike.so.com/doc/6178721-6391965.html" \t "_blank" </w:instrText>
                  </w:r>
                  <w:r>
                    <w:fldChar w:fldCharType="separate"/>
                  </w:r>
                  <w:r>
                    <w:rPr>
                      <w:rStyle w:val="35"/>
                      <w:color w:val="136EC2"/>
                      <w:szCs w:val="21"/>
                      <w:shd w:val="clear" w:color="auto" w:fill="FFFFFF"/>
                    </w:rPr>
                    <w:t>高分子聚合物</w:t>
                  </w:r>
                  <w:r>
                    <w:rPr>
                      <w:rStyle w:val="35"/>
                      <w:color w:val="136EC2"/>
                      <w:szCs w:val="21"/>
                      <w:shd w:val="clear" w:color="auto" w:fill="FFFFFF"/>
                    </w:rPr>
                    <w:fldChar w:fldCharType="end"/>
                  </w:r>
                  <w:r>
                    <w:rPr>
                      <w:color w:val="000000" w:themeColor="text1"/>
                      <w:szCs w:val="21"/>
                      <w14:textFill>
                        <w14:solidFill>
                          <w14:schemeClr w14:val="tx1"/>
                        </w14:solidFill>
                      </w14:textFill>
                    </w:rPr>
                    <w:t>，熔点在220~230</w:t>
                  </w:r>
                  <w:r>
                    <w:rPr>
                      <w:rFonts w:hint="eastAsia" w:ascii="宋体" w:hAnsi="宋体" w:cs="宋体"/>
                      <w:color w:val="000000" w:themeColor="text1"/>
                      <w:szCs w:val="21"/>
                      <w14:textFill>
                        <w14:solidFill>
                          <w14:schemeClr w14:val="tx1"/>
                        </w14:solidFill>
                      </w14:textFill>
                    </w:rPr>
                    <w:t>℃</w:t>
                  </w:r>
                  <w:r>
                    <w:rPr>
                      <w:color w:val="000000" w:themeColor="text1"/>
                      <w:szCs w:val="21"/>
                      <w14:textFill>
                        <w14:solidFill>
                          <w14:schemeClr w14:val="tx1"/>
                        </w14:solidFill>
                      </w14:textFill>
                    </w:rPr>
                    <w:t>，密度1.2g/cm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r>
                    <w:rPr>
                      <w:color w:val="000000" w:themeColor="text1"/>
                      <w:spacing w:val="-6"/>
                      <w:szCs w:val="21"/>
                      <w14:textFill>
                        <w14:solidFill>
                          <w14:schemeClr w14:val="tx1"/>
                        </w14:solidFill>
                      </w14:textFill>
                    </w:rPr>
                    <w:t>分解</w:t>
                  </w:r>
                  <w:r>
                    <w:rPr>
                      <w:color w:val="000000" w:themeColor="text1"/>
                      <w:szCs w:val="21"/>
                      <w14:textFill>
                        <w14:solidFill>
                          <w14:schemeClr w14:val="tx1"/>
                        </w14:solidFill>
                      </w14:textFill>
                    </w:rPr>
                    <w:t>温度230~320</w:t>
                  </w:r>
                  <w:r>
                    <w:rPr>
                      <w:rFonts w:hint="eastAsia" w:ascii="宋体" w:hAnsi="宋体" w:cs="宋体"/>
                      <w:color w:val="000000" w:themeColor="text1"/>
                      <w:szCs w:val="21"/>
                      <w14:textFill>
                        <w14:solidFill>
                          <w14:schemeClr w14:val="tx1"/>
                        </w14:solidFill>
                      </w14:textFill>
                    </w:rPr>
                    <w:t>℃</w:t>
                  </w:r>
                  <w:r>
                    <w:rPr>
                      <w:color w:val="000000" w:themeColor="text1"/>
                      <w:spacing w:val="-6"/>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4</w:t>
                  </w:r>
                </w:p>
              </w:tc>
              <w:tc>
                <w:tcPr>
                  <w:tcW w:w="49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GPPS塑料颗粒</w:t>
                  </w:r>
                </w:p>
              </w:tc>
              <w:tc>
                <w:tcPr>
                  <w:tcW w:w="35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538" w:type="pct"/>
                  <w:vAlign w:val="center"/>
                </w:tcPr>
                <w:p>
                  <w:pPr>
                    <w:widowControl/>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非危险品</w:t>
                  </w:r>
                </w:p>
              </w:tc>
              <w:tc>
                <w:tcPr>
                  <w:tcW w:w="3323" w:type="pct"/>
                  <w:vAlign w:val="center"/>
                </w:tcPr>
                <w:p>
                  <w:pPr>
                    <w:widowControl/>
                    <w:jc w:val="center"/>
                    <w:rPr>
                      <w:color w:val="000000" w:themeColor="text1"/>
                      <w:spacing w:val="-6"/>
                      <w:szCs w:val="21"/>
                      <w14:textFill>
                        <w14:solidFill>
                          <w14:schemeClr w14:val="tx1"/>
                        </w14:solidFill>
                      </w14:textFill>
                    </w:rPr>
                  </w:pPr>
                  <w:r>
                    <w:rPr>
                      <w:color w:val="333333"/>
                      <w:szCs w:val="21"/>
                      <w:shd w:val="clear" w:color="auto" w:fill="FFFFFF"/>
                    </w:rPr>
                    <w:t>GPPS塑料即为通用级</w:t>
                  </w:r>
                  <w:r>
                    <w:fldChar w:fldCharType="begin"/>
                  </w:r>
                  <w:r>
                    <w:instrText xml:space="preserve"> HYPERLINK "https://baike.so.com/doc/1945524-2058500.html" \t "_blank" </w:instrText>
                  </w:r>
                  <w:r>
                    <w:fldChar w:fldCharType="separate"/>
                  </w:r>
                  <w:r>
                    <w:rPr>
                      <w:rStyle w:val="35"/>
                      <w:color w:val="136EC2"/>
                      <w:szCs w:val="21"/>
                      <w:shd w:val="clear" w:color="auto" w:fill="FFFFFF"/>
                    </w:rPr>
                    <w:t>聚苯</w:t>
                  </w:r>
                  <w:r>
                    <w:rPr>
                      <w:rStyle w:val="35"/>
                      <w:color w:val="136EC2"/>
                      <w:szCs w:val="21"/>
                      <w:shd w:val="clear" w:color="auto" w:fill="FFFFFF"/>
                    </w:rPr>
                    <w:fldChar w:fldCharType="end"/>
                  </w:r>
                  <w:r>
                    <w:fldChar w:fldCharType="begin"/>
                  </w:r>
                  <w:r>
                    <w:instrText xml:space="preserve"> HYPERLINK "https://baike.so.com/doc/6742971-6957498.html" \t "_blank" </w:instrText>
                  </w:r>
                  <w:r>
                    <w:fldChar w:fldCharType="separate"/>
                  </w:r>
                  <w:r>
                    <w:rPr>
                      <w:rStyle w:val="35"/>
                      <w:color w:val="136EC2"/>
                      <w:szCs w:val="21"/>
                      <w:shd w:val="clear" w:color="auto" w:fill="FFFFFF"/>
                    </w:rPr>
                    <w:t>乙稀</w:t>
                  </w:r>
                  <w:r>
                    <w:rPr>
                      <w:rStyle w:val="35"/>
                      <w:color w:val="136EC2"/>
                      <w:szCs w:val="21"/>
                      <w:shd w:val="clear" w:color="auto" w:fill="FFFFFF"/>
                    </w:rPr>
                    <w:fldChar w:fldCharType="end"/>
                  </w:r>
                  <w:r>
                    <w:rPr>
                      <w:color w:val="333333"/>
                      <w:szCs w:val="21"/>
                      <w:shd w:val="clear" w:color="auto" w:fill="FFFFFF"/>
                    </w:rPr>
                    <w:t>(GPPS)</w:t>
                  </w:r>
                  <w:r>
                    <w:rPr>
                      <w:color w:val="000000" w:themeColor="text1"/>
                      <w:szCs w:val="21"/>
                      <w:shd w:val="clear" w:color="auto" w:fill="FFFFFF"/>
                      <w14:textFill>
                        <w14:solidFill>
                          <w14:schemeClr w14:val="tx1"/>
                        </w14:solidFill>
                      </w14:textFill>
                    </w:rPr>
                    <w:t>。</w:t>
                  </w:r>
                  <w:r>
                    <w:rPr>
                      <w:color w:val="333333"/>
                      <w:szCs w:val="21"/>
                      <w:shd w:val="clear" w:color="auto" w:fill="FFFFFF"/>
                    </w:rPr>
                    <w:t>无色、无臭、无味而有光泽的、透明的珠状或粒状的固体。密度1.04~1.09</w:t>
                  </w:r>
                  <w:r>
                    <w:rPr>
                      <w:color w:val="000000" w:themeColor="text1"/>
                      <w:szCs w:val="21"/>
                      <w14:textFill>
                        <w14:solidFill>
                          <w14:schemeClr w14:val="tx1"/>
                        </w14:solidFill>
                      </w14:textFill>
                    </w:rPr>
                    <w:t xml:space="preserve"> g/cm</w:t>
                  </w:r>
                  <w:r>
                    <w:rPr>
                      <w:color w:val="000000" w:themeColor="text1"/>
                      <w:szCs w:val="21"/>
                      <w:vertAlign w:val="superscript"/>
                      <w14:textFill>
                        <w14:solidFill>
                          <w14:schemeClr w14:val="tx1"/>
                        </w14:solidFill>
                      </w14:textFill>
                    </w:rPr>
                    <w:t>3</w:t>
                  </w:r>
                  <w:r>
                    <w:rPr>
                      <w:color w:val="333333"/>
                      <w:szCs w:val="21"/>
                      <w:shd w:val="clear" w:color="auto" w:fill="FFFFFF"/>
                    </w:rPr>
                    <w:t>，透明度88%~92%,折射率1.59~1.60。在应力作用下，产生</w:t>
                  </w:r>
                  <w:r>
                    <w:fldChar w:fldCharType="begin"/>
                  </w:r>
                  <w:r>
                    <w:instrText xml:space="preserve"> HYPERLINK "https://baike.so.com/doc/6444504-6658185.html" \t "_blank" </w:instrText>
                  </w:r>
                  <w:r>
                    <w:fldChar w:fldCharType="separate"/>
                  </w:r>
                  <w:r>
                    <w:rPr>
                      <w:rStyle w:val="35"/>
                      <w:color w:val="136EC2"/>
                      <w:szCs w:val="21"/>
                      <w:shd w:val="clear" w:color="auto" w:fill="FFFFFF"/>
                    </w:rPr>
                    <w:t>双折射</w:t>
                  </w:r>
                  <w:r>
                    <w:rPr>
                      <w:rStyle w:val="35"/>
                      <w:color w:val="136EC2"/>
                      <w:szCs w:val="21"/>
                      <w:shd w:val="clear" w:color="auto" w:fill="FFFFFF"/>
                    </w:rPr>
                    <w:fldChar w:fldCharType="end"/>
                  </w:r>
                  <w:r>
                    <w:rPr>
                      <w:color w:val="333333"/>
                      <w:szCs w:val="21"/>
                      <w:shd w:val="clear" w:color="auto" w:fill="FFFFFF"/>
                    </w:rPr>
                    <w:t>，即所谓应力-光学效应。产品的</w:t>
                  </w:r>
                  <w:r>
                    <w:fldChar w:fldCharType="begin"/>
                  </w:r>
                  <w:r>
                    <w:instrText xml:space="preserve"> HYPERLINK "https://baike.so.com/doc/10036810-10514427.html" \t "_blank" </w:instrText>
                  </w:r>
                  <w:r>
                    <w:fldChar w:fldCharType="separate"/>
                  </w:r>
                  <w:r>
                    <w:rPr>
                      <w:rStyle w:val="35"/>
                      <w:color w:val="136EC2"/>
                      <w:szCs w:val="21"/>
                      <w:shd w:val="clear" w:color="auto" w:fill="FFFFFF"/>
                    </w:rPr>
                    <w:t>熔融温度</w:t>
                  </w:r>
                  <w:r>
                    <w:rPr>
                      <w:rStyle w:val="35"/>
                      <w:color w:val="136EC2"/>
                      <w:szCs w:val="21"/>
                      <w:shd w:val="clear" w:color="auto" w:fill="FFFFFF"/>
                    </w:rPr>
                    <w:fldChar w:fldCharType="end"/>
                  </w:r>
                  <w:r>
                    <w:rPr>
                      <w:color w:val="333333"/>
                      <w:szCs w:val="21"/>
                      <w:shd w:val="clear" w:color="auto" w:fill="FFFFFF"/>
                    </w:rPr>
                    <w:t>150~180</w:t>
                  </w:r>
                  <w:r>
                    <w:rPr>
                      <w:rFonts w:hint="eastAsia" w:ascii="宋体" w:hAnsi="宋体" w:cs="宋体"/>
                      <w:color w:val="333333"/>
                      <w:szCs w:val="21"/>
                      <w:shd w:val="clear" w:color="auto" w:fill="FFFFFF"/>
                    </w:rPr>
                    <w:t>℃</w:t>
                  </w:r>
                  <w:r>
                    <w:rPr>
                      <w:color w:val="333333"/>
                      <w:szCs w:val="21"/>
                      <w:shd w:val="clear" w:color="auto" w:fill="FFFFFF"/>
                    </w:rPr>
                    <w:t>，热分解温度300</w:t>
                  </w:r>
                  <w:r>
                    <w:rPr>
                      <w:rFonts w:hint="eastAsia" w:ascii="宋体" w:hAnsi="宋体" w:cs="宋体"/>
                      <w:color w:val="333333"/>
                      <w:szCs w:val="21"/>
                      <w:shd w:val="clear" w:color="auto" w:fill="FFFFFF"/>
                    </w:rPr>
                    <w:t>℃</w:t>
                  </w:r>
                  <w:r>
                    <w:rPr>
                      <w:color w:val="000000" w:themeColor="text1"/>
                      <w:spacing w:val="-6"/>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6" w:type="pct"/>
                  <w:vAlign w:val="center"/>
                </w:tcPr>
                <w:p>
                  <w:pPr>
                    <w:adjustRightInd w:val="0"/>
                    <w:snapToGrid w:val="0"/>
                    <w:jc w:val="center"/>
                    <w:rPr>
                      <w:color w:val="000000" w:themeColor="text1"/>
                      <w:spacing w:val="-6"/>
                      <w:szCs w:val="21"/>
                      <w14:textFill>
                        <w14:solidFill>
                          <w14:schemeClr w14:val="tx1"/>
                        </w14:solidFill>
                      </w14:textFill>
                    </w:rPr>
                  </w:pPr>
                  <w:r>
                    <w:rPr>
                      <w:color w:val="000000" w:themeColor="text1"/>
                      <w:spacing w:val="-6"/>
                      <w:szCs w:val="21"/>
                      <w14:textFill>
                        <w14:solidFill>
                          <w14:schemeClr w14:val="tx1"/>
                        </w14:solidFill>
                      </w14:textFill>
                    </w:rPr>
                    <w:t>5</w:t>
                  </w:r>
                </w:p>
              </w:tc>
              <w:tc>
                <w:tcPr>
                  <w:tcW w:w="49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尼龙</w:t>
                  </w:r>
                </w:p>
              </w:tc>
              <w:tc>
                <w:tcPr>
                  <w:tcW w:w="355"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固态</w:t>
                  </w:r>
                </w:p>
              </w:tc>
              <w:tc>
                <w:tcPr>
                  <w:tcW w:w="53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pacing w:val="-6"/>
                      <w:szCs w:val="21"/>
                      <w14:textFill>
                        <w14:solidFill>
                          <w14:schemeClr w14:val="tx1"/>
                        </w14:solidFill>
                      </w14:textFill>
                    </w:rPr>
                    <w:t>非危险品</w:t>
                  </w:r>
                </w:p>
              </w:tc>
              <w:tc>
                <w:tcPr>
                  <w:tcW w:w="3323" w:type="pct"/>
                  <w:vAlign w:val="center"/>
                </w:tcPr>
                <w:p>
                  <w:pPr>
                    <w:widowControl/>
                    <w:jc w:val="center"/>
                    <w:rPr>
                      <w:color w:val="000000" w:themeColor="text1"/>
                      <w:spacing w:val="-6"/>
                      <w:szCs w:val="21"/>
                      <w14:textFill>
                        <w14:solidFill>
                          <w14:schemeClr w14:val="tx1"/>
                        </w14:solidFill>
                      </w14:textFill>
                    </w:rPr>
                  </w:pPr>
                  <w:r>
                    <w:rPr>
                      <w:color w:val="333333"/>
                      <w:szCs w:val="21"/>
                      <w:shd w:val="clear" w:color="auto" w:fill="FFFFFF"/>
                    </w:rPr>
                    <w:t>是分子主链上含有重复酰胺基团-[NHCO]-的</w:t>
                  </w:r>
                  <w:r>
                    <w:fldChar w:fldCharType="begin"/>
                  </w:r>
                  <w:r>
                    <w:instrText xml:space="preserve"> HYPERLINK "https://baike.so.com/%22/doc/4067957-4266509.html/%22" \t "\" </w:instrText>
                  </w:r>
                  <w:r>
                    <w:fldChar w:fldCharType="separate"/>
                  </w:r>
                  <w:r>
                    <w:rPr>
                      <w:rStyle w:val="35"/>
                      <w:color w:val="136EC2"/>
                      <w:szCs w:val="21"/>
                      <w:shd w:val="clear" w:color="auto" w:fill="FFFFFF"/>
                    </w:rPr>
                    <w:t>热塑性树脂</w:t>
                  </w:r>
                  <w:r>
                    <w:rPr>
                      <w:rStyle w:val="35"/>
                      <w:color w:val="136EC2"/>
                      <w:szCs w:val="21"/>
                      <w:shd w:val="clear" w:color="auto" w:fill="FFFFFF"/>
                    </w:rPr>
                    <w:fldChar w:fldCharType="end"/>
                  </w:r>
                  <w:r>
                    <w:rPr>
                      <w:color w:val="333333"/>
                      <w:szCs w:val="21"/>
                      <w:shd w:val="clear" w:color="auto" w:fill="FFFFFF"/>
                    </w:rPr>
                    <w:t>总称，包括脂肪族PA，脂肪-芳香族PA和芳香族PA，热分解温度290</w:t>
                  </w:r>
                  <w:r>
                    <w:rPr>
                      <w:rFonts w:hint="eastAsia" w:ascii="宋体" w:hAnsi="宋体" w:cs="宋体"/>
                      <w:color w:val="333333"/>
                      <w:szCs w:val="21"/>
                      <w:shd w:val="clear" w:color="auto" w:fill="FFFFFF"/>
                    </w:rPr>
                    <w:t>℃</w:t>
                  </w:r>
                </w:p>
              </w:tc>
            </w:tr>
          </w:tbl>
          <w:p>
            <w:pPr>
              <w:numPr>
                <w:ilvl w:val="0"/>
                <w:numId w:val="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项目主要生产设备</w:t>
            </w:r>
          </w:p>
          <w:p>
            <w:pPr>
              <w:tabs>
                <w:tab w:val="left" w:pos="0"/>
              </w:tabs>
              <w:spacing w:line="360" w:lineRule="auto"/>
              <w:ind w:left="482"/>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（1）设备清单</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表2-6 项目主要生产设备一览表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428"/>
              <w:gridCol w:w="1186"/>
              <w:gridCol w:w="2083"/>
              <w:gridCol w:w="2215"/>
              <w:gridCol w:w="981"/>
              <w:gridCol w:w="1741"/>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b/>
                      <w:bCs/>
                      <w:color w:val="000000" w:themeColor="text1"/>
                      <w:szCs w:val="21"/>
                      <w14:textFill>
                        <w14:solidFill>
                          <w14:schemeClr w14:val="tx1"/>
                        </w14:solidFill>
                      </w14:textFill>
                    </w:rPr>
                  </w:pPr>
                </w:p>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687"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生产单元</w:t>
                  </w:r>
                </w:p>
              </w:tc>
              <w:tc>
                <w:tcPr>
                  <w:tcW w:w="1206"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设备</w:t>
                  </w:r>
                </w:p>
              </w:tc>
              <w:tc>
                <w:tcPr>
                  <w:tcW w:w="1283"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生产参数</w:t>
                  </w:r>
                </w:p>
              </w:tc>
              <w:tc>
                <w:tcPr>
                  <w:tcW w:w="568"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数量</w:t>
                  </w:r>
                </w:p>
              </w:tc>
              <w:tc>
                <w:tcPr>
                  <w:tcW w:w="1008"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687"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注塑单元</w:t>
                  </w: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生产能力：1.08kg/h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8台</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687"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机加工单元</w:t>
                  </w: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冲床</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生产能力：2kg/h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3台</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冲压工序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687"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精雕机</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生产能力：3kg/h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2台</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精雕工序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687"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数控车床</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生产能力：5kg/h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CNC加工工序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c>
                <w:tcPr>
                  <w:tcW w:w="687"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模具维修单元</w:t>
                  </w: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车床</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2台 </w:t>
                  </w:r>
                </w:p>
              </w:tc>
              <w:tc>
                <w:tcPr>
                  <w:tcW w:w="1008" w:type="pct"/>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模具维修工序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687"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5台</w:t>
                  </w:r>
                </w:p>
              </w:tc>
              <w:tc>
                <w:tcPr>
                  <w:tcW w:w="1008" w:type="pct"/>
                  <w:vMerge w:val="continue"/>
                  <w:vAlign w:val="center"/>
                </w:tcPr>
                <w:p>
                  <w:pPr>
                    <w:adjustRightInd w:val="0"/>
                    <w:snapToGrid w:val="0"/>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w:t>
                  </w:r>
                </w:p>
              </w:tc>
              <w:tc>
                <w:tcPr>
                  <w:tcW w:w="687"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装配单位</w:t>
                  </w: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装配线</w:t>
                  </w:r>
                </w:p>
              </w:tc>
              <w:tc>
                <w:tcPr>
                  <w:tcW w:w="1283" w:type="pct"/>
                  <w:vAlign w:val="center"/>
                </w:tcPr>
                <w:p>
                  <w:pPr>
                    <w:adjustRightInd w:val="0"/>
                    <w:snapToGrid w:val="0"/>
                    <w:jc w:val="center"/>
                    <w:rPr>
                      <w:color w:val="000000" w:themeColor="text1"/>
                      <w:szCs w:val="21"/>
                      <w14:textFill>
                        <w14:solidFill>
                          <w14:schemeClr w14:val="tx1"/>
                        </w14:solidFill>
                      </w14:textFill>
                    </w:rPr>
                  </w:pP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1条</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装配工序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687"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辅助单元</w:t>
                  </w: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冷却塔</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循环水量：30m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c>
                <w:tcPr>
                  <w:tcW w:w="1008"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w:t>
                  </w:r>
                </w:p>
              </w:tc>
              <w:tc>
                <w:tcPr>
                  <w:tcW w:w="687"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1206"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空压机</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排气量5m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/min，25kW</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1台</w:t>
                  </w:r>
                </w:p>
              </w:tc>
              <w:tc>
                <w:tcPr>
                  <w:tcW w:w="1008" w:type="pct"/>
                  <w:vMerge w:val="continue"/>
                  <w:vAlign w:val="center"/>
                </w:tcPr>
                <w:p>
                  <w:pPr>
                    <w:widowControl/>
                    <w:adjustRightInd w:val="0"/>
                    <w:snapToGrid w:val="0"/>
                    <w:jc w:val="center"/>
                    <w:rPr>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24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68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1206" w:type="pct"/>
                  <w:vAlign w:val="center"/>
                </w:tcPr>
                <w:p>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两级活性炭吸附装置</w:t>
                  </w:r>
                </w:p>
              </w:tc>
              <w:tc>
                <w:tcPr>
                  <w:tcW w:w="1283"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处理能力：4500m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w:t>
                  </w:r>
                </w:p>
              </w:tc>
              <w:tc>
                <w:tcPr>
                  <w:tcW w:w="5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p>
              </w:tc>
              <w:tc>
                <w:tcPr>
                  <w:tcW w:w="10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废气处理</w:t>
                  </w:r>
                </w:p>
              </w:tc>
            </w:tr>
          </w:tbl>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（2）关键设备的产能匹配性分析</w:t>
            </w:r>
          </w:p>
          <w:p>
            <w:pPr>
              <w:pStyle w:val="47"/>
              <w:rPr>
                <w:bCs/>
                <w:color w:val="000000" w:themeColor="text1"/>
                <w14:textFill>
                  <w14:solidFill>
                    <w14:schemeClr w14:val="tx1"/>
                  </w14:solidFill>
                </w14:textFill>
              </w:rPr>
            </w:pPr>
            <w:r>
              <w:rPr>
                <w:bCs/>
                <w:color w:val="000000" w:themeColor="text1"/>
                <w14:textFill>
                  <w14:solidFill>
                    <w14:schemeClr w14:val="tx1"/>
                  </w14:solidFill>
                </w14:textFill>
              </w:rPr>
              <w:t>表</w:t>
            </w:r>
            <w:r>
              <w:rPr>
                <w:bCs/>
                <w:color w:val="000000" w:themeColor="text1"/>
                <w:szCs w:val="21"/>
                <w14:textFill>
                  <w14:solidFill>
                    <w14:schemeClr w14:val="tx1"/>
                  </w14:solidFill>
                </w14:textFill>
              </w:rPr>
              <w:t>2-</w:t>
            </w:r>
            <w:r>
              <w:rPr>
                <w:color w:val="000000" w:themeColor="text1"/>
                <w:szCs w:val="21"/>
                <w14:textFill>
                  <w14:solidFill>
                    <w14:schemeClr w14:val="tx1"/>
                  </w14:solidFill>
                </w14:textFill>
              </w:rPr>
              <w:t>7</w:t>
            </w:r>
            <w:r>
              <w:rPr>
                <w:color w:val="000000" w:themeColor="text1"/>
                <w:szCs w:val="24"/>
                <w14:textFill>
                  <w14:solidFill>
                    <w14:schemeClr w14:val="tx1"/>
                  </w14:solidFill>
                </w14:textFill>
              </w:rPr>
              <w:t xml:space="preserve"> </w:t>
            </w:r>
            <w:r>
              <w:rPr>
                <w:color w:val="000000" w:themeColor="text1"/>
                <w14:textFill>
                  <w14:solidFill>
                    <w14:schemeClr w14:val="tx1"/>
                  </w14:solidFill>
                </w14:textFill>
              </w:rPr>
              <w:t>项目灯具和装饰牌生产工序产能核算表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608"/>
              <w:gridCol w:w="727"/>
              <w:gridCol w:w="882"/>
              <w:gridCol w:w="1183"/>
              <w:gridCol w:w="872"/>
              <w:gridCol w:w="1183"/>
              <w:gridCol w:w="1183"/>
              <w:gridCol w:w="105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3"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产品名称</w:t>
                  </w:r>
                </w:p>
              </w:tc>
              <w:tc>
                <w:tcPr>
                  <w:tcW w:w="352"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设备名称</w:t>
                  </w:r>
                </w:p>
              </w:tc>
              <w:tc>
                <w:tcPr>
                  <w:tcW w:w="421"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年产量（t）</w:t>
                  </w:r>
                </w:p>
              </w:tc>
              <w:tc>
                <w:tcPr>
                  <w:tcW w:w="511"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小时产量（kg）</w:t>
                  </w:r>
                </w:p>
              </w:tc>
              <w:tc>
                <w:tcPr>
                  <w:tcW w:w="68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产量（g/min）</w:t>
                  </w:r>
                </w:p>
              </w:tc>
              <w:tc>
                <w:tcPr>
                  <w:tcW w:w="50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设备数量（台）</w:t>
                  </w:r>
                </w:p>
              </w:tc>
              <w:tc>
                <w:tcPr>
                  <w:tcW w:w="68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单台设备实际产能（g/min）</w:t>
                  </w:r>
                </w:p>
              </w:tc>
              <w:tc>
                <w:tcPr>
                  <w:tcW w:w="68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单台设备额定产能（g/min）</w:t>
                  </w:r>
                </w:p>
              </w:tc>
              <w:tc>
                <w:tcPr>
                  <w:tcW w:w="61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单台设备额定产能（kg/h）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4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灯具和装饰牌</w:t>
                  </w:r>
                </w:p>
              </w:tc>
              <w:tc>
                <w:tcPr>
                  <w:tcW w:w="35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42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w:t>
                  </w:r>
                </w:p>
              </w:tc>
              <w:tc>
                <w:tcPr>
                  <w:tcW w:w="51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6.7</w:t>
                  </w:r>
                </w:p>
              </w:tc>
              <w:tc>
                <w:tcPr>
                  <w:tcW w:w="6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112</w:t>
                  </w:r>
                </w:p>
              </w:tc>
              <w:tc>
                <w:tcPr>
                  <w:tcW w:w="50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c>
                <w:tcPr>
                  <w:tcW w:w="6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w:t>
                  </w:r>
                </w:p>
              </w:tc>
              <w:tc>
                <w:tcPr>
                  <w:tcW w:w="6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w:t>
                  </w:r>
                </w:p>
              </w:tc>
              <w:tc>
                <w:tcPr>
                  <w:tcW w:w="61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1.08</w:t>
                  </w:r>
                </w:p>
              </w:tc>
            </w:tr>
          </w:tbl>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项目产能控制工序为注塑工序，故对注塑机进行匹配性分析，根据分析，项目注塑机的额定产能为1.08kg/h，实际产能为0.84kg/h，项目设置的注塑机满足生产需求。</w:t>
            </w:r>
          </w:p>
          <w:p>
            <w:pPr>
              <w:numPr>
                <w:ilvl w:val="0"/>
                <w:numId w:val="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平面布置及四至情况</w:t>
            </w:r>
          </w:p>
          <w:p>
            <w:pPr>
              <w:numPr>
                <w:ilvl w:val="0"/>
                <w:numId w:val="11"/>
              </w:numPr>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厂区总平面布置</w:t>
            </w:r>
          </w:p>
          <w:p>
            <w:pPr>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厂区总平面布置见附图6，项目租赁1栋3层长方形厂房，其中1楼为东北部为注塑车间、西部和东南部为机加工车间，2楼为装配车间，3楼为办公室和仓库。</w:t>
            </w:r>
          </w:p>
          <w:p>
            <w:pPr>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（2）四至关系</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表2-8 项目四邻关系一览表</w:t>
            </w:r>
          </w:p>
          <w:tbl>
            <w:tblPr>
              <w:tblStyle w:val="29"/>
              <w:tblW w:w="4996"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6"/>
              <w:gridCol w:w="5269"/>
              <w:gridCol w:w="176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25"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方位</w:t>
                  </w:r>
                </w:p>
              </w:tc>
              <w:tc>
                <w:tcPr>
                  <w:tcW w:w="3054"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1021"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距离（m）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25" w:type="pct"/>
                  <w:vAlign w:val="center"/>
                </w:tcPr>
                <w:p>
                  <w:pPr>
                    <w:jc w:val="center"/>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东面</w:t>
                  </w:r>
                </w:p>
              </w:tc>
              <w:tc>
                <w:tcPr>
                  <w:tcW w:w="305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霍达塑胶五金厂</w:t>
                  </w:r>
                </w:p>
              </w:tc>
              <w:tc>
                <w:tcPr>
                  <w:tcW w:w="102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25" w:type="pct"/>
                  <w:vAlign w:val="center"/>
                </w:tcPr>
                <w:p>
                  <w:pPr>
                    <w:jc w:val="center"/>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南面</w:t>
                  </w:r>
                </w:p>
              </w:tc>
              <w:tc>
                <w:tcPr>
                  <w:tcW w:w="305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鑫昌荣五金厂</w:t>
                  </w:r>
                </w:p>
              </w:tc>
              <w:tc>
                <w:tcPr>
                  <w:tcW w:w="102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2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西面</w:t>
                  </w:r>
                </w:p>
              </w:tc>
              <w:tc>
                <w:tcPr>
                  <w:tcW w:w="305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江陵电动车服务中心</w:t>
                  </w:r>
                </w:p>
              </w:tc>
              <w:tc>
                <w:tcPr>
                  <w:tcW w:w="102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紧邻</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2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北面</w:t>
                  </w:r>
                </w:p>
              </w:tc>
              <w:tc>
                <w:tcPr>
                  <w:tcW w:w="305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在建厂房</w:t>
                  </w:r>
                </w:p>
              </w:tc>
              <w:tc>
                <w:tcPr>
                  <w:tcW w:w="102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r>
          </w:tbl>
          <w:p>
            <w:pPr>
              <w:pStyle w:val="67"/>
              <w:numPr>
                <w:ilvl w:val="0"/>
                <w:numId w:val="7"/>
              </w:numPr>
              <w:adjustRightInd w:val="0"/>
              <w:snapToGrid w:val="0"/>
              <w:spacing w:line="360" w:lineRule="auto"/>
              <w:ind w:firstLineChars="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水平衡分析</w:t>
            </w:r>
          </w:p>
          <w:p>
            <w:pPr>
              <w:numPr>
                <w:ilvl w:val="0"/>
                <w:numId w:val="12"/>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生产用水</w:t>
            </w:r>
          </w:p>
          <w:p>
            <w:pPr>
              <w:pStyle w:val="87"/>
              <w:adjustRightInd w:val="0"/>
              <w:snapToGrid w:val="0"/>
              <w:spacing w:line="360" w:lineRule="auto"/>
              <w:ind w:firstLine="42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项目设置1台30m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/h的冷却塔，间接冷却水经冷却塔循环循环冷却后再回用于冷却工序，不外排。冷却水为自来水，无需添加冷却剂等，根据建设单位提供的资料，项目配套冷却塔循环流量为30m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/h（240m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/d），单套冷却塔的循环水量为240m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/d（72000m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a）（年工作时间300天，每天使用时间8h）。冷却用水在循环使用过程中存在少量的损耗，需要补给水，参考《建筑给水排水设计标准》（GB50015-2019）3.11.14“冷却塔的补充水量应按冷却水循环水量的1%~2%计算”，本项目的冷却塔的补充水损耗量按平均值1.5%计算，则补充新鲜水约3.6t/d（1080m</w:t>
            </w:r>
            <w:r>
              <w:rPr>
                <w:color w:val="000000" w:themeColor="text1"/>
                <w:sz w:val="21"/>
                <w:szCs w:val="21"/>
                <w:vertAlign w:val="superscript"/>
                <w14:textFill>
                  <w14:solidFill>
                    <w14:schemeClr w14:val="tx1"/>
                  </w14:solidFill>
                </w14:textFill>
              </w:rPr>
              <w:t>3</w:t>
            </w:r>
            <w:r>
              <w:rPr>
                <w:color w:val="000000" w:themeColor="text1"/>
                <w:sz w:val="21"/>
                <w:szCs w:val="21"/>
                <w14:textFill>
                  <w14:solidFill>
                    <w14:schemeClr w14:val="tx1"/>
                  </w14:solidFill>
                </w14:textFill>
              </w:rPr>
              <w:t>/a），冷却系统无旁滤装置，因此无冷却废水排放。</w:t>
            </w:r>
          </w:p>
          <w:p>
            <w:pPr>
              <w:numPr>
                <w:ilvl w:val="0"/>
                <w:numId w:val="12"/>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生活用水</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本项目员工人数50人，均不在项目内食宿，年平均工作300天，根据《用水定额 第3部分：生活》（DB44/T1461.3-2021），用水定额按10m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/人•d，则员工生活用水量为1.67t/d（500t/a），产污系数按0.8计，则本项目生活污水产生量为1.34t/d（400t/a）。</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生活污水中主要污染物为CODcr、BOD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、SS、NH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-N等，根据类比调查，生活污水主要污染物产生浓度为CODcr：280mg/L、BOD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：160mg/L、SS：150mg/L、NH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-N：25mg/L等。</w:t>
            </w:r>
            <w:r>
              <w:rPr>
                <w:color w:val="000000" w:themeColor="text1"/>
                <w:kern w:val="1"/>
                <w:szCs w:val="21"/>
                <w14:textFill>
                  <w14:solidFill>
                    <w14:schemeClr w14:val="tx1"/>
                  </w14:solidFill>
                </w14:textFill>
              </w:rPr>
              <w:t>项目所在区域为博罗县石湾镇西基生活污水处理厂纳污范围，员工生活污水经三级化粪池预处理达到</w:t>
            </w:r>
            <w:r>
              <w:rPr>
                <w:color w:val="000000" w:themeColor="text1"/>
                <w:szCs w:val="21"/>
                <w14:textFill>
                  <w14:solidFill>
                    <w14:schemeClr w14:val="tx1"/>
                  </w14:solidFill>
                </w14:textFill>
              </w:rPr>
              <w:t>广东省地方标准《水污染物排放限值》（DB44/26-2001）第二时段三级标准</w:t>
            </w:r>
            <w:r>
              <w:rPr>
                <w:color w:val="000000" w:themeColor="text1"/>
                <w:kern w:val="1"/>
                <w:szCs w:val="21"/>
                <w14:textFill>
                  <w14:solidFill>
                    <w14:schemeClr w14:val="tx1"/>
                  </w14:solidFill>
                </w14:textFill>
              </w:rPr>
              <w:t>后通过市政纳污管网排入博罗县石湾镇西基生活污水处理厂进一步处理，其尾水执行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项目水量平衡图详见下图。</w:t>
            </w:r>
          </w:p>
          <w:p>
            <w:pPr>
              <w:spacing w:line="360" w:lineRule="auto"/>
              <w:ind w:firstLine="420" w:firstLineChars="200"/>
              <w:rPr>
                <w:color w:val="000000" w:themeColor="text1"/>
                <w:szCs w:val="21"/>
                <w14:textFill>
                  <w14:solidFill>
                    <w14:schemeClr w14:val="tx1"/>
                  </w14:solidFill>
                </w14:textFill>
              </w:rPr>
            </w:pPr>
          </w:p>
          <w:p>
            <w:pPr>
              <w:spacing w:line="360" w:lineRule="auto"/>
              <w:rPr>
                <w:color w:val="000000" w:themeColor="text1"/>
                <w:szCs w:val="21"/>
                <w14:textFill>
                  <w14:solidFill>
                    <w14:schemeClr w14:val="tx1"/>
                  </w14:solidFill>
                </w14:textFill>
              </w:rPr>
            </w:pPr>
            <w:r>
              <w:object>
                <v:shape id="_x0000_i1025" o:spt="75" type="#_x0000_t75" style="height:132.2pt;width:420.95pt;" o:ole="t" filled="f" o:preferrelative="t" stroked="f" coordsize="21600,21600">
                  <v:path/>
                  <v:fill on="f" focussize="0,0"/>
                  <v:stroke on="f"/>
                  <v:imagedata r:id="rId17" o:title=""/>
                  <o:lock v:ext="edit" aspectratio="t"/>
                  <w10:wrap type="none"/>
                  <w10:anchorlock/>
                </v:shape>
                <o:OLEObject Type="Embed" ProgID="Visio.Drawing.11" ShapeID="_x0000_i1025" DrawAspect="Content" ObjectID="_1468075725" r:id="rId16">
                  <o:LockedField>false</o:LockedField>
                </o:OLEObject>
              </w:objec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图2-1  项目水平衡图（t/d）</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7、劳动定员</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项目员工人数50人，不在项目内食宿，年平均工作300天，每天平均工作8小时。</w:t>
            </w:r>
          </w:p>
          <w:p>
            <w:p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8、能耗分析</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根据建设单位提供的资料，项目能源消耗见下表。</w: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表2-9 项目能源消耗一览表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427"/>
              <w:gridCol w:w="2608"/>
              <w:gridCol w:w="1507"/>
              <w:gridCol w:w="194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3"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1668"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3032"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能源消耗量</w:t>
                  </w:r>
                </w:p>
              </w:tc>
              <w:tc>
                <w:tcPr>
                  <w:tcW w:w="1717"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用途</w:t>
                  </w:r>
                </w:p>
              </w:tc>
              <w:tc>
                <w:tcPr>
                  <w:tcW w:w="2307"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66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w:t>
                  </w:r>
                </w:p>
              </w:tc>
              <w:tc>
                <w:tcPr>
                  <w:tcW w:w="303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1580t/a</w:t>
                  </w:r>
                </w:p>
              </w:tc>
              <w:tc>
                <w:tcPr>
                  <w:tcW w:w="1717"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生产、生活</w:t>
                  </w:r>
                </w:p>
              </w:tc>
              <w:tc>
                <w:tcPr>
                  <w:tcW w:w="2307"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市政供水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66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w:t>
                  </w:r>
                </w:p>
              </w:tc>
              <w:tc>
                <w:tcPr>
                  <w:tcW w:w="3032"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84万kW•h/a</w:t>
                  </w:r>
                </w:p>
              </w:tc>
              <w:tc>
                <w:tcPr>
                  <w:tcW w:w="1717"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生产、生活</w:t>
                  </w:r>
                </w:p>
              </w:tc>
              <w:tc>
                <w:tcPr>
                  <w:tcW w:w="2307"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市政供电</w:t>
                  </w:r>
                </w:p>
              </w:tc>
            </w:tr>
          </w:tbl>
          <w:p>
            <w:pPr>
              <w:spacing w:line="360" w:lineRule="auto"/>
              <w:ind w:firstLine="420" w:firstLineChars="200"/>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6" w:type="pct"/>
            <w:vAlign w:val="center"/>
          </w:tcPr>
          <w:p>
            <w:pPr>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工艺流程和产排污环节</w:t>
            </w:r>
          </w:p>
        </w:tc>
        <w:tc>
          <w:tcPr>
            <w:tcW w:w="4794" w:type="pct"/>
          </w:tcPr>
          <w:p>
            <w:pPr>
              <w:numPr>
                <w:ilvl w:val="0"/>
                <w:numId w:val="13"/>
              </w:numPr>
              <w:spacing w:line="360" w:lineRule="auto"/>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施工期</w:t>
            </w:r>
          </w:p>
          <w:p>
            <w:pPr>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项目施工期仅进行设备的安装。</w:t>
            </w:r>
          </w:p>
          <w:p>
            <w:pPr>
              <w:spacing w:line="360" w:lineRule="auto"/>
              <w:jc w:val="center"/>
              <w:rPr>
                <w:color w:val="000000" w:themeColor="text1"/>
                <w:szCs w:val="21"/>
                <w14:textFill>
                  <w14:solidFill>
                    <w14:schemeClr w14:val="tx1"/>
                  </w14:solidFill>
                </w14:textFill>
              </w:rPr>
            </w:pPr>
          </w:p>
        </w:tc>
      </w:tr>
    </w:tbl>
    <w:p>
      <w:pPr>
        <w:spacing w:line="360" w:lineRule="auto"/>
        <w:rPr>
          <w:color w:val="000000" w:themeColor="text1"/>
          <w:sz w:val="24"/>
          <w14:textFill>
            <w14:solidFill>
              <w14:schemeClr w14:val="tx1"/>
            </w14:solidFill>
          </w14:textFill>
        </w:rPr>
        <w:sectPr>
          <w:pgSz w:w="11906" w:h="16838"/>
          <w:pgMar w:top="1418" w:right="1418" w:bottom="1418" w:left="1418" w:header="567" w:footer="567" w:gutter="0"/>
          <w:cols w:space="425" w:num="1"/>
          <w:docGrid w:type="lines" w:linePitch="312" w:charSpace="0"/>
        </w:sectPr>
      </w:pPr>
    </w:p>
    <w:p>
      <w:pPr>
        <w:pStyle w:val="14"/>
        <w:spacing w:line="360" w:lineRule="auto"/>
        <w:ind w:firstLine="0" w:firstLineChars="0"/>
        <w:rPr>
          <w:color w:val="000000" w:themeColor="text1"/>
          <w14:textFill>
            <w14:solidFill>
              <w14:schemeClr w14:val="tx1"/>
            </w14:solidFill>
          </w14:textFill>
        </w:rPr>
      </w:pPr>
    </w:p>
    <w:tbl>
      <w:tblPr>
        <w:tblStyle w:val="29"/>
        <w:tblW w:w="10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0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vAlign w:val="center"/>
          </w:tcPr>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工艺流程和产排污环节</w:t>
            </w:r>
          </w:p>
        </w:tc>
        <w:tc>
          <w:tcPr>
            <w:tcW w:w="10002" w:type="dxa"/>
          </w:tcPr>
          <w:p>
            <w:pPr>
              <w:numPr>
                <w:ilvl w:val="0"/>
                <w:numId w:val="13"/>
              </w:numPr>
              <w:spacing w:line="360" w:lineRule="auto"/>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运营期</w:t>
            </w: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1、项目生产工艺流程及产污环节分析。</w:t>
            </w: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（1）项目灯具生产工艺流程及产污环节分析。</w:t>
            </w:r>
          </w:p>
          <w:p>
            <w:pPr>
              <w:adjustRightInd w:val="0"/>
              <w:snapToGrid w:val="0"/>
              <w:spacing w:line="360" w:lineRule="auto"/>
              <w:ind w:firstLine="420" w:firstLineChars="200"/>
              <w:rPr>
                <w:color w:val="000000" w:themeColor="text1"/>
                <w:szCs w:val="21"/>
                <w14:textFill>
                  <w14:solidFill>
                    <w14:schemeClr w14:val="tx1"/>
                  </w14:solidFill>
                </w14:textFill>
              </w:rPr>
            </w:pPr>
          </w:p>
          <w:p>
            <w:pPr>
              <w:spacing w:line="360" w:lineRule="auto"/>
              <w:rPr>
                <w:b/>
                <w:bCs/>
                <w:color w:val="000000" w:themeColor="text1"/>
                <w:sz w:val="24"/>
                <w14:textFill>
                  <w14:solidFill>
                    <w14:schemeClr w14:val="tx1"/>
                  </w14:solidFill>
                </w14:textFill>
              </w:rPr>
            </w:pPr>
            <w:r>
              <w:object>
                <v:shape id="_x0000_i1026" o:spt="75" type="#_x0000_t75" style="height:372pt;width:489.2pt;" o:ole="t" filled="f" o:preferrelative="t" stroked="f" coordsize="21600,21600">
                  <v:path/>
                  <v:fill on="f" focussize="0,0"/>
                  <v:stroke on="f"/>
                  <v:imagedata r:id="rId19" o:title=""/>
                  <o:lock v:ext="edit" aspectratio="t"/>
                  <w10:wrap type="none"/>
                  <w10:anchorlock/>
                </v:shape>
                <o:OLEObject Type="Embed" ProgID="Visio.Drawing.11" ShapeID="_x0000_i1026" DrawAspect="Content" ObjectID="_1468075726" r:id="rId18">
                  <o:LockedField>false</o:LockedField>
                </o:OLEObject>
              </w:object>
            </w:r>
          </w:p>
          <w:p>
            <w:pPr>
              <w:spacing w:line="360" w:lineRule="auto"/>
              <w:ind w:firstLine="422" w:firstLineChars="200"/>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 xml:space="preserve">图2-2 </w:t>
            </w:r>
            <w:r>
              <w:rPr>
                <w:b/>
                <w:bCs/>
                <w:color w:val="000000" w:themeColor="text1"/>
                <w14:textFill>
                  <w14:solidFill>
                    <w14:schemeClr w14:val="tx1"/>
                  </w14:solidFill>
                </w14:textFill>
              </w:rPr>
              <w:t>项目生产工艺流程及产污环节示意图</w:t>
            </w:r>
          </w:p>
          <w:p>
            <w:pPr>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工艺流程说明：</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1）</w:t>
            </w:r>
            <w:r>
              <w:rPr>
                <w:b/>
                <w:bCs/>
                <w:color w:val="000000" w:themeColor="text1"/>
                <w14:textFill>
                  <w14:solidFill>
                    <w14:schemeClr w14:val="tx1"/>
                  </w14:solidFill>
                </w14:textFill>
              </w:rPr>
              <w:t>注塑</w:t>
            </w:r>
            <w:r>
              <w:rPr>
                <w:color w:val="000000" w:themeColor="text1"/>
                <w14:textFill>
                  <w14:solidFill>
                    <w14:schemeClr w14:val="tx1"/>
                  </w14:solidFill>
                </w14:textFill>
              </w:rPr>
              <w:t>：将外购的ABS塑料颗粒/PC塑料颗粒/尼龙通过人工送入注塑机中注塑成型。注塑机加热温度一般为180~200</w:t>
            </w:r>
            <w:r>
              <w:rPr>
                <w:rFonts w:hint="eastAsia"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左右，ABS</w:t>
            </w:r>
            <w:r>
              <w:rPr>
                <w:color w:val="000000" w:themeColor="text1"/>
                <w:shd w:val="clear" w:color="auto" w:fill="FFFFFF"/>
                <w14:textFill>
                  <w14:solidFill>
                    <w14:schemeClr w14:val="tx1"/>
                  </w14:solidFill>
                </w14:textFill>
              </w:rPr>
              <w:t>分解温度在210~280</w:t>
            </w:r>
            <w:r>
              <w:rPr>
                <w:rFonts w:hint="eastAsia" w:ascii="宋体" w:hAnsi="宋体" w:cs="宋体"/>
                <w:color w:val="000000" w:themeColor="text1"/>
                <w:shd w:val="clear" w:color="auto" w:fill="FFFFFF"/>
                <w14:textFill>
                  <w14:solidFill>
                    <w14:schemeClr w14:val="tx1"/>
                  </w14:solidFill>
                </w14:textFill>
              </w:rPr>
              <w:t>℃</w:t>
            </w:r>
            <w:r>
              <w:rPr>
                <w:color w:val="000000" w:themeColor="text1"/>
                <w:shd w:val="clear" w:color="auto" w:fill="FFFFFF"/>
                <w14:textFill>
                  <w14:solidFill>
                    <w14:schemeClr w14:val="tx1"/>
                  </w14:solidFill>
                </w14:textFill>
              </w:rPr>
              <w:t>、PC塑料颗粒的热分解温度为</w:t>
            </w:r>
            <w:r>
              <w:rPr>
                <w:color w:val="000000" w:themeColor="text1"/>
                <w:szCs w:val="21"/>
                <w14:textFill>
                  <w14:solidFill>
                    <w14:schemeClr w14:val="tx1"/>
                  </w14:solidFill>
                </w14:textFill>
              </w:rPr>
              <w:t>230～320</w:t>
            </w:r>
            <w:r>
              <w:rPr>
                <w:rFonts w:hint="eastAsia" w:ascii="宋体" w:hAnsi="宋体" w:cs="宋体"/>
                <w:color w:val="000000" w:themeColor="text1"/>
                <w:szCs w:val="21"/>
                <w14:textFill>
                  <w14:solidFill>
                    <w14:schemeClr w14:val="tx1"/>
                  </w14:solidFill>
                </w14:textFill>
              </w:rPr>
              <w:t>℃</w:t>
            </w:r>
            <w:r>
              <w:rPr>
                <w:color w:val="000000" w:themeColor="text1"/>
                <w:shd w:val="clear" w:color="auto" w:fill="FFFFFF"/>
                <w14:textFill>
                  <w14:solidFill>
                    <w14:schemeClr w14:val="tx1"/>
                  </w14:solidFill>
                </w14:textFill>
              </w:rPr>
              <w:t>，尼龙分解温度在290</w:t>
            </w:r>
            <w:r>
              <w:rPr>
                <w:rFonts w:hint="eastAsia" w:ascii="宋体" w:hAnsi="宋体" w:cs="宋体"/>
                <w:color w:val="000000" w:themeColor="text1"/>
                <w:shd w:val="clear" w:color="auto" w:fill="FFFFFF"/>
                <w14:textFill>
                  <w14:solidFill>
                    <w14:schemeClr w14:val="tx1"/>
                  </w14:solidFill>
                </w14:textFill>
              </w:rPr>
              <w:t>℃</w:t>
            </w:r>
            <w:r>
              <w:rPr>
                <w:color w:val="000000" w:themeColor="text1"/>
                <w:shd w:val="clear" w:color="auto" w:fill="FFFFFF"/>
                <w14:textFill>
                  <w14:solidFill>
                    <w14:schemeClr w14:val="tx1"/>
                  </w14:solidFill>
                </w14:textFill>
              </w:rPr>
              <w:t>，因此项目注塑机的工作温度均</w:t>
            </w:r>
            <w:r>
              <w:rPr>
                <w:color w:val="000000" w:themeColor="text1"/>
                <w14:textFill>
                  <w14:solidFill>
                    <w14:schemeClr w14:val="tx1"/>
                  </w14:solidFill>
                </w14:textFill>
              </w:rPr>
              <w:t>未达到ABS塑料颗粒/PC塑料颗粒/尼龙</w:t>
            </w:r>
            <w:r>
              <w:rPr>
                <w:color w:val="000000" w:themeColor="text1"/>
                <w:lang w:val="zh-CN"/>
                <w14:textFill>
                  <w14:solidFill>
                    <w14:schemeClr w14:val="tx1"/>
                  </w14:solidFill>
                </w14:textFill>
              </w:rPr>
              <w:t>的分解温度，因此</w:t>
            </w:r>
            <w:r>
              <w:rPr>
                <w:color w:val="000000" w:themeColor="text1"/>
                <w14:textFill>
                  <w14:solidFill>
                    <w14:schemeClr w14:val="tx1"/>
                  </w14:solidFill>
                </w14:textFill>
              </w:rPr>
              <w:t>ABS塑料颗粒/PC塑料颗粒/尼龙</w:t>
            </w:r>
            <w:r>
              <w:rPr>
                <w:color w:val="000000" w:themeColor="text1"/>
                <w:lang w:val="zh-CN"/>
                <w14:textFill>
                  <w14:solidFill>
                    <w14:schemeClr w14:val="tx1"/>
                  </w14:solidFill>
                </w14:textFill>
              </w:rPr>
              <w:t>在注塑温度下不会发生</w:t>
            </w:r>
            <w:r>
              <w:rPr>
                <w:color w:val="000000" w:themeColor="text1"/>
                <w14:textFill>
                  <w14:solidFill>
                    <w14:schemeClr w14:val="tx1"/>
                  </w14:solidFill>
                </w14:textFill>
              </w:rPr>
              <w:t>聚合物断裂，即不会发生分解，因此在注塑过程中无分子单体产生。但在注塑剪切挤压力作用下，会产生有机废气和噪声，有机废气以非甲烷总烃表征。此外，在塑料颗粒加热熔融的过程中会产生少量的臭气，根据</w:t>
            </w:r>
            <w:r>
              <w:rPr>
                <w:color w:val="000000" w:themeColor="text1"/>
                <w:szCs w:val="21"/>
                <w14:textFill>
                  <w14:solidFill>
                    <w14:schemeClr w14:val="tx1"/>
                  </w14:solidFill>
                </w14:textFill>
              </w:rPr>
              <w:t>《排污许可证申请与核发技术规范 橡胶和塑料制品工业》（HJ1122-2020）</w:t>
            </w:r>
            <w:r>
              <w:rPr>
                <w:color w:val="000000" w:themeColor="text1"/>
                <w14:textFill>
                  <w14:solidFill>
                    <w14:schemeClr w14:val="tx1"/>
                  </w14:solidFill>
                </w14:textFill>
              </w:rPr>
              <w:t>以臭气浓度表征，项目通过冷却塔的冷却水进行间接冷却，冷却水循环使用，不外排，定期补充损耗。因此，在注塑工序会产生非甲烷总烃、臭气浓度、水口料、噪声。</w:t>
            </w:r>
          </w:p>
          <w:p>
            <w:pPr>
              <w:spacing w:line="360" w:lineRule="auto"/>
              <w:ind w:firstLine="422" w:firstLineChars="200"/>
              <w:rPr>
                <w:color w:val="000000" w:themeColor="text1"/>
                <w14:textFill>
                  <w14:solidFill>
                    <w14:schemeClr w14:val="tx1"/>
                  </w14:solidFill>
                </w14:textFill>
              </w:rPr>
            </w:pPr>
            <w:r>
              <w:rPr>
                <w:b/>
                <w:bCs/>
                <w:color w:val="000000" w:themeColor="text1"/>
                <w:lang w:val="zh-CN"/>
                <w14:textFill>
                  <w14:solidFill>
                    <w14:schemeClr w14:val="tx1"/>
                  </w14:solidFill>
                </w14:textFill>
              </w:rPr>
              <w:t>2）冲压</w:t>
            </w:r>
            <w:r>
              <w:rPr>
                <w:color w:val="000000" w:themeColor="text1"/>
                <w:lang w:val="zh-CN"/>
                <w14:textFill>
                  <w14:solidFill>
                    <w14:schemeClr w14:val="tx1"/>
                  </w14:solidFill>
                </w14:textFill>
              </w:rPr>
              <w:t>：</w:t>
            </w:r>
            <w:r>
              <w:rPr>
                <w:color w:val="000000" w:themeColor="text1"/>
                <w:szCs w:val="21"/>
                <w14:textFill>
                  <w14:solidFill>
                    <w14:schemeClr w14:val="tx1"/>
                  </w14:solidFill>
                </w14:textFill>
              </w:rPr>
              <w:t>将外购的铝材使用冲床冲压出产品需求的大小，此工序会产生噪声和边角料。</w:t>
            </w:r>
          </w:p>
          <w:p>
            <w:pPr>
              <w:spacing w:line="360" w:lineRule="auto"/>
              <w:ind w:firstLine="422" w:firstLineChars="200"/>
              <w:rPr>
                <w:color w:val="000000" w:themeColor="text1"/>
                <w14:textFill>
                  <w14:solidFill>
                    <w14:schemeClr w14:val="tx1"/>
                  </w14:solidFill>
                </w14:textFill>
              </w:rPr>
            </w:pPr>
            <w:r>
              <w:rPr>
                <w:b/>
                <w:bCs/>
                <w:color w:val="000000" w:themeColor="text1"/>
                <w:lang w:val="zh-CN"/>
                <w14:textFill>
                  <w14:solidFill>
                    <w14:schemeClr w14:val="tx1"/>
                  </w14:solidFill>
                </w14:textFill>
              </w:rPr>
              <w:t>3）CNCl加工</w:t>
            </w:r>
            <w:r>
              <w:rPr>
                <w:color w:val="000000" w:themeColor="text1"/>
                <w:lang w:val="zh-CN"/>
                <w14:textFill>
                  <w14:solidFill>
                    <w14:schemeClr w14:val="tx1"/>
                  </w14:solidFill>
                </w14:textFill>
              </w:rPr>
              <w:t>：</w:t>
            </w:r>
            <w:r>
              <w:rPr>
                <w:color w:val="000000" w:themeColor="text1"/>
                <w:szCs w:val="21"/>
                <w14:textFill>
                  <w14:solidFill>
                    <w14:schemeClr w14:val="tx1"/>
                  </w14:solidFill>
                </w14:textFill>
              </w:rPr>
              <w:t>将完成冲压的铝材使用数控车床进行CNC加工，</w:t>
            </w:r>
            <w:r>
              <w:rPr>
                <w:color w:val="333333"/>
                <w:szCs w:val="21"/>
                <w:shd w:val="clear" w:color="auto" w:fill="FFFFFF"/>
              </w:rPr>
              <w:t>数控机床是按照事先编制好的加工程序，自动地对被加工零件进行加工。我们把零件的加工工艺路线、工艺参数、刀具的运动轨迹、位移量、切削参数(主轴转数、进给量、背吃刀量等)以及辅助功能(换刀、主轴正转、反转、切削液开、关等)，按照数控机床规定的指令代码及程序格式编写成加工程序单，再把这程序单中的内容记录在控制介质上(如</w:t>
            </w:r>
            <w:r>
              <w:fldChar w:fldCharType="begin"/>
            </w:r>
            <w:r>
              <w:instrText xml:space="preserve"> HYPERLINK "https://baike.so.com/doc/3980267-4176289.html" \t "_blank" </w:instrText>
            </w:r>
            <w:r>
              <w:fldChar w:fldCharType="separate"/>
            </w:r>
            <w:r>
              <w:rPr>
                <w:rStyle w:val="35"/>
                <w:color w:val="136EC2"/>
                <w:szCs w:val="21"/>
                <w:shd w:val="clear" w:color="auto" w:fill="FFFFFF"/>
              </w:rPr>
              <w:t>穿孔纸带</w:t>
            </w:r>
            <w:r>
              <w:rPr>
                <w:rStyle w:val="35"/>
                <w:color w:val="136EC2"/>
                <w:szCs w:val="21"/>
                <w:shd w:val="clear" w:color="auto" w:fill="FFFFFF"/>
              </w:rPr>
              <w:fldChar w:fldCharType="end"/>
            </w:r>
            <w:r>
              <w:rPr>
                <w:color w:val="333333"/>
                <w:szCs w:val="21"/>
                <w:shd w:val="clear" w:color="auto" w:fill="FFFFFF"/>
              </w:rPr>
              <w:t>、</w:t>
            </w:r>
            <w:r>
              <w:fldChar w:fldCharType="begin"/>
            </w:r>
            <w:r>
              <w:instrText xml:space="preserve"> HYPERLINK "https://baike.so.com/doc/5334484-5569922.html" \t "_blank" </w:instrText>
            </w:r>
            <w:r>
              <w:fldChar w:fldCharType="separate"/>
            </w:r>
            <w:r>
              <w:rPr>
                <w:rStyle w:val="35"/>
                <w:color w:val="136EC2"/>
                <w:szCs w:val="21"/>
                <w:shd w:val="clear" w:color="auto" w:fill="FFFFFF"/>
              </w:rPr>
              <w:t>磁带</w:t>
            </w:r>
            <w:r>
              <w:rPr>
                <w:rStyle w:val="35"/>
                <w:color w:val="136EC2"/>
                <w:szCs w:val="21"/>
                <w:shd w:val="clear" w:color="auto" w:fill="FFFFFF"/>
              </w:rPr>
              <w:fldChar w:fldCharType="end"/>
            </w:r>
            <w:r>
              <w:rPr>
                <w:color w:val="333333"/>
                <w:szCs w:val="21"/>
                <w:shd w:val="clear" w:color="auto" w:fill="FFFFFF"/>
              </w:rPr>
              <w:t>、磁盘、磁泡存储器)，然后输入到数控机床的数控装置中，从而指挥</w:t>
            </w:r>
            <w:r>
              <w:fldChar w:fldCharType="begin"/>
            </w:r>
            <w:r>
              <w:instrText xml:space="preserve"> HYPERLINK "https://baike.so.com/doc/2525162-2667895.html" \t "_blank" </w:instrText>
            </w:r>
            <w:r>
              <w:fldChar w:fldCharType="separate"/>
            </w:r>
            <w:r>
              <w:rPr>
                <w:rStyle w:val="35"/>
                <w:color w:val="136EC2"/>
                <w:szCs w:val="21"/>
                <w:shd w:val="clear" w:color="auto" w:fill="FFFFFF"/>
              </w:rPr>
              <w:t>机床加工</w:t>
            </w:r>
            <w:r>
              <w:rPr>
                <w:rStyle w:val="35"/>
                <w:color w:val="136EC2"/>
                <w:szCs w:val="21"/>
                <w:shd w:val="clear" w:color="auto" w:fill="FFFFFF"/>
              </w:rPr>
              <w:fldChar w:fldCharType="end"/>
            </w:r>
            <w:r>
              <w:rPr>
                <w:color w:val="333333"/>
                <w:szCs w:val="21"/>
                <w:shd w:val="clear" w:color="auto" w:fill="FFFFFF"/>
              </w:rPr>
              <w:t>零件</w:t>
            </w:r>
            <w:r>
              <w:rPr>
                <w:color w:val="000000" w:themeColor="text1"/>
                <w:szCs w:val="21"/>
                <w14:textFill>
                  <w14:solidFill>
                    <w14:schemeClr w14:val="tx1"/>
                  </w14:solidFill>
                </w14:textFill>
              </w:rPr>
              <w:t>。数控车床在加工过程中会产生废切削液、含切削液的金属屑、边角料和废抹布。</w:t>
            </w:r>
          </w:p>
          <w:p>
            <w:pPr>
              <w:spacing w:line="360" w:lineRule="auto"/>
              <w:ind w:firstLine="422" w:firstLineChars="200"/>
              <w:rPr>
                <w:color w:val="000000" w:themeColor="text1"/>
                <w14:textFill>
                  <w14:solidFill>
                    <w14:schemeClr w14:val="tx1"/>
                  </w14:solidFill>
                </w14:textFill>
              </w:rPr>
            </w:pPr>
            <w:r>
              <w:rPr>
                <w:b/>
                <w:bCs/>
                <w:color w:val="000000" w:themeColor="text1"/>
                <w:lang w:val="zh-CN"/>
                <w14:textFill>
                  <w14:solidFill>
                    <w14:schemeClr w14:val="tx1"/>
                  </w14:solidFill>
                </w14:textFill>
              </w:rPr>
              <w:t>4）精雕</w:t>
            </w:r>
            <w:r>
              <w:rPr>
                <w:color w:val="000000" w:themeColor="text1"/>
                <w:lang w:val="zh-CN"/>
                <w14:textFill>
                  <w14:solidFill>
                    <w14:schemeClr w14:val="tx1"/>
                  </w14:solidFill>
                </w14:textFill>
              </w:rPr>
              <w:t>：</w:t>
            </w:r>
            <w:r>
              <w:rPr>
                <w:color w:val="000000" w:themeColor="text1"/>
                <w:szCs w:val="21"/>
                <w14:textFill>
                  <w14:solidFill>
                    <w14:schemeClr w14:val="tx1"/>
                  </w14:solidFill>
                </w14:textFill>
              </w:rPr>
              <w:t>将完成CNC加工的工件使用精雕机进行精细化雕刻加工，此工序会产生噪声和边角料。</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5）装配：</w:t>
            </w:r>
            <w:r>
              <w:rPr>
                <w:color w:val="000000" w:themeColor="text1"/>
                <w14:textFill>
                  <w14:solidFill>
                    <w14:schemeClr w14:val="tx1"/>
                  </w14:solidFill>
                </w14:textFill>
              </w:rPr>
              <w:t>将完成注塑的塑料外壳和完成精雕的五金配件，</w:t>
            </w:r>
            <w:r>
              <w:rPr>
                <w:color w:val="000000" w:themeColor="text1"/>
                <w:szCs w:val="21"/>
                <w14:textFill>
                  <w14:solidFill>
                    <w14:schemeClr w14:val="tx1"/>
                  </w14:solidFill>
                </w14:textFill>
              </w:rPr>
              <w:t>以及外购的电线、LED灯、电子零配件、PCB线路板、开关电源、螺丝，使用装配线进行装配加工</w:t>
            </w:r>
            <w:r>
              <w:rPr>
                <w:color w:val="000000" w:themeColor="text1"/>
                <w14:textFill>
                  <w14:solidFill>
                    <w14:schemeClr w14:val="tx1"/>
                  </w14:solidFill>
                </w14:textFill>
              </w:rPr>
              <w:t>，此工序会产生噪声。</w:t>
            </w:r>
          </w:p>
          <w:p>
            <w:pPr>
              <w:adjustRightInd w:val="0"/>
              <w:snapToGrid w:val="0"/>
              <w:spacing w:line="360" w:lineRule="auto"/>
              <w:ind w:firstLine="422" w:firstLineChars="200"/>
              <w:jc w:val="left"/>
              <w:rPr>
                <w:color w:val="000000" w:themeColor="text1"/>
                <w:sz w:val="24"/>
                <w14:textFill>
                  <w14:solidFill>
                    <w14:schemeClr w14:val="tx1"/>
                  </w14:solidFill>
                </w14:textFill>
              </w:rPr>
            </w:pPr>
            <w:r>
              <w:rPr>
                <w:b/>
                <w:color w:val="000000" w:themeColor="text1"/>
                <w14:textFill>
                  <w14:solidFill>
                    <w14:schemeClr w14:val="tx1"/>
                  </w14:solidFill>
                </w14:textFill>
              </w:rPr>
              <w:t>6）包装出货：</w:t>
            </w:r>
            <w:r>
              <w:rPr>
                <w:color w:val="000000" w:themeColor="text1"/>
                <w14:textFill>
                  <w14:solidFill>
                    <w14:schemeClr w14:val="tx1"/>
                  </w14:solidFill>
                </w14:textFill>
              </w:rPr>
              <w:t>通过人工对灯具进行包装，此工序会产生包装废物</w:t>
            </w:r>
            <w:r>
              <w:rPr>
                <w:color w:val="000000" w:themeColor="text1"/>
                <w:sz w:val="24"/>
                <w14:textFill>
                  <w14:solidFill>
                    <w14:schemeClr w14:val="tx1"/>
                  </w14:solidFill>
                </w14:textFill>
              </w:rPr>
              <w:t>。</w:t>
            </w:r>
          </w:p>
          <w:p>
            <w:pPr>
              <w:adjustRightInd w:val="0"/>
              <w:snapToGrid w:val="0"/>
              <w:spacing w:line="360" w:lineRule="auto"/>
              <w:ind w:firstLine="480" w:firstLineChars="200"/>
              <w:jc w:val="left"/>
              <w:rPr>
                <w:color w:val="000000" w:themeColor="text1"/>
                <w:sz w:val="24"/>
                <w14:textFill>
                  <w14:solidFill>
                    <w14:schemeClr w14:val="tx1"/>
                  </w14:solidFill>
                </w14:textFill>
              </w:rPr>
            </w:pP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（2）项目装饰牌生产工艺流程及产污环节分析。</w:t>
            </w:r>
          </w:p>
          <w:p>
            <w:pPr>
              <w:adjustRightInd w:val="0"/>
              <w:snapToGrid w:val="0"/>
              <w:spacing w:line="360" w:lineRule="auto"/>
              <w:ind w:firstLine="420" w:firstLineChars="200"/>
              <w:rPr>
                <w:color w:val="000000" w:themeColor="text1"/>
                <w:szCs w:val="21"/>
                <w14:textFill>
                  <w14:solidFill>
                    <w14:schemeClr w14:val="tx1"/>
                  </w14:solidFill>
                </w14:textFill>
              </w:rPr>
            </w:pPr>
          </w:p>
          <w:p>
            <w:pPr>
              <w:spacing w:line="360" w:lineRule="auto"/>
              <w:rPr>
                <w:b/>
                <w:bCs/>
                <w:color w:val="000000" w:themeColor="text1"/>
                <w:sz w:val="24"/>
                <w14:textFill>
                  <w14:solidFill>
                    <w14:schemeClr w14:val="tx1"/>
                  </w14:solidFill>
                </w14:textFill>
              </w:rPr>
            </w:pPr>
            <w:r>
              <w:object>
                <v:shape id="_x0000_i1027" o:spt="75" type="#_x0000_t75" style="height:242.2pt;width:433.85pt;" o:ole="t" filled="f" o:preferrelative="t" stroked="f" coordsize="21600,21600">
                  <v:path/>
                  <v:fill on="f" focussize="0,0"/>
                  <v:stroke on="f"/>
                  <v:imagedata r:id="rId21" o:title=""/>
                  <o:lock v:ext="edit" aspectratio="t"/>
                  <w10:wrap type="none"/>
                  <w10:anchorlock/>
                </v:shape>
                <o:OLEObject Type="Embed" ProgID="Visio.Drawing.11" ShapeID="_x0000_i1027" DrawAspect="Content" ObjectID="_1468075727" r:id="rId20">
                  <o:LockedField>false</o:LockedField>
                </o:OLEObject>
              </w:object>
            </w:r>
          </w:p>
          <w:p>
            <w:pPr>
              <w:spacing w:line="360" w:lineRule="auto"/>
              <w:ind w:firstLine="422" w:firstLineChars="200"/>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 xml:space="preserve">图2-3 </w:t>
            </w:r>
            <w:r>
              <w:rPr>
                <w:b/>
                <w:bCs/>
                <w:color w:val="000000" w:themeColor="text1"/>
                <w14:textFill>
                  <w14:solidFill>
                    <w14:schemeClr w14:val="tx1"/>
                  </w14:solidFill>
                </w14:textFill>
              </w:rPr>
              <w:t>项目生产工艺流程及产污环节示意图</w:t>
            </w:r>
          </w:p>
          <w:p>
            <w:pPr>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工艺流程说明：</w:t>
            </w:r>
          </w:p>
          <w:p>
            <w:pPr>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1）</w:t>
            </w:r>
            <w:r>
              <w:rPr>
                <w:b/>
                <w:bCs/>
                <w:color w:val="000000" w:themeColor="text1"/>
                <w14:textFill>
                  <w14:solidFill>
                    <w14:schemeClr w14:val="tx1"/>
                  </w14:solidFill>
                </w14:textFill>
              </w:rPr>
              <w:t>注塑</w:t>
            </w:r>
            <w:r>
              <w:rPr>
                <w:color w:val="000000" w:themeColor="text1"/>
                <w14:textFill>
                  <w14:solidFill>
                    <w14:schemeClr w14:val="tx1"/>
                  </w14:solidFill>
                </w14:textFill>
              </w:rPr>
              <w:t>：将外购的ABS塑料颗粒/PC塑料颗粒/尼龙通过人工送入注塑机中注塑成型。注塑机加热温度一般为180~200</w:t>
            </w:r>
            <w:r>
              <w:rPr>
                <w:rFonts w:hint="eastAsia" w:ascii="宋体" w:hAnsi="宋体" w:cs="宋体"/>
                <w:color w:val="000000" w:themeColor="text1"/>
                <w14:textFill>
                  <w14:solidFill>
                    <w14:schemeClr w14:val="tx1"/>
                  </w14:solidFill>
                </w14:textFill>
              </w:rPr>
              <w:t>℃</w:t>
            </w:r>
            <w:r>
              <w:rPr>
                <w:color w:val="000000" w:themeColor="text1"/>
                <w14:textFill>
                  <w14:solidFill>
                    <w14:schemeClr w14:val="tx1"/>
                  </w14:solidFill>
                </w14:textFill>
              </w:rPr>
              <w:t>左右，ABS</w:t>
            </w:r>
            <w:r>
              <w:rPr>
                <w:color w:val="000000" w:themeColor="text1"/>
                <w:shd w:val="clear" w:color="auto" w:fill="FFFFFF"/>
                <w14:textFill>
                  <w14:solidFill>
                    <w14:schemeClr w14:val="tx1"/>
                  </w14:solidFill>
                </w14:textFill>
              </w:rPr>
              <w:t>分解温度在210~280</w:t>
            </w:r>
            <w:r>
              <w:rPr>
                <w:rFonts w:hint="eastAsia" w:ascii="宋体" w:hAnsi="宋体" w:cs="宋体"/>
                <w:color w:val="000000" w:themeColor="text1"/>
                <w:shd w:val="clear" w:color="auto" w:fill="FFFFFF"/>
                <w14:textFill>
                  <w14:solidFill>
                    <w14:schemeClr w14:val="tx1"/>
                  </w14:solidFill>
                </w14:textFill>
              </w:rPr>
              <w:t>℃</w:t>
            </w:r>
            <w:r>
              <w:rPr>
                <w:color w:val="000000" w:themeColor="text1"/>
                <w:shd w:val="clear" w:color="auto" w:fill="FFFFFF"/>
                <w14:textFill>
                  <w14:solidFill>
                    <w14:schemeClr w14:val="tx1"/>
                  </w14:solidFill>
                </w14:textFill>
              </w:rPr>
              <w:t>、PC塑料颗粒的热分解温度为</w:t>
            </w:r>
            <w:r>
              <w:rPr>
                <w:color w:val="000000" w:themeColor="text1"/>
                <w:szCs w:val="21"/>
                <w14:textFill>
                  <w14:solidFill>
                    <w14:schemeClr w14:val="tx1"/>
                  </w14:solidFill>
                </w14:textFill>
              </w:rPr>
              <w:t>230～320</w:t>
            </w:r>
            <w:r>
              <w:rPr>
                <w:rFonts w:hint="eastAsia" w:ascii="宋体" w:hAnsi="宋体" w:cs="宋体"/>
                <w:color w:val="000000" w:themeColor="text1"/>
                <w:szCs w:val="21"/>
                <w14:textFill>
                  <w14:solidFill>
                    <w14:schemeClr w14:val="tx1"/>
                  </w14:solidFill>
                </w14:textFill>
              </w:rPr>
              <w:t>℃</w:t>
            </w:r>
            <w:r>
              <w:rPr>
                <w:color w:val="000000" w:themeColor="text1"/>
                <w:shd w:val="clear" w:color="auto" w:fill="FFFFFF"/>
                <w14:textFill>
                  <w14:solidFill>
                    <w14:schemeClr w14:val="tx1"/>
                  </w14:solidFill>
                </w14:textFill>
              </w:rPr>
              <w:t>，尼龙分解温度在290</w:t>
            </w:r>
            <w:r>
              <w:rPr>
                <w:rFonts w:hint="eastAsia" w:ascii="宋体" w:hAnsi="宋体" w:cs="宋体"/>
                <w:color w:val="000000" w:themeColor="text1"/>
                <w:shd w:val="clear" w:color="auto" w:fill="FFFFFF"/>
                <w14:textFill>
                  <w14:solidFill>
                    <w14:schemeClr w14:val="tx1"/>
                  </w14:solidFill>
                </w14:textFill>
              </w:rPr>
              <w:t>℃</w:t>
            </w:r>
            <w:r>
              <w:rPr>
                <w:color w:val="000000" w:themeColor="text1"/>
                <w:shd w:val="clear" w:color="auto" w:fill="FFFFFF"/>
                <w14:textFill>
                  <w14:solidFill>
                    <w14:schemeClr w14:val="tx1"/>
                  </w14:solidFill>
                </w14:textFill>
              </w:rPr>
              <w:t>，因此项目注塑机的工作温度均</w:t>
            </w:r>
            <w:r>
              <w:rPr>
                <w:color w:val="000000" w:themeColor="text1"/>
                <w14:textFill>
                  <w14:solidFill>
                    <w14:schemeClr w14:val="tx1"/>
                  </w14:solidFill>
                </w14:textFill>
              </w:rPr>
              <w:t>未达到ABS塑料颗粒/PC塑料颗粒/尼龙</w:t>
            </w:r>
            <w:r>
              <w:rPr>
                <w:color w:val="000000" w:themeColor="text1"/>
                <w:lang w:val="zh-CN"/>
                <w14:textFill>
                  <w14:solidFill>
                    <w14:schemeClr w14:val="tx1"/>
                  </w14:solidFill>
                </w14:textFill>
              </w:rPr>
              <w:t>的分解温度，因此</w:t>
            </w:r>
            <w:r>
              <w:rPr>
                <w:color w:val="000000" w:themeColor="text1"/>
                <w14:textFill>
                  <w14:solidFill>
                    <w14:schemeClr w14:val="tx1"/>
                  </w14:solidFill>
                </w14:textFill>
              </w:rPr>
              <w:t>ABS塑料颗粒/PC塑料颗粒/尼龙</w:t>
            </w:r>
            <w:r>
              <w:rPr>
                <w:color w:val="000000" w:themeColor="text1"/>
                <w:lang w:val="zh-CN"/>
                <w14:textFill>
                  <w14:solidFill>
                    <w14:schemeClr w14:val="tx1"/>
                  </w14:solidFill>
                </w14:textFill>
              </w:rPr>
              <w:t>在注塑温度下不会发生</w:t>
            </w:r>
            <w:r>
              <w:rPr>
                <w:color w:val="000000" w:themeColor="text1"/>
                <w14:textFill>
                  <w14:solidFill>
                    <w14:schemeClr w14:val="tx1"/>
                  </w14:solidFill>
                </w14:textFill>
              </w:rPr>
              <w:t>聚合物断裂，即不会发生分解，因此在注塑过程中无分子单体产生。但在注塑剪切挤压力作用下，会产生有机废气和噪声，有机废气以非甲烷总烃表征。此外，在塑料颗粒加热熔融的过程中会产生少量的臭气，根据</w:t>
            </w:r>
            <w:r>
              <w:rPr>
                <w:color w:val="000000" w:themeColor="text1"/>
                <w:szCs w:val="21"/>
                <w14:textFill>
                  <w14:solidFill>
                    <w14:schemeClr w14:val="tx1"/>
                  </w14:solidFill>
                </w14:textFill>
              </w:rPr>
              <w:t>《排污许可证申请与核发技术规范 橡胶和塑料制品工业》（HJ1122-2020）</w:t>
            </w:r>
            <w:r>
              <w:rPr>
                <w:color w:val="000000" w:themeColor="text1"/>
                <w14:textFill>
                  <w14:solidFill>
                    <w14:schemeClr w14:val="tx1"/>
                  </w14:solidFill>
                </w14:textFill>
              </w:rPr>
              <w:t>以臭气浓度表征，项目通过冷却塔的冷却水进行间接冷却，冷却水循环使用，不外排，定期补充损耗。因此，在注塑工序会产生非甲烷总烃、臭气浓度、水口料、噪声。</w:t>
            </w:r>
          </w:p>
          <w:p>
            <w:pPr>
              <w:adjustRightInd w:val="0"/>
              <w:snapToGrid w:val="0"/>
              <w:spacing w:line="360" w:lineRule="auto"/>
              <w:ind w:firstLine="422" w:firstLineChars="200"/>
              <w:jc w:val="left"/>
              <w:rPr>
                <w:color w:val="000000" w:themeColor="text1"/>
                <w:sz w:val="24"/>
                <w14:textFill>
                  <w14:solidFill>
                    <w14:schemeClr w14:val="tx1"/>
                  </w14:solidFill>
                </w14:textFill>
              </w:rPr>
            </w:pPr>
            <w:r>
              <w:rPr>
                <w:b/>
                <w:color w:val="000000" w:themeColor="text1"/>
                <w14:textFill>
                  <w14:solidFill>
                    <w14:schemeClr w14:val="tx1"/>
                  </w14:solidFill>
                </w14:textFill>
              </w:rPr>
              <w:t>2）包装出货：</w:t>
            </w:r>
            <w:r>
              <w:rPr>
                <w:color w:val="000000" w:themeColor="text1"/>
                <w14:textFill>
                  <w14:solidFill>
                    <w14:schemeClr w14:val="tx1"/>
                  </w14:solidFill>
                </w14:textFill>
              </w:rPr>
              <w:t>通过人工对装饰牌进行包装，此工序会产生包装废物</w:t>
            </w:r>
            <w:r>
              <w:rPr>
                <w:color w:val="000000" w:themeColor="text1"/>
                <w:sz w:val="24"/>
                <w14:textFill>
                  <w14:solidFill>
                    <w14:schemeClr w14:val="tx1"/>
                  </w14:solidFill>
                </w14:textFill>
              </w:rPr>
              <w:t>。</w:t>
            </w:r>
          </w:p>
          <w:p>
            <w:pPr>
              <w:pStyle w:val="104"/>
              <w:autoSpaceDE/>
              <w:autoSpaceDN/>
              <w:adjustRightInd/>
              <w:spacing w:line="520" w:lineRule="exact"/>
              <w:ind w:firstLine="482"/>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（2）项目模具维修工作流程及产污环节如下所示：</w:t>
            </w:r>
          </w:p>
          <w:p>
            <w:pPr>
              <w:pStyle w:val="45"/>
              <w:rPr>
                <w:color w:val="000000" w:themeColor="text1"/>
                <w14:textFill>
                  <w14:solidFill>
                    <w14:schemeClr w14:val="tx1"/>
                  </w14:solidFill>
                </w14:textFill>
              </w:rPr>
            </w:pPr>
            <w:r>
              <w:rPr>
                <w:color w:val="000000" w:themeColor="text1"/>
                <w14:textFill>
                  <w14:solidFill>
                    <w14:schemeClr w14:val="tx1"/>
                  </w14:solidFill>
                </w14:textFill>
              </w:rPr>
              <w:object>
                <v:shape id="_x0000_i1028" o:spt="75" type="#_x0000_t75" style="height:84.15pt;width:258.15pt;" o:ole="t" filled="f" o:preferrelative="t" stroked="f" coordsize="21600,21600">
                  <v:path/>
                  <v:fill on="f" focussize="0,0"/>
                  <v:stroke on="f"/>
                  <v:imagedata r:id="rId23" o:title=""/>
                  <o:lock v:ext="edit" aspectratio="t"/>
                  <w10:wrap type="none"/>
                  <w10:anchorlock/>
                </v:shape>
                <o:OLEObject Type="Embed" ProgID="Visio.Drawing.11" ShapeID="_x0000_i1028" DrawAspect="Content" ObjectID="_1468075728" r:id="rId22">
                  <o:LockedField>false</o:LockedField>
                </o:OLEObject>
              </w:object>
            </w:r>
          </w:p>
          <w:p>
            <w:pPr>
              <w:pStyle w:val="45"/>
              <w:spacing w:before="156" w:beforeLines="50" w:after="156" w:afterLines="50" w:line="360" w:lineRule="auto"/>
              <w:rPr>
                <w:color w:val="000000" w:themeColor="text1"/>
                <w14:textFill>
                  <w14:solidFill>
                    <w14:schemeClr w14:val="tx1"/>
                  </w14:solidFill>
                </w14:textFill>
              </w:rPr>
            </w:pPr>
            <w:r>
              <w:rPr>
                <w:b/>
                <w:color w:val="000000" w:themeColor="text1"/>
                <w14:textFill>
                  <w14:solidFill>
                    <w14:schemeClr w14:val="tx1"/>
                  </w14:solidFill>
                </w14:textFill>
              </w:rPr>
              <w:t>图</w:t>
            </w:r>
            <w:r>
              <w:rPr>
                <w:color w:val="000000" w:themeColor="text1"/>
                <w:szCs w:val="21"/>
                <w14:textFill>
                  <w14:solidFill>
                    <w14:schemeClr w14:val="tx1"/>
                  </w14:solidFill>
                </w14:textFill>
              </w:rPr>
              <w:t xml:space="preserve">2-4 </w:t>
            </w:r>
            <w:r>
              <w:rPr>
                <w:b/>
                <w:bCs/>
                <w:color w:val="000000" w:themeColor="text1"/>
                <w:szCs w:val="21"/>
                <w14:textFill>
                  <w14:solidFill>
                    <w14:schemeClr w14:val="tx1"/>
                  </w14:solidFill>
                </w14:textFill>
              </w:rPr>
              <w:t>项目模具</w:t>
            </w:r>
            <w:r>
              <w:rPr>
                <w:b/>
                <w:color w:val="000000" w:themeColor="text1"/>
                <w:szCs w:val="21"/>
                <w14:textFill>
                  <w14:solidFill>
                    <w14:schemeClr w14:val="tx1"/>
                  </w14:solidFill>
                </w14:textFill>
              </w:rPr>
              <w:t>维修</w:t>
            </w:r>
            <w:r>
              <w:rPr>
                <w:b/>
                <w:color w:val="000000" w:themeColor="text1"/>
                <w14:textFill>
                  <w14:solidFill>
                    <w14:schemeClr w14:val="tx1"/>
                  </w14:solidFill>
                </w14:textFill>
              </w:rPr>
              <w:t>工艺流程及产污环节分析示意图</w:t>
            </w:r>
          </w:p>
          <w:p>
            <w:pPr>
              <w:tabs>
                <w:tab w:val="left" w:pos="1081"/>
              </w:tabs>
              <w:adjustRightInd w:val="0"/>
              <w:snapToGrid w:val="0"/>
              <w:spacing w:line="360" w:lineRule="auto"/>
              <w:ind w:firstLine="422" w:firstLineChars="200"/>
              <w:rPr>
                <w:color w:val="000000" w:themeColor="text1"/>
                <w14:textFill>
                  <w14:solidFill>
                    <w14:schemeClr w14:val="tx1"/>
                  </w14:solidFill>
                </w14:textFill>
              </w:rPr>
            </w:pPr>
            <w:r>
              <w:rPr>
                <w:b/>
                <w:color w:val="000000" w:themeColor="text1"/>
                <w14:textFill>
                  <w14:solidFill>
                    <w14:schemeClr w14:val="tx1"/>
                  </w14:solidFill>
                </w14:textFill>
              </w:rPr>
              <w:t>车铣加工</w:t>
            </w:r>
            <w:r>
              <w:rPr>
                <w:color w:val="000000" w:themeColor="text1"/>
                <w14:textFill>
                  <w14:solidFill>
                    <w14:schemeClr w14:val="tx1"/>
                  </w14:solidFill>
                </w14:textFill>
              </w:rPr>
              <w:t>：将需要维修的模具使用车床进行车削维修或使用铣床进行铣削加工，此工序会产生噪声和金属碎屑，由于金属碎屑的产生量极少，本环评不予以评价。</w:t>
            </w: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2、项目污染因子汇总</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表2-10 运营期污染源污染因子分析汇总表</w:t>
            </w:r>
          </w:p>
          <w:tbl>
            <w:tblPr>
              <w:tblStyle w:val="29"/>
              <w:tblW w:w="9780" w:type="dxa"/>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5805"/>
              <w:gridCol w:w="314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类别</w:t>
                  </w:r>
                </w:p>
              </w:tc>
              <w:tc>
                <w:tcPr>
                  <w:tcW w:w="5805" w:type="dxa"/>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3149" w:type="dxa"/>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员工生活</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非甲烷总烃和臭气浓度</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设备运行</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员工生活</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包装废物</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水口料</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冲压、CNC加工、精雕</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边角料</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CNC加工</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废抹布、废切削液、含切削液的金属屑、废原料桶</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设备使用</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废机油、废机油桶</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6" w:type="dxa"/>
                  <w:vMerge w:val="continue"/>
                  <w:vAlign w:val="center"/>
                </w:tcPr>
                <w:p>
                  <w:pPr>
                    <w:jc w:val="center"/>
                    <w:rPr>
                      <w:color w:val="000000" w:themeColor="text1"/>
                      <w:szCs w:val="21"/>
                      <w14:textFill>
                        <w14:solidFill>
                          <w14:schemeClr w14:val="tx1"/>
                        </w14:solidFill>
                      </w14:textFill>
                    </w:rPr>
                  </w:pPr>
                </w:p>
              </w:tc>
              <w:tc>
                <w:tcPr>
                  <w:tcW w:w="580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废气处理</w:t>
                  </w:r>
                </w:p>
              </w:tc>
              <w:tc>
                <w:tcPr>
                  <w:tcW w:w="314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废活性炭</w:t>
                  </w:r>
                </w:p>
              </w:tc>
            </w:tr>
          </w:tbl>
          <w:p>
            <w:pPr>
              <w:spacing w:line="360" w:lineRule="auto"/>
              <w:ind w:firstLine="480" w:firstLineChars="200"/>
              <w:rPr>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vAlign w:val="center"/>
          </w:tcPr>
          <w:p>
            <w:pPr>
              <w:spacing w:line="360" w:lineRule="auto"/>
              <w:rPr>
                <w:color w:val="000000" w:themeColor="text1"/>
                <w:szCs w:val="21"/>
                <w14:textFill>
                  <w14:solidFill>
                    <w14:schemeClr w14:val="tx1"/>
                  </w14:solidFill>
                </w14:textFill>
              </w:rPr>
            </w:pPr>
            <w:r>
              <w:rPr>
                <w:color w:val="000000" w:themeColor="text1"/>
                <w14:textFill>
                  <w14:solidFill>
                    <w14:schemeClr w14:val="tx1"/>
                  </w14:solidFill>
                </w14:textFill>
              </w:rPr>
              <w:t>与项目有关的原有环境污染问题</w:t>
            </w:r>
          </w:p>
        </w:tc>
        <w:tc>
          <w:tcPr>
            <w:tcW w:w="10002" w:type="dxa"/>
          </w:tcPr>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p>
            <w:pPr>
              <w:spacing w:line="360" w:lineRule="auto"/>
              <w:ind w:firstLine="420" w:firstLineChars="200"/>
              <w:rPr>
                <w:color w:val="000000" w:themeColor="text1"/>
                <w:szCs w:val="2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p>
            <w:pPr>
              <w:pStyle w:val="47"/>
              <w:jc w:val="left"/>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4" w:type="default"/>
          <w:pgSz w:w="11906" w:h="16838"/>
          <w:pgMar w:top="720" w:right="720" w:bottom="720" w:left="720" w:header="567" w:footer="567" w:gutter="0"/>
          <w:cols w:space="720"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三、区域环境质量现状、环境保护目标及评价标准</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6" w:type="pct"/>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区域</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质量</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现状</w:t>
            </w:r>
          </w:p>
        </w:tc>
        <w:tc>
          <w:tcPr>
            <w:tcW w:w="4804" w:type="pct"/>
            <w:vAlign w:val="center"/>
          </w:tcPr>
          <w:p>
            <w:pPr>
              <w:adjustRightInd w:val="0"/>
              <w:snapToGrid w:val="0"/>
              <w:spacing w:line="360" w:lineRule="auto"/>
              <w:outlineLvl w:val="0"/>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一、</w:t>
            </w:r>
            <w:r>
              <w:rPr>
                <w:b/>
                <w:color w:val="000000" w:themeColor="text1"/>
                <w:szCs w:val="21"/>
                <w14:textFill>
                  <w14:solidFill>
                    <w14:schemeClr w14:val="tx1"/>
                  </w14:solidFill>
                </w14:textFill>
              </w:rPr>
              <w:t>环境现状</w:t>
            </w:r>
          </w:p>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大气环境</w:t>
            </w:r>
          </w:p>
          <w:p>
            <w:pPr>
              <w:numPr>
                <w:ilvl w:val="0"/>
                <w:numId w:val="15"/>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项目所在区域的空气环境质量达标情况分析</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根据《2021年惠州市生态环境状况公报》http://shj.huizhou.gov.cn/gkmlpt/content/4/4665/post_4665397.html#308，惠州市城市空气质量总体保持良好。</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1.市区空气质量：2021年，市区（惠城区、惠阳区和大亚湾区）空气质量良好，六项污染物年评价浓度均达到国家二级标准。其中，二氧化硫（SO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）、二氧化氮（NO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）和一氧化碳（CO）达国家一级标准，可吸入颗粒物（PM</w:t>
            </w:r>
            <w:r>
              <w:rPr>
                <w:color w:val="000000" w:themeColor="text1"/>
                <w:szCs w:val="21"/>
                <w:vertAlign w:val="subscript"/>
                <w14:textFill>
                  <w14:solidFill>
                    <w14:schemeClr w14:val="tx1"/>
                  </w14:solidFill>
                </w14:textFill>
              </w:rPr>
              <w:t>10</w:t>
            </w:r>
            <w:r>
              <w:rPr>
                <w:color w:val="000000" w:themeColor="text1"/>
                <w:szCs w:val="21"/>
                <w14:textFill>
                  <w14:solidFill>
                    <w14:schemeClr w14:val="tx1"/>
                  </w14:solidFill>
                </w14:textFill>
              </w:rPr>
              <w:t>）、细颗粒物（PM</w:t>
            </w:r>
            <w:r>
              <w:rPr>
                <w:color w:val="000000" w:themeColor="text1"/>
                <w:szCs w:val="21"/>
                <w:vertAlign w:val="subscript"/>
                <w14:textFill>
                  <w14:solidFill>
                    <w14:schemeClr w14:val="tx1"/>
                  </w14:solidFill>
                </w14:textFill>
              </w:rPr>
              <w:t>2.5</w:t>
            </w:r>
            <w:r>
              <w:rPr>
                <w:color w:val="000000" w:themeColor="text1"/>
                <w:szCs w:val="21"/>
                <w14:textFill>
                  <w14:solidFill>
                    <w14:schemeClr w14:val="tx1"/>
                  </w14:solidFill>
                </w14:textFill>
              </w:rPr>
              <w:t>）和臭氧（O</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）达到国家二级标准；综合指数为2.83，空气质量指数（AQI）范围为20～161，达标天数比例（AQI达标率）为94.5%，其中，优180天，良165天，轻度污染19天，中度污染1天，超标污染物为臭氧。</w:t>
            </w:r>
          </w:p>
          <w:p>
            <w:pPr>
              <w:widowControl/>
              <w:shd w:val="clear" w:color="auto" w:fill="FFFFFF"/>
              <w:adjustRightInd w:val="0"/>
              <w:snapToGrid w:val="0"/>
              <w:spacing w:line="36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与2020年相比，环境空气质量综合指数上升2.2%，AQI达标率下降3.3个百分点；六项污染物年评价浓度中，二氧化硫（SO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）持平，一氧化碳（CO）和细颗粒物（PM</w:t>
            </w:r>
            <w:r>
              <w:rPr>
                <w:color w:val="000000" w:themeColor="text1"/>
                <w:szCs w:val="21"/>
                <w:vertAlign w:val="subscript"/>
                <w14:textFill>
                  <w14:solidFill>
                    <w14:schemeClr w14:val="tx1"/>
                  </w14:solidFill>
                </w14:textFill>
              </w:rPr>
              <w:t>2.5</w:t>
            </w:r>
            <w:r>
              <w:rPr>
                <w:color w:val="000000" w:themeColor="text1"/>
                <w:szCs w:val="21"/>
                <w14:textFill>
                  <w14:solidFill>
                    <w14:schemeClr w14:val="tx1"/>
                  </w14:solidFill>
                </w14:textFill>
              </w:rPr>
              <w:t>）浓度分别下降22.2%和5.0%，二氧化氮（NO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）、可吸入颗粒物（PM10）、臭氧（O3）浓度分别上升11.1%、5.3%和5.1%。</w:t>
            </w:r>
          </w:p>
          <w:p>
            <w:pPr>
              <w:widowControl/>
              <w:shd w:val="clear" w:color="auto" w:fill="FFFFFF"/>
              <w:adjustRightInd w:val="0"/>
              <w:snapToGrid w:val="0"/>
              <w:spacing w:line="36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2.各县（区）空气质量：2021年，各县（区）二氧化硫（SO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）、二氧化氮（NO</w:t>
            </w:r>
            <w:r>
              <w:rPr>
                <w:color w:val="000000" w:themeColor="text1"/>
                <w:szCs w:val="21"/>
                <w:vertAlign w:val="subscript"/>
                <w14:textFill>
                  <w14:solidFill>
                    <w14:schemeClr w14:val="tx1"/>
                  </w14:solidFill>
                </w14:textFill>
              </w:rPr>
              <w:t>2</w:t>
            </w:r>
            <w:r>
              <w:rPr>
                <w:color w:val="000000" w:themeColor="text1"/>
                <w:szCs w:val="21"/>
                <w14:textFill>
                  <w14:solidFill>
                    <w14:schemeClr w14:val="tx1"/>
                  </w14:solidFill>
                </w14:textFill>
              </w:rPr>
              <w:t>）、一氧化碳（CO）达国家一级标准，臭氧（O</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）达国家二级标准；龙门县、大亚湾区和惠东县可吸入颗粒物（PM</w:t>
            </w:r>
            <w:r>
              <w:rPr>
                <w:color w:val="000000" w:themeColor="text1"/>
                <w:szCs w:val="21"/>
                <w:vertAlign w:val="subscript"/>
                <w14:textFill>
                  <w14:solidFill>
                    <w14:schemeClr w14:val="tx1"/>
                  </w14:solidFill>
                </w14:textFill>
              </w:rPr>
              <w:t>10</w:t>
            </w:r>
            <w:r>
              <w:rPr>
                <w:color w:val="000000" w:themeColor="text1"/>
                <w:szCs w:val="21"/>
                <w14:textFill>
                  <w14:solidFill>
                    <w14:schemeClr w14:val="tx1"/>
                  </w14:solidFill>
                </w14:textFill>
              </w:rPr>
              <w:t>）达国家一级标准，其余县（区）达国家二级标准；龙门县细颗粒物（PM2.5）达国家一级标准，其余县（区）达国家二级标准。各县（区）环境空气优良率（达标率）范围在92.6%～99.1%之间；综合指数范围在2.33～3.31之间，主要污染物均为臭氧，次要污染物以可吸入颗粒物PM</w:t>
            </w:r>
            <w:r>
              <w:rPr>
                <w:color w:val="000000" w:themeColor="text1"/>
                <w:szCs w:val="21"/>
                <w:vertAlign w:val="subscript"/>
                <w14:textFill>
                  <w14:solidFill>
                    <w14:schemeClr w14:val="tx1"/>
                  </w14:solidFill>
                </w14:textFill>
              </w:rPr>
              <w:t>10</w:t>
            </w:r>
            <w:r>
              <w:rPr>
                <w:color w:val="000000" w:themeColor="text1"/>
                <w:szCs w:val="21"/>
                <w14:textFill>
                  <w14:solidFill>
                    <w14:schemeClr w14:val="tx1"/>
                  </w14:solidFill>
                </w14:textFill>
              </w:rPr>
              <w:t>为主。</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根据《2021年惠州市生态环境状况公报》，项目所在区域属于空气环境达标区。</w:t>
            </w:r>
          </w:p>
          <w:p>
            <w:pPr>
              <w:pStyle w:val="39"/>
              <w:ind w:firstLine="0" w:firstLine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drawing>
                <wp:inline distT="0" distB="0" distL="0" distR="0">
                  <wp:extent cx="5287010" cy="5596890"/>
                  <wp:effectExtent l="38100" t="38100" r="46990" b="419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4"/>
                          <a:stretch>
                            <a:fillRect/>
                          </a:stretch>
                        </pic:blipFill>
                        <pic:spPr>
                          <a:xfrm>
                            <a:off x="0" y="0"/>
                            <a:ext cx="5295863" cy="5605951"/>
                          </a:xfrm>
                          <a:prstGeom prst="rect">
                            <a:avLst/>
                          </a:prstGeom>
                          <a:ln w="28575">
                            <a:solidFill>
                              <a:schemeClr val="tx1"/>
                            </a:solidFill>
                          </a:ln>
                        </pic:spPr>
                      </pic:pic>
                    </a:graphicData>
                  </a:graphic>
                </wp:inline>
              </w:drawing>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图3-1  2021年惠州市生态环境状况公报截图</w:t>
            </w:r>
          </w:p>
          <w:p>
            <w:pPr>
              <w:numPr>
                <w:ilvl w:val="0"/>
                <w:numId w:val="15"/>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特征因子空气环境质量现状</w:t>
            </w:r>
          </w:p>
          <w:p>
            <w:pPr>
              <w:widowControl/>
              <w:adjustRightInd w:val="0"/>
              <w:snapToGrid w:val="0"/>
              <w:spacing w:line="360" w:lineRule="auto"/>
              <w:ind w:firstLine="420" w:firstLineChars="200"/>
              <w:rPr>
                <w:color w:val="000000" w:themeColor="text1"/>
                <w:szCs w:val="21"/>
                <w:lang w:val="en-GB"/>
                <w14:textFill>
                  <w14:solidFill>
                    <w14:schemeClr w14:val="tx1"/>
                  </w14:solidFill>
                </w14:textFill>
              </w:rPr>
            </w:pPr>
            <w:r>
              <w:rPr>
                <w:color w:val="000000" w:themeColor="text1"/>
                <w:szCs w:val="21"/>
                <w:lang w:val="en-GB"/>
                <w14:textFill>
                  <w14:solidFill>
                    <w14:schemeClr w14:val="tx1"/>
                  </w14:solidFill>
                </w14:textFill>
              </w:rPr>
              <w:t>本项目废气特征因子为非甲烷总烃，以TVOC表征，为进一步了解项目所在地环境空气的现状，本项目引用引用《惠州博威新材料有限公司年产 50 万吨低氧光亮铜杆系列建设项目环境影响报告书》中东莞中鼎检测技术有限公司于 2020 年 7 月 20 日~26 日对铁场村的 TVOC 监测数据结果，铁场村位于项目东北面3900m，监测数据引用报告编号：CIT20070200090F1，项目引用的监测数据在三年的有效期内，</w:t>
            </w:r>
            <w:r>
              <w:rPr>
                <w:color w:val="000000" w:themeColor="text1"/>
                <w:szCs w:val="21"/>
                <w14:textFill>
                  <w14:solidFill>
                    <w14:schemeClr w14:val="tx1"/>
                  </w14:solidFill>
                </w14:textFill>
              </w:rPr>
              <w:t>具体现状监测结果详见下表，监测点位见</w:t>
            </w:r>
            <w:r>
              <w:rPr>
                <w:b/>
                <w:bCs/>
                <w:color w:val="000000" w:themeColor="text1"/>
                <w:szCs w:val="21"/>
                <w14:textFill>
                  <w14:solidFill>
                    <w14:schemeClr w14:val="tx1"/>
                  </w14:solidFill>
                </w14:textFill>
              </w:rPr>
              <w:t>附图9</w:t>
            </w:r>
            <w:r>
              <w:rPr>
                <w:color w:val="000000" w:themeColor="text1"/>
                <w:szCs w:val="21"/>
                <w14:textFill>
                  <w14:solidFill>
                    <w14:schemeClr w14:val="tx1"/>
                  </w14:solidFill>
                </w14:textFill>
              </w:rPr>
              <w:t>。</w:t>
            </w:r>
          </w:p>
          <w:p>
            <w:pPr>
              <w:adjustRightInd w:val="0"/>
              <w:snapToGrid w:val="0"/>
              <w:spacing w:line="360" w:lineRule="auto"/>
              <w:jc w:val="center"/>
              <w:rPr>
                <w:b/>
                <w:bCs/>
                <w:color w:val="000000" w:themeColor="text1"/>
                <w:szCs w:val="21"/>
                <w14:textFill>
                  <w14:solidFill>
                    <w14:schemeClr w14:val="tx1"/>
                  </w14:solidFill>
                </w14:textFill>
              </w:rPr>
            </w:pPr>
          </w:p>
          <w:p>
            <w:pPr>
              <w:adjustRightInd w:val="0"/>
              <w:snapToGrid w:val="0"/>
              <w:spacing w:line="360" w:lineRule="auto"/>
              <w:jc w:val="center"/>
              <w:rPr>
                <w:b/>
                <w:bCs/>
                <w:color w:val="000000" w:themeColor="text1"/>
                <w:szCs w:val="21"/>
                <w14:textFill>
                  <w14:solidFill>
                    <w14:schemeClr w14:val="tx1"/>
                  </w14:solidFill>
                </w14:textFill>
              </w:rPr>
            </w:pPr>
          </w:p>
          <w:p>
            <w:pPr>
              <w:adjustRightInd w:val="0"/>
              <w:snapToGrid w:val="0"/>
              <w:spacing w:line="360" w:lineRule="auto"/>
              <w:jc w:val="center"/>
              <w:rPr>
                <w:b/>
                <w:bCs/>
                <w:color w:val="000000" w:themeColor="text1"/>
                <w:szCs w:val="21"/>
                <w14:textFill>
                  <w14:solidFill>
                    <w14:schemeClr w14:val="tx1"/>
                  </w14:solidFill>
                </w14:textFill>
              </w:rPr>
            </w:pPr>
          </w:p>
          <w:p>
            <w:pPr>
              <w:adjustRightInd w:val="0"/>
              <w:snapToGrid w:val="0"/>
              <w:spacing w:line="360" w:lineRule="auto"/>
              <w:jc w:val="center"/>
              <w:rPr>
                <w:b/>
                <w:bCs/>
                <w:color w:val="000000" w:themeColor="text1"/>
                <w:szCs w:val="21"/>
                <w14:textFill>
                  <w14:solidFill>
                    <w14:schemeClr w14:val="tx1"/>
                  </w14:solidFill>
                </w14:textFill>
              </w:rPr>
            </w:pPr>
          </w:p>
          <w:p>
            <w:pPr>
              <w:adjustRightInd w:val="0"/>
              <w:snapToGrid w:val="0"/>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表3-1 项目环境空气保护目标一览表</w:t>
            </w:r>
          </w:p>
          <w:tbl>
            <w:tblPr>
              <w:tblStyle w:val="29"/>
              <w:tblW w:w="0" w:type="auto"/>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78"/>
              <w:gridCol w:w="677"/>
              <w:gridCol w:w="1131"/>
              <w:gridCol w:w="1012"/>
              <w:gridCol w:w="1752"/>
              <w:gridCol w:w="1497"/>
              <w:gridCol w:w="793"/>
              <w:gridCol w:w="79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trPr>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监测点名称</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污染物</w:t>
                  </w:r>
                </w:p>
              </w:tc>
              <w:tc>
                <w:tcPr>
                  <w:tcW w:w="1131" w:type="dxa"/>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平均时间</w:t>
                  </w:r>
                </w:p>
              </w:tc>
              <w:tc>
                <w:tcPr>
                  <w:tcW w:w="1012" w:type="dxa"/>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评价标准mg/m</w:t>
                  </w:r>
                  <w:r>
                    <w:rPr>
                      <w:color w:val="000000" w:themeColor="text1"/>
                      <w:szCs w:val="21"/>
                      <w:vertAlign w:val="superscript"/>
                      <w14:textFill>
                        <w14:solidFill>
                          <w14:schemeClr w14:val="tx1"/>
                        </w14:solidFill>
                      </w14:textFill>
                    </w:rPr>
                    <w:t>3</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监测浓度范围mg/m</w:t>
                  </w:r>
                  <w:r>
                    <w:rPr>
                      <w:color w:val="000000" w:themeColor="text1"/>
                      <w:szCs w:val="21"/>
                      <w:vertAlign w:val="superscript"/>
                      <w14:textFill>
                        <w14:solidFill>
                          <w14:schemeClr w14:val="tx1"/>
                        </w14:solidFill>
                      </w14:textFill>
                    </w:rPr>
                    <w:t>3</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最大浓度点标率%</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超标率%</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达标情况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10" w:hRule="atLeast"/>
              </w:trPr>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G1铁场村</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TVOC</w:t>
                  </w:r>
                </w:p>
              </w:tc>
              <w:tc>
                <w:tcPr>
                  <w:tcW w:w="1131" w:type="dxa"/>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8小时均值</w:t>
                  </w:r>
                </w:p>
              </w:tc>
              <w:tc>
                <w:tcPr>
                  <w:tcW w:w="1012" w:type="dxa"/>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0.6</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0.017~0.047</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7.8</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c>
                <w:tcPr>
                  <w:tcW w:w="0" w:type="auto"/>
                  <w:vAlign w:val="center"/>
                </w:tcPr>
                <w:p>
                  <w:pPr>
                    <w:pStyle w:val="2"/>
                    <w:rPr>
                      <w:color w:val="000000" w:themeColor="text1"/>
                      <w:szCs w:val="21"/>
                      <w14:textFill>
                        <w14:solidFill>
                          <w14:schemeClr w14:val="tx1"/>
                        </w14:solidFill>
                      </w14:textFill>
                    </w:rPr>
                  </w:pPr>
                  <w:r>
                    <w:rPr>
                      <w:color w:val="000000" w:themeColor="text1"/>
                      <w:szCs w:val="21"/>
                      <w14:textFill>
                        <w14:solidFill>
                          <w14:schemeClr w14:val="tx1"/>
                        </w14:solidFill>
                      </w14:textFill>
                    </w:rPr>
                    <w:t>达标</w:t>
                  </w:r>
                </w:p>
              </w:tc>
            </w:tr>
          </w:tbl>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项目所在区域</w:t>
            </w:r>
            <w:r>
              <w:rPr>
                <w:bCs/>
                <w:color w:val="000000" w:themeColor="text1"/>
                <w:spacing w:val="4"/>
                <w:kern w:val="18"/>
                <w:szCs w:val="21"/>
                <w14:textFill>
                  <w14:solidFill>
                    <w14:schemeClr w14:val="tx1"/>
                  </w14:solidFill>
                </w14:textFill>
              </w:rPr>
              <w:t>TVOC可以达到《环境影响评价技术导则大气环境》（HJ2.2-2018）附录D.1其他污染物空气质量浓度参考限值</w:t>
            </w:r>
            <w:r>
              <w:rPr>
                <w:color w:val="000000" w:themeColor="text1"/>
                <w:szCs w:val="21"/>
                <w14:textFill>
                  <w14:solidFill>
                    <w14:schemeClr w14:val="tx1"/>
                  </w14:solidFill>
                </w14:textFill>
              </w:rPr>
              <w:t>。</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小结</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项目所在区域环境质量现状良好，各因子可达到《环境空气质量标准》（GB3095-2012）及其修改单中的二级标准浓度限值，特征因子</w:t>
            </w:r>
            <w:r>
              <w:rPr>
                <w:bCs/>
                <w:color w:val="000000" w:themeColor="text1"/>
                <w:spacing w:val="4"/>
                <w:kern w:val="18"/>
                <w:szCs w:val="21"/>
                <w14:textFill>
                  <w14:solidFill>
                    <w14:schemeClr w14:val="tx1"/>
                  </w14:solidFill>
                </w14:textFill>
              </w:rPr>
              <w:t>TVOC可以达到《环境影响评价技术导则大气环境》（HJ2.2-2018）附录D.1其他污染物空气质量浓度参考限值</w:t>
            </w:r>
            <w:r>
              <w:rPr>
                <w:color w:val="000000" w:themeColor="text1"/>
                <w:szCs w:val="21"/>
                <w14:textFill>
                  <w14:solidFill>
                    <w14:schemeClr w14:val="tx1"/>
                  </w14:solidFill>
                </w14:textFill>
              </w:rPr>
              <w:t>。</w:t>
            </w:r>
          </w:p>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地表水环境</w:t>
            </w:r>
          </w:p>
          <w:p>
            <w:pPr>
              <w:adjustRightInd w:val="0"/>
              <w:snapToGrid w:val="0"/>
              <w:spacing w:line="360" w:lineRule="auto"/>
              <w:ind w:firstLine="420" w:firstLineChars="200"/>
              <w:jc w:val="left"/>
              <w:rPr>
                <w:color w:val="000000" w:themeColor="text1"/>
                <w14:textFill>
                  <w14:solidFill>
                    <w14:schemeClr w14:val="tx1"/>
                  </w14:solidFill>
                </w14:textFill>
              </w:rPr>
            </w:pPr>
            <w:bookmarkStart w:id="6" w:name="_Toc302340400"/>
            <w:r>
              <w:rPr>
                <w:color w:val="000000" w:themeColor="text1"/>
                <w:szCs w:val="21"/>
                <w14:textFill>
                  <w14:solidFill>
                    <w14:schemeClr w14:val="tx1"/>
                  </w14:solidFill>
                </w14:textFill>
              </w:rPr>
              <w:t>根据</w:t>
            </w:r>
            <w:r>
              <w:rPr>
                <w:color w:val="000000" w:themeColor="text1"/>
                <w14:textFill>
                  <w14:solidFill>
                    <w14:schemeClr w14:val="tx1"/>
                  </w14:solidFill>
                </w14:textFill>
              </w:rPr>
              <w:t>《2021 年惠州市生态环境状况公报》，具体如下：</w:t>
            </w:r>
          </w:p>
          <w:p>
            <w:pPr>
              <w:widowControl/>
              <w:shd w:val="clear" w:color="auto" w:fill="FFFFFF"/>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一是饮用水源：2021年，8个县级以上在用集中式饮用水水源地水质</w:t>
            </w:r>
            <w:r>
              <w:rPr>
                <w:rFonts w:hint="eastAsia" w:ascii="宋体" w:hAnsi="宋体" w:cs="宋体"/>
                <w:color w:val="000000" w:themeColor="text1"/>
                <w14:textFill>
                  <w14:solidFill>
                    <w14:schemeClr w14:val="tx1"/>
                  </w14:solidFill>
                </w14:textFill>
              </w:rPr>
              <w:t>Ⅱ</w:t>
            </w:r>
            <w:r>
              <w:rPr>
                <w:color w:val="000000" w:themeColor="text1"/>
                <w14:textFill>
                  <w14:solidFill>
                    <w14:schemeClr w14:val="tx1"/>
                  </w14:solidFill>
                </w14:textFill>
              </w:rPr>
              <w:t>类，优，达标率为100%。与2020年相比，水质保持稳定。</w:t>
            </w:r>
          </w:p>
          <w:p>
            <w:pPr>
              <w:widowControl/>
              <w:shd w:val="clear" w:color="auto" w:fill="FFFFFF"/>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二是九大江河：2021年，东江干流（惠州段）、西枝江、增江干流（龙门段）、沙河、公庄河等5条河流水质优；淡水河、吉隆河水质良好，潼湖水和淡澳河水质轻度污染。与2020年相比，淡水河水质有所好转，其余河流水质保持稳定。</w:t>
            </w:r>
          </w:p>
          <w:p>
            <w:pPr>
              <w:widowControl/>
              <w:shd w:val="clear" w:color="auto" w:fill="FFFFFF"/>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三是国省考地表水：按生态环境部2021年每月反馈国考断面采测分离数据，11个“十四五”国控地表水断面水质优良（</w:t>
            </w:r>
            <w:r>
              <w:rPr>
                <w:rFonts w:hint="eastAsia" w:ascii="宋体" w:hAnsi="宋体" w:cs="宋体"/>
                <w:color w:val="000000" w:themeColor="text1"/>
                <w14:textFill>
                  <w14:solidFill>
                    <w14:schemeClr w14:val="tx1"/>
                  </w14:solidFill>
                </w14:textFill>
              </w:rPr>
              <w:t>Ⅰ</w:t>
            </w:r>
            <w:r>
              <w:rPr>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Ⅲ</w:t>
            </w:r>
            <w:r>
              <w:rPr>
                <w:color w:val="000000" w:themeColor="text1"/>
                <w14:textFill>
                  <w14:solidFill>
                    <w14:schemeClr w14:val="tx1"/>
                  </w14:solidFill>
                </w14:textFill>
              </w:rPr>
              <w:t>类），比例为90.9%（10个），高于省下达考核目标（72.7%）18.2个百分点；</w:t>
            </w:r>
            <w:r>
              <w:rPr>
                <w:rFonts w:hint="eastAsia" w:ascii="宋体" w:hAnsi="宋体" w:cs="宋体"/>
                <w:color w:val="000000" w:themeColor="text1"/>
                <w14:textFill>
                  <w14:solidFill>
                    <w14:schemeClr w14:val="tx1"/>
                  </w14:solidFill>
                </w14:textFill>
              </w:rPr>
              <w:t>Ⅳ</w:t>
            </w:r>
            <w:r>
              <w:rPr>
                <w:color w:val="000000" w:themeColor="text1"/>
                <w14:textFill>
                  <w14:solidFill>
                    <w14:schemeClr w14:val="tx1"/>
                  </w14:solidFill>
                </w14:textFill>
              </w:rPr>
              <w:t>类、</w:t>
            </w:r>
            <w:r>
              <w:rPr>
                <w:rFonts w:hint="eastAsia" w:ascii="宋体" w:hAnsi="宋体" w:cs="宋体"/>
                <w:color w:val="000000" w:themeColor="text1"/>
                <w14:textFill>
                  <w14:solidFill>
                    <w14:schemeClr w14:val="tx1"/>
                  </w14:solidFill>
                </w14:textFill>
              </w:rPr>
              <w:t>Ⅴ</w:t>
            </w:r>
            <w:r>
              <w:rPr>
                <w:color w:val="000000" w:themeColor="text1"/>
                <w14:textFill>
                  <w14:solidFill>
                    <w14:schemeClr w14:val="tx1"/>
                  </w14:solidFill>
                </w14:textFill>
              </w:rPr>
              <w:t>类和劣</w:t>
            </w:r>
            <w:r>
              <w:rPr>
                <w:rFonts w:hint="eastAsia" w:ascii="宋体" w:hAnsi="宋体" w:cs="宋体"/>
                <w:color w:val="000000" w:themeColor="text1"/>
                <w14:textFill>
                  <w14:solidFill>
                    <w14:schemeClr w14:val="tx1"/>
                  </w14:solidFill>
                </w14:textFill>
              </w:rPr>
              <w:t>Ⅴ</w:t>
            </w:r>
            <w:r>
              <w:rPr>
                <w:color w:val="000000" w:themeColor="text1"/>
                <w14:textFill>
                  <w14:solidFill>
                    <w14:schemeClr w14:val="tx1"/>
                  </w14:solidFill>
                </w14:textFill>
              </w:rPr>
              <w:t>类分别占9.1%（1个）、0%、0%。与2020年相比，各国省考断面水质比例均持平。</w:t>
            </w:r>
          </w:p>
          <w:p>
            <w:pPr>
              <w:widowControl/>
              <w:adjustRightInd w:val="0"/>
              <w:snapToGrid w:val="0"/>
              <w:spacing w:line="360" w:lineRule="auto"/>
              <w:ind w:firstLine="420" w:firstLineChars="200"/>
              <w:jc w:val="left"/>
              <w:rPr>
                <w:color w:val="000000" w:themeColor="text1"/>
                <w14:textFill>
                  <w14:solidFill>
                    <w14:schemeClr w14:val="tx1"/>
                  </w14:solidFill>
                </w14:textFill>
              </w:rPr>
            </w:pPr>
            <w:r>
              <w:rPr>
                <w:color w:val="000000" w:themeColor="text1"/>
                <w14:textFill>
                  <w14:solidFill>
                    <w14:schemeClr w14:val="tx1"/>
                  </w14:solidFill>
                </w14:textFill>
              </w:rPr>
              <w:t>根据《2021 年惠州市生态环境状况公报》可知，东江水质能达到《地表水环境质量标准》（GB3838-2002）中的</w:t>
            </w:r>
            <w:r>
              <w:rPr>
                <w:rFonts w:hint="eastAsia" w:ascii="宋体" w:hAnsi="宋体" w:cs="宋体"/>
                <w:color w:val="000000" w:themeColor="text1"/>
                <w14:textFill>
                  <w14:solidFill>
                    <w14:schemeClr w14:val="tx1"/>
                  </w14:solidFill>
                </w14:textFill>
              </w:rPr>
              <w:t>Ⅱ</w:t>
            </w:r>
            <w:r>
              <w:rPr>
                <w:color w:val="000000" w:themeColor="text1"/>
                <w14:textFill>
                  <w14:solidFill>
                    <w14:schemeClr w14:val="tx1"/>
                  </w14:solidFill>
                </w14:textFill>
              </w:rPr>
              <w:t>类标准，说明项目水环境质量较好；沙河水质能达到《地表水环境质量标准》（GB3838-2002）中的</w:t>
            </w:r>
            <w:r>
              <w:rPr>
                <w:rFonts w:hint="eastAsia" w:ascii="宋体" w:hAnsi="宋体" w:cs="宋体"/>
                <w:color w:val="000000" w:themeColor="text1"/>
                <w14:textFill>
                  <w14:solidFill>
                    <w14:schemeClr w14:val="tx1"/>
                  </w14:solidFill>
                </w14:textFill>
              </w:rPr>
              <w:t>Ⅲ</w:t>
            </w:r>
            <w:r>
              <w:rPr>
                <w:color w:val="000000" w:themeColor="text1"/>
                <w14:textFill>
                  <w14:solidFill>
                    <w14:schemeClr w14:val="tx1"/>
                  </w14:solidFill>
                </w14:textFill>
              </w:rPr>
              <w:t>类标准，说明项目水环境质量较好。</w:t>
            </w:r>
          </w:p>
          <w:p>
            <w:pPr>
              <w:widowControl/>
              <w:adjustRightInd w:val="0"/>
              <w:snapToGrid w:val="0"/>
              <w:spacing w:line="360" w:lineRule="auto"/>
              <w:ind w:firstLine="422" w:firstLineChars="200"/>
              <w:jc w:val="left"/>
              <w:rPr>
                <w:b/>
                <w:color w:val="000000" w:themeColor="text1"/>
                <w14:textFill>
                  <w14:solidFill>
                    <w14:schemeClr w14:val="tx1"/>
                  </w14:solidFill>
                </w14:textFill>
              </w:rPr>
            </w:pPr>
            <w:r>
              <w:rPr>
                <w:b/>
                <w:color w:val="000000" w:themeColor="text1"/>
                <w14:textFill>
                  <w14:solidFill>
                    <w14:schemeClr w14:val="tx1"/>
                  </w14:solidFill>
                </w14:textFill>
              </w:rPr>
              <w:t xml:space="preserve">《2021年惠州市生态环境状况公报》详见下图。 </w:t>
            </w:r>
          </w:p>
          <w:p>
            <w:pPr>
              <w:widowControl/>
              <w:adjustRightInd w:val="0"/>
              <w:snapToGrid w:val="0"/>
              <w:spacing w:line="360" w:lineRule="auto"/>
              <w:jc w:val="left"/>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25415" cy="3693795"/>
                  <wp:effectExtent l="38100" t="38100" r="32385" b="4000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47481" cy="3709353"/>
                          </a:xfrm>
                          <a:prstGeom prst="rect">
                            <a:avLst/>
                          </a:prstGeom>
                          <a:noFill/>
                          <a:ln w="28575" cmpd="sng">
                            <a:solidFill>
                              <a:srgbClr val="000000"/>
                            </a:solidFill>
                            <a:miter lim="800000"/>
                            <a:headEnd/>
                            <a:tailEnd/>
                          </a:ln>
                          <a:effectLst/>
                        </pic:spPr>
                      </pic:pic>
                    </a:graphicData>
                  </a:graphic>
                </wp:inline>
              </w:drawing>
            </w:r>
          </w:p>
          <w:p>
            <w:pPr>
              <w:pStyle w:val="45"/>
              <w:spacing w:after="156" w:afterLines="50"/>
              <w:rPr>
                <w:color w:val="000000" w:themeColor="text1"/>
                <w14:textFill>
                  <w14:solidFill>
                    <w14:schemeClr w14:val="tx1"/>
                  </w14:solidFill>
                </w14:textFill>
              </w:rPr>
            </w:pPr>
            <w:r>
              <w:rPr>
                <w:b/>
                <w:color w:val="000000" w:themeColor="text1"/>
                <w14:textFill>
                  <w14:solidFill>
                    <w14:schemeClr w14:val="tx1"/>
                  </w14:solidFill>
                </w14:textFill>
              </w:rPr>
              <w:t>图3-</w:t>
            </w:r>
            <w:r>
              <w:rPr>
                <w:b/>
                <w:color w:val="000000" w:themeColor="text1"/>
                <w:szCs w:val="21"/>
                <w14:textFill>
                  <w14:solidFill>
                    <w14:schemeClr w14:val="tx1"/>
                  </w14:solidFill>
                </w14:textFill>
              </w:rPr>
              <w:t>2</w:t>
            </w:r>
            <w:r>
              <w:rPr>
                <w:b/>
                <w:color w:val="000000" w:themeColor="text1"/>
                <w14:textFill>
                  <w14:solidFill>
                    <w14:schemeClr w14:val="tx1"/>
                  </w14:solidFill>
                </w14:textFill>
              </w:rPr>
              <w:t xml:space="preserve"> 项目</w:t>
            </w:r>
            <w:r>
              <w:rPr>
                <w:b/>
                <w:color w:val="000000" w:themeColor="text1"/>
                <w:szCs w:val="21"/>
                <w14:textFill>
                  <w14:solidFill>
                    <w14:schemeClr w14:val="tx1"/>
                  </w14:solidFill>
                </w14:textFill>
              </w:rPr>
              <w:t>引用环境质量公报截</w:t>
            </w:r>
            <w:r>
              <w:rPr>
                <w:b/>
                <w:color w:val="000000" w:themeColor="text1"/>
                <w14:textFill>
                  <w14:solidFill>
                    <w14:schemeClr w14:val="tx1"/>
                  </w14:solidFill>
                </w14:textFill>
              </w:rPr>
              <w:t>图-地表水</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项目纳污河流为石湾中心排渠，根据《广东省地表水功能区划》（粤环[2011]14号）规定，未明确石湾中心排渠水质目标，根据其实际使用功能纳污排洪，本次将石湾中心排渠水质保护目标确定为</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类，执行《地表水环境质量标准》（GB3838-2002）中</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为了解项目周边水体的环境质量现状，本项目引用用《2021 年博罗县（3 月份第一周）国考地表水重点攻坚断面流域水质监测数据表》（(博) 环境监测(常-水)字(2021)第 00054 号）中的监测数据，具体结果见下表所示。</w:t>
            </w:r>
          </w:p>
          <w:p>
            <w:pPr>
              <w:pStyle w:val="14"/>
              <w:adjustRightInd w:val="0"/>
              <w:snapToGrid w:val="0"/>
              <w:spacing w:line="36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表3-2 地表水水质现状监测结果（单位：mg/L   pH：无量纲）</w:t>
            </w:r>
          </w:p>
          <w:tbl>
            <w:tblPr>
              <w:tblStyle w:val="30"/>
              <w:tblW w:w="0" w:type="auto"/>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1200"/>
              <w:gridCol w:w="1200"/>
              <w:gridCol w:w="1200"/>
              <w:gridCol w:w="1200"/>
              <w:gridCol w:w="1200"/>
              <w:gridCol w:w="120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trPr>
              <w:tc>
                <w:tcPr>
                  <w:tcW w:w="1200" w:type="dxa"/>
                  <w:vAlign w:val="center"/>
                </w:tcPr>
                <w:p>
                  <w:pPr>
                    <w:jc w:val="center"/>
                  </w:pPr>
                  <w:r>
                    <w:t>河流</w:t>
                  </w:r>
                </w:p>
              </w:tc>
              <w:tc>
                <w:tcPr>
                  <w:tcW w:w="1200" w:type="dxa"/>
                  <w:vAlign w:val="center"/>
                </w:tcPr>
                <w:p>
                  <w:pPr>
                    <w:jc w:val="center"/>
                  </w:pPr>
                  <w:r>
                    <w:t>指标</w:t>
                  </w:r>
                </w:p>
              </w:tc>
              <w:tc>
                <w:tcPr>
                  <w:tcW w:w="1200" w:type="dxa"/>
                  <w:vAlign w:val="center"/>
                </w:tcPr>
                <w:p>
                  <w:pPr>
                    <w:jc w:val="center"/>
                  </w:pPr>
                  <w:r>
                    <w:t>pH</w:t>
                  </w:r>
                </w:p>
              </w:tc>
              <w:tc>
                <w:tcPr>
                  <w:tcW w:w="1200" w:type="dxa"/>
                  <w:vAlign w:val="center"/>
                </w:tcPr>
                <w:p>
                  <w:pPr>
                    <w:jc w:val="center"/>
                  </w:pPr>
                  <w:r>
                    <w:t>DO</w:t>
                  </w:r>
                </w:p>
              </w:tc>
              <w:tc>
                <w:tcPr>
                  <w:tcW w:w="1200" w:type="dxa"/>
                  <w:vAlign w:val="center"/>
                </w:tcPr>
                <w:p>
                  <w:pPr>
                    <w:jc w:val="center"/>
                  </w:pPr>
                  <w:r>
                    <w:t>CODcr</w:t>
                  </w:r>
                </w:p>
              </w:tc>
              <w:tc>
                <w:tcPr>
                  <w:tcW w:w="1200" w:type="dxa"/>
                  <w:vAlign w:val="center"/>
                </w:tcPr>
                <w:p>
                  <w:pPr>
                    <w:jc w:val="center"/>
                  </w:pPr>
                  <w:r>
                    <w:t>氨氮</w:t>
                  </w:r>
                </w:p>
              </w:tc>
              <w:tc>
                <w:tcPr>
                  <w:tcW w:w="1200" w:type="dxa"/>
                  <w:vAlign w:val="center"/>
                </w:tcPr>
                <w:p>
                  <w:pPr>
                    <w:jc w:val="center"/>
                  </w:pPr>
                  <w: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0" w:type="dxa"/>
                  <w:vMerge w:val="restart"/>
                  <w:vAlign w:val="center"/>
                </w:tcPr>
                <w:p>
                  <w:pPr>
                    <w:jc w:val="center"/>
                  </w:pPr>
                  <w:r>
                    <w:t>石湾中心排渠</w:t>
                  </w:r>
                </w:p>
              </w:tc>
              <w:tc>
                <w:tcPr>
                  <w:tcW w:w="1200" w:type="dxa"/>
                  <w:vAlign w:val="center"/>
                </w:tcPr>
                <w:p>
                  <w:pPr>
                    <w:jc w:val="center"/>
                  </w:pPr>
                  <w:r>
                    <w:t>监测数据</w:t>
                  </w:r>
                </w:p>
              </w:tc>
              <w:tc>
                <w:tcPr>
                  <w:tcW w:w="1200" w:type="dxa"/>
                  <w:vAlign w:val="center"/>
                </w:tcPr>
                <w:p>
                  <w:pPr>
                    <w:jc w:val="center"/>
                  </w:pPr>
                  <w:r>
                    <w:t>7.41</w:t>
                  </w:r>
                </w:p>
              </w:tc>
              <w:tc>
                <w:tcPr>
                  <w:tcW w:w="1200" w:type="dxa"/>
                  <w:vAlign w:val="center"/>
                </w:tcPr>
                <w:p>
                  <w:pPr>
                    <w:jc w:val="center"/>
                  </w:pPr>
                  <w:r>
                    <w:t>7.78</w:t>
                  </w:r>
                </w:p>
              </w:tc>
              <w:tc>
                <w:tcPr>
                  <w:tcW w:w="1200" w:type="dxa"/>
                  <w:vAlign w:val="center"/>
                </w:tcPr>
                <w:p>
                  <w:pPr>
                    <w:jc w:val="center"/>
                  </w:pPr>
                  <w:r>
                    <w:t>58</w:t>
                  </w:r>
                </w:p>
              </w:tc>
              <w:tc>
                <w:tcPr>
                  <w:tcW w:w="1200" w:type="dxa"/>
                  <w:vAlign w:val="center"/>
                </w:tcPr>
                <w:p>
                  <w:pPr>
                    <w:jc w:val="center"/>
                  </w:pPr>
                  <w:r>
                    <w:t>0.381</w:t>
                  </w:r>
                </w:p>
              </w:tc>
              <w:tc>
                <w:tcPr>
                  <w:tcW w:w="1200" w:type="dxa"/>
                  <w:vAlign w:val="center"/>
                </w:tcPr>
                <w:p>
                  <w:pPr>
                    <w:jc w:val="center"/>
                  </w:pPr>
                  <w:r>
                    <w:t>0.10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0" w:type="dxa"/>
                  <w:vMerge w:val="continue"/>
                  <w:vAlign w:val="center"/>
                </w:tcPr>
                <w:p>
                  <w:pPr>
                    <w:jc w:val="center"/>
                  </w:pPr>
                </w:p>
              </w:tc>
              <w:tc>
                <w:tcPr>
                  <w:tcW w:w="1200" w:type="dxa"/>
                  <w:vAlign w:val="center"/>
                </w:tcPr>
                <w:p>
                  <w:pPr>
                    <w:jc w:val="center"/>
                  </w:pPr>
                  <w:r>
                    <w:t>标准值</w:t>
                  </w:r>
                </w:p>
              </w:tc>
              <w:tc>
                <w:tcPr>
                  <w:tcW w:w="1200" w:type="dxa"/>
                  <w:vAlign w:val="center"/>
                </w:tcPr>
                <w:p>
                  <w:pPr>
                    <w:jc w:val="center"/>
                  </w:pPr>
                  <w:r>
                    <w:t>6~9</w:t>
                  </w:r>
                </w:p>
              </w:tc>
              <w:tc>
                <w:tcPr>
                  <w:tcW w:w="1200" w:type="dxa"/>
                  <w:vAlign w:val="center"/>
                </w:tcPr>
                <w:p>
                  <w:pPr>
                    <w:jc w:val="center"/>
                  </w:pPr>
                  <w:r>
                    <w:t>≥2</w:t>
                  </w:r>
                </w:p>
              </w:tc>
              <w:tc>
                <w:tcPr>
                  <w:tcW w:w="1200" w:type="dxa"/>
                  <w:vAlign w:val="center"/>
                </w:tcPr>
                <w:p>
                  <w:pPr>
                    <w:jc w:val="center"/>
                  </w:pPr>
                  <w:r>
                    <w:t>≤40</w:t>
                  </w:r>
                </w:p>
              </w:tc>
              <w:tc>
                <w:tcPr>
                  <w:tcW w:w="1200" w:type="dxa"/>
                  <w:vAlign w:val="center"/>
                </w:tcPr>
                <w:p>
                  <w:pPr>
                    <w:jc w:val="center"/>
                  </w:pPr>
                  <w:r>
                    <w:t>≤2</w:t>
                  </w:r>
                </w:p>
              </w:tc>
              <w:tc>
                <w:tcPr>
                  <w:tcW w:w="1200" w:type="dxa"/>
                  <w:vAlign w:val="center"/>
                </w:tcPr>
                <w:p>
                  <w:pPr>
                    <w:jc w:val="center"/>
                  </w:pPr>
                  <w:r>
                    <w:t>≤0.4</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00" w:type="dxa"/>
                  <w:vMerge w:val="continue"/>
                  <w:vAlign w:val="center"/>
                </w:tcPr>
                <w:p>
                  <w:pPr>
                    <w:jc w:val="center"/>
                  </w:pPr>
                </w:p>
              </w:tc>
              <w:tc>
                <w:tcPr>
                  <w:tcW w:w="1200" w:type="dxa"/>
                  <w:vAlign w:val="center"/>
                </w:tcPr>
                <w:p>
                  <w:pPr>
                    <w:jc w:val="center"/>
                  </w:pPr>
                  <w:r>
                    <w:t>超标倍数</w:t>
                  </w:r>
                </w:p>
              </w:tc>
              <w:tc>
                <w:tcPr>
                  <w:tcW w:w="1200" w:type="dxa"/>
                  <w:vAlign w:val="center"/>
                </w:tcPr>
                <w:p>
                  <w:pPr>
                    <w:jc w:val="center"/>
                  </w:pPr>
                  <w:r>
                    <w:t>/</w:t>
                  </w:r>
                </w:p>
              </w:tc>
              <w:tc>
                <w:tcPr>
                  <w:tcW w:w="1200" w:type="dxa"/>
                  <w:vAlign w:val="center"/>
                </w:tcPr>
                <w:p>
                  <w:pPr>
                    <w:jc w:val="center"/>
                  </w:pPr>
                  <w:r>
                    <w:t>/</w:t>
                  </w:r>
                </w:p>
              </w:tc>
              <w:tc>
                <w:tcPr>
                  <w:tcW w:w="1200" w:type="dxa"/>
                  <w:vAlign w:val="center"/>
                </w:tcPr>
                <w:p>
                  <w:pPr>
                    <w:jc w:val="center"/>
                  </w:pPr>
                  <w:r>
                    <w:t>0.45</w:t>
                  </w:r>
                </w:p>
              </w:tc>
              <w:tc>
                <w:tcPr>
                  <w:tcW w:w="1200" w:type="dxa"/>
                  <w:vAlign w:val="center"/>
                </w:tcPr>
                <w:p>
                  <w:pPr>
                    <w:jc w:val="center"/>
                  </w:pPr>
                  <w:r>
                    <w:t>/</w:t>
                  </w:r>
                </w:p>
              </w:tc>
              <w:tc>
                <w:tcPr>
                  <w:tcW w:w="1200" w:type="dxa"/>
                  <w:vAlign w:val="center"/>
                </w:tcPr>
                <w:p>
                  <w:pPr>
                    <w:jc w:val="center"/>
                  </w:pPr>
                  <w:r>
                    <w:t>/</w:t>
                  </w:r>
                </w:p>
              </w:tc>
            </w:tr>
          </w:tbl>
          <w:p>
            <w:pPr>
              <w:widowControl/>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从监测结果分析，石湾镇中心排渠 CODCr出现超标，石湾中心排渠水质无法满足《地表水环境质量标准》(GB3838-2002)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类水标准。从超标项目上来看，纳污水体在一定程度上受到有机污染，水环境质量现状较差。</w:t>
            </w:r>
          </w:p>
          <w:p>
            <w:pPr>
              <w:widowControl/>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鉴于项目区域水质较差，地方政府一方面应加快城镇生活污水处理厂及其管网的建设，另一方面环保部门需加强工业污染源的监管，确保水质达标： </w:t>
            </w:r>
          </w:p>
          <w:p>
            <w:pPr>
              <w:widowControl/>
              <w:adjustRightInd w:val="0"/>
              <w:snapToGrid w:val="0"/>
              <w:spacing w:line="360" w:lineRule="auto"/>
              <w:ind w:firstLine="420" w:firstLineChars="200"/>
              <w:jc w:val="left"/>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w:t>
            </w:r>
            <w:r>
              <w:rPr>
                <w:color w:val="000000" w:themeColor="text1"/>
                <w:szCs w:val="21"/>
                <w14:textFill>
                  <w14:solidFill>
                    <w14:schemeClr w14:val="tx1"/>
                  </w14:solidFill>
                </w14:textFill>
              </w:rPr>
              <w:t>加快片区生活污水处理厂建设进度：本项目所在地属于博罗县石湾镇西基生活污水处理厂的纳污范围。片区内部分企业生活污水直接经化粪池处理后排放，这是造成水质污染日益严重的重要原因。因此，随着片区内企业的增加，片区必须尽快集中生活污水处理厂的建设进度，以削减进入排污渠的污染物总量。</w:t>
            </w:r>
          </w:p>
          <w:p>
            <w:pPr>
              <w:widowControl/>
              <w:adjustRightInd w:val="0"/>
              <w:snapToGrid w:val="0"/>
              <w:spacing w:line="360" w:lineRule="auto"/>
              <w:ind w:left="482"/>
              <w:jc w:val="left"/>
              <w:rPr>
                <w:color w:val="000000" w:themeColor="text1"/>
                <w:szCs w:val="21"/>
                <w14:textFill>
                  <w14:solidFill>
                    <w14:schemeClr w14:val="tx1"/>
                  </w14:solidFill>
                </w14:textFill>
              </w:rPr>
            </w:pPr>
            <w:r>
              <w:rPr>
                <w:rFonts w:hint="eastAsia" w:ascii="宋体" w:hAnsi="宋体" w:cs="宋体"/>
                <w:color w:val="000000" w:themeColor="text1"/>
                <w:szCs w:val="21"/>
                <w:highlight w:val="lightGray"/>
                <w14:textFill>
                  <w14:solidFill>
                    <w14:schemeClr w14:val="tx1"/>
                  </w14:solidFill>
                </w14:textFill>
              </w:rPr>
              <w:t>②</w:t>
            </w:r>
            <w:r>
              <w:rPr>
                <w:color w:val="000000" w:themeColor="text1"/>
                <w:szCs w:val="21"/>
                <w14:textFill>
                  <w14:solidFill>
                    <w14:schemeClr w14:val="tx1"/>
                  </w14:solidFill>
                </w14:textFill>
              </w:rPr>
              <w:t xml:space="preserve">清理河涌淤泥，并妥善处理处置。减少废水的产生和排放。 </w:t>
            </w:r>
          </w:p>
          <w:p>
            <w:pPr>
              <w:pStyle w:val="67"/>
              <w:widowControl/>
              <w:numPr>
                <w:ilvl w:val="0"/>
                <w:numId w:val="3"/>
              </w:numPr>
              <w:adjustRightInd w:val="0"/>
              <w:snapToGrid w:val="0"/>
              <w:spacing w:line="360" w:lineRule="auto"/>
              <w:ind w:firstLineChars="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促进企业实施清洁生产，尽可能将处理后的废水回用于绿化、冲厕等方面， </w:t>
            </w:r>
          </w:p>
          <w:p>
            <w:pPr>
              <w:widowControl/>
              <w:spacing w:line="360" w:lineRule="auto"/>
              <w:ind w:firstLine="420"/>
              <w:jc w:val="left"/>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w:t>
            </w:r>
            <w:r>
              <w:rPr>
                <w:color w:val="000000" w:themeColor="text1"/>
                <w:szCs w:val="21"/>
                <w14:textFill>
                  <w14:solidFill>
                    <w14:schemeClr w14:val="tx1"/>
                  </w14:solidFill>
                </w14:textFill>
              </w:rPr>
              <w:t xml:space="preserve">加强石湾镇工业企业环境管理：石湾镇排污企业偷排、漏排不达标污水以及超水量排放污水也是造成排污渠污染的主要因素之一，因此，环境监察部门应严查严惩石湾镇偷排漏排企业，使企业做到达标且不超水量排放。 </w:t>
            </w:r>
          </w:p>
          <w:p>
            <w:pPr>
              <w:spacing w:line="360" w:lineRule="auto"/>
              <w:ind w:firstLine="420"/>
            </w:pPr>
            <w:r>
              <w:rPr>
                <w:rFonts w:hint="eastAsia" w:ascii="宋体" w:hAnsi="宋体" w:cs="宋体"/>
              </w:rPr>
              <w:t>⑤</w:t>
            </w:r>
            <w:r>
              <w:t>项目产生的污水经预处理达到纳管标准后排入市政管网，对当地区域污染</w:t>
            </w:r>
            <w:r>
              <w:rPr>
                <w:color w:val="000000" w:themeColor="text1"/>
                <w:szCs w:val="21"/>
                <w14:textFill>
                  <w14:solidFill>
                    <w14:schemeClr w14:val="tx1"/>
                  </w14:solidFill>
                </w14:textFill>
              </w:rPr>
              <w:t>物排放具有一定的削减作用。</w:t>
            </w:r>
            <w:r>
              <w:rPr>
                <w:b/>
                <w:color w:val="000000" w:themeColor="text1"/>
                <w:szCs w:val="21"/>
                <w14:textFill>
                  <w14:solidFill>
                    <w14:schemeClr w14:val="tx1"/>
                  </w14:solidFill>
                </w14:textFill>
              </w:rPr>
              <w:t>。</w:t>
            </w:r>
          </w:p>
          <w:bookmarkEnd w:id="6"/>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声环境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本项目厂界外50米范围内无声环境保护目标，无需开展声环境质量现状调查。</w:t>
            </w:r>
          </w:p>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生态环境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项目所在区域周边附近无风景名胜区、自然保护区及文化遗产等特殊保护目标，生态环境不属于敏感区。</w:t>
            </w:r>
          </w:p>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电磁辐射</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无</w:t>
            </w:r>
          </w:p>
          <w:p>
            <w:pPr>
              <w:numPr>
                <w:ilvl w:val="0"/>
                <w:numId w:val="14"/>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地下水、土壤环境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6" w:type="pct"/>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目标</w:t>
            </w:r>
          </w:p>
        </w:tc>
        <w:tc>
          <w:tcPr>
            <w:tcW w:w="4804" w:type="pct"/>
            <w:vAlign w:val="center"/>
          </w:tcPr>
          <w:p>
            <w:pPr>
              <w:numPr>
                <w:ilvl w:val="0"/>
                <w:numId w:val="16"/>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大气环境</w:t>
            </w:r>
          </w:p>
          <w:p>
            <w:pPr>
              <w:adjustRightInd w:val="0"/>
              <w:snapToGrid w:val="0"/>
              <w:spacing w:line="360" w:lineRule="auto"/>
              <w:ind w:firstLine="420" w:firstLineChars="200"/>
              <w:rPr>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保护目标为周边的环境空气，使其符合《环境空气质量标准》（GB3095-2012）及其修改单中的二级标准；项目500米范围内的环境敏感点（500m范围内无新增规划敏感点）及保护目标详见下表：</w:t>
            </w:r>
          </w:p>
          <w:p>
            <w:pPr>
              <w:adjustRightInd w:val="0"/>
              <w:snapToGrid w:val="0"/>
              <w:spacing w:line="360" w:lineRule="auto"/>
              <w:jc w:val="center"/>
              <w:textAlignment w:val="baseline"/>
              <w:rPr>
                <w:color w:val="000000" w:themeColor="text1"/>
                <w14:textFill>
                  <w14:solidFill>
                    <w14:schemeClr w14:val="tx1"/>
                  </w14:solidFill>
                </w14:textFill>
              </w:rPr>
            </w:pPr>
            <w:r>
              <w:rPr>
                <w:b/>
                <w:color w:val="000000" w:themeColor="text1"/>
                <w:szCs w:val="20"/>
                <w14:textFill>
                  <w14:solidFill>
                    <w14:schemeClr w14:val="tx1"/>
                  </w14:solidFill>
                </w14:textFill>
              </w:rPr>
              <w:t xml:space="preserve">表3-3 </w:t>
            </w:r>
            <w:r>
              <w:rPr>
                <w:b/>
                <w:color w:val="000000" w:themeColor="text1"/>
                <w:szCs w:val="21"/>
                <w14:textFill>
                  <w14:solidFill>
                    <w14:schemeClr w14:val="tx1"/>
                  </w14:solidFill>
                </w14:textFill>
              </w:rPr>
              <w:t>环境保护目标一览表</w:t>
            </w:r>
          </w:p>
          <w:tbl>
            <w:tblPr>
              <w:tblStyle w:val="29"/>
              <w:tblW w:w="4957" w:type="pct"/>
              <w:jc w:val="center"/>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47"/>
              <w:gridCol w:w="1282"/>
              <w:gridCol w:w="685"/>
              <w:gridCol w:w="774"/>
              <w:gridCol w:w="916"/>
              <w:gridCol w:w="942"/>
              <w:gridCol w:w="817"/>
              <w:gridCol w:w="782"/>
              <w:gridCol w:w="729"/>
              <w:gridCol w:w="986"/>
            </w:tblGrid>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749"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保护目标名称</w:t>
                  </w:r>
                </w:p>
              </w:tc>
              <w:tc>
                <w:tcPr>
                  <w:tcW w:w="852" w:type="pct"/>
                  <w:gridSpan w:val="2"/>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坐标（m）</w:t>
                  </w:r>
                </w:p>
              </w:tc>
              <w:tc>
                <w:tcPr>
                  <w:tcW w:w="535"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保护对象</w:t>
                  </w:r>
                </w:p>
              </w:tc>
              <w:tc>
                <w:tcPr>
                  <w:tcW w:w="550"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保护目标类型</w:t>
                  </w:r>
                </w:p>
              </w:tc>
              <w:tc>
                <w:tcPr>
                  <w:tcW w:w="477"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类型</w:t>
                  </w:r>
                </w:p>
              </w:tc>
              <w:tc>
                <w:tcPr>
                  <w:tcW w:w="457"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环境功能区</w:t>
                  </w:r>
                </w:p>
              </w:tc>
              <w:tc>
                <w:tcPr>
                  <w:tcW w:w="426"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相对方位</w:t>
                  </w:r>
                </w:p>
              </w:tc>
              <w:tc>
                <w:tcPr>
                  <w:tcW w:w="576" w:type="pct"/>
                  <w:vMerge w:val="restar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与项目最近距离/m</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00" w:type="pc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X</w:t>
                  </w:r>
                </w:p>
              </w:tc>
              <w:tc>
                <w:tcPr>
                  <w:tcW w:w="452" w:type="pct"/>
                  <w:vAlign w:val="center"/>
                </w:tcPr>
                <w:p>
                  <w:pPr>
                    <w:autoSpaceDE w:val="0"/>
                    <w:autoSpaceDN w:val="0"/>
                    <w:adjustRightIn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Y</w:t>
                  </w:r>
                </w:p>
              </w:tc>
              <w:tc>
                <w:tcPr>
                  <w:tcW w:w="535"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550"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7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576"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restar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卢屋村</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-234</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0</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居住区</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restar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环境功能二类区</w:t>
                  </w: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234</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上河坊颐园</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-250</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-70</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居住区</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西南</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270</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上河坊润府</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-110</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-50</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居住区</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西南</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130</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石湾镇人民政府</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160</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-415</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政府机构</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东南</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470</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御景城</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170</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-260</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居住区</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东南</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378"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749"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爱童幼儿园</w:t>
                  </w:r>
                </w:p>
              </w:tc>
              <w:tc>
                <w:tcPr>
                  <w:tcW w:w="400"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310</w:t>
                  </w:r>
                </w:p>
              </w:tc>
              <w:tc>
                <w:tcPr>
                  <w:tcW w:w="452" w:type="pct"/>
                  <w:vAlign w:val="center"/>
                </w:tcPr>
                <w:p>
                  <w:pPr>
                    <w:pStyle w:val="2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40</w:t>
                  </w:r>
                </w:p>
              </w:tc>
              <w:tc>
                <w:tcPr>
                  <w:tcW w:w="535"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500人</w:t>
                  </w:r>
                </w:p>
              </w:tc>
              <w:tc>
                <w:tcPr>
                  <w:tcW w:w="550"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学校</w:t>
                  </w:r>
                </w:p>
              </w:tc>
              <w:tc>
                <w:tcPr>
                  <w:tcW w:w="477"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人群</w:t>
                  </w:r>
                </w:p>
              </w:tc>
              <w:tc>
                <w:tcPr>
                  <w:tcW w:w="457" w:type="pct"/>
                  <w:vMerge w:val="continue"/>
                  <w:vAlign w:val="center"/>
                </w:tcPr>
                <w:p>
                  <w:pPr>
                    <w:autoSpaceDE w:val="0"/>
                    <w:autoSpaceDN w:val="0"/>
                    <w:adjustRightInd w:val="0"/>
                    <w:jc w:val="center"/>
                    <w:rPr>
                      <w:color w:val="000000" w:themeColor="text1"/>
                      <w:szCs w:val="21"/>
                      <w14:textFill>
                        <w14:solidFill>
                          <w14:schemeClr w14:val="tx1"/>
                        </w14:solidFill>
                      </w14:textFill>
                    </w:rPr>
                  </w:pPr>
                </w:p>
              </w:tc>
              <w:tc>
                <w:tcPr>
                  <w:tcW w:w="42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东北</w:t>
                  </w:r>
                </w:p>
              </w:tc>
              <w:tc>
                <w:tcPr>
                  <w:tcW w:w="576" w:type="pct"/>
                  <w:vAlign w:val="center"/>
                </w:tcPr>
                <w:p>
                  <w:pPr>
                    <w:autoSpaceDE w:val="0"/>
                    <w:autoSpaceDN w:val="0"/>
                    <w:adjustRightIn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330</w:t>
                  </w:r>
                </w:p>
              </w:tc>
            </w:tr>
            <w:tr>
              <w:tblPrEx>
                <w:tblBorders>
                  <w:top w:val="single" w:color="auto" w:sz="18" w:space="0"/>
                  <w:left w:val="single" w:color="000000" w:sz="4" w:space="0"/>
                  <w:bottom w:val="single" w:color="auto"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5000" w:type="pct"/>
                  <w:gridSpan w:val="10"/>
                  <w:vAlign w:val="center"/>
                </w:tcPr>
                <w:p>
                  <w:pPr>
                    <w:autoSpaceDE w:val="0"/>
                    <w:autoSpaceDN w:val="0"/>
                    <w:adjustRightIn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备注：以（0，0）为项目中心点</w:t>
                  </w:r>
                </w:p>
              </w:tc>
            </w:tr>
          </w:tbl>
          <w:p>
            <w:pPr>
              <w:numPr>
                <w:ilvl w:val="0"/>
                <w:numId w:val="16"/>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声环境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根据现场勘查，厂界外50米范围内无居住区、文化区和农村地区中人群较集中的区域等声环境保护目标。</w:t>
            </w:r>
          </w:p>
          <w:p>
            <w:pPr>
              <w:numPr>
                <w:ilvl w:val="0"/>
                <w:numId w:val="16"/>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地下水环境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本项目边界500米范围内无地下水集中式饮用水源和热水、矿泉水、温泉等特殊地下水资源。</w:t>
            </w:r>
          </w:p>
          <w:p>
            <w:pPr>
              <w:numPr>
                <w:ilvl w:val="0"/>
                <w:numId w:val="16"/>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生态环境</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本项目所在区域周边附近无风景名胜区、自然保护区及文化遗产等特殊保护目标，生态环境不属于敏感区。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6" w:type="pct"/>
            <w:tcMar>
              <w:left w:w="28" w:type="dxa"/>
              <w:right w:w="28" w:type="dxa"/>
            </w:tcMar>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物排</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放控</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制标</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准</w:t>
            </w:r>
          </w:p>
        </w:tc>
        <w:tc>
          <w:tcPr>
            <w:tcW w:w="4804" w:type="pct"/>
            <w:vAlign w:val="center"/>
          </w:tcPr>
          <w:p>
            <w:pPr>
              <w:numPr>
                <w:ilvl w:val="0"/>
                <w:numId w:val="17"/>
              </w:numPr>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大气</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本项目废气排放标准见下表。</w:t>
            </w:r>
          </w:p>
          <w:p>
            <w:pPr>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（1）非甲烷总烃</w:t>
            </w:r>
          </w:p>
          <w:p>
            <w:pPr>
              <w:spacing w:line="360" w:lineRule="auto"/>
              <w:ind w:firstLine="420" w:firstLineChars="200"/>
              <w:rPr>
                <w:color w:val="000000" w:themeColor="text1"/>
                <w:szCs w:val="21"/>
                <w14:textFill>
                  <w14:solidFill>
                    <w14:schemeClr w14:val="tx1"/>
                  </w14:solidFill>
                </w14:textFill>
              </w:rPr>
            </w:pPr>
            <w:r>
              <w:rPr>
                <w:bCs/>
                <w:color w:val="000000" w:themeColor="text1"/>
                <w:szCs w:val="21"/>
                <w14:textFill>
                  <w14:solidFill>
                    <w14:schemeClr w14:val="tx1"/>
                  </w14:solidFill>
                </w14:textFill>
              </w:rPr>
              <w:t>项目在</w:t>
            </w:r>
            <w:r>
              <w:rPr>
                <w:color w:val="000000" w:themeColor="text1"/>
                <w:szCs w:val="21"/>
                <w14:textFill>
                  <w14:solidFill>
                    <w14:schemeClr w14:val="tx1"/>
                  </w14:solidFill>
                </w14:textFill>
              </w:rPr>
              <w:t>注塑工序</w:t>
            </w:r>
            <w:r>
              <w:rPr>
                <w:bCs/>
                <w:color w:val="000000" w:themeColor="text1"/>
                <w:szCs w:val="21"/>
                <w14:textFill>
                  <w14:solidFill>
                    <w14:schemeClr w14:val="tx1"/>
                  </w14:solidFill>
                </w14:textFill>
              </w:rPr>
              <w:t>过程产生的有机废气，主要污染因子为非甲烷总烃，执行</w:t>
            </w:r>
            <w:r>
              <w:rPr>
                <w:color w:val="000000" w:themeColor="text1"/>
                <w:szCs w:val="21"/>
                <w14:textFill>
                  <w14:solidFill>
                    <w14:schemeClr w14:val="tx1"/>
                  </w14:solidFill>
                </w14:textFill>
              </w:rPr>
              <w:t>《合成树脂工业污染物排放标准》（GB31572-2015）中表5非甲烷总烃特别排放限值及表9企业边界大气污染物排放限值；</w:t>
            </w:r>
          </w:p>
          <w:p>
            <w:pPr>
              <w:spacing w:line="360" w:lineRule="auto"/>
              <w:jc w:val="center"/>
              <w:rPr>
                <w:b/>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color w:val="000000" w:themeColor="text1"/>
                <w:szCs w:val="21"/>
                <w14:textFill>
                  <w14:solidFill>
                    <w14:schemeClr w14:val="tx1"/>
                  </w14:solidFill>
                </w14:textFill>
              </w:rPr>
              <w:t>3-4</w:t>
            </w:r>
            <w:r>
              <w:rPr>
                <w:b/>
                <w:bCs/>
                <w:color w:val="000000" w:themeColor="text1"/>
                <w:szCs w:val="21"/>
                <w14:textFill>
                  <w14:solidFill>
                    <w14:schemeClr w14:val="tx1"/>
                  </w14:solidFill>
                </w14:textFill>
              </w:rPr>
              <w:t xml:space="preserve"> </w:t>
            </w:r>
            <w:r>
              <w:rPr>
                <w:b/>
                <w:color w:val="000000" w:themeColor="text1"/>
                <w:szCs w:val="21"/>
                <w14:textFill>
                  <w14:solidFill>
                    <w14:schemeClr w14:val="tx1"/>
                  </w14:solidFill>
                </w14:textFill>
              </w:rPr>
              <w:t>有机废气排放标准</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2286"/>
              <w:gridCol w:w="2433"/>
              <w:gridCol w:w="2430"/>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0"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1324"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大气污染物特别排放限值（mg/m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w:t>
                  </w:r>
                </w:p>
              </w:tc>
              <w:tc>
                <w:tcPr>
                  <w:tcW w:w="1409"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企业边界大气污染物浓度限值（mg/m</w:t>
                  </w:r>
                  <w:r>
                    <w:rPr>
                      <w:b/>
                      <w:color w:val="000000" w:themeColor="text1"/>
                      <w:szCs w:val="21"/>
                      <w:vertAlign w:val="superscript"/>
                      <w14:textFill>
                        <w14:solidFill>
                          <w14:schemeClr w14:val="tx1"/>
                        </w14:solidFill>
                      </w14:textFill>
                    </w:rPr>
                    <w:t>3</w:t>
                  </w:r>
                  <w:r>
                    <w:rPr>
                      <w:b/>
                      <w:color w:val="000000" w:themeColor="text1"/>
                      <w:szCs w:val="21"/>
                      <w14:textFill>
                        <w14:solidFill>
                          <w14:schemeClr w14:val="tx1"/>
                        </w14:solidFill>
                      </w14:textFill>
                    </w:rPr>
                    <w:t>）</w:t>
                  </w:r>
                </w:p>
              </w:tc>
              <w:tc>
                <w:tcPr>
                  <w:tcW w:w="1408"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单位产品非甲烷总烃排放量（kg/t产品）</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132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140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140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w:t>
                  </w:r>
                </w:p>
              </w:tc>
            </w:tr>
          </w:tbl>
          <w:p>
            <w:pPr>
              <w:spacing w:line="360" w:lineRule="auto"/>
              <w:ind w:firstLine="422" w:firstLineChars="200"/>
              <w:rPr>
                <w:b/>
                <w:color w:val="000000" w:themeColor="text1"/>
                <w:lang w:bidi="ar"/>
                <w14:textFill>
                  <w14:solidFill>
                    <w14:schemeClr w14:val="tx1"/>
                  </w14:solidFill>
                </w14:textFill>
              </w:rPr>
            </w:pPr>
            <w:r>
              <w:rPr>
                <w:b/>
                <w:color w:val="000000" w:themeColor="text1"/>
                <w:lang w:bidi="ar"/>
                <w14:textFill>
                  <w14:solidFill>
                    <w14:schemeClr w14:val="tx1"/>
                  </w14:solidFill>
                </w14:textFill>
              </w:rPr>
              <w:t>（2）有机废气的厂内无组织</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项目有机废气厂内无组织满足广东省地方标准《固定污染源挥发性有机物综合排放标准》（DB44/2367-2022）表3厂区内无组织VOCs排放限值。</w: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color w:val="000000" w:themeColor="text1"/>
                <w:szCs w:val="21"/>
                <w14:textFill>
                  <w14:solidFill>
                    <w14:schemeClr w14:val="tx1"/>
                  </w14:solidFill>
                </w14:textFill>
              </w:rPr>
              <w:t>3-6</w:t>
            </w:r>
            <w:r>
              <w:rPr>
                <w:b/>
                <w:color w:val="000000" w:themeColor="text1"/>
                <w:szCs w:val="21"/>
                <w14:textFill>
                  <w14:solidFill>
                    <w14:schemeClr w14:val="tx1"/>
                  </w14:solidFill>
                </w14:textFill>
              </w:rPr>
              <w:t>广东省地方标准《固定污染源挥发性有机物综合排放标准》（DB44/2367-2022）</w:t>
            </w:r>
            <w:r>
              <w:rPr>
                <w:b/>
                <w:bCs/>
                <w:color w:val="000000" w:themeColor="text1"/>
                <w:szCs w:val="21"/>
                <w14:textFill>
                  <w14:solidFill>
                    <w14:schemeClr w14:val="tx1"/>
                  </w14:solidFill>
                </w14:textFill>
              </w:rPr>
              <w:t>摘录 单位：mg/m</w:t>
            </w:r>
            <w:r>
              <w:rPr>
                <w:b/>
                <w:bCs/>
                <w:color w:val="000000" w:themeColor="text1"/>
                <w:szCs w:val="21"/>
                <w:vertAlign w:val="superscript"/>
                <w14:textFill>
                  <w14:solidFill>
                    <w14:schemeClr w14:val="tx1"/>
                  </w14:solidFill>
                </w14:textFill>
              </w:rPr>
              <w:t>3</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5"/>
              <w:gridCol w:w="1703"/>
              <w:gridCol w:w="2879"/>
              <w:gridCol w:w="248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污染物项目</w:t>
                  </w:r>
                </w:p>
              </w:tc>
              <w:tc>
                <w:tcPr>
                  <w:tcW w:w="986"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特别排放限值</w:t>
                  </w:r>
                </w:p>
              </w:tc>
              <w:tc>
                <w:tcPr>
                  <w:tcW w:w="1667"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限值含义</w:t>
                  </w:r>
                </w:p>
              </w:tc>
              <w:tc>
                <w:tcPr>
                  <w:tcW w:w="1440"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无组织排放监控位置</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 w:type="pct"/>
                  <w:vMerge w:val="restar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NMHC</w:t>
                  </w:r>
                </w:p>
              </w:tc>
              <w:tc>
                <w:tcPr>
                  <w:tcW w:w="986"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6</w:t>
                  </w:r>
                </w:p>
              </w:tc>
              <w:tc>
                <w:tcPr>
                  <w:tcW w:w="1667"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监控点处1h平均浓度值</w:t>
                  </w:r>
                </w:p>
              </w:tc>
              <w:tc>
                <w:tcPr>
                  <w:tcW w:w="1440" w:type="pct"/>
                  <w:vMerge w:val="restar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在厂房外设置监控点</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 w:type="pct"/>
                  <w:vMerge w:val="continue"/>
                  <w:vAlign w:val="center"/>
                </w:tcPr>
                <w:p>
                  <w:pPr>
                    <w:jc w:val="center"/>
                    <w:rPr>
                      <w:bCs/>
                      <w:color w:val="000000" w:themeColor="text1"/>
                      <w:spacing w:val="10"/>
                      <w:szCs w:val="21"/>
                      <w14:textFill>
                        <w14:solidFill>
                          <w14:schemeClr w14:val="tx1"/>
                        </w14:solidFill>
                      </w14:textFill>
                    </w:rPr>
                  </w:pPr>
                </w:p>
              </w:tc>
              <w:tc>
                <w:tcPr>
                  <w:tcW w:w="986"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20</w:t>
                  </w:r>
                </w:p>
              </w:tc>
              <w:tc>
                <w:tcPr>
                  <w:tcW w:w="1667" w:type="pct"/>
                  <w:vAlign w:val="center"/>
                </w:tcPr>
                <w:p>
                  <w:pPr>
                    <w:jc w:val="center"/>
                    <w:rPr>
                      <w:bCs/>
                      <w:color w:val="000000" w:themeColor="text1"/>
                      <w:spacing w:val="10"/>
                      <w:szCs w:val="21"/>
                      <w14:textFill>
                        <w14:solidFill>
                          <w14:schemeClr w14:val="tx1"/>
                        </w14:solidFill>
                      </w14:textFill>
                    </w:rPr>
                  </w:pPr>
                  <w:r>
                    <w:rPr>
                      <w:bCs/>
                      <w:color w:val="000000" w:themeColor="text1"/>
                      <w:spacing w:val="10"/>
                      <w:szCs w:val="21"/>
                      <w14:textFill>
                        <w14:solidFill>
                          <w14:schemeClr w14:val="tx1"/>
                        </w14:solidFill>
                      </w14:textFill>
                    </w:rPr>
                    <w:t>监控点处任意一次浓度值</w:t>
                  </w:r>
                </w:p>
              </w:tc>
              <w:tc>
                <w:tcPr>
                  <w:tcW w:w="1440" w:type="pct"/>
                  <w:vMerge w:val="continue"/>
                  <w:vAlign w:val="center"/>
                </w:tcPr>
                <w:p>
                  <w:pPr>
                    <w:jc w:val="center"/>
                    <w:rPr>
                      <w:bCs/>
                      <w:color w:val="000000" w:themeColor="text1"/>
                      <w:spacing w:val="10"/>
                      <w:szCs w:val="21"/>
                      <w14:textFill>
                        <w14:solidFill>
                          <w14:schemeClr w14:val="tx1"/>
                        </w14:solidFill>
                      </w14:textFill>
                    </w:rPr>
                  </w:pPr>
                </w:p>
              </w:tc>
            </w:tr>
          </w:tbl>
          <w:p>
            <w:pPr>
              <w:adjustRightInd w:val="0"/>
              <w:snapToGrid w:val="0"/>
              <w:spacing w:line="360" w:lineRule="auto"/>
              <w:ind w:firstLine="480"/>
              <w:rPr>
                <w:b/>
                <w:color w:val="000000" w:themeColor="text1"/>
                <w14:textFill>
                  <w14:solidFill>
                    <w14:schemeClr w14:val="tx1"/>
                  </w14:solidFill>
                </w14:textFill>
              </w:rPr>
            </w:pPr>
            <w:r>
              <w:rPr>
                <w:b/>
                <w:color w:val="000000" w:themeColor="text1"/>
                <w14:textFill>
                  <w14:solidFill>
                    <w14:schemeClr w14:val="tx1"/>
                  </w14:solidFill>
                </w14:textFill>
              </w:rPr>
              <w:t>（3）臭气浓度</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本环评建议项目在</w:t>
            </w:r>
            <w:r>
              <w:rPr>
                <w:color w:val="000000" w:themeColor="text1"/>
                <w:highlight w:val="yellow"/>
                <w:lang w:bidi="ar"/>
                <w14:textFill>
                  <w14:solidFill>
                    <w14:schemeClr w14:val="tx1"/>
                  </w14:solidFill>
                </w14:textFill>
              </w:rPr>
              <w:t>注塑</w:t>
            </w:r>
            <w:r>
              <w:rPr>
                <w:color w:val="000000" w:themeColor="text1"/>
                <w14:textFill>
                  <w14:solidFill>
                    <w14:schemeClr w14:val="tx1"/>
                  </w14:solidFill>
                </w14:textFill>
              </w:rPr>
              <w:t>工序产生的臭气浓度执行《恶臭污染物排放标准》（GB14554-93）相关标准。</w:t>
            </w:r>
          </w:p>
          <w:p>
            <w:pPr>
              <w:spacing w:line="360" w:lineRule="auto"/>
              <w:contextualSpacing/>
              <w:jc w:val="center"/>
              <w:rPr>
                <w:b/>
                <w:bCs/>
                <w:color w:val="000000" w:themeColor="text1"/>
                <w:sz w:val="24"/>
                <w14:textFill>
                  <w14:solidFill>
                    <w14:schemeClr w14:val="tx1"/>
                  </w14:solidFill>
                </w14:textFill>
              </w:rPr>
            </w:pPr>
            <w:r>
              <w:rPr>
                <w:b/>
                <w:bCs/>
                <w:color w:val="000000" w:themeColor="text1"/>
                <w:szCs w:val="21"/>
                <w14:textFill>
                  <w14:solidFill>
                    <w14:schemeClr w14:val="tx1"/>
                  </w14:solidFill>
                </w14:textFill>
              </w:rPr>
              <w:t>表</w:t>
            </w:r>
            <w:r>
              <w:rPr>
                <w:color w:val="000000" w:themeColor="text1"/>
                <w:szCs w:val="21"/>
                <w14:textFill>
                  <w14:solidFill>
                    <w14:schemeClr w14:val="tx1"/>
                  </w14:solidFill>
                </w14:textFill>
              </w:rPr>
              <w:t>3-7</w:t>
            </w:r>
            <w:r>
              <w:rPr>
                <w:b/>
                <w:bCs/>
                <w:color w:val="000000" w:themeColor="text1"/>
                <w14:textFill>
                  <w14:solidFill>
                    <w14:schemeClr w14:val="tx1"/>
                  </w14:solidFill>
                </w14:textFill>
              </w:rPr>
              <w:t xml:space="preserve"> 《恶臭污染物排放标准》（GB14554-93）节选</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5"/>
              <w:gridCol w:w="1430"/>
              <w:gridCol w:w="1803"/>
              <w:gridCol w:w="1105"/>
              <w:gridCol w:w="1767"/>
              <w:gridCol w:w="144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828"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控制项目</w:t>
                  </w:r>
                </w:p>
              </w:tc>
              <w:tc>
                <w:tcPr>
                  <w:tcW w:w="1044"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排气筒高度</w:t>
                  </w:r>
                </w:p>
              </w:tc>
              <w:tc>
                <w:tcPr>
                  <w:tcW w:w="640"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单位</w:t>
                  </w:r>
                </w:p>
              </w:tc>
              <w:tc>
                <w:tcPr>
                  <w:tcW w:w="1023"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有组织排放标准值</w:t>
                  </w:r>
                </w:p>
              </w:tc>
              <w:tc>
                <w:tcPr>
                  <w:tcW w:w="836" w:type="pct"/>
                  <w:vAlign w:val="center"/>
                </w:tcPr>
                <w:p>
                  <w:pPr>
                    <w:adjustRightInd w:val="0"/>
                    <w:jc w:val="center"/>
                    <w:textAlignment w:val="baseline"/>
                    <w:rPr>
                      <w:b/>
                      <w:bCs/>
                      <w:color w:val="000000" w:themeColor="text1"/>
                      <w14:textFill>
                        <w14:solidFill>
                          <w14:schemeClr w14:val="tx1"/>
                        </w14:solidFill>
                      </w14:textFill>
                    </w:rPr>
                  </w:pPr>
                  <w:r>
                    <w:rPr>
                      <w:b/>
                      <w:bCs/>
                      <w:color w:val="000000" w:themeColor="text1"/>
                      <w14:textFill>
                        <w14:solidFill>
                          <w14:schemeClr w14:val="tx1"/>
                        </w14:solidFill>
                      </w14:textFill>
                    </w:rPr>
                    <w:t>厂界标准值</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Align w:val="center"/>
                </w:tcPr>
                <w:p>
                  <w:pPr>
                    <w:adjustRightInd w:val="0"/>
                    <w:jc w:val="center"/>
                    <w:textAlignment w:val="baseline"/>
                    <w:rPr>
                      <w:bCs/>
                      <w:color w:val="000000" w:themeColor="text1"/>
                      <w14:textFill>
                        <w14:solidFill>
                          <w14:schemeClr w14:val="tx1"/>
                        </w14:solidFill>
                      </w14:textFill>
                    </w:rPr>
                  </w:pPr>
                  <w:r>
                    <w:rPr>
                      <w:bCs/>
                      <w:color w:val="000000" w:themeColor="text1"/>
                      <w14:textFill>
                        <w14:solidFill>
                          <w14:schemeClr w14:val="tx1"/>
                        </w14:solidFill>
                      </w14:textFill>
                    </w:rPr>
                    <w:t>1</w:t>
                  </w:r>
                </w:p>
              </w:tc>
              <w:tc>
                <w:tcPr>
                  <w:tcW w:w="828" w:type="pct"/>
                  <w:vAlign w:val="center"/>
                </w:tcPr>
                <w:p>
                  <w:pPr>
                    <w:adjustRightInd w:val="0"/>
                    <w:jc w:val="center"/>
                    <w:textAlignment w:val="baseline"/>
                    <w:rPr>
                      <w:color w:val="000000" w:themeColor="text1"/>
                      <w14:textFill>
                        <w14:solidFill>
                          <w14:schemeClr w14:val="tx1"/>
                        </w14:solidFill>
                      </w14:textFill>
                    </w:rPr>
                  </w:pPr>
                  <w:r>
                    <w:rPr>
                      <w:color w:val="000000" w:themeColor="text1"/>
                      <w14:textFill>
                        <w14:solidFill>
                          <w14:schemeClr w14:val="tx1"/>
                        </w14:solidFill>
                      </w14:textFill>
                    </w:rPr>
                    <w:t>臭气浓度</w:t>
                  </w:r>
                </w:p>
              </w:tc>
              <w:tc>
                <w:tcPr>
                  <w:tcW w:w="1044" w:type="pct"/>
                  <w:vAlign w:val="center"/>
                </w:tcPr>
                <w:p>
                  <w:pPr>
                    <w:adjustRightInd w:val="0"/>
                    <w:jc w:val="center"/>
                    <w:textAlignment w:val="baseline"/>
                    <w:rPr>
                      <w:bCs/>
                      <w:color w:val="000000" w:themeColor="text1"/>
                      <w14:textFill>
                        <w14:solidFill>
                          <w14:schemeClr w14:val="tx1"/>
                        </w14:solidFill>
                      </w14:textFill>
                    </w:rPr>
                  </w:pPr>
                  <w:r>
                    <w:rPr>
                      <w:bCs/>
                      <w:color w:val="000000" w:themeColor="text1"/>
                      <w14:textFill>
                        <w14:solidFill>
                          <w14:schemeClr w14:val="tx1"/>
                        </w14:solidFill>
                      </w14:textFill>
                    </w:rPr>
                    <w:t>15m</w:t>
                  </w:r>
                </w:p>
              </w:tc>
              <w:tc>
                <w:tcPr>
                  <w:tcW w:w="640" w:type="pct"/>
                  <w:vAlign w:val="center"/>
                </w:tcPr>
                <w:p>
                  <w:pPr>
                    <w:adjustRightInd w:val="0"/>
                    <w:jc w:val="center"/>
                    <w:textAlignment w:val="baseline"/>
                    <w:rPr>
                      <w:bCs/>
                      <w:color w:val="000000" w:themeColor="text1"/>
                      <w14:textFill>
                        <w14:solidFill>
                          <w14:schemeClr w14:val="tx1"/>
                        </w14:solidFill>
                      </w14:textFill>
                    </w:rPr>
                  </w:pPr>
                  <w:r>
                    <w:rPr>
                      <w:bCs/>
                      <w:color w:val="000000" w:themeColor="text1"/>
                      <w14:textFill>
                        <w14:solidFill>
                          <w14:schemeClr w14:val="tx1"/>
                        </w14:solidFill>
                      </w14:textFill>
                    </w:rPr>
                    <w:t>无量纲</w:t>
                  </w:r>
                </w:p>
              </w:tc>
              <w:tc>
                <w:tcPr>
                  <w:tcW w:w="1023" w:type="pct"/>
                  <w:vAlign w:val="center"/>
                </w:tcPr>
                <w:p>
                  <w:pPr>
                    <w:adjustRightInd w:val="0"/>
                    <w:jc w:val="center"/>
                    <w:textAlignment w:val="baseline"/>
                    <w:rPr>
                      <w:bCs/>
                      <w:color w:val="000000" w:themeColor="text1"/>
                      <w14:textFill>
                        <w14:solidFill>
                          <w14:schemeClr w14:val="tx1"/>
                        </w14:solidFill>
                      </w14:textFill>
                    </w:rPr>
                  </w:pPr>
                  <w:r>
                    <w:rPr>
                      <w:bCs/>
                      <w:color w:val="000000" w:themeColor="text1"/>
                      <w14:textFill>
                        <w14:solidFill>
                          <w14:schemeClr w14:val="tx1"/>
                        </w14:solidFill>
                      </w14:textFill>
                    </w:rPr>
                    <w:t>2000</w:t>
                  </w:r>
                </w:p>
              </w:tc>
              <w:tc>
                <w:tcPr>
                  <w:tcW w:w="836" w:type="pct"/>
                  <w:vAlign w:val="center"/>
                </w:tcPr>
                <w:p>
                  <w:pPr>
                    <w:adjustRightInd w:val="0"/>
                    <w:jc w:val="center"/>
                    <w:textAlignment w:val="baseline"/>
                    <w:rPr>
                      <w:color w:val="000000" w:themeColor="text1"/>
                      <w14:textFill>
                        <w14:solidFill>
                          <w14:schemeClr w14:val="tx1"/>
                        </w14:solidFill>
                      </w14:textFill>
                    </w:rPr>
                  </w:pPr>
                  <w:r>
                    <w:rPr>
                      <w:bCs/>
                      <w:color w:val="000000" w:themeColor="text1"/>
                      <w14:textFill>
                        <w14:solidFill>
                          <w14:schemeClr w14:val="tx1"/>
                        </w14:solidFill>
                      </w14:textFill>
                    </w:rPr>
                    <w:t>20</w:t>
                  </w:r>
                </w:p>
              </w:tc>
            </w:tr>
          </w:tbl>
          <w:p>
            <w:pPr>
              <w:numPr>
                <w:ilvl w:val="0"/>
                <w:numId w:val="17"/>
              </w:numPr>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废水</w:t>
            </w:r>
          </w:p>
          <w:p>
            <w:pPr>
              <w:adjustRightInd w:val="0"/>
              <w:snapToGrid w:val="0"/>
              <w:spacing w:line="360" w:lineRule="auto"/>
              <w:ind w:firstLine="420" w:firstLineChars="200"/>
              <w:rPr>
                <w:bCs/>
                <w:color w:val="000000" w:themeColor="text1"/>
                <w:szCs w:val="21"/>
                <w14:textFill>
                  <w14:solidFill>
                    <w14:schemeClr w14:val="tx1"/>
                  </w14:solidFill>
                </w14:textFill>
              </w:rPr>
            </w:pPr>
            <w:r>
              <w:rPr>
                <w:color w:val="000000" w:themeColor="text1"/>
                <w:szCs w:val="21"/>
                <w14:textFill>
                  <w14:solidFill>
                    <w14:schemeClr w14:val="tx1"/>
                  </w14:solidFill>
                </w14:textFill>
              </w:rPr>
              <w:t>项目所在区域属于博罗县石湾镇西基生活污水处理厂纳污范围，</w:t>
            </w:r>
            <w:r>
              <w:rPr>
                <w:color w:val="000000" w:themeColor="text1"/>
                <w14:textFill>
                  <w14:solidFill>
                    <w14:schemeClr w14:val="tx1"/>
                  </w14:solidFill>
                </w14:textFill>
              </w:rPr>
              <w:t>项目生活污水经三级化粪池预处理达到</w:t>
            </w:r>
            <w:r>
              <w:rPr>
                <w:bCs/>
                <w:color w:val="000000" w:themeColor="text1"/>
                <w:szCs w:val="21"/>
                <w14:textFill>
                  <w14:solidFill>
                    <w14:schemeClr w14:val="tx1"/>
                  </w14:solidFill>
                </w14:textFill>
              </w:rPr>
              <w:t>广东省地方标准《水污染物排放限值》（DB4426-2001）城镇污水处理厂第二时段三级标准</w:t>
            </w:r>
            <w:r>
              <w:rPr>
                <w:color w:val="000000" w:themeColor="text1"/>
                <w14:textFill>
                  <w14:solidFill>
                    <w14:schemeClr w14:val="tx1"/>
                  </w14:solidFill>
                </w14:textFill>
              </w:rPr>
              <w:t>后通过市政纳污管网排入博罗县石湾镇西基生活污水处理厂处理</w:t>
            </w:r>
            <w:r>
              <w:rPr>
                <w:color w:val="000000" w:themeColor="text1"/>
                <w:szCs w:val="21"/>
                <w14:textFill>
                  <w14:solidFill>
                    <w14:schemeClr w14:val="tx1"/>
                  </w14:solidFill>
                </w14:textFill>
              </w:rPr>
              <w:t>，</w:t>
            </w:r>
            <w:r>
              <w:rPr>
                <w:bCs/>
                <w:color w:val="000000" w:themeColor="text1"/>
                <w:szCs w:val="21"/>
                <w14:textFill>
                  <w14:solidFill>
                    <w14:schemeClr w14:val="tx1"/>
                  </w14:solidFill>
                </w14:textFill>
              </w:rPr>
              <w:t>博罗县石湾镇西基生活污水处理厂尾水排放执行《城镇污水处理厂污染物排放标准》（GB18918-2002）一级A标准、广东省地方标准《水污染物排放限值》（DB4426-2001）城镇污水处理厂第二时段一级标准较严者（其中CODcr、氨氮、总氮和总磷执行</w:t>
            </w:r>
            <w:r>
              <w:rPr>
                <w:color w:val="000000" w:themeColor="text1"/>
                <w:szCs w:val="21"/>
                <w14:textFill>
                  <w14:solidFill>
                    <w14:schemeClr w14:val="tx1"/>
                  </w14:solidFill>
                </w14:textFill>
              </w:rPr>
              <w:t>《地表水环境质量标准》（GB3838-2002）中V类标准</w:t>
            </w:r>
            <w:r>
              <w:rPr>
                <w:bCs/>
                <w:color w:val="000000" w:themeColor="text1"/>
                <w:szCs w:val="21"/>
                <w14:textFill>
                  <w14:solidFill>
                    <w14:schemeClr w14:val="tx1"/>
                  </w14:solidFill>
                </w14:textFill>
              </w:rPr>
              <w:t>）</w:t>
            </w:r>
            <w:r>
              <w:rPr>
                <w:color w:val="000000" w:themeColor="text1"/>
                <w:szCs w:val="21"/>
                <w14:textFill>
                  <w14:solidFill>
                    <w14:schemeClr w14:val="tx1"/>
                  </w14:solidFill>
                </w14:textFill>
              </w:rPr>
              <w:t>，</w:t>
            </w:r>
            <w:r>
              <w:rPr>
                <w:bCs/>
                <w:color w:val="000000" w:themeColor="text1"/>
                <w:szCs w:val="21"/>
                <w14:textFill>
                  <w14:solidFill>
                    <w14:schemeClr w14:val="tx1"/>
                  </w14:solidFill>
                </w14:textFill>
              </w:rPr>
              <w:t>具体排放限值详见下表。</w:t>
            </w:r>
          </w:p>
          <w:p>
            <w:pPr>
              <w:pStyle w:val="47"/>
              <w:adjustRightInd w:val="0"/>
              <w:snapToGrid w:val="0"/>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表3-8 </w:t>
            </w:r>
            <w:r>
              <w:rPr>
                <w:bCs/>
                <w:color w:val="000000" w:themeColor="text1"/>
                <w:szCs w:val="21"/>
                <w14:textFill>
                  <w14:solidFill>
                    <w14:schemeClr w14:val="tx1"/>
                  </w14:solidFill>
                </w14:textFill>
              </w:rPr>
              <w:t>博罗县石湾镇西基生活污水处理厂纳管标准</w:t>
            </w:r>
            <w:r>
              <w:rPr>
                <w:color w:val="000000" w:themeColor="text1"/>
                <w:szCs w:val="21"/>
                <w14:textFill>
                  <w14:solidFill>
                    <w14:schemeClr w14:val="tx1"/>
                  </w14:solidFill>
                </w14:textFill>
              </w:rPr>
              <w:t xml:space="preserve"> （单位：mg/L）</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0"/>
              <w:gridCol w:w="988"/>
              <w:gridCol w:w="779"/>
              <w:gridCol w:w="1021"/>
              <w:gridCol w:w="850"/>
              <w:gridCol w:w="808"/>
              <w:gridCol w:w="808"/>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8"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572"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COD</w:t>
                  </w:r>
                  <w:r>
                    <w:rPr>
                      <w:b/>
                      <w:color w:val="000000" w:themeColor="text1"/>
                      <w:vertAlign w:val="subscript"/>
                      <w14:textFill>
                        <w14:solidFill>
                          <w14:schemeClr w14:val="tx1"/>
                        </w14:solidFill>
                      </w14:textFill>
                    </w:rPr>
                    <w:t>Cr</w:t>
                  </w:r>
                </w:p>
              </w:tc>
              <w:tc>
                <w:tcPr>
                  <w:tcW w:w="451"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BOD</w:t>
                  </w:r>
                  <w:r>
                    <w:rPr>
                      <w:b/>
                      <w:color w:val="000000" w:themeColor="text1"/>
                      <w:vertAlign w:val="subscript"/>
                      <w14:textFill>
                        <w14:solidFill>
                          <w14:schemeClr w14:val="tx1"/>
                        </w14:solidFill>
                      </w14:textFill>
                    </w:rPr>
                    <w:t>5</w:t>
                  </w:r>
                </w:p>
              </w:tc>
              <w:tc>
                <w:tcPr>
                  <w:tcW w:w="591"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NH</w:t>
                  </w:r>
                  <w:r>
                    <w:rPr>
                      <w:b/>
                      <w:color w:val="000000" w:themeColor="text1"/>
                      <w:vertAlign w:val="subscript"/>
                      <w14:textFill>
                        <w14:solidFill>
                          <w14:schemeClr w14:val="tx1"/>
                        </w14:solidFill>
                      </w14:textFill>
                    </w:rPr>
                    <w:t>3</w:t>
                  </w:r>
                  <w:r>
                    <w:rPr>
                      <w:b/>
                      <w:color w:val="000000" w:themeColor="text1"/>
                      <w14:textFill>
                        <w14:solidFill>
                          <w14:schemeClr w14:val="tx1"/>
                        </w14:solidFill>
                      </w14:textFill>
                    </w:rPr>
                    <w:t>-N</w:t>
                  </w:r>
                </w:p>
              </w:tc>
              <w:tc>
                <w:tcPr>
                  <w:tcW w:w="492"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SS</w:t>
                  </w:r>
                </w:p>
              </w:tc>
              <w:tc>
                <w:tcPr>
                  <w:tcW w:w="468"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总氮</w:t>
                  </w:r>
                </w:p>
              </w:tc>
              <w:tc>
                <w:tcPr>
                  <w:tcW w:w="468"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污水厂接管标准：（DB44/26-2001）第二时段三级标准</w:t>
                  </w:r>
                </w:p>
              </w:tc>
              <w:tc>
                <w:tcPr>
                  <w:tcW w:w="5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≤500</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≤300</w:t>
                  </w:r>
                </w:p>
              </w:tc>
              <w:tc>
                <w:tcPr>
                  <w:tcW w:w="59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468" w:type="pct"/>
                  <w:vAlign w:val="center"/>
                </w:tcPr>
                <w:p>
                  <w:pPr>
                    <w:jc w:val="center"/>
                    <w:rPr>
                      <w:color w:val="000000" w:themeColor="text1"/>
                      <w14:textFill>
                        <w14:solidFill>
                          <w14:schemeClr w14:val="tx1"/>
                        </w14:solidFill>
                      </w14:textFill>
                    </w:rPr>
                  </w:pPr>
                </w:p>
              </w:tc>
              <w:tc>
                <w:tcPr>
                  <w:tcW w:w="46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bl>
          <w:p>
            <w:pPr>
              <w:pStyle w:val="47"/>
              <w:adjustRightInd w:val="0"/>
              <w:snapToGrid w:val="0"/>
              <w:ind w:firstLine="42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表3-9 </w:t>
            </w:r>
            <w:r>
              <w:rPr>
                <w:bCs/>
                <w:color w:val="000000" w:themeColor="text1"/>
                <w:szCs w:val="21"/>
                <w14:textFill>
                  <w14:solidFill>
                    <w14:schemeClr w14:val="tx1"/>
                  </w14:solidFill>
                </w14:textFill>
              </w:rPr>
              <w:t>博罗县石湾镇西基生活污水处理厂</w:t>
            </w:r>
            <w:r>
              <w:rPr>
                <w:color w:val="000000" w:themeColor="text1"/>
                <w:szCs w:val="21"/>
                <w14:textFill>
                  <w14:solidFill>
                    <w14:schemeClr w14:val="tx1"/>
                  </w14:solidFill>
                </w14:textFill>
              </w:rPr>
              <w:t>排放标准 （单位：mg/L）</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9"/>
              <w:gridCol w:w="990"/>
              <w:gridCol w:w="777"/>
              <w:gridCol w:w="1023"/>
              <w:gridCol w:w="850"/>
              <w:gridCol w:w="808"/>
              <w:gridCol w:w="80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7"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污染物</w:t>
                  </w:r>
                </w:p>
              </w:tc>
              <w:tc>
                <w:tcPr>
                  <w:tcW w:w="573"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COD</w:t>
                  </w:r>
                  <w:r>
                    <w:rPr>
                      <w:b/>
                      <w:color w:val="000000" w:themeColor="text1"/>
                      <w:vertAlign w:val="subscript"/>
                      <w14:textFill>
                        <w14:solidFill>
                          <w14:schemeClr w14:val="tx1"/>
                        </w14:solidFill>
                      </w14:textFill>
                    </w:rPr>
                    <w:t>Cr</w:t>
                  </w:r>
                </w:p>
              </w:tc>
              <w:tc>
                <w:tcPr>
                  <w:tcW w:w="450"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BOD</w:t>
                  </w:r>
                  <w:r>
                    <w:rPr>
                      <w:b/>
                      <w:color w:val="000000" w:themeColor="text1"/>
                      <w:vertAlign w:val="subscript"/>
                      <w14:textFill>
                        <w14:solidFill>
                          <w14:schemeClr w14:val="tx1"/>
                        </w14:solidFill>
                      </w14:textFill>
                    </w:rPr>
                    <w:t>5</w:t>
                  </w:r>
                </w:p>
              </w:tc>
              <w:tc>
                <w:tcPr>
                  <w:tcW w:w="592"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NH</w:t>
                  </w:r>
                  <w:r>
                    <w:rPr>
                      <w:b/>
                      <w:color w:val="000000" w:themeColor="text1"/>
                      <w:vertAlign w:val="subscript"/>
                      <w14:textFill>
                        <w14:solidFill>
                          <w14:schemeClr w14:val="tx1"/>
                        </w14:solidFill>
                      </w14:textFill>
                    </w:rPr>
                    <w:t>3</w:t>
                  </w:r>
                  <w:r>
                    <w:rPr>
                      <w:b/>
                      <w:color w:val="000000" w:themeColor="text1"/>
                      <w14:textFill>
                        <w14:solidFill>
                          <w14:schemeClr w14:val="tx1"/>
                        </w14:solidFill>
                      </w14:textFill>
                    </w:rPr>
                    <w:t>-N</w:t>
                  </w:r>
                </w:p>
              </w:tc>
              <w:tc>
                <w:tcPr>
                  <w:tcW w:w="492"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SS</w:t>
                  </w:r>
                </w:p>
              </w:tc>
              <w:tc>
                <w:tcPr>
                  <w:tcW w:w="468"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总氮</w:t>
                  </w:r>
                </w:p>
              </w:tc>
              <w:tc>
                <w:tcPr>
                  <w:tcW w:w="467" w:type="pct"/>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7" w:type="pct"/>
                  <w:vAlign w:val="center"/>
                </w:tcPr>
                <w:p>
                  <w:pPr>
                    <w:jc w:val="center"/>
                    <w:rPr>
                      <w:color w:val="000000" w:themeColor="text1"/>
                      <w:spacing w:val="-6"/>
                      <w14:textFill>
                        <w14:solidFill>
                          <w14:schemeClr w14:val="tx1"/>
                        </w14:solidFill>
                      </w14:textFill>
                    </w:rPr>
                  </w:pPr>
                  <w:r>
                    <w:rPr>
                      <w:color w:val="000000" w:themeColor="text1"/>
                      <w14:textFill>
                        <w14:solidFill>
                          <w14:schemeClr w14:val="tx1"/>
                        </w14:solidFill>
                      </w14:textFill>
                    </w:rPr>
                    <w:t>（GB18918-2002）一级A标准</w:t>
                  </w:r>
                </w:p>
              </w:tc>
              <w:tc>
                <w:tcPr>
                  <w:tcW w:w="57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45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≤5（8）</w:t>
                  </w:r>
                </w:p>
              </w:tc>
              <w:tc>
                <w:tcPr>
                  <w:tcW w:w="4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46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46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（DB44/26-2001）第二时段一级标准（城镇二级污水处理厂）</w:t>
                  </w:r>
                </w:p>
              </w:tc>
              <w:tc>
                <w:tcPr>
                  <w:tcW w:w="57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45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4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46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6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7"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GB3838-2002中V类标准</w:t>
                  </w:r>
                </w:p>
              </w:tc>
              <w:tc>
                <w:tcPr>
                  <w:tcW w:w="573"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450"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592"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92"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68"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67" w:type="pct"/>
                  <w:vAlign w:val="center"/>
                </w:tcPr>
                <w:p>
                  <w:pPr>
                    <w:spacing w:line="273" w:lineRule="auto"/>
                    <w:jc w:val="center"/>
                    <w:rPr>
                      <w:color w:val="000000" w:themeColor="text1"/>
                      <w14:textFill>
                        <w14:solidFill>
                          <w14:schemeClr w14:val="tx1"/>
                        </w14:solidFill>
                      </w14:textFill>
                    </w:rPr>
                  </w:pPr>
                  <w:r>
                    <w:rPr>
                      <w:color w:val="000000" w:themeColor="text1"/>
                      <w14:textFill>
                        <w14:solidFill>
                          <w14:schemeClr w14:val="tx1"/>
                        </w14:solidFill>
                      </w14:textFill>
                    </w:rPr>
                    <w:t>≤0.4</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95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污水厂出水水质指标</w:t>
                  </w:r>
                </w:p>
              </w:tc>
              <w:tc>
                <w:tcPr>
                  <w:tcW w:w="57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450"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5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9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46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6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r>
          </w:tbl>
          <w:p>
            <w:pPr>
              <w:jc w:val="left"/>
              <w:rPr>
                <w:bCs/>
                <w:color w:val="000000" w:themeColor="text1"/>
                <w:szCs w:val="21"/>
                <w14:textFill>
                  <w14:solidFill>
                    <w14:schemeClr w14:val="tx1"/>
                  </w14:solidFill>
                </w14:textFill>
              </w:rPr>
            </w:pPr>
            <w:r>
              <w:rPr>
                <w:color w:val="000000" w:themeColor="text1"/>
                <w:sz w:val="18"/>
                <w:szCs w:val="18"/>
                <w14:textFill>
                  <w14:solidFill>
                    <w14:schemeClr w14:val="tx1"/>
                  </w14:solidFill>
                </w14:textFill>
              </w:rPr>
              <w:t>备注：氨氮的括号外数值为水温&gt;12</w:t>
            </w:r>
            <w:r>
              <w:rPr>
                <w:rFonts w:hint="eastAsia" w:ascii="宋体" w:hAnsi="宋体" w:cs="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 xml:space="preserve"> 时的控制指标，括号内数值为水温≤12</w:t>
            </w:r>
            <w:r>
              <w:rPr>
                <w:rFonts w:hint="eastAsia" w:ascii="宋体" w:hAnsi="宋体" w:cs="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 xml:space="preserve"> 时的控制指标。</w:t>
            </w:r>
          </w:p>
          <w:p>
            <w:pPr>
              <w:numPr>
                <w:ilvl w:val="0"/>
                <w:numId w:val="17"/>
              </w:numPr>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噪声</w:t>
            </w:r>
          </w:p>
          <w:p>
            <w:pPr>
              <w:numPr>
                <w:ilvl w:val="0"/>
                <w:numId w:val="18"/>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运营期</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运营期噪声执行《工业企业厂界环境噪声排放标准》（GB12348-2008）2类标准（昼间≤60dB（A）、夜间≤50dB（A））。</w:t>
            </w:r>
          </w:p>
          <w:p>
            <w:pPr>
              <w:numPr>
                <w:ilvl w:val="0"/>
                <w:numId w:val="17"/>
              </w:numPr>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固废</w:t>
            </w:r>
          </w:p>
          <w:p>
            <w:pPr>
              <w:spacing w:line="360" w:lineRule="auto"/>
              <w:ind w:firstLine="420" w:firstLineChars="200"/>
              <w:rPr>
                <w:color w:val="000000" w:themeColor="text1"/>
                <w:kern w:val="0"/>
                <w:szCs w:val="21"/>
                <w14:textFill>
                  <w14:solidFill>
                    <w14:schemeClr w14:val="tx1"/>
                  </w14:solidFill>
                </w14:textFill>
              </w:rPr>
            </w:pPr>
            <w:r>
              <w:rPr>
                <w:rStyle w:val="36"/>
                <w:color w:val="000000" w:themeColor="text1"/>
                <w:kern w:val="0"/>
                <w:szCs w:val="21"/>
                <w14:textFill>
                  <w14:solidFill>
                    <w14:schemeClr w14:val="tx1"/>
                  </w14:solidFill>
                </w14:textFill>
              </w:rPr>
              <w:t>项目一般固体废物贮存过程应满足相应防渗漏、防雨淋、防扬尘等环境保护要求，参照执行《一般工业固体废物贮存和填埋污染控制标准》（GB 18599-2020）中的相关规定。</w:t>
            </w:r>
            <w:r>
              <w:rPr>
                <w:color w:val="000000" w:themeColor="text1"/>
                <w:szCs w:val="21"/>
                <w14:textFill>
                  <w14:solidFill>
                    <w14:schemeClr w14:val="tx1"/>
                  </w14:solidFill>
                </w14:textFill>
              </w:rPr>
              <w:t>危险废物执行《危险废物贮存污染控制标准》（GB18597-2001）及2013年修改单。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6" w:type="pct"/>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总量</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控制</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指标</w:t>
            </w:r>
          </w:p>
        </w:tc>
        <w:tc>
          <w:tcPr>
            <w:tcW w:w="4804" w:type="pct"/>
          </w:tcPr>
          <w:p>
            <w:pPr>
              <w:adjustRightInd w:val="0"/>
              <w:snapToGrid w:val="0"/>
              <w:spacing w:line="360" w:lineRule="auto"/>
              <w:ind w:firstLine="420" w:firstLineChars="200"/>
              <w:rPr>
                <w:color w:val="000000" w:themeColor="text1"/>
                <w:spacing w:val="10"/>
                <w:szCs w:val="21"/>
                <w14:textFill>
                  <w14:solidFill>
                    <w14:schemeClr w14:val="tx1"/>
                  </w14:solidFill>
                </w14:textFill>
              </w:rPr>
            </w:pPr>
            <w:r>
              <w:rPr>
                <w:color w:val="000000" w:themeColor="text1"/>
                <w:szCs w:val="21"/>
                <w14:textFill>
                  <w14:solidFill>
                    <w14:schemeClr w14:val="tx1"/>
                  </w14:solidFill>
                </w14:textFill>
              </w:rPr>
              <w:t>项目所在区域属于博罗县石湾镇西基生活污水处理厂纳污范围，</w:t>
            </w:r>
            <w:r>
              <w:rPr>
                <w:color w:val="000000" w:themeColor="text1"/>
                <w14:textFill>
                  <w14:solidFill>
                    <w14:schemeClr w14:val="tx1"/>
                  </w14:solidFill>
                </w14:textFill>
              </w:rPr>
              <w:t>项目生活污水经三级化粪池预处理后通过市政纳污管网排入博罗县石湾镇西基生活污水处理厂处理</w:t>
            </w:r>
            <w:r>
              <w:rPr>
                <w:color w:val="000000" w:themeColor="text1"/>
                <w:szCs w:val="21"/>
                <w14:textFill>
                  <w14:solidFill>
                    <w14:schemeClr w14:val="tx1"/>
                  </w14:solidFill>
                </w14:textFill>
              </w:rPr>
              <w:t>，因此，本项目不设置水污染总量控制指标。项目按达标排放的原则，提出本项目污染物排放总量控制指标建议见下表。</w:t>
            </w:r>
          </w:p>
          <w:p>
            <w:pPr>
              <w:adjustRightInd w:val="0"/>
              <w:snapToGrid w:val="0"/>
              <w:spacing w:line="360" w:lineRule="auto"/>
              <w:ind w:firstLine="422" w:firstLineChars="20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表3-10 项目污染物总量控制指标 单位：t/a</w:t>
            </w:r>
          </w:p>
          <w:tbl>
            <w:tblPr>
              <w:tblStyle w:val="29"/>
              <w:tblW w:w="5000" w:type="pct"/>
              <w:jc w:val="center"/>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Layout w:type="autofit"/>
              <w:tblCellMar>
                <w:top w:w="0" w:type="dxa"/>
                <w:left w:w="108" w:type="dxa"/>
                <w:bottom w:w="0" w:type="dxa"/>
                <w:right w:w="108" w:type="dxa"/>
              </w:tblCellMar>
            </w:tblPr>
            <w:tblGrid>
              <w:gridCol w:w="1995"/>
              <w:gridCol w:w="1848"/>
              <w:gridCol w:w="1848"/>
              <w:gridCol w:w="2943"/>
            </w:tblGrid>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27" w:hRule="atLeast"/>
                <w:jc w:val="center"/>
              </w:trPr>
              <w:tc>
                <w:tcPr>
                  <w:tcW w:w="1155"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类别</w:t>
                  </w:r>
                </w:p>
              </w:tc>
              <w:tc>
                <w:tcPr>
                  <w:tcW w:w="2140" w:type="pct"/>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污染物</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本项目排放量</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restar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1070" w:type="pct"/>
                  <w:vMerge w:val="restar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VOCs（t/a）</w:t>
                  </w:r>
                </w:p>
              </w:tc>
              <w:tc>
                <w:tcPr>
                  <w:tcW w:w="1070"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有组织</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0.022</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1070"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1070"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无组织</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0.022</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1070"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1070"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合计</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0.044</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restar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2140" w:type="pct"/>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废水量</w:t>
                  </w:r>
                  <w:r>
                    <w:rPr>
                      <w:color w:val="000000" w:themeColor="text1"/>
                      <w:kern w:val="0"/>
                      <w14:textFill>
                        <w14:solidFill>
                          <w14:schemeClr w14:val="tx1"/>
                        </w14:solidFill>
                      </w14:textFill>
                    </w:rPr>
                    <w:t>（t/a）</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2140" w:type="pct"/>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COD</w:t>
                  </w:r>
                  <w:r>
                    <w:rPr>
                      <w:color w:val="000000" w:themeColor="text1"/>
                      <w:vertAlign w:val="subscript"/>
                      <w14:textFill>
                        <w14:solidFill>
                          <w14:schemeClr w14:val="tx1"/>
                        </w14:solidFill>
                      </w14:textFill>
                    </w:rPr>
                    <w:t>Cr</w:t>
                  </w:r>
                  <w:r>
                    <w:rPr>
                      <w:color w:val="000000" w:themeColor="text1"/>
                      <w:kern w:val="0"/>
                      <w14:textFill>
                        <w14:solidFill>
                          <w14:schemeClr w14:val="tx1"/>
                        </w14:solidFill>
                      </w14:textFill>
                    </w:rPr>
                    <w:t>（t/a）</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0.016</w:t>
                  </w:r>
                </w:p>
              </w:tc>
            </w:tr>
            <w:tr>
              <w:tblPrEx>
                <w:tblBorders>
                  <w:top w:val="single" w:color="000000" w:sz="18" w:space="0"/>
                  <w:left w:val="single" w:color="000000" w:sz="4" w:space="0"/>
                  <w:bottom w:val="single" w:color="000000" w:sz="18" w:space="0"/>
                  <w:right w:val="single" w:color="000000" w:sz="4" w:space="0"/>
                  <w:insideH w:val="single" w:color="000000" w:sz="8" w:space="0"/>
                  <w:insideV w:val="single" w:color="000000" w:sz="8" w:space="0"/>
                </w:tblBorders>
                <w:tblCellMar>
                  <w:top w:w="0" w:type="dxa"/>
                  <w:left w:w="108" w:type="dxa"/>
                  <w:bottom w:w="0" w:type="dxa"/>
                  <w:right w:w="108" w:type="dxa"/>
                </w:tblCellMar>
              </w:tblPrEx>
              <w:trPr>
                <w:trHeight w:val="339" w:hRule="atLeast"/>
                <w:jc w:val="center"/>
              </w:trPr>
              <w:tc>
                <w:tcPr>
                  <w:tcW w:w="1155" w:type="pct"/>
                  <w:vMerge w:val="continue"/>
                  <w:shd w:val="clear" w:color="auto" w:fill="FFFFFF"/>
                  <w:vAlign w:val="center"/>
                </w:tcPr>
                <w:p>
                  <w:pPr>
                    <w:adjustRightInd w:val="0"/>
                    <w:snapToGrid w:val="0"/>
                    <w:jc w:val="center"/>
                    <w:rPr>
                      <w:color w:val="000000" w:themeColor="text1"/>
                      <w14:textFill>
                        <w14:solidFill>
                          <w14:schemeClr w14:val="tx1"/>
                        </w14:solidFill>
                      </w14:textFill>
                    </w:rPr>
                  </w:pPr>
                </w:p>
              </w:tc>
              <w:tc>
                <w:tcPr>
                  <w:tcW w:w="2140" w:type="pct"/>
                  <w:gridSpan w:val="2"/>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w:t>
                  </w:r>
                  <w:r>
                    <w:rPr>
                      <w:color w:val="000000" w:themeColor="text1"/>
                      <w:kern w:val="0"/>
                      <w14:textFill>
                        <w14:solidFill>
                          <w14:schemeClr w14:val="tx1"/>
                        </w14:solidFill>
                      </w14:textFill>
                    </w:rPr>
                    <w:t>（t/a）</w:t>
                  </w:r>
                </w:p>
              </w:tc>
              <w:tc>
                <w:tcPr>
                  <w:tcW w:w="1704" w:type="pct"/>
                  <w:shd w:val="clear" w:color="auto" w:fill="FFFFFF"/>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0.0008</w:t>
                  </w:r>
                </w:p>
              </w:tc>
            </w:tr>
          </w:tbl>
          <w:p>
            <w:pPr>
              <w:adjustRightInd w:val="0"/>
              <w:snapToGrid w:val="0"/>
              <w:spacing w:line="360" w:lineRule="auto"/>
              <w:rPr>
                <w:color w:val="000000" w:themeColor="text1"/>
                <w:kern w:val="0"/>
                <w:szCs w:val="21"/>
                <w14:textFill>
                  <w14:solidFill>
                    <w14:schemeClr w14:val="tx1"/>
                  </w14:solidFill>
                </w14:textFill>
              </w:rPr>
            </w:pPr>
            <w:r>
              <w:rPr>
                <w:color w:val="000000" w:themeColor="text1"/>
                <w14:textFill>
                  <w14:solidFill>
                    <w14:schemeClr w14:val="tx1"/>
                  </w14:solidFill>
                </w14:textFill>
              </w:rPr>
              <w:t>注：1、按项目每年生产时间300天计算；2、项目非甲烷总烃和总VOCs的总量控制指标以VOCs表征</w:t>
            </w: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5" w:type="default"/>
          <w:pgSz w:w="11906" w:h="16838"/>
          <w:pgMar w:top="1418" w:right="1418" w:bottom="1418" w:left="1418" w:header="567" w:footer="567" w:gutter="0"/>
          <w:cols w:space="720"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四、主要环境影响和保护措施</w:t>
      </w: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1"/>
        <w:gridCol w:w="8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3" w:hRule="atLeast"/>
          <w:jc w:val="center"/>
        </w:trPr>
        <w:tc>
          <w:tcPr>
            <w:tcW w:w="318" w:type="pct"/>
            <w:vAlign w:val="center"/>
          </w:tcPr>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施工期环境保护措施</w:t>
            </w:r>
          </w:p>
        </w:tc>
        <w:tc>
          <w:tcPr>
            <w:tcW w:w="4682" w:type="pct"/>
            <w:vAlign w:val="center"/>
          </w:tcPr>
          <w:p>
            <w:pPr>
              <w:adjustRightInd w:val="0"/>
              <w:snapToGrid w:val="0"/>
              <w:spacing w:line="360" w:lineRule="auto"/>
              <w:ind w:firstLine="482"/>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项目租用现有厂房进行生产经营活动，不再考虑施工期环境影响。</w:t>
            </w:r>
          </w:p>
          <w:p>
            <w:pPr>
              <w:spacing w:line="360" w:lineRule="auto"/>
              <w:jc w:val="center"/>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6" w:type="default"/>
          <w:pgSz w:w="11906" w:h="16838"/>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20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1" w:hRule="atLeast"/>
          <w:jc w:val="center"/>
        </w:trPr>
        <w:tc>
          <w:tcPr>
            <w:tcW w:w="151" w:type="pct"/>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849" w:type="pct"/>
          </w:tcPr>
          <w:p>
            <w:pPr>
              <w:numPr>
                <w:ilvl w:val="0"/>
                <w:numId w:val="19"/>
              </w:numPr>
              <w:spacing w:line="360" w:lineRule="auto"/>
              <w:ind w:left="0" w:firstLine="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废气</w:t>
            </w:r>
          </w:p>
          <w:p>
            <w:pPr>
              <w:numPr>
                <w:ilvl w:val="0"/>
                <w:numId w:val="20"/>
              </w:numPr>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废气源强核算结果</w:t>
            </w:r>
          </w:p>
          <w:p>
            <w:pPr>
              <w:numPr>
                <w:ilvl w:val="0"/>
                <w:numId w:val="21"/>
              </w:numPr>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项目大气污染源源强核算结果及相关参数一览表</w:t>
            </w:r>
          </w:p>
          <w:p>
            <w:pPr>
              <w:pStyle w:val="47"/>
              <w:rPr>
                <w:color w:val="000000" w:themeColor="text1"/>
                <w14:textFill>
                  <w14:solidFill>
                    <w14:schemeClr w14:val="tx1"/>
                  </w14:solidFill>
                </w14:textFill>
              </w:rPr>
            </w:pPr>
            <w:r>
              <w:rPr>
                <w:color w:val="000000" w:themeColor="text1"/>
                <w14:textFill>
                  <w14:solidFill>
                    <w14:schemeClr w14:val="tx1"/>
                  </w14:solidFill>
                </w14:textFill>
              </w:rPr>
              <w:t>表4-1  项目废气污染源源强核算结果及相关参数一览表</w:t>
            </w:r>
          </w:p>
          <w:tbl>
            <w:tblPr>
              <w:tblStyle w:val="29"/>
              <w:tblW w:w="19943" w:type="dxa"/>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901"/>
              <w:gridCol w:w="1225"/>
              <w:gridCol w:w="1197"/>
              <w:gridCol w:w="925"/>
              <w:gridCol w:w="1923"/>
              <w:gridCol w:w="818"/>
              <w:gridCol w:w="1121"/>
              <w:gridCol w:w="1109"/>
              <w:gridCol w:w="1033"/>
              <w:gridCol w:w="1205"/>
              <w:gridCol w:w="1093"/>
              <w:gridCol w:w="1272"/>
              <w:gridCol w:w="1025"/>
              <w:gridCol w:w="1743"/>
              <w:gridCol w:w="1232"/>
              <w:gridCol w:w="103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vAlign w:val="center"/>
                </w:tcPr>
                <w:p>
                  <w:pPr>
                    <w:topLinePunct/>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产排污环节</w:t>
                  </w:r>
                </w:p>
              </w:tc>
              <w:tc>
                <w:tcPr>
                  <w:tcW w:w="226" w:type="pct"/>
                  <w:vMerge w:val="restart"/>
                  <w:vAlign w:val="center"/>
                </w:tcPr>
                <w:p>
                  <w:pPr>
                    <w:topLinePunct/>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污染物种类</w:t>
                  </w:r>
                </w:p>
              </w:tc>
              <w:tc>
                <w:tcPr>
                  <w:tcW w:w="839" w:type="pct"/>
                  <w:gridSpan w:val="3"/>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产生情况</w:t>
                  </w:r>
                </w:p>
              </w:tc>
              <w:tc>
                <w:tcPr>
                  <w:tcW w:w="1806" w:type="pct"/>
                  <w:gridSpan w:val="6"/>
                  <w:vAlign w:val="center"/>
                </w:tcPr>
                <w:p>
                  <w:pPr>
                    <w:widowControl/>
                    <w:jc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治理措施</w:t>
                  </w:r>
                </w:p>
              </w:tc>
              <w:tc>
                <w:tcPr>
                  <w:tcW w:w="849" w:type="pct"/>
                  <w:gridSpan w:val="3"/>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排放情况</w:t>
                  </w:r>
                </w:p>
              </w:tc>
              <w:tc>
                <w:tcPr>
                  <w:tcW w:w="746" w:type="pct"/>
                  <w:gridSpan w:val="2"/>
                </w:tcPr>
                <w:p>
                  <w:pPr>
                    <w:widowControl/>
                    <w:jc w:val="center"/>
                    <w:rPr>
                      <w:b/>
                      <w:bCs/>
                      <w:color w:val="000000" w:themeColor="text1"/>
                      <w:sz w:val="20"/>
                      <w:szCs w:val="20"/>
                      <w14:textFill>
                        <w14:solidFill>
                          <w14:schemeClr w14:val="tx1"/>
                        </w14:solidFill>
                      </w14:textFill>
                    </w:rPr>
                  </w:pPr>
                  <w:r>
                    <w:rPr>
                      <w:b/>
                      <w:bCs/>
                      <w:color w:val="000000" w:themeColor="text1"/>
                      <w:sz w:val="20"/>
                      <w:szCs w:val="20"/>
                      <w14:textFill>
                        <w14:solidFill>
                          <w14:schemeClr w14:val="tx1"/>
                        </w14:solidFill>
                      </w14:textFill>
                    </w:rPr>
                    <w:t>排放标准</w:t>
                  </w:r>
                </w:p>
              </w:tc>
              <w:tc>
                <w:tcPr>
                  <w:tcW w:w="260" w:type="pct"/>
                  <w:vMerge w:val="restart"/>
                  <w:vAlign w:val="center"/>
                </w:tcPr>
                <w:p>
                  <w:pPr>
                    <w:widowControl/>
                    <w:jc w:val="center"/>
                    <w:rPr>
                      <w:b/>
                      <w:bCs/>
                      <w:color w:val="000000" w:themeColor="text1"/>
                      <w:sz w:val="20"/>
                      <w:szCs w:val="20"/>
                      <w14:textFill>
                        <w14:solidFill>
                          <w14:schemeClr w14:val="tx1"/>
                        </w14:solidFill>
                      </w14:textFill>
                    </w:rPr>
                  </w:pPr>
                  <w:r>
                    <w:rPr>
                      <w:b/>
                      <w:bCs/>
                      <w:color w:val="000000" w:themeColor="text1"/>
                      <w:sz w:val="20"/>
                      <w:szCs w:val="20"/>
                      <w14:textFill>
                        <w14:solidFill>
                          <w14:schemeClr w14:val="tx1"/>
                        </w14:solidFill>
                      </w14:textFill>
                    </w:rPr>
                    <w:t>排放方式</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vAlign w:val="center"/>
                </w:tcPr>
                <w:p>
                  <w:pPr>
                    <w:widowControl/>
                    <w:jc w:val="center"/>
                    <w:rPr>
                      <w:color w:val="000000" w:themeColor="text1"/>
                      <w:szCs w:val="21"/>
                      <w14:textFill>
                        <w14:solidFill>
                          <w14:schemeClr w14:val="tx1"/>
                        </w14:solidFill>
                      </w14:textFill>
                    </w:rPr>
                  </w:pPr>
                </w:p>
              </w:tc>
              <w:tc>
                <w:tcPr>
                  <w:tcW w:w="226" w:type="pct"/>
                  <w:vMerge w:val="continue"/>
                  <w:vAlign w:val="center"/>
                </w:tcPr>
                <w:p>
                  <w:pPr>
                    <w:widowControl/>
                    <w:jc w:val="center"/>
                    <w:rPr>
                      <w:color w:val="000000" w:themeColor="text1"/>
                      <w:szCs w:val="21"/>
                      <w14:textFill>
                        <w14:solidFill>
                          <w14:schemeClr w14:val="tx1"/>
                        </w14:solidFill>
                      </w14:textFill>
                    </w:rPr>
                  </w:pPr>
                </w:p>
              </w:tc>
              <w:tc>
                <w:tcPr>
                  <w:tcW w:w="307"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产生浓度</w:t>
                  </w:r>
                </w:p>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300"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产生速率</w:t>
                  </w:r>
                </w:p>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（kg/h）</w:t>
                  </w:r>
                </w:p>
              </w:tc>
              <w:tc>
                <w:tcPr>
                  <w:tcW w:w="232"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w:t>
                  </w:r>
                </w:p>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482" w:type="pct"/>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工艺</w:t>
                  </w:r>
                </w:p>
              </w:tc>
              <w:tc>
                <w:tcPr>
                  <w:tcW w:w="205" w:type="pct"/>
                  <w:vAlign w:val="center"/>
                </w:tcPr>
                <w:p>
                  <w:pPr>
                    <w:widowControl/>
                    <w:jc w:val="center"/>
                    <w:textAlignment w:val="center"/>
                    <w:rPr>
                      <w:b/>
                      <w:bCs/>
                      <w:color w:val="000000" w:themeColor="text1"/>
                      <w:kern w:val="0"/>
                      <w:szCs w:val="21"/>
                      <w:lang w:bidi="ar"/>
                      <w14:textFill>
                        <w14:solidFill>
                          <w14:schemeClr w14:val="tx1"/>
                        </w14:solidFill>
                      </w14:textFill>
                    </w:rPr>
                  </w:pPr>
                  <w:r>
                    <w:rPr>
                      <w:b/>
                      <w:bCs/>
                      <w:color w:val="000000" w:themeColor="text1"/>
                      <w:kern w:val="0"/>
                      <w:szCs w:val="21"/>
                      <w:lang w:bidi="ar"/>
                      <w14:textFill>
                        <w14:solidFill>
                          <w14:schemeClr w14:val="tx1"/>
                        </w14:solidFill>
                      </w14:textFill>
                    </w:rPr>
                    <w:t>排气筒编号</w:t>
                  </w:r>
                </w:p>
              </w:tc>
              <w:tc>
                <w:tcPr>
                  <w:tcW w:w="281" w:type="pct"/>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风量设置m</w:t>
                  </w:r>
                  <w:r>
                    <w:rPr>
                      <w:b/>
                      <w:bCs/>
                      <w:color w:val="000000" w:themeColor="text1"/>
                      <w:kern w:val="0"/>
                      <w:szCs w:val="21"/>
                      <w:vertAlign w:val="superscript"/>
                      <w:lang w:bidi="ar"/>
                      <w14:textFill>
                        <w14:solidFill>
                          <w14:schemeClr w14:val="tx1"/>
                        </w14:solidFill>
                      </w14:textFill>
                    </w:rPr>
                    <w:t>3</w:t>
                  </w:r>
                  <w:r>
                    <w:rPr>
                      <w:b/>
                      <w:bCs/>
                      <w:color w:val="000000" w:themeColor="text1"/>
                      <w:kern w:val="0"/>
                      <w:szCs w:val="21"/>
                      <w:lang w:bidi="ar"/>
                      <w14:textFill>
                        <w14:solidFill>
                          <w14:schemeClr w14:val="tx1"/>
                        </w14:solidFill>
                      </w14:textFill>
                    </w:rPr>
                    <w:t>/h</w:t>
                  </w:r>
                </w:p>
              </w:tc>
              <w:tc>
                <w:tcPr>
                  <w:tcW w:w="278" w:type="pct"/>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收集效率</w:t>
                  </w:r>
                  <w:r>
                    <w:rPr>
                      <w:rStyle w:val="80"/>
                      <w:b/>
                      <w:bCs/>
                      <w:color w:val="000000" w:themeColor="text1"/>
                      <w:lang w:bidi="ar"/>
                      <w14:textFill>
                        <w14:solidFill>
                          <w14:schemeClr w14:val="tx1"/>
                        </w14:solidFill>
                      </w14:textFill>
                    </w:rPr>
                    <w:t>%</w:t>
                  </w:r>
                </w:p>
              </w:tc>
              <w:tc>
                <w:tcPr>
                  <w:tcW w:w="259" w:type="pct"/>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去除效率</w:t>
                  </w:r>
                  <w:r>
                    <w:rPr>
                      <w:rStyle w:val="80"/>
                      <w:b/>
                      <w:bCs/>
                      <w:color w:val="000000" w:themeColor="text1"/>
                      <w:lang w:bidi="ar"/>
                      <w14:textFill>
                        <w14:solidFill>
                          <w14:schemeClr w14:val="tx1"/>
                        </w14:solidFill>
                      </w14:textFill>
                    </w:rPr>
                    <w:t>%</w:t>
                  </w:r>
                </w:p>
              </w:tc>
              <w:tc>
                <w:tcPr>
                  <w:tcW w:w="302" w:type="pct"/>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是否为可行技术</w:t>
                  </w:r>
                </w:p>
              </w:tc>
              <w:tc>
                <w:tcPr>
                  <w:tcW w:w="274"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排放浓度mg/m</w:t>
                  </w:r>
                  <w:r>
                    <w:rPr>
                      <w:b/>
                      <w:bCs/>
                      <w:color w:val="000000" w:themeColor="text1"/>
                      <w:szCs w:val="21"/>
                      <w:vertAlign w:val="superscript"/>
                      <w14:textFill>
                        <w14:solidFill>
                          <w14:schemeClr w14:val="tx1"/>
                        </w14:solidFill>
                      </w14:textFill>
                    </w:rPr>
                    <w:t>3</w:t>
                  </w:r>
                </w:p>
              </w:tc>
              <w:tc>
                <w:tcPr>
                  <w:tcW w:w="319"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排放速率</w:t>
                  </w:r>
                </w:p>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（kg/h）</w:t>
                  </w:r>
                </w:p>
              </w:tc>
              <w:tc>
                <w:tcPr>
                  <w:tcW w:w="257"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437"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标准速率（kg/h）</w:t>
                  </w:r>
                </w:p>
              </w:tc>
              <w:tc>
                <w:tcPr>
                  <w:tcW w:w="308" w:type="pct"/>
                  <w:vAlign w:val="center"/>
                </w:tcPr>
                <w:p>
                  <w:pPr>
                    <w:widowControl/>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排放浓度（mg/m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260" w:type="pct"/>
                  <w:vMerge w:val="continue"/>
                  <w:vAlign w:val="center"/>
                </w:tcPr>
                <w:p>
                  <w:pPr>
                    <w:widowControl/>
                    <w:jc w:val="center"/>
                    <w:rPr>
                      <w:b/>
                      <w:bCs/>
                      <w:color w:val="000000" w:themeColor="text1"/>
                      <w:sz w:val="20"/>
                      <w:szCs w:val="20"/>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注塑废气</w:t>
                  </w:r>
                </w:p>
              </w:tc>
              <w:tc>
                <w:tcPr>
                  <w:tcW w:w="226" w:type="pct"/>
                  <w:vMerge w:val="restart"/>
                  <w:vAlign w:val="center"/>
                </w:tcPr>
                <w:p>
                  <w:pPr>
                    <w:adjustRightInd w:val="0"/>
                    <w:snapToGrid w:val="0"/>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307" w:type="pct"/>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0.644</w:t>
                  </w:r>
                </w:p>
              </w:tc>
              <w:tc>
                <w:tcPr>
                  <w:tcW w:w="30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0.0029</w:t>
                  </w:r>
                </w:p>
              </w:tc>
              <w:tc>
                <w:tcPr>
                  <w:tcW w:w="2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0.0069</w:t>
                  </w:r>
                </w:p>
              </w:tc>
              <w:tc>
                <w:tcPr>
                  <w:tcW w:w="48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两级活性炭吸附装置</w:t>
                  </w:r>
                </w:p>
              </w:tc>
              <w:tc>
                <w:tcPr>
                  <w:tcW w:w="205" w:type="pct"/>
                  <w:vAlign w:val="center"/>
                </w:tcPr>
                <w:p>
                  <w:pPr>
                    <w:widowControl/>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w:t>
                  </w:r>
                </w:p>
              </w:tc>
              <w:tc>
                <w:tcPr>
                  <w:tcW w:w="281"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4500</w:t>
                  </w:r>
                </w:p>
              </w:tc>
              <w:tc>
                <w:tcPr>
                  <w:tcW w:w="278"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25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51</w:t>
                  </w:r>
                </w:p>
              </w:tc>
              <w:tc>
                <w:tcPr>
                  <w:tcW w:w="30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tc>
              <w:tc>
                <w:tcPr>
                  <w:tcW w:w="274" w:type="pct"/>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0.316</w:t>
                  </w:r>
                </w:p>
              </w:tc>
              <w:tc>
                <w:tcPr>
                  <w:tcW w:w="31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0.0014</w:t>
                  </w:r>
                </w:p>
              </w:tc>
              <w:tc>
                <w:tcPr>
                  <w:tcW w:w="25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0.0034</w:t>
                  </w:r>
                </w:p>
              </w:tc>
              <w:tc>
                <w:tcPr>
                  <w:tcW w:w="43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26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vAlign w:val="center"/>
                </w:tcPr>
                <w:p>
                  <w:pPr>
                    <w:jc w:val="center"/>
                    <w:rPr>
                      <w:color w:val="000000" w:themeColor="text1"/>
                      <w:szCs w:val="21"/>
                      <w14:textFill>
                        <w14:solidFill>
                          <w14:schemeClr w14:val="tx1"/>
                        </w14:solidFill>
                      </w14:textFill>
                    </w:rPr>
                  </w:pPr>
                </w:p>
              </w:tc>
              <w:tc>
                <w:tcPr>
                  <w:tcW w:w="226" w:type="pct"/>
                  <w:vMerge w:val="continue"/>
                  <w:vAlign w:val="center"/>
                </w:tcPr>
                <w:p>
                  <w:pPr>
                    <w:adjustRightInd w:val="0"/>
                    <w:snapToGrid w:val="0"/>
                    <w:jc w:val="center"/>
                    <w:rPr>
                      <w:color w:val="000000" w:themeColor="text1"/>
                      <w:szCs w:val="21"/>
                      <w14:textFill>
                        <w14:solidFill>
                          <w14:schemeClr w14:val="tx1"/>
                        </w14:solidFill>
                      </w14:textFill>
                    </w:rPr>
                  </w:pPr>
                </w:p>
              </w:tc>
              <w:tc>
                <w:tcPr>
                  <w:tcW w:w="30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0.0007</w:t>
                  </w:r>
                </w:p>
              </w:tc>
              <w:tc>
                <w:tcPr>
                  <w:tcW w:w="23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0.0017</w:t>
                  </w:r>
                </w:p>
              </w:tc>
              <w:tc>
                <w:tcPr>
                  <w:tcW w:w="48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加强车间管理</w:t>
                  </w:r>
                </w:p>
              </w:tc>
              <w:tc>
                <w:tcPr>
                  <w:tcW w:w="205"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81"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78"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5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74" w:type="pct"/>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31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0.0007</w:t>
                  </w:r>
                </w:p>
              </w:tc>
              <w:tc>
                <w:tcPr>
                  <w:tcW w:w="25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0.0017</w:t>
                  </w:r>
                </w:p>
              </w:tc>
              <w:tc>
                <w:tcPr>
                  <w:tcW w:w="43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26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vAlign w:val="center"/>
                </w:tcPr>
                <w:p>
                  <w:pPr>
                    <w:topLinePunct/>
                    <w:jc w:val="center"/>
                    <w:rPr>
                      <w:color w:val="000000" w:themeColor="text1"/>
                      <w:kern w:val="0"/>
                      <w:szCs w:val="21"/>
                      <w14:textFill>
                        <w14:solidFill>
                          <w14:schemeClr w14:val="tx1"/>
                        </w14:solidFill>
                      </w14:textFill>
                    </w:rPr>
                  </w:pPr>
                </w:p>
              </w:tc>
              <w:tc>
                <w:tcPr>
                  <w:tcW w:w="226" w:type="pct"/>
                  <w:vMerge w:val="restart"/>
                  <w:vAlign w:val="center"/>
                </w:tcPr>
                <w:p>
                  <w:pPr>
                    <w:topLinePunc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臭气浓度</w:t>
                  </w:r>
                </w:p>
              </w:tc>
              <w:tc>
                <w:tcPr>
                  <w:tcW w:w="30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30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2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48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两级活性炭吸附装置</w:t>
                  </w:r>
                </w:p>
              </w:tc>
              <w:tc>
                <w:tcPr>
                  <w:tcW w:w="205" w:type="pct"/>
                  <w:vAlign w:val="center"/>
                </w:tcPr>
                <w:p>
                  <w:pPr>
                    <w:widowControl/>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w:t>
                  </w:r>
                </w:p>
              </w:tc>
              <w:tc>
                <w:tcPr>
                  <w:tcW w:w="281"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4500</w:t>
                  </w:r>
                </w:p>
              </w:tc>
              <w:tc>
                <w:tcPr>
                  <w:tcW w:w="278"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25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51</w:t>
                  </w:r>
                </w:p>
              </w:tc>
              <w:tc>
                <w:tcPr>
                  <w:tcW w:w="30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tc>
              <w:tc>
                <w:tcPr>
                  <w:tcW w:w="27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31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257" w:type="pct"/>
                  <w:vAlign w:val="center"/>
                </w:tcPr>
                <w:p>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少量</w:t>
                  </w:r>
                </w:p>
              </w:tc>
              <w:tc>
                <w:tcPr>
                  <w:tcW w:w="43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2000（无量纲）</w:t>
                  </w:r>
                </w:p>
              </w:tc>
              <w:tc>
                <w:tcPr>
                  <w:tcW w:w="3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2.55</w:t>
                  </w:r>
                </w:p>
              </w:tc>
              <w:tc>
                <w:tcPr>
                  <w:tcW w:w="26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vAlign w:val="center"/>
                </w:tcPr>
                <w:p>
                  <w:pPr>
                    <w:topLinePunct/>
                    <w:jc w:val="center"/>
                    <w:rPr>
                      <w:color w:val="000000" w:themeColor="text1"/>
                      <w:kern w:val="0"/>
                      <w:szCs w:val="21"/>
                      <w14:textFill>
                        <w14:solidFill>
                          <w14:schemeClr w14:val="tx1"/>
                        </w14:solidFill>
                      </w14:textFill>
                    </w:rPr>
                  </w:pPr>
                </w:p>
              </w:tc>
              <w:tc>
                <w:tcPr>
                  <w:tcW w:w="226" w:type="pct"/>
                  <w:vMerge w:val="continue"/>
                  <w:vAlign w:val="center"/>
                </w:tcPr>
                <w:p>
                  <w:pPr>
                    <w:topLinePunct/>
                    <w:jc w:val="center"/>
                    <w:rPr>
                      <w:color w:val="000000" w:themeColor="text1"/>
                      <w:szCs w:val="21"/>
                      <w14:textFill>
                        <w14:solidFill>
                          <w14:schemeClr w14:val="tx1"/>
                        </w14:solidFill>
                      </w14:textFill>
                    </w:rPr>
                  </w:pPr>
                </w:p>
              </w:tc>
              <w:tc>
                <w:tcPr>
                  <w:tcW w:w="307"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232"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48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加强车间管理</w:t>
                  </w:r>
                </w:p>
              </w:tc>
              <w:tc>
                <w:tcPr>
                  <w:tcW w:w="205"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81"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78"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5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302"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74" w:type="pct"/>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31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25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少量</w:t>
                  </w:r>
                </w:p>
              </w:tc>
              <w:tc>
                <w:tcPr>
                  <w:tcW w:w="43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20（无量纲）</w:t>
                  </w:r>
                </w:p>
              </w:tc>
              <w:tc>
                <w:tcPr>
                  <w:tcW w:w="30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6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bl>
          <w:p>
            <w:pPr>
              <w:pStyle w:val="44"/>
              <w:ind w:firstLine="480"/>
              <w:rPr>
                <w:color w:val="000000" w:themeColor="text1"/>
                <w14:textFill>
                  <w14:solidFill>
                    <w14:schemeClr w14:val="tx1"/>
                  </w14:solidFill>
                </w14:textFill>
              </w:rPr>
            </w:pPr>
          </w:p>
          <w:p>
            <w:pPr>
              <w:spacing w:line="360" w:lineRule="auto"/>
              <w:ind w:firstLine="420" w:firstLineChars="200"/>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sectPr>
          <w:headerReference r:id="rId7" w:type="default"/>
          <w:pgSz w:w="23757" w:h="16783" w:orient="landscape"/>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1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3" w:hRule="atLeast"/>
          <w:jc w:val="center"/>
        </w:trPr>
        <w:tc>
          <w:tcPr>
            <w:tcW w:w="219" w:type="pct"/>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781" w:type="pct"/>
          </w:tcPr>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w:t>
            </w:r>
            <w:r>
              <w:rPr>
                <w:color w:val="000000" w:themeColor="text1"/>
                <w14:textFill>
                  <w14:solidFill>
                    <w14:schemeClr w14:val="tx1"/>
                  </w14:solidFill>
                </w14:textFill>
              </w:rPr>
              <w:t>4-2</w:t>
            </w:r>
            <w:r>
              <w:rPr>
                <w:color w:val="000000" w:themeColor="text1"/>
                <w:szCs w:val="21"/>
                <w14:textFill>
                  <w14:solidFill>
                    <w14:schemeClr w14:val="tx1"/>
                  </w14:solidFill>
                </w14:textFill>
              </w:rPr>
              <w:t xml:space="preserve">  项目排气筒设置一览表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1"/>
              <w:gridCol w:w="1289"/>
              <w:gridCol w:w="1425"/>
              <w:gridCol w:w="1665"/>
              <w:gridCol w:w="1481"/>
              <w:gridCol w:w="1270"/>
              <w:gridCol w:w="1507"/>
              <w:gridCol w:w="1502"/>
              <w:gridCol w:w="157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1" w:type="pct"/>
                  <w:vMerge w:val="restar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排放口名称</w:t>
                  </w:r>
                </w:p>
              </w:tc>
              <w:tc>
                <w:tcPr>
                  <w:tcW w:w="484" w:type="pct"/>
                  <w:vMerge w:val="restar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排气筒编号</w:t>
                  </w:r>
                </w:p>
              </w:tc>
              <w:tc>
                <w:tcPr>
                  <w:tcW w:w="1160" w:type="pct"/>
                  <w:gridSpan w:val="2"/>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坐标</w:t>
                  </w:r>
                </w:p>
              </w:tc>
              <w:tc>
                <w:tcPr>
                  <w:tcW w:w="556" w:type="pct"/>
                  <w:vMerge w:val="restart"/>
                  <w:vAlign w:val="center"/>
                </w:tcPr>
                <w:p>
                  <w:pPr>
                    <w:widowControl/>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排气筒高度（m）</w:t>
                  </w:r>
                </w:p>
              </w:tc>
              <w:tc>
                <w:tcPr>
                  <w:tcW w:w="477" w:type="pct"/>
                  <w:vMerge w:val="restart"/>
                  <w:vAlign w:val="center"/>
                </w:tcPr>
                <w:p>
                  <w:pPr>
                    <w:widowControl/>
                    <w:ind w:right="-86" w:rightChars="-41"/>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风量（m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/h）</w:t>
                  </w:r>
                </w:p>
              </w:tc>
              <w:tc>
                <w:tcPr>
                  <w:tcW w:w="566" w:type="pct"/>
                  <w:vMerge w:val="restart"/>
                  <w:vAlign w:val="center"/>
                </w:tcPr>
                <w:p>
                  <w:pPr>
                    <w:widowControl/>
                    <w:ind w:right="-86" w:rightChars="-41"/>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出口内径（mm）</w:t>
                  </w:r>
                </w:p>
              </w:tc>
              <w:tc>
                <w:tcPr>
                  <w:tcW w:w="564" w:type="pct"/>
                  <w:vMerge w:val="restart"/>
                  <w:vAlign w:val="center"/>
                </w:tcPr>
                <w:p>
                  <w:pPr>
                    <w:widowControl/>
                    <w:ind w:right="-86" w:rightChars="-41"/>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烟气流速（m/s）</w:t>
                  </w:r>
                </w:p>
              </w:tc>
              <w:tc>
                <w:tcPr>
                  <w:tcW w:w="592" w:type="pct"/>
                  <w:vMerge w:val="restart"/>
                  <w:vAlign w:val="center"/>
                </w:tcPr>
                <w:p>
                  <w:pPr>
                    <w:widowControl/>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排气温度（</w:t>
                  </w:r>
                  <w:r>
                    <w:rPr>
                      <w:rFonts w:hint="eastAsia" w:ascii="宋体" w:hAnsi="宋体" w:cs="宋体"/>
                      <w:bCs/>
                      <w:color w:val="000000" w:themeColor="text1"/>
                      <w:szCs w:val="21"/>
                      <w14:textFill>
                        <w14:solidFill>
                          <w14:schemeClr w14:val="tx1"/>
                        </w14:solidFill>
                      </w14:textFill>
                    </w:rPr>
                    <w:t>℃</w:t>
                  </w:r>
                  <w:r>
                    <w:rPr>
                      <w:bCs/>
                      <w:color w:val="000000" w:themeColor="text1"/>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1"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484"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535"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X</w:t>
                  </w:r>
                </w:p>
              </w:tc>
              <w:tc>
                <w:tcPr>
                  <w:tcW w:w="625"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Y</w:t>
                  </w:r>
                </w:p>
              </w:tc>
              <w:tc>
                <w:tcPr>
                  <w:tcW w:w="556"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477"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566"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564" w:type="pct"/>
                  <w:vMerge w:val="continue"/>
                  <w:vAlign w:val="center"/>
                </w:tcPr>
                <w:p>
                  <w:pPr>
                    <w:pStyle w:val="47"/>
                    <w:spacing w:line="240" w:lineRule="auto"/>
                    <w:rPr>
                      <w:b w:val="0"/>
                      <w:color w:val="000000" w:themeColor="text1"/>
                      <w:szCs w:val="21"/>
                      <w14:textFill>
                        <w14:solidFill>
                          <w14:schemeClr w14:val="tx1"/>
                        </w14:solidFill>
                      </w14:textFill>
                    </w:rPr>
                  </w:pPr>
                </w:p>
              </w:tc>
              <w:tc>
                <w:tcPr>
                  <w:tcW w:w="592" w:type="pct"/>
                  <w:vMerge w:val="continue"/>
                  <w:vAlign w:val="center"/>
                </w:tcPr>
                <w:p>
                  <w:pPr>
                    <w:pStyle w:val="47"/>
                    <w:spacing w:line="240" w:lineRule="auto"/>
                    <w:rPr>
                      <w:b w:val="0"/>
                      <w:color w:val="000000" w:themeColor="text1"/>
                      <w:szCs w:val="2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01"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有机废气排放口</w:t>
                  </w:r>
                </w:p>
              </w:tc>
              <w:tc>
                <w:tcPr>
                  <w:tcW w:w="484"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1#</w:t>
                  </w:r>
                </w:p>
              </w:tc>
              <w:tc>
                <w:tcPr>
                  <w:tcW w:w="535"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23.154977°</w:t>
                  </w:r>
                </w:p>
              </w:tc>
              <w:tc>
                <w:tcPr>
                  <w:tcW w:w="625"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113.885771°</w:t>
                  </w:r>
                </w:p>
              </w:tc>
              <w:tc>
                <w:tcPr>
                  <w:tcW w:w="556"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15</w:t>
                  </w:r>
                </w:p>
              </w:tc>
              <w:tc>
                <w:tcPr>
                  <w:tcW w:w="477"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4500</w:t>
                  </w:r>
                </w:p>
              </w:tc>
              <w:tc>
                <w:tcPr>
                  <w:tcW w:w="566"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300</w:t>
                  </w:r>
                </w:p>
              </w:tc>
              <w:tc>
                <w:tcPr>
                  <w:tcW w:w="564"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17.69</w:t>
                  </w:r>
                </w:p>
              </w:tc>
              <w:tc>
                <w:tcPr>
                  <w:tcW w:w="592" w:type="pct"/>
                  <w:vAlign w:val="center"/>
                </w:tcPr>
                <w:p>
                  <w:pPr>
                    <w:pStyle w:val="47"/>
                    <w:spacing w:line="240" w:lineRule="auto"/>
                    <w:rPr>
                      <w:b w:val="0"/>
                      <w:color w:val="000000" w:themeColor="text1"/>
                      <w:szCs w:val="21"/>
                      <w14:textFill>
                        <w14:solidFill>
                          <w14:schemeClr w14:val="tx1"/>
                        </w14:solidFill>
                      </w14:textFill>
                    </w:rPr>
                  </w:pPr>
                  <w:r>
                    <w:rPr>
                      <w:b w:val="0"/>
                      <w:color w:val="000000" w:themeColor="text1"/>
                      <w:szCs w:val="21"/>
                      <w14:textFill>
                        <w14:solidFill>
                          <w14:schemeClr w14:val="tx1"/>
                        </w14:solidFill>
                      </w14:textFill>
                    </w:rPr>
                    <w:t>25</w:t>
                  </w:r>
                </w:p>
              </w:tc>
            </w:tr>
          </w:tbl>
          <w:p>
            <w:pPr>
              <w:numPr>
                <w:ilvl w:val="0"/>
                <w:numId w:val="21"/>
              </w:numPr>
              <w:spacing w:line="360" w:lineRule="auto"/>
              <w:ind w:firstLine="422" w:firstLineChars="200"/>
              <w:rPr>
                <w:b/>
                <w:bCs/>
                <w:color w:val="000000" w:themeColor="text1"/>
                <w:kern w:val="0"/>
                <w:szCs w:val="21"/>
                <w14:textFill>
                  <w14:solidFill>
                    <w14:schemeClr w14:val="tx1"/>
                  </w14:solidFill>
                </w14:textFill>
              </w:rPr>
            </w:pPr>
            <w:r>
              <w:rPr>
                <w:b/>
                <w:bCs/>
                <w:color w:val="000000" w:themeColor="text1"/>
                <w14:textFill>
                  <w14:solidFill>
                    <w14:schemeClr w14:val="tx1"/>
                  </w14:solidFill>
                </w14:textFill>
              </w:rPr>
              <w:t>监测计划情况</w:t>
            </w:r>
          </w:p>
          <w:p>
            <w:pPr>
              <w:spacing w:line="360" w:lineRule="auto"/>
              <w:ind w:firstLine="420" w:firstLineChars="200"/>
              <w:rPr>
                <w:color w:val="000000" w:themeColor="text1"/>
                <w:szCs w:val="21"/>
                <w14:textFill>
                  <w14:solidFill>
                    <w14:schemeClr w14:val="tx1"/>
                  </w14:solidFill>
                </w14:textFill>
              </w:rPr>
            </w:pPr>
            <w:bookmarkStart w:id="7" w:name="_Hlk106034263"/>
            <w:r>
              <w:rPr>
                <w:color w:val="000000" w:themeColor="text1"/>
                <w:szCs w:val="21"/>
                <w14:textFill>
                  <w14:solidFill>
                    <w14:schemeClr w14:val="tx1"/>
                  </w14:solidFill>
                </w14:textFill>
              </w:rPr>
              <w:t>根据《</w:t>
            </w:r>
            <w:r>
              <w:fldChar w:fldCharType="begin"/>
            </w:r>
            <w:r>
              <w:instrText xml:space="preserve"> HYPERLINK "https://www.mee.gov.cn/ywgz/fgbz/bz/bzwb/jcffbz/202112/W020211206547863741730.pdf" </w:instrText>
            </w:r>
            <w:r>
              <w:fldChar w:fldCharType="separate"/>
            </w:r>
            <w:r>
              <w:rPr>
                <w:color w:val="000000" w:themeColor="text1"/>
                <w:szCs w:val="21"/>
                <w14:textFill>
                  <w14:solidFill>
                    <w14:schemeClr w14:val="tx1"/>
                  </w14:solidFill>
                </w14:textFill>
              </w:rPr>
              <w:t>排污单位自行监测技术指南 橡胶和塑料制品》（HJ 1207-2021）</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，项目废气污染源监测计划见下表。</w:t>
            </w:r>
          </w:p>
          <w:p>
            <w:pPr>
              <w:pStyle w:val="47"/>
              <w:rPr>
                <w:color w:val="000000" w:themeColor="text1"/>
                <w14:textFill>
                  <w14:solidFill>
                    <w14:schemeClr w14:val="tx1"/>
                  </w14:solidFill>
                </w14:textFill>
              </w:rPr>
            </w:pPr>
            <w:r>
              <w:rPr>
                <w:color w:val="000000" w:themeColor="text1"/>
                <w14:textFill>
                  <w14:solidFill>
                    <w14:schemeClr w14:val="tx1"/>
                  </w14:solidFill>
                </w14:textFill>
              </w:rPr>
              <w:t>表4-3  项目废气污染源监测计划一览表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580"/>
              <w:gridCol w:w="629"/>
              <w:gridCol w:w="1513"/>
              <w:gridCol w:w="1297"/>
              <w:gridCol w:w="1151"/>
              <w:gridCol w:w="8147"/>
            </w:tblGrid>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454" w:type="pct"/>
                  <w:gridSpan w:val="2"/>
                  <w:tcBorders>
                    <w:tl2br w:val="nil"/>
                    <w:tr2bl w:val="nil"/>
                  </w:tcBorders>
                  <w:vAlign w:val="center"/>
                </w:tcPr>
                <w:p>
                  <w:pPr>
                    <w:widowControl/>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项目</w:t>
                  </w:r>
                </w:p>
              </w:tc>
              <w:tc>
                <w:tcPr>
                  <w:tcW w:w="568" w:type="pct"/>
                  <w:tcBorders>
                    <w:tl2br w:val="nil"/>
                    <w:tr2bl w:val="nil"/>
                  </w:tcBorders>
                  <w:vAlign w:val="center"/>
                </w:tcPr>
                <w:p>
                  <w:pPr>
                    <w:widowControl/>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监测点位</w:t>
                  </w:r>
                </w:p>
              </w:tc>
              <w:tc>
                <w:tcPr>
                  <w:tcW w:w="487" w:type="pct"/>
                  <w:tcBorders>
                    <w:tl2br w:val="nil"/>
                    <w:tr2bl w:val="nil"/>
                  </w:tcBorders>
                  <w:vAlign w:val="center"/>
                </w:tcPr>
                <w:p>
                  <w:pPr>
                    <w:widowControl/>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监测因子</w:t>
                  </w:r>
                </w:p>
              </w:tc>
              <w:tc>
                <w:tcPr>
                  <w:tcW w:w="432" w:type="pct"/>
                  <w:tcBorders>
                    <w:tl2br w:val="nil"/>
                    <w:tr2bl w:val="nil"/>
                  </w:tcBorders>
                  <w:vAlign w:val="center"/>
                </w:tcPr>
                <w:p>
                  <w:pPr>
                    <w:widowControl/>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监测频次</w:t>
                  </w:r>
                </w:p>
              </w:tc>
              <w:tc>
                <w:tcPr>
                  <w:tcW w:w="3059" w:type="pct"/>
                  <w:tcBorders>
                    <w:tl2br w:val="nil"/>
                    <w:tr2bl w:val="nil"/>
                  </w:tcBorders>
                  <w:vAlign w:val="center"/>
                </w:tcPr>
                <w:p>
                  <w:pPr>
                    <w:widowControl/>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执行标准</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18" w:type="pct"/>
                  <w:vMerge w:val="restar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废气</w:t>
                  </w:r>
                </w:p>
              </w:tc>
              <w:tc>
                <w:tcPr>
                  <w:tcW w:w="236" w:type="pct"/>
                  <w:vMerge w:val="restar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有组织废气</w:t>
                  </w:r>
                </w:p>
              </w:tc>
              <w:tc>
                <w:tcPr>
                  <w:tcW w:w="568" w:type="pct"/>
                  <w:vMerge w:val="restar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1#排气筒的排放口</w:t>
                  </w:r>
                </w:p>
              </w:tc>
              <w:tc>
                <w:tcPr>
                  <w:tcW w:w="487" w:type="pc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432" w:type="pc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半年/1次</w:t>
                  </w:r>
                </w:p>
              </w:tc>
              <w:tc>
                <w:tcPr>
                  <w:tcW w:w="3059" w:type="pct"/>
                  <w:tcBorders>
                    <w:tl2br w:val="nil"/>
                    <w:tr2bl w:val="nil"/>
                  </w:tcBorders>
                  <w:vAlign w:val="center"/>
                </w:tcPr>
                <w:p>
                  <w:pPr>
                    <w:widowControl/>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《合成树脂工业污染物排放标准》（GB31572-2015）表5大气污染物特别排放限值</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18"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236"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568"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487" w:type="pct"/>
                  <w:tcBorders>
                    <w:tl2br w:val="nil"/>
                    <w:tr2bl w:val="nil"/>
                  </w:tcBorders>
                  <w:vAlign w:val="center"/>
                </w:tcPr>
                <w:p>
                  <w:pPr>
                    <w:widowControl/>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臭气浓度</w:t>
                  </w:r>
                </w:p>
              </w:tc>
              <w:tc>
                <w:tcPr>
                  <w:tcW w:w="432" w:type="pct"/>
                  <w:tcBorders>
                    <w:tl2br w:val="nil"/>
                    <w:tr2bl w:val="nil"/>
                  </w:tcBorders>
                  <w:vAlign w:val="center"/>
                </w:tcPr>
                <w:p>
                  <w:pPr>
                    <w:widowControl/>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3059" w:type="pct"/>
                  <w:tcBorders>
                    <w:tl2br w:val="nil"/>
                    <w:tr2bl w:val="nil"/>
                  </w:tcBorders>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《恶臭污染物排放标准》（GB14554-93）表2排放标准值</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18"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236" w:type="pct"/>
                  <w:vMerge w:val="restar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无组织废气</w:t>
                  </w:r>
                </w:p>
              </w:tc>
              <w:tc>
                <w:tcPr>
                  <w:tcW w:w="568" w:type="pct"/>
                  <w:vMerge w:val="restar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厂界外上风向设参照点，下风向设监控点</w:t>
                  </w:r>
                </w:p>
              </w:tc>
              <w:tc>
                <w:tcPr>
                  <w:tcW w:w="487" w:type="pc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432" w:type="pc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1次/年</w:t>
                  </w:r>
                </w:p>
              </w:tc>
              <w:tc>
                <w:tcPr>
                  <w:tcW w:w="3059" w:type="pct"/>
                  <w:tcBorders>
                    <w:tl2br w:val="nil"/>
                    <w:tr2bl w:val="nil"/>
                  </w:tcBorders>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《合成树脂工业污染物排放标准》（GB31572-2015）表9企业边界大气污染物浓度限值</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18"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236"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568" w:type="pct"/>
                  <w:vMerge w:val="continue"/>
                  <w:tcBorders>
                    <w:tl2br w:val="nil"/>
                    <w:tr2bl w:val="nil"/>
                  </w:tcBorders>
                  <w:vAlign w:val="center"/>
                </w:tcPr>
                <w:p>
                  <w:pPr>
                    <w:widowControl/>
                    <w:jc w:val="center"/>
                    <w:rPr>
                      <w:bCs/>
                      <w:color w:val="000000" w:themeColor="text1"/>
                      <w:szCs w:val="21"/>
                      <w14:textFill>
                        <w14:solidFill>
                          <w14:schemeClr w14:val="tx1"/>
                        </w14:solidFill>
                      </w14:textFill>
                    </w:rPr>
                  </w:pPr>
                </w:p>
              </w:tc>
              <w:tc>
                <w:tcPr>
                  <w:tcW w:w="487" w:type="pct"/>
                  <w:tcBorders>
                    <w:tl2br w:val="nil"/>
                    <w:tr2bl w:val="nil"/>
                  </w:tcBorders>
                  <w:vAlign w:val="center"/>
                </w:tcPr>
                <w:p>
                  <w:pPr>
                    <w:widowControl/>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臭气浓度</w:t>
                  </w:r>
                </w:p>
              </w:tc>
              <w:tc>
                <w:tcPr>
                  <w:tcW w:w="432" w:type="pct"/>
                  <w:tcBorders>
                    <w:tl2br w:val="nil"/>
                    <w:tr2bl w:val="nil"/>
                  </w:tcBorders>
                  <w:vAlign w:val="center"/>
                </w:tcPr>
                <w:p>
                  <w:pPr>
                    <w:widowControl/>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1次/年</w:t>
                  </w:r>
                </w:p>
              </w:tc>
              <w:tc>
                <w:tcPr>
                  <w:tcW w:w="3059" w:type="pct"/>
                  <w:tcBorders>
                    <w:tl2br w:val="nil"/>
                    <w:tr2bl w:val="nil"/>
                  </w:tcBorders>
                  <w:vAlign w:val="center"/>
                </w:tcPr>
                <w:p>
                  <w:pPr>
                    <w:widowControl/>
                    <w:jc w:val="center"/>
                    <w:rPr>
                      <w:color w:val="000000" w:themeColor="text1"/>
                      <w14:textFill>
                        <w14:solidFill>
                          <w14:schemeClr w14:val="tx1"/>
                        </w14:solidFill>
                      </w14:textFill>
                    </w:rPr>
                  </w:pPr>
                  <w:r>
                    <w:rPr>
                      <w:color w:val="000000" w:themeColor="text1"/>
                      <w:szCs w:val="21"/>
                      <w14:textFill>
                        <w14:solidFill>
                          <w14:schemeClr w14:val="tx1"/>
                        </w14:solidFill>
                      </w14:textFill>
                    </w:rPr>
                    <w:t>《恶臭污染物排放标准》（GB14554-93）厂界新扩改建二级标准</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18" w:type="pct"/>
                  <w:vMerge w:val="continue"/>
                  <w:vAlign w:val="center"/>
                </w:tcPr>
                <w:p>
                  <w:pPr>
                    <w:widowControl/>
                    <w:jc w:val="center"/>
                    <w:rPr>
                      <w:bCs/>
                      <w:color w:val="000000" w:themeColor="text1"/>
                      <w:szCs w:val="21"/>
                      <w14:textFill>
                        <w14:solidFill>
                          <w14:schemeClr w14:val="tx1"/>
                        </w14:solidFill>
                      </w14:textFill>
                    </w:rPr>
                  </w:pPr>
                </w:p>
              </w:tc>
              <w:tc>
                <w:tcPr>
                  <w:tcW w:w="236" w:type="pct"/>
                  <w:vMerge w:val="continue"/>
                  <w:vAlign w:val="center"/>
                </w:tcPr>
                <w:p>
                  <w:pPr>
                    <w:widowControl/>
                    <w:jc w:val="center"/>
                    <w:rPr>
                      <w:bCs/>
                      <w:color w:val="000000" w:themeColor="text1"/>
                      <w:szCs w:val="21"/>
                      <w14:textFill>
                        <w14:solidFill>
                          <w14:schemeClr w14:val="tx1"/>
                        </w14:solidFill>
                      </w14:textFill>
                    </w:rPr>
                  </w:pPr>
                </w:p>
              </w:tc>
              <w:tc>
                <w:tcPr>
                  <w:tcW w:w="568" w:type="pct"/>
                  <w:vAlign w:val="center"/>
                </w:tcPr>
                <w:p>
                  <w:pPr>
                    <w:widowControl/>
                    <w:jc w:val="center"/>
                    <w:rPr>
                      <w:bCs/>
                      <w:color w:val="000000" w:themeColor="text1"/>
                      <w:szCs w:val="21"/>
                      <w14:textFill>
                        <w14:solidFill>
                          <w14:schemeClr w14:val="tx1"/>
                        </w14:solidFill>
                      </w14:textFill>
                    </w:rPr>
                  </w:pPr>
                  <w:r>
                    <w:rPr>
                      <w:bCs/>
                      <w:color w:val="000000" w:themeColor="text1"/>
                      <w:spacing w:val="10"/>
                      <w:szCs w:val="21"/>
                      <w14:textFill>
                        <w14:solidFill>
                          <w14:schemeClr w14:val="tx1"/>
                        </w14:solidFill>
                      </w14:textFill>
                    </w:rPr>
                    <w:t>在厂房外设置监控点</w:t>
                  </w:r>
                </w:p>
              </w:tc>
              <w:tc>
                <w:tcPr>
                  <w:tcW w:w="487" w:type="pct"/>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NMHC</w:t>
                  </w:r>
                </w:p>
              </w:tc>
              <w:tc>
                <w:tcPr>
                  <w:tcW w:w="432" w:type="pct"/>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1次/年</w:t>
                  </w:r>
                </w:p>
              </w:tc>
              <w:tc>
                <w:tcPr>
                  <w:tcW w:w="3059" w:type="pct"/>
                  <w:vAlign w:val="center"/>
                </w:tcPr>
                <w:p>
                  <w:pPr>
                    <w:widowControl/>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广东省地方标准《固定污染源挥发性有机物综合排放标准》（DB44/2367-2022）</w:t>
                  </w:r>
                </w:p>
              </w:tc>
            </w:tr>
            <w:bookmarkEnd w:id="7"/>
          </w:tbl>
          <w:p>
            <w:pPr>
              <w:numPr>
                <w:ilvl w:val="0"/>
                <w:numId w:val="21"/>
              </w:numPr>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非正常工况排放情况</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非正常排放是指生产过程中设备检修、工艺设备运转异常等非正常工况下的污染物排放，以及污染物排放控制措施达不到应有效率等情况下的排放。</w:t>
            </w:r>
            <w:r>
              <w:rPr>
                <w:color w:val="000000" w:themeColor="text1"/>
                <w:kern w:val="0"/>
                <w:szCs w:val="21"/>
                <w14:textFill>
                  <w14:solidFill>
                    <w14:schemeClr w14:val="tx1"/>
                  </w14:solidFill>
                </w14:textFill>
              </w:rPr>
              <w:t>项目非正常情况主要为废气处理设施发生故障，废气治理效率下降，废气处理效率以0%计，但废气收集系统可以正常运行，废气通过排气筒排放。废气处理设施出现故障不能正常运行时，应立即停产并进行维修，避免对周围环境造成污染</w:t>
            </w:r>
            <w:r>
              <w:rPr>
                <w:color w:val="000000" w:themeColor="text1"/>
                <w:szCs w:val="21"/>
                <w14:textFill>
                  <w14:solidFill>
                    <w14:schemeClr w14:val="tx1"/>
                  </w14:solidFill>
                </w14:textFill>
              </w:rPr>
              <w:t>。废气非正常工况源强情况见下表。</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项目污染源非正常工况排放情况见下表。</w:t>
            </w:r>
          </w:p>
          <w:p>
            <w:pPr>
              <w:pStyle w:val="47"/>
              <w:rPr>
                <w:color w:val="000000" w:themeColor="text1"/>
                <w14:textFill>
                  <w14:solidFill>
                    <w14:schemeClr w14:val="tx1"/>
                  </w14:solidFill>
                </w14:textFill>
              </w:rPr>
            </w:pPr>
            <w:r>
              <w:rPr>
                <w:color w:val="000000" w:themeColor="text1"/>
                <w14:textFill>
                  <w14:solidFill>
                    <w14:schemeClr w14:val="tx1"/>
                  </w14:solidFill>
                </w14:textFill>
              </w:rPr>
              <w:t>表4-4  项目污染源非正常工况排放情况一览表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594"/>
              <w:gridCol w:w="797"/>
              <w:gridCol w:w="1444"/>
              <w:gridCol w:w="1332"/>
              <w:gridCol w:w="1148"/>
              <w:gridCol w:w="1313"/>
              <w:gridCol w:w="1569"/>
              <w:gridCol w:w="1585"/>
              <w:gridCol w:w="1297"/>
              <w:gridCol w:w="2238"/>
            </w:tblGrid>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397" w:hRule="atLeast"/>
                <w:jc w:val="center"/>
              </w:trPr>
              <w:tc>
                <w:tcPr>
                  <w:tcW w:w="223" w:type="pct"/>
                  <w:tcBorders>
                    <w:tl2br w:val="nil"/>
                    <w:tr2bl w:val="nil"/>
                  </w:tcBorders>
                  <w:vAlign w:val="center"/>
                </w:tcPr>
                <w:p>
                  <w:pPr>
                    <w:jc w:val="center"/>
                    <w:rPr>
                      <w:b/>
                      <w:bCs/>
                      <w:color w:val="000000" w:themeColor="text1"/>
                      <w:szCs w:val="21"/>
                      <w14:textFill>
                        <w14:solidFill>
                          <w14:schemeClr w14:val="tx1"/>
                        </w14:solidFill>
                      </w14:textFill>
                    </w:rPr>
                  </w:pPr>
                  <w:bookmarkStart w:id="8" w:name="_Hlk105949834"/>
                  <w:r>
                    <w:rPr>
                      <w:b/>
                      <w:bCs/>
                      <w:color w:val="000000" w:themeColor="text1"/>
                      <w:szCs w:val="21"/>
                      <w14:textFill>
                        <w14:solidFill>
                          <w14:schemeClr w14:val="tx1"/>
                        </w14:solidFill>
                      </w14:textFill>
                    </w:rPr>
                    <w:t>序号</w:t>
                  </w:r>
                </w:p>
              </w:tc>
              <w:tc>
                <w:tcPr>
                  <w:tcW w:w="299"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542"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非正常排放原因</w:t>
                  </w:r>
                </w:p>
              </w:tc>
              <w:tc>
                <w:tcPr>
                  <w:tcW w:w="500"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污染因子</w:t>
                  </w:r>
                </w:p>
              </w:tc>
              <w:tc>
                <w:tcPr>
                  <w:tcW w:w="431"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年发生频次（次）</w:t>
                  </w:r>
                </w:p>
              </w:tc>
              <w:tc>
                <w:tcPr>
                  <w:tcW w:w="493"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单次持续时间（h）</w:t>
                  </w:r>
                </w:p>
              </w:tc>
              <w:tc>
                <w:tcPr>
                  <w:tcW w:w="589"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非正常排放浓度（mg/m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595"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非正常排放速率（kg/h）</w:t>
                  </w:r>
                </w:p>
              </w:tc>
              <w:tc>
                <w:tcPr>
                  <w:tcW w:w="487"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非正常排放量（kg/a）</w:t>
                  </w:r>
                </w:p>
              </w:tc>
              <w:tc>
                <w:tcPr>
                  <w:tcW w:w="840"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采取的措施</w:t>
                  </w:r>
                </w:p>
              </w:tc>
            </w:tr>
            <w:tr>
              <w:tblPrEx>
                <w:tblBorders>
                  <w:top w:val="single" w:color="auto" w:sz="18" w:space="0"/>
                  <w:left w:val="single" w:color="auto" w:sz="4" w:space="0"/>
                  <w:bottom w:val="single" w:color="auto" w:sz="18" w:space="0"/>
                  <w:right w:val="single" w:color="auto" w:sz="4" w:space="0"/>
                  <w:insideH w:val="single" w:color="000000" w:sz="4" w:space="0"/>
                  <w:insideV w:val="single" w:color="000000" w:sz="4" w:space="0"/>
                </w:tblBorders>
                <w:tblCellMar>
                  <w:top w:w="0" w:type="dxa"/>
                  <w:left w:w="108" w:type="dxa"/>
                  <w:bottom w:w="0" w:type="dxa"/>
                  <w:right w:w="108" w:type="dxa"/>
                </w:tblCellMar>
              </w:tblPrEx>
              <w:trPr>
                <w:cantSplit/>
                <w:trHeight w:val="508" w:hRule="atLeast"/>
                <w:jc w:val="center"/>
              </w:trPr>
              <w:tc>
                <w:tcPr>
                  <w:tcW w:w="223" w:type="pct"/>
                  <w:tcBorders>
                    <w:tl2br w:val="nil"/>
                    <w:tr2bl w:val="nil"/>
                  </w:tcBorders>
                  <w:vAlign w:val="center"/>
                </w:tcPr>
                <w:p>
                  <w:pPr>
                    <w:numPr>
                      <w:ilvl w:val="0"/>
                      <w:numId w:val="22"/>
                    </w:numPr>
                    <w:jc w:val="center"/>
                    <w:rPr>
                      <w:color w:val="000000" w:themeColor="text1"/>
                      <w:szCs w:val="21"/>
                      <w14:textFill>
                        <w14:solidFill>
                          <w14:schemeClr w14:val="tx1"/>
                        </w14:solidFill>
                      </w14:textFill>
                    </w:rPr>
                  </w:pPr>
                </w:p>
              </w:tc>
              <w:tc>
                <w:tcPr>
                  <w:tcW w:w="299"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542"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处理设施故障或失效</w:t>
                  </w:r>
                </w:p>
              </w:tc>
              <w:tc>
                <w:tcPr>
                  <w:tcW w:w="500" w:type="pct"/>
                  <w:tcBorders>
                    <w:tl2br w:val="nil"/>
                    <w:tr2bl w:val="nil"/>
                  </w:tcBorders>
                  <w:vAlign w:val="center"/>
                </w:tcPr>
                <w:p>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非甲烷总烃</w:t>
                  </w:r>
                </w:p>
              </w:tc>
              <w:tc>
                <w:tcPr>
                  <w:tcW w:w="43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493"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w:t>
                  </w:r>
                </w:p>
              </w:tc>
              <w:tc>
                <w:tcPr>
                  <w:tcW w:w="589" w:type="pct"/>
                  <w:tcBorders>
                    <w:tl2br w:val="nil"/>
                    <w:tr2bl w:val="nil"/>
                  </w:tcBorders>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0.644</w:t>
                  </w:r>
                </w:p>
              </w:tc>
              <w:tc>
                <w:tcPr>
                  <w:tcW w:w="595" w:type="pct"/>
                  <w:tcBorders>
                    <w:tl2br w:val="nil"/>
                    <w:tr2bl w:val="nil"/>
                  </w:tcBorders>
                  <w:vAlign w:val="center"/>
                </w:tcPr>
                <w:p>
                  <w:pPr>
                    <w:widowControl/>
                    <w:jc w:val="center"/>
                    <w:textAlignment w:val="center"/>
                    <w:rPr>
                      <w:bCs/>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0.0029</w:t>
                  </w:r>
                </w:p>
              </w:tc>
              <w:tc>
                <w:tcPr>
                  <w:tcW w:w="4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0.0029</w:t>
                  </w:r>
                </w:p>
              </w:tc>
              <w:tc>
                <w:tcPr>
                  <w:tcW w:w="84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生产工艺设备停止运行，并及时对废气处理设施进行抢修</w:t>
                  </w:r>
                </w:p>
              </w:tc>
            </w:tr>
            <w:bookmarkEnd w:id="8"/>
          </w:tbl>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r>
              <w:rPr>
                <w:rFonts w:hint="eastAsia" w:ascii="宋体" w:hAnsi="宋体" w:cs="宋体"/>
                <w:color w:val="000000" w:themeColor="text1"/>
                <w:szCs w:val="21"/>
                <w14:textFill>
                  <w14:solidFill>
                    <w14:schemeClr w14:val="tx1"/>
                  </w14:solidFill>
                </w14:textFill>
              </w:rPr>
              <w:t>①</w:t>
            </w:r>
            <w:r>
              <w:rPr>
                <w:color w:val="000000" w:themeColor="text1"/>
                <w:szCs w:val="21"/>
                <w14:textFill>
                  <w14:solidFill>
                    <w14:schemeClr w14:val="tx1"/>
                  </w14:solidFill>
                </w14:textFill>
              </w:rPr>
              <w:t>安排专人负责环保设备的日常维护和管理，每个固定时间检查、汇报情况，及时发现废气处理设备的隐患，确保废气处理系统正常运行；</w:t>
            </w:r>
            <w:r>
              <w:rPr>
                <w:rFonts w:hint="eastAsia" w:ascii="宋体" w:hAnsi="宋体" w:cs="宋体"/>
                <w:color w:val="000000" w:themeColor="text1"/>
                <w:szCs w:val="21"/>
                <w14:textFill>
                  <w14:solidFill>
                    <w14:schemeClr w14:val="tx1"/>
                  </w14:solidFill>
                </w14:textFill>
              </w:rPr>
              <w:t>②</w:t>
            </w:r>
            <w:r>
              <w:rPr>
                <w:color w:val="000000" w:themeColor="text1"/>
                <w:szCs w:val="21"/>
                <w14:textFill>
                  <w14:solidFill>
                    <w14:schemeClr w14:val="tx1"/>
                  </w14:solidFill>
                </w14:textFill>
              </w:rPr>
              <w:t>定期更换活性炭或对布袋除尘器进行清灰；</w:t>
            </w:r>
            <w:r>
              <w:rPr>
                <w:rFonts w:hint="eastAsia" w:ascii="宋体" w:hAnsi="宋体" w:cs="宋体"/>
                <w:color w:val="000000" w:themeColor="text1"/>
                <w:szCs w:val="21"/>
                <w14:textFill>
                  <w14:solidFill>
                    <w14:schemeClr w14:val="tx1"/>
                  </w14:solidFill>
                </w14:textFill>
              </w:rPr>
              <w:t>③</w:t>
            </w:r>
            <w:r>
              <w:rPr>
                <w:color w:val="000000" w:themeColor="text1"/>
                <w:szCs w:val="21"/>
                <w14:textFill>
                  <w14:solidFill>
                    <w14:schemeClr w14:val="tx1"/>
                  </w14:solidFill>
                </w14:textFill>
              </w:rPr>
              <w:t>建立健全的环保管理机构，对环保管理人员和技术人员进行岗位培训，委托具有专业资质的环境检测单位对项目排放的各类污染物进行定期检测；</w:t>
            </w:r>
            <w:r>
              <w:rPr>
                <w:rFonts w:hint="eastAsia" w:ascii="宋体" w:hAnsi="宋体" w:cs="宋体"/>
                <w:color w:val="000000" w:themeColor="text1"/>
                <w:szCs w:val="21"/>
                <w14:textFill>
                  <w14:solidFill>
                    <w14:schemeClr w14:val="tx1"/>
                  </w14:solidFill>
                </w14:textFill>
              </w:rPr>
              <w:t>④</w:t>
            </w:r>
            <w:r>
              <w:rPr>
                <w:color w:val="000000" w:themeColor="text1"/>
                <w:szCs w:val="21"/>
                <w14:textFill>
                  <w14:solidFill>
                    <w14:schemeClr w14:val="tx1"/>
                  </w14:solidFill>
                </w14:textFill>
              </w:rPr>
              <w:t>应定期维护、检修废气净化装置，以保持废气处理装置的净化能力和净化容量。</w:t>
            </w:r>
            <w:r>
              <w:rPr>
                <w:rFonts w:hint="eastAsia" w:ascii="宋体" w:hAnsi="宋体" w:cs="宋体"/>
                <w:color w:val="000000" w:themeColor="text1"/>
                <w:szCs w:val="21"/>
                <w14:textFill>
                  <w14:solidFill>
                    <w14:schemeClr w14:val="tx1"/>
                  </w14:solidFill>
                </w14:textFill>
              </w:rPr>
              <w:t>⑤</w:t>
            </w:r>
            <w:r>
              <w:rPr>
                <w:color w:val="000000" w:themeColor="text1"/>
                <w:szCs w:val="21"/>
                <w14:textFill>
                  <w14:solidFill>
                    <w14:schemeClr w14:val="tx1"/>
                  </w14:solidFill>
                </w14:textFill>
              </w:rPr>
              <w:t>生产加工前，净化设备开启，设备关机一段时间后再关闭净化设备。</w:t>
            </w:r>
          </w:p>
          <w:p>
            <w:pPr>
              <w:spacing w:line="360" w:lineRule="auto"/>
              <w:ind w:firstLine="420" w:firstLineChars="200"/>
              <w:jc w:val="left"/>
              <w:rPr>
                <w:color w:val="000000" w:themeColor="text1"/>
                <w:szCs w:val="21"/>
                <w14:textFill>
                  <w14:solidFill>
                    <w14:schemeClr w14:val="tx1"/>
                  </w14:solidFill>
                </w14:textFill>
              </w:rPr>
            </w:pPr>
          </w:p>
        </w:tc>
      </w:tr>
    </w:tbl>
    <w:p>
      <w:pPr>
        <w:spacing w:line="360" w:lineRule="auto"/>
        <w:rPr>
          <w:color w:val="000000" w:themeColor="text1"/>
          <w:sz w:val="24"/>
          <w14:textFill>
            <w14:solidFill>
              <w14:schemeClr w14:val="tx1"/>
            </w14:solidFill>
          </w14:textFill>
        </w:rPr>
        <w:sectPr>
          <w:pgSz w:w="16783" w:h="11850" w:orient="landscape"/>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1" w:hRule="atLeast"/>
          <w:jc w:val="center"/>
        </w:trPr>
        <w:tc>
          <w:tcPr>
            <w:tcW w:w="195" w:type="pct"/>
            <w:vAlign w:val="center"/>
          </w:tcPr>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运营</w:t>
            </w:r>
          </w:p>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期环</w:t>
            </w:r>
          </w:p>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境影</w:t>
            </w:r>
          </w:p>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响和</w:t>
            </w:r>
          </w:p>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措施</w:t>
            </w:r>
          </w:p>
        </w:tc>
        <w:tc>
          <w:tcPr>
            <w:tcW w:w="4805" w:type="pct"/>
          </w:tcPr>
          <w:p>
            <w:pPr>
              <w:numPr>
                <w:ilvl w:val="0"/>
                <w:numId w:val="20"/>
              </w:numPr>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废气源强核算过程</w:t>
            </w:r>
          </w:p>
          <w:p>
            <w:pPr>
              <w:numPr>
                <w:ilvl w:val="0"/>
                <w:numId w:val="23"/>
              </w:numPr>
              <w:adjustRightInd w:val="0"/>
              <w:snapToGrid w:val="0"/>
              <w:spacing w:line="360" w:lineRule="auto"/>
              <w:ind w:firstLine="422" w:firstLineChars="200"/>
              <w:rPr>
                <w:b/>
                <w:bCs/>
                <w:color w:val="000000" w:themeColor="text1"/>
                <w:szCs w:val="21"/>
                <w14:textFill>
                  <w14:solidFill>
                    <w14:schemeClr w14:val="tx1"/>
                  </w14:solidFill>
                </w14:textFill>
              </w:rPr>
            </w:pPr>
            <w:bookmarkStart w:id="9" w:name="_Hlk111931265"/>
            <w:r>
              <w:rPr>
                <w:b/>
                <w:bCs/>
                <w:color w:val="000000" w:themeColor="text1"/>
                <w:szCs w:val="21"/>
                <w14:textFill>
                  <w14:solidFill>
                    <w14:schemeClr w14:val="tx1"/>
                  </w14:solidFill>
                </w14:textFill>
              </w:rPr>
              <w:t>有机废气</w:t>
            </w:r>
          </w:p>
          <w:p>
            <w:pPr>
              <w:tabs>
                <w:tab w:val="left" w:pos="0"/>
              </w:tabs>
              <w:adjustRightInd w:val="0"/>
              <w:snapToGrid w:val="0"/>
              <w:spacing w:line="360" w:lineRule="auto"/>
              <w:ind w:left="422"/>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1）产排分析</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14:textFill>
                  <w14:solidFill>
                    <w14:schemeClr w14:val="tx1"/>
                  </w14:solidFill>
                </w14:textFill>
              </w:rPr>
              <w:t>项目注塑工序会产生非甲烷总烃，参照《浙江省重点行业VOCs 污染排放源排放量计算方法（1.1 版）》中推荐的产生系数，VOCs（以非甲烷总烃表征）的排放系数为0.539kg/t 原料</w:t>
            </w:r>
            <w:r>
              <w:rPr>
                <w:color w:val="000000" w:themeColor="text1"/>
                <w:szCs w:val="21"/>
                <w14:textFill>
                  <w14:solidFill>
                    <w14:schemeClr w14:val="tx1"/>
                  </w14:solidFill>
                </w14:textFill>
              </w:rPr>
              <w:t>，由于项目的生产的原辅材料为</w:t>
            </w:r>
            <w:r>
              <w:rPr>
                <w:color w:val="000000" w:themeColor="text1"/>
                <w14:textFill>
                  <w14:solidFill>
                    <w14:schemeClr w14:val="tx1"/>
                  </w14:solidFill>
                </w14:textFill>
              </w:rPr>
              <w:t>ABS塑料颗粒、PC塑料颗粒、尼龙和GPPS塑料颗粒，</w:t>
            </w:r>
            <w:r>
              <w:rPr>
                <w:color w:val="000000" w:themeColor="text1"/>
                <w:szCs w:val="21"/>
                <w14:textFill>
                  <w14:solidFill>
                    <w14:schemeClr w14:val="tx1"/>
                  </w14:solidFill>
                </w14:textFill>
              </w:rPr>
              <w:t>原料使用量合计为16t/a，经计算，非甲烷总烃的产生量为0.0086t/a。</w:t>
            </w: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2）风量设置</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建设单位在8台注塑机的模头上方设置边长0.4m的集气罩，并通过软质垂帘四周围挡。</w:t>
            </w:r>
          </w:p>
          <w:p>
            <w:pPr>
              <w:autoSpaceDE w:val="0"/>
              <w:autoSpaceDN w:val="0"/>
              <w:adjustRightInd w:val="0"/>
              <w:snapToGrid w:val="0"/>
              <w:spacing w:line="360" w:lineRule="auto"/>
              <w:ind w:firstLine="420" w:firstLineChars="200"/>
              <w:jc w:val="left"/>
              <w:rPr>
                <w:color w:val="FF0000"/>
              </w:rPr>
            </w:pPr>
            <w:r>
              <w:rPr>
                <w:color w:val="FF0000"/>
              </w:rPr>
              <w:t>参照《废气处理工程技术手册》推荐的适用于上部集气罩的风量计算公式:Q=1.4pH v</w:t>
            </w:r>
            <w:r>
              <w:rPr>
                <w:color w:val="FF0000"/>
                <w:vertAlign w:val="subscript"/>
              </w:rPr>
              <w:t>X</w:t>
            </w:r>
            <w:r>
              <w:rPr>
                <w:color w:val="FF0000"/>
              </w:rPr>
              <w:t>。</w:t>
            </w:r>
          </w:p>
          <w:p>
            <w:pPr>
              <w:adjustRightInd w:val="0"/>
              <w:snapToGrid w:val="0"/>
              <w:spacing w:line="360" w:lineRule="auto"/>
              <w:ind w:firstLine="420" w:firstLineChars="200"/>
              <w:rPr>
                <w:color w:val="FF0000"/>
              </w:rPr>
            </w:pPr>
            <w:r>
              <w:rPr>
                <w:color w:val="FF0000"/>
              </w:rPr>
              <w:t>式中 v</w:t>
            </w:r>
            <w:r>
              <w:rPr>
                <w:color w:val="FF0000"/>
                <w:vertAlign w:val="subscript"/>
              </w:rPr>
              <w:t>X</w:t>
            </w:r>
            <w:r>
              <w:rPr>
                <w:color w:val="FF0000"/>
              </w:rPr>
              <w:t>为控制风速， p为罩口周长，H为污染源距罩口的距离（m）。</w:t>
            </w:r>
          </w:p>
          <w:p>
            <w:pPr>
              <w:spacing w:line="520" w:lineRule="exact"/>
              <w:jc w:val="center"/>
              <w:rPr>
                <w:b/>
                <w:color w:val="FF0000"/>
              </w:rPr>
            </w:pPr>
            <w:r>
              <w:rPr>
                <w:b/>
                <w:bCs/>
                <w:color w:val="FF0000"/>
              </w:rPr>
              <w:t>表</w:t>
            </w:r>
            <w:r>
              <w:rPr>
                <w:color w:val="FF0000"/>
              </w:rPr>
              <w:t>4-5</w:t>
            </w:r>
            <w:r>
              <w:rPr>
                <w:b/>
                <w:color w:val="FF0000"/>
              </w:rPr>
              <w:t xml:space="preserve"> 项目吸塑工序包装型集气罩风量核算一览表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0"/>
              <w:gridCol w:w="1475"/>
              <w:gridCol w:w="953"/>
              <w:gridCol w:w="1174"/>
              <w:gridCol w:w="1174"/>
              <w:gridCol w:w="1210"/>
              <w:gridCol w:w="1288"/>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788" w:type="pct"/>
                  <w:vAlign w:val="center"/>
                </w:tcPr>
                <w:p>
                  <w:pPr>
                    <w:jc w:val="center"/>
                    <w:rPr>
                      <w:b/>
                      <w:bCs/>
                      <w:color w:val="FF0000"/>
                    </w:rPr>
                  </w:pPr>
                  <w:r>
                    <w:rPr>
                      <w:b/>
                      <w:bCs/>
                      <w:color w:val="FF0000"/>
                    </w:rPr>
                    <w:t>区域</w:t>
                  </w:r>
                </w:p>
              </w:tc>
              <w:tc>
                <w:tcPr>
                  <w:tcW w:w="855" w:type="pct"/>
                  <w:vAlign w:val="center"/>
                </w:tcPr>
                <w:p>
                  <w:pPr>
                    <w:jc w:val="center"/>
                    <w:rPr>
                      <w:b/>
                      <w:bCs/>
                      <w:color w:val="FF0000"/>
                    </w:rPr>
                  </w:pPr>
                  <w:r>
                    <w:rPr>
                      <w:b/>
                      <w:bCs/>
                      <w:color w:val="FF0000"/>
                    </w:rPr>
                    <w:t>罩口周长（m）</w:t>
                  </w:r>
                </w:p>
              </w:tc>
              <w:tc>
                <w:tcPr>
                  <w:tcW w:w="550" w:type="pct"/>
                  <w:vAlign w:val="center"/>
                </w:tcPr>
                <w:p>
                  <w:pPr>
                    <w:jc w:val="center"/>
                    <w:rPr>
                      <w:b/>
                      <w:bCs/>
                      <w:color w:val="FF0000"/>
                    </w:rPr>
                  </w:pPr>
                  <w:r>
                    <w:rPr>
                      <w:b/>
                      <w:bCs/>
                      <w:color w:val="FF0000"/>
                    </w:rPr>
                    <w:t>控制风速（m/s）</w:t>
                  </w:r>
                </w:p>
              </w:tc>
              <w:tc>
                <w:tcPr>
                  <w:tcW w:w="680" w:type="pct"/>
                  <w:vAlign w:val="center"/>
                </w:tcPr>
                <w:p>
                  <w:pPr>
                    <w:jc w:val="center"/>
                    <w:rPr>
                      <w:b/>
                      <w:bCs/>
                      <w:color w:val="FF0000"/>
                    </w:rPr>
                  </w:pPr>
                  <w:r>
                    <w:rPr>
                      <w:b/>
                      <w:bCs/>
                      <w:color w:val="FF0000"/>
                    </w:rPr>
                    <w:t>污染源距罩口的距离（m）</w:t>
                  </w:r>
                </w:p>
              </w:tc>
              <w:tc>
                <w:tcPr>
                  <w:tcW w:w="680" w:type="pct"/>
                  <w:vAlign w:val="center"/>
                </w:tcPr>
                <w:p>
                  <w:pPr>
                    <w:jc w:val="center"/>
                    <w:rPr>
                      <w:b/>
                      <w:bCs/>
                      <w:color w:val="FF0000"/>
                    </w:rPr>
                  </w:pPr>
                  <w:r>
                    <w:rPr>
                      <w:b/>
                      <w:bCs/>
                      <w:color w:val="FF0000"/>
                    </w:rPr>
                    <w:t>单个集气设施风量（m</w:t>
                  </w:r>
                  <w:r>
                    <w:rPr>
                      <w:b/>
                      <w:bCs/>
                      <w:color w:val="FF0000"/>
                      <w:vertAlign w:val="superscript"/>
                    </w:rPr>
                    <w:t>3</w:t>
                  </w:r>
                  <w:r>
                    <w:rPr>
                      <w:b/>
                      <w:bCs/>
                      <w:color w:val="FF0000"/>
                    </w:rPr>
                    <w:t>/h）</w:t>
                  </w:r>
                </w:p>
              </w:tc>
              <w:tc>
                <w:tcPr>
                  <w:tcW w:w="701" w:type="pct"/>
                  <w:vAlign w:val="center"/>
                </w:tcPr>
                <w:p>
                  <w:pPr>
                    <w:jc w:val="center"/>
                    <w:rPr>
                      <w:b/>
                      <w:bCs/>
                      <w:color w:val="FF0000"/>
                    </w:rPr>
                  </w:pPr>
                  <w:r>
                    <w:rPr>
                      <w:b/>
                      <w:bCs/>
                      <w:color w:val="FF0000"/>
                    </w:rPr>
                    <w:t>集气罩数量（个）</w:t>
                  </w:r>
                </w:p>
              </w:tc>
              <w:tc>
                <w:tcPr>
                  <w:tcW w:w="746" w:type="pct"/>
                  <w:vAlign w:val="center"/>
                </w:tcPr>
                <w:p>
                  <w:pPr>
                    <w:jc w:val="center"/>
                    <w:rPr>
                      <w:b/>
                      <w:bCs/>
                      <w:color w:val="FF0000"/>
                    </w:rPr>
                  </w:pPr>
                  <w:r>
                    <w:rPr>
                      <w:b/>
                      <w:bCs/>
                      <w:color w:val="FF0000"/>
                    </w:rPr>
                    <w:t>风量（m</w:t>
                  </w:r>
                  <w:r>
                    <w:rPr>
                      <w:b/>
                      <w:bCs/>
                      <w:color w:val="FF0000"/>
                      <w:vertAlign w:val="superscript"/>
                    </w:rPr>
                    <w:t>3</w:t>
                  </w:r>
                  <w:r>
                    <w:rPr>
                      <w:b/>
                      <w:bCs/>
                      <w:color w:val="FF0000"/>
                    </w:rPr>
                    <w:t>/h）</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88" w:type="pct"/>
                  <w:vAlign w:val="center"/>
                </w:tcPr>
                <w:p>
                  <w:pPr>
                    <w:jc w:val="center"/>
                    <w:rPr>
                      <w:color w:val="FF0000"/>
                    </w:rPr>
                  </w:pPr>
                  <w:r>
                    <w:rPr>
                      <w:bCs/>
                      <w:color w:val="FF0000"/>
                    </w:rPr>
                    <w:t>注塑机</w:t>
                  </w:r>
                </w:p>
              </w:tc>
              <w:tc>
                <w:tcPr>
                  <w:tcW w:w="855" w:type="pct"/>
                  <w:vAlign w:val="center"/>
                </w:tcPr>
                <w:p>
                  <w:pPr>
                    <w:jc w:val="center"/>
                    <w:rPr>
                      <w:color w:val="FF0000"/>
                    </w:rPr>
                  </w:pPr>
                  <w:r>
                    <w:rPr>
                      <w:color w:val="FF0000"/>
                    </w:rPr>
                    <w:t>1.2</w:t>
                  </w:r>
                </w:p>
              </w:tc>
              <w:tc>
                <w:tcPr>
                  <w:tcW w:w="550" w:type="pct"/>
                  <w:vAlign w:val="center"/>
                </w:tcPr>
                <w:p>
                  <w:pPr>
                    <w:jc w:val="center"/>
                    <w:rPr>
                      <w:bCs/>
                      <w:color w:val="FF0000"/>
                    </w:rPr>
                  </w:pPr>
                  <w:r>
                    <w:rPr>
                      <w:bCs/>
                      <w:color w:val="FF0000"/>
                    </w:rPr>
                    <w:t>0.5</w:t>
                  </w:r>
                </w:p>
              </w:tc>
              <w:tc>
                <w:tcPr>
                  <w:tcW w:w="680" w:type="pct"/>
                  <w:vAlign w:val="center"/>
                </w:tcPr>
                <w:p>
                  <w:pPr>
                    <w:jc w:val="center"/>
                    <w:rPr>
                      <w:bCs/>
                      <w:color w:val="FF0000"/>
                    </w:rPr>
                  </w:pPr>
                  <w:r>
                    <w:rPr>
                      <w:bCs/>
                      <w:color w:val="FF0000"/>
                    </w:rPr>
                    <w:t>0.2</w:t>
                  </w:r>
                </w:p>
              </w:tc>
              <w:tc>
                <w:tcPr>
                  <w:tcW w:w="680" w:type="pct"/>
                  <w:vAlign w:val="center"/>
                </w:tcPr>
                <w:p>
                  <w:pPr>
                    <w:jc w:val="center"/>
                    <w:rPr>
                      <w:bCs/>
                      <w:color w:val="FF0000"/>
                    </w:rPr>
                  </w:pPr>
                  <w:r>
                    <w:rPr>
                      <w:bCs/>
                      <w:color w:val="FF0000"/>
                    </w:rPr>
                    <w:t>604.8</w:t>
                  </w:r>
                </w:p>
              </w:tc>
              <w:tc>
                <w:tcPr>
                  <w:tcW w:w="701" w:type="pct"/>
                  <w:vAlign w:val="center"/>
                </w:tcPr>
                <w:p>
                  <w:pPr>
                    <w:jc w:val="center"/>
                    <w:rPr>
                      <w:bCs/>
                      <w:color w:val="FF0000"/>
                    </w:rPr>
                  </w:pPr>
                  <w:r>
                    <w:rPr>
                      <w:bCs/>
                      <w:color w:val="FF0000"/>
                    </w:rPr>
                    <w:t>8</w:t>
                  </w:r>
                </w:p>
              </w:tc>
              <w:tc>
                <w:tcPr>
                  <w:tcW w:w="746" w:type="pct"/>
                  <w:vAlign w:val="center"/>
                </w:tcPr>
                <w:p>
                  <w:pPr>
                    <w:jc w:val="center"/>
                    <w:rPr>
                      <w:bCs/>
                      <w:color w:val="FF0000"/>
                    </w:rPr>
                  </w:pPr>
                  <w:r>
                    <w:rPr>
                      <w:bCs/>
                      <w:color w:val="FF0000"/>
                    </w:rPr>
                    <w:t>4038.4</w:t>
                  </w:r>
                </w:p>
              </w:tc>
            </w:tr>
          </w:tbl>
          <w:p>
            <w:pPr>
              <w:adjustRightInd w:val="0"/>
              <w:snapToGrid w:val="0"/>
              <w:spacing w:line="360" w:lineRule="auto"/>
              <w:ind w:firstLine="420" w:firstLineChars="200"/>
              <w:rPr>
                <w:color w:val="FF0000"/>
              </w:rPr>
            </w:pPr>
            <w:r>
              <w:rPr>
                <w:color w:val="FF0000"/>
              </w:rPr>
              <w:t>经验公式计算得出，本项目风量为4038.4m</w:t>
            </w:r>
            <w:r>
              <w:rPr>
                <w:color w:val="FF0000"/>
                <w:vertAlign w:val="superscript"/>
              </w:rPr>
              <w:t>3</w:t>
            </w:r>
            <w:r>
              <w:rPr>
                <w:color w:val="FF0000"/>
              </w:rPr>
              <w:t>/h。根据王纯、张殿印主编《废气处理工程技术手册》，风机选型计算风量=K</w:t>
            </w:r>
            <w:r>
              <w:rPr>
                <w:color w:val="FF0000"/>
                <w:vertAlign w:val="subscript"/>
              </w:rPr>
              <w:t>1</w:t>
            </w:r>
            <w:r>
              <w:rPr>
                <w:color w:val="FF0000"/>
              </w:rPr>
              <w:t>K</w:t>
            </w:r>
            <w:r>
              <w:rPr>
                <w:color w:val="FF0000"/>
                <w:vertAlign w:val="subscript"/>
              </w:rPr>
              <w:t>2</w:t>
            </w:r>
            <w:r>
              <w:rPr>
                <w:color w:val="FF0000"/>
              </w:rPr>
              <w:t>Q，K</w:t>
            </w:r>
            <w:r>
              <w:rPr>
                <w:color w:val="FF0000"/>
                <w:vertAlign w:val="subscript"/>
              </w:rPr>
              <w:t>1</w:t>
            </w:r>
            <w:r>
              <w:rPr>
                <w:color w:val="FF0000"/>
              </w:rPr>
              <w:t>为管网漏风附加系数1.05-1.1（本项目取1.05），K</w:t>
            </w:r>
            <w:r>
              <w:rPr>
                <w:color w:val="FF0000"/>
                <w:vertAlign w:val="subscript"/>
              </w:rPr>
              <w:t>2为</w:t>
            </w:r>
            <w:r>
              <w:rPr>
                <w:color w:val="FF0000"/>
              </w:rPr>
              <w:t>设备漏风附加系数1.02-1.05（本项目取1.02），经计算，项目设置风量为4500m</w:t>
            </w:r>
            <w:r>
              <w:rPr>
                <w:color w:val="FF0000"/>
                <w:vertAlign w:val="superscript"/>
              </w:rPr>
              <w:t>3</w:t>
            </w:r>
            <w:r>
              <w:rPr>
                <w:color w:val="FF0000"/>
              </w:rPr>
              <w:t>/h。</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3）产排污分析</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参考《广东省工业源挥发性有机物减排量核算方法（试行）》表4.5-1 废气收集集气效率参考值-包围型集气罩（敞开面控制风速不小于0.5m/s）的收集率为80%。</w:t>
            </w:r>
          </w:p>
          <w:p>
            <w:pPr>
              <w:pStyle w:val="47"/>
              <w:adjustRightInd w:val="0"/>
              <w:snapToGrid w:val="0"/>
              <w:ind w:firstLine="480"/>
              <w:rPr>
                <w:color w:val="000000" w:themeColor="text1"/>
                <w:szCs w:val="21"/>
                <w14:textFill>
                  <w14:solidFill>
                    <w14:schemeClr w14:val="tx1"/>
                  </w14:solidFill>
                </w14:textFill>
              </w:rPr>
            </w:pPr>
            <w:r>
              <w:rPr>
                <w:bCs/>
                <w:color w:val="000000" w:themeColor="text1"/>
                <w:szCs w:val="21"/>
                <w14:textFill>
                  <w14:solidFill>
                    <w14:schemeClr w14:val="tx1"/>
                  </w14:solidFill>
                </w14:textFill>
              </w:rPr>
              <w:t>表</w:t>
            </w:r>
            <w:r>
              <w:rPr>
                <w:color w:val="000000" w:themeColor="text1"/>
                <w:szCs w:val="21"/>
                <w14:textFill>
                  <w14:solidFill>
                    <w14:schemeClr w14:val="tx1"/>
                  </w14:solidFill>
                </w14:textFill>
              </w:rPr>
              <w:t xml:space="preserve">4-6 </w:t>
            </w:r>
            <w:r>
              <w:rPr>
                <w:color w:val="000000" w:themeColor="text1"/>
                <w14:textFill>
                  <w14:solidFill>
                    <w14:schemeClr w14:val="tx1"/>
                  </w14:solidFill>
                </w14:textFill>
              </w:rPr>
              <w:t>《广东省工业源挥发性有机物减排量核算方法（试行）》摘录</w:t>
            </w:r>
          </w:p>
          <w:tbl>
            <w:tblPr>
              <w:tblStyle w:val="2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8"/>
              <w:gridCol w:w="3833"/>
              <w:gridCol w:w="2578"/>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2" w:type="pct"/>
                  <w:tcBorders>
                    <w:top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废气收集类型</w:t>
                  </w:r>
                </w:p>
              </w:tc>
              <w:tc>
                <w:tcPr>
                  <w:tcW w:w="2220" w:type="pct"/>
                  <w:tcBorders>
                    <w:top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 xml:space="preserve">废气收集方式 </w:t>
                  </w:r>
                </w:p>
              </w:tc>
              <w:tc>
                <w:tcPr>
                  <w:tcW w:w="1493" w:type="pct"/>
                  <w:tcBorders>
                    <w:top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情况说明</w:t>
                  </w:r>
                </w:p>
              </w:tc>
              <w:tc>
                <w:tcPr>
                  <w:tcW w:w="605" w:type="pct"/>
                  <w:tcBorders>
                    <w:top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集气效率（%）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2" w:type="pct"/>
                  <w:vMerge w:val="restart"/>
                  <w:shd w:val="clear" w:color="auto" w:fill="auto"/>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包围型集气罩</w:t>
                  </w:r>
                </w:p>
              </w:tc>
              <w:tc>
                <w:tcPr>
                  <w:tcW w:w="2220" w:type="pct"/>
                  <w:vMerge w:val="restart"/>
                  <w:shd w:val="clear" w:color="auto" w:fill="auto"/>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污染物产生点（或产生设施）四周及上下有围挡设施，符合以下三种情况：</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1、仅保留个操作工位；</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2、仅保留物料进料出通道，通道敞开面小于1个操作工位面；</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3、通过软质垂帘四周围挡（偶有部分敞开）</w:t>
                  </w:r>
                </w:p>
              </w:tc>
              <w:tc>
                <w:tcPr>
                  <w:tcW w:w="1493" w:type="pct"/>
                  <w:shd w:val="clear" w:color="auto" w:fill="FBD4B4"/>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敞开面控制风速不小于0.5m/s</w:t>
                  </w:r>
                </w:p>
              </w:tc>
              <w:tc>
                <w:tcPr>
                  <w:tcW w:w="605" w:type="pct"/>
                  <w:shd w:val="clear" w:color="auto" w:fill="FBD4B4"/>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2" w:type="pct"/>
                  <w:vMerge w:val="continue"/>
                  <w:vAlign w:val="center"/>
                </w:tcPr>
                <w:p>
                  <w:pPr>
                    <w:adjustRightInd w:val="0"/>
                    <w:snapToGrid w:val="0"/>
                    <w:jc w:val="center"/>
                    <w:rPr>
                      <w:color w:val="000000" w:themeColor="text1"/>
                      <w14:textFill>
                        <w14:solidFill>
                          <w14:schemeClr w14:val="tx1"/>
                        </w14:solidFill>
                      </w14:textFill>
                    </w:rPr>
                  </w:pPr>
                </w:p>
              </w:tc>
              <w:tc>
                <w:tcPr>
                  <w:tcW w:w="2220" w:type="pct"/>
                  <w:vMerge w:val="continue"/>
                  <w:vAlign w:val="center"/>
                </w:tcPr>
                <w:p>
                  <w:pPr>
                    <w:adjustRightInd w:val="0"/>
                    <w:snapToGrid w:val="0"/>
                    <w:jc w:val="center"/>
                    <w:rPr>
                      <w:color w:val="000000" w:themeColor="text1"/>
                      <w14:textFill>
                        <w14:solidFill>
                          <w14:schemeClr w14:val="tx1"/>
                        </w14:solidFill>
                      </w14:textFill>
                    </w:rPr>
                  </w:pPr>
                </w:p>
              </w:tc>
              <w:tc>
                <w:tcPr>
                  <w:tcW w:w="1493"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敞开面控制风速0.3~0.5m/s之间</w:t>
                  </w:r>
                </w:p>
              </w:tc>
              <w:tc>
                <w:tcPr>
                  <w:tcW w:w="605"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2" w:type="pct"/>
                  <w:vMerge w:val="continue"/>
                  <w:tcBorders>
                    <w:bottom w:val="single" w:color="auto" w:sz="18" w:space="0"/>
                  </w:tcBorders>
                  <w:vAlign w:val="center"/>
                </w:tcPr>
                <w:p>
                  <w:pPr>
                    <w:adjustRightInd w:val="0"/>
                    <w:snapToGrid w:val="0"/>
                    <w:jc w:val="center"/>
                    <w:rPr>
                      <w:color w:val="000000" w:themeColor="text1"/>
                      <w14:textFill>
                        <w14:solidFill>
                          <w14:schemeClr w14:val="tx1"/>
                        </w14:solidFill>
                      </w14:textFill>
                    </w:rPr>
                  </w:pPr>
                </w:p>
              </w:tc>
              <w:tc>
                <w:tcPr>
                  <w:tcW w:w="2220" w:type="pct"/>
                  <w:vMerge w:val="continue"/>
                  <w:tcBorders>
                    <w:bottom w:val="single" w:color="auto" w:sz="18" w:space="0"/>
                  </w:tcBorders>
                  <w:vAlign w:val="center"/>
                </w:tcPr>
                <w:p>
                  <w:pPr>
                    <w:adjustRightInd w:val="0"/>
                    <w:snapToGrid w:val="0"/>
                    <w:jc w:val="center"/>
                    <w:rPr>
                      <w:color w:val="000000" w:themeColor="text1"/>
                      <w14:textFill>
                        <w14:solidFill>
                          <w14:schemeClr w14:val="tx1"/>
                        </w14:solidFill>
                      </w14:textFill>
                    </w:rPr>
                  </w:pPr>
                </w:p>
              </w:tc>
              <w:tc>
                <w:tcPr>
                  <w:tcW w:w="1493" w:type="pct"/>
                  <w:tcBorders>
                    <w:bottom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敞开面控制风速小于0.3m/s</w:t>
                  </w:r>
                </w:p>
              </w:tc>
              <w:tc>
                <w:tcPr>
                  <w:tcW w:w="605" w:type="pct"/>
                  <w:tcBorders>
                    <w:bottom w:val="single" w:color="auto" w:sz="18" w:space="0"/>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w:t>
                  </w:r>
                </w:p>
              </w:tc>
            </w:tr>
          </w:tbl>
          <w:p>
            <w:pPr>
              <w:adjustRightInd w:val="0"/>
              <w:snapToGrid w:val="0"/>
              <w:spacing w:line="360" w:lineRule="auto"/>
              <w:ind w:firstLine="420" w:firstLineChars="200"/>
              <w:rPr>
                <w:color w:val="FF0000"/>
              </w:rPr>
            </w:pPr>
            <w:r>
              <w:rPr>
                <w:color w:val="000000" w:themeColor="text1"/>
                <w14:textFill>
                  <w14:solidFill>
                    <w14:schemeClr w14:val="tx1"/>
                  </w14:solidFill>
                </w14:textFill>
              </w:rPr>
              <w:t>则项目非甲烷总烃的有组织产生量为0.0069t/a，项目年工作2400h，其产生速率为0.0029kg/h，产生浓度为0.644mg/m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r>
              <w:rPr>
                <w:color w:val="FF0000"/>
              </w:rPr>
              <w:t>根据《2021年主要污染物总量减排核算技术指南》中表2-1VOCs废气收集率和治理设施去除率通用系数得知，活性炭的处理率为30%，经组合计算本项目取“两级活性炭吸附装置”对TVOC的处理率为51%。则项目非甲烷总烃的有组织排放量为0.0034t/a，其排放速率为0.0014kg/h，排放浓度为0.316mg/m</w:t>
            </w:r>
            <w:r>
              <w:rPr>
                <w:color w:val="FF0000"/>
                <w:vertAlign w:val="superscript"/>
              </w:rPr>
              <w:t>3</w:t>
            </w:r>
            <w:r>
              <w:rPr>
                <w:color w:val="FF0000"/>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由于包围型集气罩的废气捕集率为80%，则项目非甲烷总烃的无组织排放量为0.0017t/a，其排放速率为0.0007kg/h。</w:t>
            </w:r>
          </w:p>
          <w:p>
            <w:pPr>
              <w:pStyle w:val="2"/>
              <w:snapToGrid w:val="0"/>
              <w:spacing w:line="360" w:lineRule="auto"/>
              <w:ind w:firstLine="422" w:firstLineChars="200"/>
              <w:jc w:val="both"/>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（2）臭气浓度</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本项目营运期生产过程的恶臭物质为塑料加热过程产生的异味，对照《排污许可证申请与核发技术规范 橡胶和塑料制品工业》（HJ1122-2020），污染因子以臭气浓度计。恶臭物质经集气罩收集后引入废气处理设施（两级活性炭吸附装置）处理。由于项目臭气浓度产生量较少，且经过废气处理设施（两级活性炭吸附装置）臭气浓度的排放量极少，本环评不作定量分析。</w:t>
            </w:r>
          </w:p>
          <w:p>
            <w:pPr>
              <w:numPr>
                <w:ilvl w:val="0"/>
                <w:numId w:val="20"/>
              </w:numPr>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达标排放分析</w:t>
            </w:r>
          </w:p>
          <w:p>
            <w:p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A、注塑工序产生的非甲烷总烃</w:t>
            </w:r>
          </w:p>
          <w:p>
            <w:pPr>
              <w:pStyle w:val="25"/>
              <w:shd w:val="clear" w:color="auto" w:fill="FFFFFF"/>
              <w:adjustRightInd w:val="0"/>
              <w:snapToGrid w:val="0"/>
              <w:spacing w:before="0" w:beforeAutospacing="0" w:after="0" w:afterAutospacing="0" w:line="360" w:lineRule="auto"/>
              <w:ind w:firstLine="420" w:firstLineChars="200"/>
              <w:jc w:val="both"/>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项目注塑工序产生的非甲烷总烃</w:t>
            </w:r>
            <w:r>
              <w:rPr>
                <w:rFonts w:ascii="Times New Roman" w:hAnsi="Times New Roman"/>
                <w:bCs/>
                <w:color w:val="000000" w:themeColor="text1"/>
                <w:sz w:val="21"/>
                <w:szCs w:val="21"/>
                <w14:textFill>
                  <w14:solidFill>
                    <w14:schemeClr w14:val="tx1"/>
                  </w14:solidFill>
                </w14:textFill>
              </w:rPr>
              <w:t>的有组织排放量为</w:t>
            </w:r>
            <w:r>
              <w:rPr>
                <w:rFonts w:ascii="Times New Roman" w:hAnsi="Times New Roman"/>
                <w:color w:val="000000" w:themeColor="text1"/>
                <w:sz w:val="21"/>
                <w:szCs w:val="21"/>
                <w14:textFill>
                  <w14:solidFill>
                    <w14:schemeClr w14:val="tx1"/>
                  </w14:solidFill>
                </w14:textFill>
              </w:rPr>
              <w:t>0.0034t/a、排放速率为0.0014kg/h、排放浓度为0.316mg/m</w:t>
            </w:r>
            <w:r>
              <w:rPr>
                <w:rFonts w:ascii="Times New Roman" w:hAnsi="Times New Roman"/>
                <w:color w:val="000000" w:themeColor="text1"/>
                <w:sz w:val="21"/>
                <w:szCs w:val="21"/>
                <w:vertAlign w:val="superscript"/>
                <w14:textFill>
                  <w14:solidFill>
                    <w14:schemeClr w14:val="tx1"/>
                  </w14:solidFill>
                </w14:textFill>
              </w:rPr>
              <w:t>3</w:t>
            </w:r>
            <w:r>
              <w:rPr>
                <w:rFonts w:ascii="Times New Roman" w:hAnsi="Times New Roman"/>
                <w:color w:val="000000" w:themeColor="text1"/>
                <w:sz w:val="21"/>
                <w:szCs w:val="21"/>
                <w14:textFill>
                  <w14:solidFill>
                    <w14:schemeClr w14:val="tx1"/>
                  </w14:solidFill>
                </w14:textFill>
              </w:rPr>
              <w:t>。可达到《合成树脂工业污染物排放标准》（GB31572-2015）表5大气污染物特别排放限值</w:t>
            </w:r>
            <w:r>
              <w:rPr>
                <w:rFonts w:ascii="Times New Roman" w:hAnsi="Times New Roman"/>
                <w:bCs/>
                <w:color w:val="000000" w:themeColor="text1"/>
                <w:sz w:val="21"/>
                <w:szCs w:val="21"/>
                <w14:textFill>
                  <w14:solidFill>
                    <w14:schemeClr w14:val="tx1"/>
                  </w14:solidFill>
                </w14:textFill>
              </w:rPr>
              <w:t>。项目灯具的塑料外壳和装饰牌的产能合计约为16t/a，经计算非甲烷总烃的单位产品排放量为0.213kg/t&lt;0.3kg/t，</w:t>
            </w:r>
            <w:r>
              <w:rPr>
                <w:rFonts w:ascii="Times New Roman" w:hAnsi="Times New Roman"/>
                <w:color w:val="000000" w:themeColor="text1"/>
                <w:sz w:val="21"/>
                <w:szCs w:val="21"/>
                <w14:textFill>
                  <w14:solidFill>
                    <w14:schemeClr w14:val="tx1"/>
                  </w14:solidFill>
                </w14:textFill>
              </w:rPr>
              <w:t>可达到《合成树脂工业污染物排放标准》（GB31572-2015）表5大气污染物特别排放限值。</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由于</w:t>
            </w:r>
            <w:r>
              <w:rPr>
                <w:color w:val="000000" w:themeColor="text1"/>
                <w:szCs w:val="21"/>
                <w14:textFill>
                  <w14:solidFill>
                    <w14:schemeClr w14:val="tx1"/>
                  </w14:solidFill>
                </w14:textFill>
              </w:rPr>
              <w:t>包围型集气罩的收集率为80%，因此</w:t>
            </w:r>
            <w:r>
              <w:rPr>
                <w:color w:val="000000" w:themeColor="text1"/>
                <w:kern w:val="0"/>
                <w:szCs w:val="21"/>
                <w14:textFill>
                  <w14:solidFill>
                    <w14:schemeClr w14:val="tx1"/>
                  </w14:solidFill>
                </w14:textFill>
              </w:rPr>
              <w:t>项目有20%的非甲烷总烃作无组织排放，其排放量为0.0017t/a、最大排放速率为0.0007kg/h</w:t>
            </w:r>
            <w:r>
              <w:rPr>
                <w:color w:val="000000" w:themeColor="text1"/>
                <w:szCs w:val="21"/>
                <w14:textFill>
                  <w14:solidFill>
                    <w14:schemeClr w14:val="tx1"/>
                  </w14:solidFill>
                </w14:textFill>
              </w:rPr>
              <w:t>。预计可达到</w:t>
            </w:r>
            <w:r>
              <w:rPr>
                <w:bCs/>
                <w:color w:val="000000" w:themeColor="text1"/>
                <w:szCs w:val="21"/>
                <w14:textFill>
                  <w14:solidFill>
                    <w14:schemeClr w14:val="tx1"/>
                  </w14:solidFill>
                </w14:textFill>
              </w:rPr>
              <w:t>《合成树脂工业污染物排放标准》（GB31572-2015）表9企业边界大气污染物浓度限值</w:t>
            </w:r>
            <w:r>
              <w:rPr>
                <w:color w:val="000000" w:themeColor="text1"/>
                <w:szCs w:val="21"/>
                <w14:textFill>
                  <w14:solidFill>
                    <w14:schemeClr w14:val="tx1"/>
                  </w14:solidFill>
                </w14:textFill>
              </w:rPr>
              <w:t>，并满足广东省地方标准《固定污染源挥发性有机物综合排放标准》（DB44/2367-2022）表3厂区内无组织VOCs排放限值。</w:t>
            </w:r>
          </w:p>
          <w:p>
            <w:pPr>
              <w:pStyle w:val="2"/>
              <w:snapToGrid w:val="0"/>
              <w:spacing w:line="360" w:lineRule="auto"/>
              <w:ind w:firstLine="422" w:firstLineChars="200"/>
              <w:jc w:val="both"/>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B、臭气浓度</w:t>
            </w:r>
          </w:p>
          <w:p>
            <w:pPr>
              <w:pStyle w:val="2"/>
              <w:snapToGrid w:val="0"/>
              <w:spacing w:line="360" w:lineRule="auto"/>
              <w:ind w:firstLine="420" w:firstLineChars="20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本项目营运期生产过程的恶臭物质为塑料加工过程产生的异味，对照《排污许可证申请与核发技术规范 橡胶和塑料制品工业》（HJ1122-2020），污染因子以臭气浓度计。恶臭物质经集气罩收集后引入废气处理设施（两级活性炭吸附装置）处理。由于项目臭气浓度产生量较少，且经过废气处理设施（两级活性炭吸附装置）臭气浓度的排放量极少，可达到《恶臭污染物排放标准》（GB14554-93）相关标准。</w:t>
            </w:r>
          </w:p>
          <w:bookmarkEnd w:id="9"/>
          <w:p>
            <w:pPr>
              <w:autoSpaceDE w:val="0"/>
              <w:autoSpaceDN w:val="0"/>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4、卫生防护距离</w:t>
            </w:r>
          </w:p>
          <w:p>
            <w:pPr>
              <w:autoSpaceDE w:val="0"/>
              <w:autoSpaceDN w:val="0"/>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大气有害物质无组织排放卫生防护距离推导技术导则》（GB/T39499-2020），根据目标行业企业的产品产量及其原辅材料、工艺特征、中间产物、产排污特点等具体情况，考虑对人体健康损害的毒性特点，选取特征大气有害物质，本项目产生的废气主要为注塑废气。</w:t>
            </w:r>
          </w:p>
          <w:p>
            <w:pPr>
              <w:widowControl/>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又根据《大气有害物质无组织排放卫生防护距离推导技术导则》GB/T 39499-2020所述，当目标企业无组织排放存在多种有毒有害污染物时，基于单个污染物的等标排放量计算结果，优先选用选标排放量最大的污染物为企业无组织排放的主要特征大气有害物质。当前两种污染物的等标排放量相差在10%以内时，需要同时选择这两种特征大气有害物质分别计算卫生防护距离初值。</w:t>
            </w:r>
          </w:p>
          <w:p>
            <w:pPr>
              <w:autoSpaceDE w:val="0"/>
              <w:autoSpaceDN w:val="0"/>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本项目污染因子为非甲烷总烃和臭气浓度，仅需对非甲烷总烃进行评价，因此选取等标排放量最大的非甲烷总烃计算卫生防护距离初值。</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 计算模式</w:t>
            </w:r>
          </w:p>
          <w:p>
            <w:pPr>
              <w:autoSpaceDE w:val="0"/>
              <w:autoSpaceDN w:val="0"/>
              <w:adjustRightInd w:val="0"/>
              <w:snapToGrid w:val="0"/>
              <w:spacing w:line="360" w:lineRule="auto"/>
              <w:ind w:firstLine="573"/>
              <w:rPr>
                <w:color w:val="000000" w:themeColor="text1"/>
                <w:szCs w:val="21"/>
                <w14:textFill>
                  <w14:solidFill>
                    <w14:schemeClr w14:val="tx1"/>
                  </w14:solidFill>
                </w14:textFill>
              </w:rPr>
            </w:pPr>
            <w:r>
              <w:rPr>
                <w:color w:val="000000" w:themeColor="text1"/>
                <w:szCs w:val="21"/>
                <w14:textFill>
                  <w14:solidFill>
                    <w14:schemeClr w14:val="tx1"/>
                  </w14:solidFill>
                </w14:textFill>
              </w:rPr>
              <w:t>采用的模式参照《大气有害物质无组织排放卫生防护距离推导技术导则》GB/T 39499-2020，具体的计算数学公式如下：</w:t>
            </w:r>
          </w:p>
          <w:p>
            <w:pPr>
              <w:pStyle w:val="45"/>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object>
                <v:shape id="_x0000_i1029" o:spt="75" type="#_x0000_t75" style="height:42.1pt;width:145.8pt;" o:ole="t" fillcolor="#000005" filled="f" o:preferrelative="t" stroked="f" coordsize="21600,21600">
                  <v:path/>
                  <v:fill on="f" focussize="0,0"/>
                  <v:stroke on="f" joinstyle="miter"/>
                  <v:imagedata r:id="rId27" o:title=""/>
                  <o:lock v:ext="edit" aspectratio="t"/>
                  <w10:wrap type="none"/>
                  <w10:anchorlock/>
                </v:shape>
                <o:OLEObject Type="Embed" ProgID="Equation.3" ShapeID="_x0000_i1029" DrawAspect="Content" ObjectID="_1468075729" r:id="rId26">
                  <o:LockedField>false</o:LockedField>
                </o:OLEObject>
              </w:object>
            </w:r>
          </w:p>
          <w:p>
            <w:pPr>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式中：</w:t>
            </w:r>
          </w:p>
          <w:p>
            <w:pPr>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C</w:t>
            </w:r>
            <w:r>
              <w:rPr>
                <w:color w:val="000000" w:themeColor="text1"/>
                <w:szCs w:val="21"/>
                <w:vertAlign w:val="subscript"/>
                <w14:textFill>
                  <w14:solidFill>
                    <w14:schemeClr w14:val="tx1"/>
                  </w14:solidFill>
                </w14:textFill>
              </w:rPr>
              <w:t>m</w:t>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t>标准浓度限值(mg/Nm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p>
            <w:pPr>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Q</w:t>
            </w:r>
            <w:r>
              <w:rPr>
                <w:color w:val="000000" w:themeColor="text1"/>
                <w:szCs w:val="21"/>
                <w:vertAlign w:val="subscript"/>
                <w14:textFill>
                  <w14:solidFill>
                    <w14:schemeClr w14:val="tx1"/>
                  </w14:solidFill>
                </w14:textFill>
              </w:rPr>
              <w:t>c</w:t>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t>工业企业有害气体无组织排放量可以达到的控制水平(kg/h)；</w:t>
            </w:r>
          </w:p>
          <w:p>
            <w:pPr>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L</w:t>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t>工业企业所需卫生防护距离(m)；</w:t>
            </w:r>
          </w:p>
          <w:p>
            <w:pPr>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r</w:t>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t>有害气体无组织排放浓度在生产单元的等效半径(m)。</w:t>
            </w:r>
          </w:p>
          <w:p>
            <w:pPr>
              <w:adjustRightInd w:val="0"/>
              <w:snapToGrid w:val="0"/>
              <w:spacing w:line="360" w:lineRule="auto"/>
              <w:ind w:firstLine="840" w:firstLineChars="400"/>
              <w:rPr>
                <w:color w:val="000000" w:themeColor="text1"/>
                <w:szCs w:val="21"/>
                <w14:textFill>
                  <w14:solidFill>
                    <w14:schemeClr w14:val="tx1"/>
                  </w14:solidFill>
                </w14:textFill>
              </w:rPr>
            </w:pPr>
            <w:r>
              <w:rPr>
                <w:color w:val="000000" w:themeColor="text1"/>
                <w:szCs w:val="21"/>
                <w14:textFill>
                  <w14:solidFill>
                    <w14:schemeClr w14:val="tx1"/>
                  </w14:solidFill>
                </w14:textFill>
              </w:rPr>
              <w:t>A、B、C、D</w:t>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sym w:font="Symbol" w:char="F0BE"/>
            </w:r>
            <w:r>
              <w:rPr>
                <w:color w:val="000000" w:themeColor="text1"/>
                <w:szCs w:val="21"/>
                <w14:textFill>
                  <w14:solidFill>
                    <w14:schemeClr w14:val="tx1"/>
                  </w14:solidFill>
                </w14:textFill>
              </w:rPr>
              <w:t>防护距离计算系数，见GB/T 39499-2020之附表。</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3）参数的选取</w:t>
            </w:r>
          </w:p>
          <w:p>
            <w:pPr>
              <w:autoSpaceDE w:val="0"/>
              <w:autoSpaceDN w:val="0"/>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计算模式中，Q</w:t>
            </w:r>
            <w:r>
              <w:rPr>
                <w:color w:val="000000" w:themeColor="text1"/>
                <w:szCs w:val="21"/>
                <w:vertAlign w:val="subscript"/>
                <w14:textFill>
                  <w14:solidFill>
                    <w14:schemeClr w14:val="tx1"/>
                  </w14:solidFill>
                </w14:textFill>
              </w:rPr>
              <w:t>c</w:t>
            </w:r>
            <w:r>
              <w:rPr>
                <w:color w:val="000000" w:themeColor="text1"/>
                <w:szCs w:val="21"/>
                <w14:textFill>
                  <w14:solidFill>
                    <w14:schemeClr w14:val="tx1"/>
                  </w14:solidFill>
                </w14:textFill>
              </w:rPr>
              <w:t>为工业企业有害气体无组织排放时可以达到的控制水平。可取同类企业中生产工艺流程合理、生产管理与设备处于先进水平的企业，在正常运行时的无组织排放量。根据本项目计算非甲烷总烃的源强。C</w:t>
            </w:r>
            <w:r>
              <w:rPr>
                <w:color w:val="000000" w:themeColor="text1"/>
                <w:szCs w:val="21"/>
                <w:vertAlign w:val="subscript"/>
                <w14:textFill>
                  <w14:solidFill>
                    <w14:schemeClr w14:val="tx1"/>
                  </w14:solidFill>
                </w14:textFill>
              </w:rPr>
              <w:t>m</w:t>
            </w:r>
            <w:r>
              <w:rPr>
                <w:color w:val="000000" w:themeColor="text1"/>
                <w:szCs w:val="21"/>
                <w14:textFill>
                  <w14:solidFill>
                    <w14:schemeClr w14:val="tx1"/>
                  </w14:solidFill>
                </w14:textFill>
              </w:rPr>
              <w:t xml:space="preserve">按标准值选取。 </w:t>
            </w:r>
          </w:p>
          <w:p>
            <w:pPr>
              <w:autoSpaceDE w:val="0"/>
              <w:autoSpaceDN w:val="0"/>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按照(GB/T 39499-2020)规定，按Q</w:t>
            </w:r>
            <w:r>
              <w:rPr>
                <w:color w:val="000000" w:themeColor="text1"/>
                <w:szCs w:val="21"/>
                <w:vertAlign w:val="subscript"/>
                <w14:textFill>
                  <w14:solidFill>
                    <w14:schemeClr w14:val="tx1"/>
                  </w14:solidFill>
                </w14:textFill>
              </w:rPr>
              <w:t>c</w:t>
            </w:r>
            <w:r>
              <w:rPr>
                <w:color w:val="000000" w:themeColor="text1"/>
                <w:szCs w:val="21"/>
                <w14:textFill>
                  <w14:solidFill>
                    <w14:schemeClr w14:val="tx1"/>
                  </w14:solidFill>
                </w14:textFill>
              </w:rPr>
              <w:t>/C</w:t>
            </w:r>
            <w:r>
              <w:rPr>
                <w:color w:val="000000" w:themeColor="text1"/>
                <w:szCs w:val="21"/>
                <w:vertAlign w:val="subscript"/>
                <w14:textFill>
                  <w14:solidFill>
                    <w14:schemeClr w14:val="tx1"/>
                  </w14:solidFill>
                </w14:textFill>
              </w:rPr>
              <w:t>m</w:t>
            </w:r>
            <w:r>
              <w:rPr>
                <w:color w:val="000000" w:themeColor="text1"/>
                <w:szCs w:val="21"/>
                <w14:textFill>
                  <w14:solidFill>
                    <w14:schemeClr w14:val="tx1"/>
                  </w14:solidFill>
                </w14:textFill>
              </w:rPr>
              <w:t>最大值计算等效面积：</w:t>
            </w:r>
          </w:p>
          <w:p>
            <w:pPr>
              <w:pStyle w:val="45"/>
              <w:adjustRightInd w:val="0"/>
              <w:snapToGrid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         </w:t>
            </w:r>
            <w:r>
              <w:rPr>
                <w:color w:val="000000" w:themeColor="text1"/>
                <w:szCs w:val="21"/>
                <w14:textFill>
                  <w14:solidFill>
                    <w14:schemeClr w14:val="tx1"/>
                  </w14:solidFill>
                </w14:textFill>
              </w:rPr>
              <w:object>
                <v:shape id="_x0000_i1030" o:spt="75" type="#_x0000_t75" style="height:47.7pt;width:65.45pt;" o:ole="t" filled="f" o:preferrelative="t" stroked="f" coordsize="21600,21600">
                  <v:path/>
                  <v:fill on="f" focussize="0,0"/>
                  <v:stroke on="f" joinstyle="miter"/>
                  <v:imagedata r:id="rId29" o:title=""/>
                  <o:lock v:ext="edit" aspectratio="t"/>
                  <w10:wrap type="none"/>
                  <w10:anchorlock/>
                </v:shape>
                <o:OLEObject Type="Embed" ProgID="Equation.3" ShapeID="_x0000_i1030" DrawAspect="Content" ObjectID="_1468075730" r:id="rId28">
                  <o:LockedField>false</o:LockedField>
                </o:OLEObject>
              </w:object>
            </w:r>
            <w:r>
              <w:rPr>
                <w:color w:val="000000" w:themeColor="text1"/>
                <w:szCs w:val="21"/>
                <w14:textFill>
                  <w14:solidFill>
                    <w14:schemeClr w14:val="tx1"/>
                  </w14:solidFill>
                </w14:textFill>
              </w:rPr>
              <w:t>，S为生产单元占地面积</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公式中A、B、C、D的计算参数按卫生防护距离计算系数，根据项目所在地区近五年平均风速及项目大气污染源构成类别从下表查取。 </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position w:val="-12"/>
                <w:szCs w:val="21"/>
                <w14:textFill>
                  <w14:solidFill>
                    <w14:schemeClr w14:val="tx1"/>
                  </w14:solidFill>
                </w14:textFill>
              </w:rPr>
              <w:object>
                <v:shape id="_x0000_i1031" o:spt="75" type="#_x0000_t75" style="height:18.7pt;width:16.85pt;" o:ole="t" filled="f" o:preferrelative="t" stroked="f" coordsize="21600,21600">
                  <v:path/>
                  <v:fill on="f" focussize="0,0"/>
                  <v:stroke on="f" joinstyle="miter"/>
                  <v:imagedata r:id="rId31" o:title=""/>
                  <o:lock v:ext="edit" aspectratio="t"/>
                  <w10:wrap type="none"/>
                  <w10:anchorlock/>
                </v:shape>
                <o:OLEObject Type="Embed" ProgID="Equation.3" ShapeID="_x0000_i1031" DrawAspect="Content" ObjectID="_1468075731" r:id="rId30">
                  <o:LockedField>false</o:LockedField>
                </o:OLEObject>
              </w:object>
            </w:r>
            <w:r>
              <w:rPr>
                <w:color w:val="000000" w:themeColor="text1"/>
                <w:szCs w:val="21"/>
                <w14:textFill>
                  <w14:solidFill>
                    <w14:schemeClr w14:val="tx1"/>
                  </w14:solidFill>
                </w14:textFill>
              </w:rPr>
              <w:t>----污染物无组织排放量，kg/h。</w:t>
            </w:r>
          </w:p>
          <w:p>
            <w:pPr>
              <w:autoSpaceDE w:val="0"/>
              <w:autoSpaceDN w:val="0"/>
              <w:adjustRightInd w:val="0"/>
              <w:snapToGrid w:val="0"/>
              <w:spacing w:line="360" w:lineRule="auto"/>
              <w:ind w:firstLine="570"/>
              <w:rPr>
                <w:color w:val="000000" w:themeColor="text1"/>
                <w:szCs w:val="21"/>
                <w14:textFill>
                  <w14:solidFill>
                    <w14:schemeClr w14:val="tx1"/>
                  </w14:solidFill>
                </w14:textFill>
              </w:rPr>
            </w:pPr>
            <w:r>
              <w:rPr>
                <w:color w:val="000000" w:themeColor="text1"/>
                <w:szCs w:val="21"/>
                <w14:textFill>
                  <w14:solidFill>
                    <w14:schemeClr w14:val="tx1"/>
                  </w14:solidFill>
                </w14:textFill>
              </w:rPr>
              <w:t>确定和选定参数后，计算方程可化解为一元3次方程，利用逐渐趋近法求出近似解。L值在两极之间，确定防护距离时，根据L的级差取偏宽的一级。</w:t>
            </w:r>
          </w:p>
          <w:p>
            <w:pPr>
              <w:pStyle w:val="47"/>
              <w:adjustRightInd w:val="0"/>
              <w:snapToGrid w:val="0"/>
              <w:ind w:firstLine="210"/>
              <w:rPr>
                <w:color w:val="000000" w:themeColor="text1"/>
                <w:szCs w:val="21"/>
                <w14:textFill>
                  <w14:solidFill>
                    <w14:schemeClr w14:val="tx1"/>
                  </w14:solidFill>
                </w14:textFill>
              </w:rPr>
            </w:pPr>
          </w:p>
          <w:p>
            <w:pPr>
              <w:pStyle w:val="47"/>
              <w:adjustRightInd w:val="0"/>
              <w:snapToGrid w:val="0"/>
              <w:ind w:firstLine="210"/>
              <w:rPr>
                <w:color w:val="000000" w:themeColor="text1"/>
                <w:szCs w:val="21"/>
                <w14:textFill>
                  <w14:solidFill>
                    <w14:schemeClr w14:val="tx1"/>
                  </w14:solidFill>
                </w14:textFill>
              </w:rPr>
            </w:pPr>
          </w:p>
          <w:p>
            <w:pPr>
              <w:pStyle w:val="47"/>
              <w:adjustRightInd w:val="0"/>
              <w:snapToGrid w:val="0"/>
              <w:ind w:firstLine="210"/>
              <w:rPr>
                <w:color w:val="000000" w:themeColor="text1"/>
                <w:szCs w:val="21"/>
                <w14:textFill>
                  <w14:solidFill>
                    <w14:schemeClr w14:val="tx1"/>
                  </w14:solidFill>
                </w14:textFill>
              </w:rPr>
            </w:pPr>
          </w:p>
          <w:p>
            <w:pPr>
              <w:pStyle w:val="47"/>
              <w:adjustRightInd w:val="0"/>
              <w:snapToGrid w:val="0"/>
              <w:ind w:firstLine="210"/>
              <w:rPr>
                <w:color w:val="000000" w:themeColor="text1"/>
                <w:szCs w:val="21"/>
                <w14:textFill>
                  <w14:solidFill>
                    <w14:schemeClr w14:val="tx1"/>
                  </w14:solidFill>
                </w14:textFill>
              </w:rPr>
            </w:pPr>
            <w:r>
              <w:rPr>
                <w:color w:val="000000" w:themeColor="text1"/>
                <w:szCs w:val="21"/>
                <w14:textFill>
                  <w14:solidFill>
                    <w14:schemeClr w14:val="tx1"/>
                  </w14:solidFill>
                </w14:textFill>
              </w:rPr>
              <w:t>表4-8 卫生防护距离初值计算系数</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1182"/>
              <w:gridCol w:w="742"/>
              <w:gridCol w:w="743"/>
              <w:gridCol w:w="753"/>
              <w:gridCol w:w="743"/>
              <w:gridCol w:w="743"/>
              <w:gridCol w:w="751"/>
              <w:gridCol w:w="743"/>
              <w:gridCol w:w="743"/>
              <w:gridCol w:w="758"/>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Style w:val="54"/>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计</w:t>
                  </w:r>
                </w:p>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算</w:t>
                  </w:r>
                </w:p>
                <w:p>
                  <w:pPr>
                    <w:pStyle w:val="19"/>
                    <w:jc w:val="center"/>
                    <w:rPr>
                      <w:rStyle w:val="54"/>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系</w:t>
                  </w:r>
                </w:p>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数</w:t>
                  </w:r>
                </w:p>
              </w:tc>
              <w:tc>
                <w:tcPr>
                  <w:tcW w:w="685" w:type="pct"/>
                  <w:vMerge w:val="restart"/>
                  <w:vAlign w:val="center"/>
                </w:tcPr>
                <w:p>
                  <w:pPr>
                    <w:pStyle w:val="19"/>
                    <w:jc w:val="center"/>
                    <w:rPr>
                      <w:rStyle w:val="54"/>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工业企业</w:t>
                  </w:r>
                </w:p>
                <w:p>
                  <w:pPr>
                    <w:pStyle w:val="19"/>
                    <w:jc w:val="center"/>
                    <w:rPr>
                      <w:rStyle w:val="54"/>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所在地区</w:t>
                  </w:r>
                </w:p>
                <w:p>
                  <w:pPr>
                    <w:pStyle w:val="19"/>
                    <w:jc w:val="center"/>
                    <w:rPr>
                      <w:rStyle w:val="54"/>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近5年平</w:t>
                  </w:r>
                </w:p>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均风速m/s</w:t>
                  </w:r>
                </w:p>
              </w:tc>
              <w:tc>
                <w:tcPr>
                  <w:tcW w:w="3890" w:type="pct"/>
                  <w:gridSpan w:val="9"/>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卫生防护距离L,m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L≤1000</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1000＜L≤2000</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L＞2000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3890" w:type="pct"/>
                  <w:gridSpan w:val="9"/>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工业企业大气污染源构成类别</w:t>
                  </w:r>
                  <w:r>
                    <w:rPr>
                      <w:rFonts w:ascii="Times New Roman" w:hAnsi="Times New Roman"/>
                      <w:color w:val="000000" w:themeColor="text1"/>
                      <w14:textFill>
                        <w14:solidFill>
                          <w14:schemeClr w14:val="tx1"/>
                        </w14:solidFill>
                      </w14:textFill>
                    </w:rPr>
                    <w:t>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Ⅰ</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Ⅱ</w:t>
                  </w:r>
                </w:p>
              </w:tc>
              <w:tc>
                <w:tcPr>
                  <w:tcW w:w="436"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Ⅲ</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Ⅰ</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Ⅱ</w:t>
                  </w:r>
                </w:p>
              </w:tc>
              <w:tc>
                <w:tcPr>
                  <w:tcW w:w="43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Ⅲ</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Ⅰ</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Ⅱ</w:t>
                  </w:r>
                </w:p>
              </w:tc>
              <w:tc>
                <w:tcPr>
                  <w:tcW w:w="440"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hint="eastAsia" w:hAnsi="宋体" w:cs="宋体"/>
                      <w:color w:val="000000" w:themeColor="text1"/>
                      <w14:textFill>
                        <w14:solidFill>
                          <w14:schemeClr w14:val="tx1"/>
                        </w14:solidFill>
                      </w14:textFill>
                    </w:rPr>
                    <w:t>Ⅲ</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A</w:t>
                  </w: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&lt;2</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6"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5"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80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80</w:t>
                  </w:r>
                </w:p>
              </w:tc>
              <w:tc>
                <w:tcPr>
                  <w:tcW w:w="44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80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2～4</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470</w:t>
                  </w:r>
                </w:p>
              </w:tc>
              <w:tc>
                <w:tcPr>
                  <w:tcW w:w="436"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350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700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470</w:t>
                  </w:r>
                </w:p>
              </w:tc>
              <w:tc>
                <w:tcPr>
                  <w:tcW w:w="435"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350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380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250</w:t>
                  </w:r>
                </w:p>
              </w:tc>
              <w:tc>
                <w:tcPr>
                  <w:tcW w:w="44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190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&gt;4</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530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350</w:t>
                  </w:r>
                </w:p>
              </w:tc>
              <w:tc>
                <w:tcPr>
                  <w:tcW w:w="436"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260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530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350</w:t>
                  </w:r>
                </w:p>
              </w:tc>
              <w:tc>
                <w:tcPr>
                  <w:tcW w:w="435"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260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290</w:t>
                  </w:r>
                </w:p>
              </w:tc>
              <w:tc>
                <w:tcPr>
                  <w:tcW w:w="43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190</w:t>
                  </w:r>
                </w:p>
              </w:tc>
              <w:tc>
                <w:tcPr>
                  <w:tcW w:w="440" w:type="pc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140</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B</w:t>
                  </w: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0.01</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0.015</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0.015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&gt;2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0.021</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0.036</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0.036</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C</w:t>
                  </w: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1.85</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1.79</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1.79</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&gt;2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1.85</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1.77</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1.77</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D</w:t>
                  </w: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&lt;2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0.78</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0.78</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0.57</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pStyle w:val="19"/>
                    <w:jc w:val="center"/>
                    <w:rPr>
                      <w:rFonts w:ascii="Times New Roman" w:hAnsi="Times New Roman"/>
                      <w:color w:val="000000" w:themeColor="text1"/>
                      <w14:textFill>
                        <w14:solidFill>
                          <w14:schemeClr w14:val="tx1"/>
                        </w14:solidFill>
                      </w14:textFill>
                    </w:rPr>
                  </w:pPr>
                </w:p>
              </w:tc>
              <w:tc>
                <w:tcPr>
                  <w:tcW w:w="685" w:type="pct"/>
                  <w:vAlign w:val="center"/>
                </w:tcPr>
                <w:p>
                  <w:pPr>
                    <w:pStyle w:val="19"/>
                    <w:jc w:val="center"/>
                    <w:rPr>
                      <w:rFonts w:ascii="Times New Roman" w:hAnsi="Times New Roman"/>
                      <w:color w:val="000000" w:themeColor="text1"/>
                      <w14:textFill>
                        <w14:solidFill>
                          <w14:schemeClr w14:val="tx1"/>
                        </w14:solidFill>
                      </w14:textFill>
                    </w:rPr>
                  </w:pPr>
                  <w:r>
                    <w:rPr>
                      <w:rStyle w:val="54"/>
                      <w:rFonts w:ascii="Times New Roman" w:hAnsi="Times New Roman"/>
                      <w:color w:val="000000" w:themeColor="text1"/>
                      <w14:textFill>
                        <w14:solidFill>
                          <w14:schemeClr w14:val="tx1"/>
                        </w14:solidFill>
                      </w14:textFill>
                    </w:rPr>
                    <w:t>&gt;2</w:t>
                  </w:r>
                </w:p>
              </w:tc>
              <w:tc>
                <w:tcPr>
                  <w:tcW w:w="1296"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0.84</w:t>
                  </w:r>
                </w:p>
              </w:tc>
              <w:tc>
                <w:tcPr>
                  <w:tcW w:w="1294"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0.84</w:t>
                  </w:r>
                </w:p>
              </w:tc>
              <w:tc>
                <w:tcPr>
                  <w:tcW w:w="1299" w:type="pct"/>
                  <w:gridSpan w:val="3"/>
                  <w:vAlign w:val="center"/>
                </w:tcPr>
                <w:p>
                  <w:pPr>
                    <w:pStyle w:val="19"/>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0.76</w:t>
                  </w:r>
                </w:p>
              </w:tc>
            </w:tr>
          </w:tbl>
          <w:p>
            <w:pPr>
              <w:spacing w:line="360" w:lineRule="auto"/>
              <w:ind w:firstLine="480"/>
              <w:rPr>
                <w:color w:val="000000" w:themeColor="text1"/>
                <w:szCs w:val="21"/>
                <w14:textFill>
                  <w14:solidFill>
                    <w14:schemeClr w14:val="tx1"/>
                  </w14:solidFill>
                </w14:textFill>
              </w:rPr>
            </w:pPr>
            <w:r>
              <w:rPr>
                <w:color w:val="000000" w:themeColor="text1"/>
                <w:szCs w:val="21"/>
                <w14:textFill>
                  <w14:solidFill>
                    <w14:schemeClr w14:val="tx1"/>
                  </w14:solidFill>
                </w14:textFill>
              </w:rPr>
              <w:t>注：表中工业企业大气污染源分为三类：</w:t>
            </w:r>
          </w:p>
          <w:p>
            <w:pPr>
              <w:autoSpaceDE w:val="0"/>
              <w:autoSpaceDN w:val="0"/>
              <w:adjustRightInd w:val="0"/>
              <w:spacing w:line="360" w:lineRule="auto"/>
              <w:ind w:firstLine="57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Ⅰ</w:t>
            </w:r>
            <w:r>
              <w:rPr>
                <w:color w:val="000000" w:themeColor="text1"/>
                <w:szCs w:val="21"/>
                <w14:textFill>
                  <w14:solidFill>
                    <w14:schemeClr w14:val="tx1"/>
                  </w14:solidFill>
                </w14:textFill>
              </w:rPr>
              <w:t>类：与无组织排放源共存的排放同种有害气体的排气筒的排放量，大于标准规定的允许排放量的三分之一者。</w:t>
            </w:r>
          </w:p>
          <w:p>
            <w:pPr>
              <w:autoSpaceDE w:val="0"/>
              <w:autoSpaceDN w:val="0"/>
              <w:adjustRightInd w:val="0"/>
              <w:spacing w:line="360" w:lineRule="auto"/>
              <w:ind w:firstLine="56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Ⅱ</w:t>
            </w:r>
            <w:r>
              <w:rPr>
                <w:color w:val="000000" w:themeColor="text1"/>
                <w:szCs w:val="21"/>
                <w14:textFill>
                  <w14:solidFill>
                    <w14:schemeClr w14:val="tx1"/>
                  </w14:solidFill>
                </w14:textFill>
              </w:rPr>
              <w:t>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spacing w:line="360" w:lineRule="auto"/>
              <w:ind w:firstLine="57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Ⅲ</w:t>
            </w:r>
            <w:r>
              <w:rPr>
                <w:color w:val="000000" w:themeColor="text1"/>
                <w:szCs w:val="21"/>
                <w14:textFill>
                  <w14:solidFill>
                    <w14:schemeClr w14:val="tx1"/>
                  </w14:solidFill>
                </w14:textFill>
              </w:rPr>
              <w:t>类：无排放同种有害物质的排气筒与无组织排放源共存，且无组织排放的有害物质的容许浓度是按慢性反应指标确定者。</w:t>
            </w:r>
          </w:p>
          <w:p>
            <w:pPr>
              <w:autoSpaceDE w:val="0"/>
              <w:autoSpaceDN w:val="0"/>
              <w:adjustRightInd w:val="0"/>
              <w:spacing w:line="360" w:lineRule="auto"/>
              <w:ind w:firstLine="57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项目非甲烷总烃的无组织排放速度为0.0007kg/h，基本集中在厂房内，项目注塑车间占地面积为216m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，经计算得出等效半径（r）为8.29，本项目所在地区近5年平均风速为2.2m/s，且大气污染物属于II类，经计算，本项目卫生防护距离初值计算结果如下表。</w:t>
            </w:r>
          </w:p>
          <w:p>
            <w:pPr>
              <w:tabs>
                <w:tab w:val="left" w:pos="0"/>
              </w:tabs>
              <w:spacing w:line="360" w:lineRule="auto"/>
              <w:jc w:val="center"/>
              <w:rPr>
                <w:b/>
                <w:color w:val="000000" w:themeColor="text1"/>
                <w:szCs w:val="21"/>
                <w14:textFill>
                  <w14:solidFill>
                    <w14:schemeClr w14:val="tx1"/>
                  </w14:solidFill>
                </w14:textFill>
              </w:rPr>
            </w:pPr>
            <w:r>
              <w:rPr>
                <w:b/>
                <w:bCs/>
                <w:color w:val="000000" w:themeColor="text1"/>
                <w:szCs w:val="21"/>
                <w14:textFill>
                  <w14:solidFill>
                    <w14:schemeClr w14:val="tx1"/>
                  </w14:solidFill>
                </w14:textFill>
              </w:rPr>
              <w:t xml:space="preserve"> 表4-9</w:t>
            </w:r>
            <w:r>
              <w:rPr>
                <w:b/>
                <w:color w:val="000000" w:themeColor="text1"/>
                <w:szCs w:val="21"/>
                <w14:textFill>
                  <w14:solidFill>
                    <w14:schemeClr w14:val="tx1"/>
                  </w14:solidFill>
                </w14:textFill>
              </w:rPr>
              <w:t>卫生防护距离终值级差范围</w:t>
            </w:r>
          </w:p>
          <w:tbl>
            <w:tblPr>
              <w:tblStyle w:val="29"/>
              <w:tblW w:w="4996"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43"/>
              <w:gridCol w:w="850"/>
              <w:gridCol w:w="1136"/>
              <w:gridCol w:w="756"/>
              <w:gridCol w:w="609"/>
              <w:gridCol w:w="649"/>
              <w:gridCol w:w="571"/>
              <w:gridCol w:w="611"/>
              <w:gridCol w:w="889"/>
              <w:gridCol w:w="756"/>
              <w:gridCol w:w="75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11"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污染物</w:t>
                  </w:r>
                </w:p>
              </w:tc>
              <w:tc>
                <w:tcPr>
                  <w:tcW w:w="423"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Qc（</w:t>
                  </w:r>
                  <w:r>
                    <w:rPr>
                      <w:bCs/>
                      <w:color w:val="000000" w:themeColor="text1"/>
                      <w14:textFill>
                        <w14:solidFill>
                          <w14:schemeClr w14:val="tx1"/>
                        </w14:solidFill>
                      </w14:textFill>
                    </w:rPr>
                    <w:t>kg/h</w:t>
                  </w:r>
                  <w:r>
                    <w:rPr>
                      <w:bCs/>
                      <w:color w:val="000000" w:themeColor="text1"/>
                      <w:szCs w:val="21"/>
                      <w14:textFill>
                        <w14:solidFill>
                          <w14:schemeClr w14:val="tx1"/>
                        </w14:solidFill>
                      </w14:textFill>
                    </w:rPr>
                    <w:t>）</w:t>
                  </w:r>
                </w:p>
              </w:tc>
              <w:tc>
                <w:tcPr>
                  <w:tcW w:w="665"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Cm（</w:t>
                  </w:r>
                  <w:r>
                    <w:rPr>
                      <w:bCs/>
                      <w:color w:val="000000" w:themeColor="text1"/>
                      <w14:textFill>
                        <w14:solidFill>
                          <w14:schemeClr w14:val="tx1"/>
                        </w14:solidFill>
                      </w14:textFill>
                    </w:rPr>
                    <w:t>mg/m</w:t>
                  </w:r>
                  <w:r>
                    <w:rPr>
                      <w:bCs/>
                      <w:color w:val="000000" w:themeColor="text1"/>
                      <w:vertAlign w:val="superscript"/>
                      <w14:textFill>
                        <w14:solidFill>
                          <w14:schemeClr w14:val="tx1"/>
                        </w14:solidFill>
                      </w14:textFill>
                    </w:rPr>
                    <w:t>3</w:t>
                  </w:r>
                  <w:r>
                    <w:rPr>
                      <w:bCs/>
                      <w:color w:val="000000" w:themeColor="text1"/>
                      <w:szCs w:val="21"/>
                      <w14:textFill>
                        <w14:solidFill>
                          <w14:schemeClr w14:val="tx1"/>
                        </w14:solidFill>
                      </w14:textFill>
                    </w:rPr>
                    <w:t>）</w:t>
                  </w:r>
                </w:p>
              </w:tc>
              <w:tc>
                <w:tcPr>
                  <w:tcW w:w="445"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R（m）</w:t>
                  </w:r>
                </w:p>
              </w:tc>
              <w:tc>
                <w:tcPr>
                  <w:tcW w:w="360"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A</w:t>
                  </w:r>
                </w:p>
              </w:tc>
              <w:tc>
                <w:tcPr>
                  <w:tcW w:w="383"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B</w:t>
                  </w:r>
                </w:p>
              </w:tc>
              <w:tc>
                <w:tcPr>
                  <w:tcW w:w="338"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C</w:t>
                  </w:r>
                </w:p>
              </w:tc>
              <w:tc>
                <w:tcPr>
                  <w:tcW w:w="361"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D</w:t>
                  </w:r>
                </w:p>
              </w:tc>
              <w:tc>
                <w:tcPr>
                  <w:tcW w:w="522"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进5年平均风速</w:t>
                  </w:r>
                </w:p>
                <w:p>
                  <w:pPr>
                    <w:jc w:val="center"/>
                    <w:rPr>
                      <w:bCs/>
                      <w:color w:val="000000" w:themeColor="text1"/>
                      <w:szCs w:val="21"/>
                      <w14:textFill>
                        <w14:solidFill>
                          <w14:schemeClr w14:val="tx1"/>
                        </w14:solidFill>
                      </w14:textFill>
                    </w:rPr>
                  </w:pPr>
                  <w:r>
                    <w:rPr>
                      <w:bCs/>
                      <w:color w:val="000000" w:themeColor="text1"/>
                      <w14:textFill>
                        <w14:solidFill>
                          <w14:schemeClr w14:val="tx1"/>
                        </w14:solidFill>
                      </w14:textFill>
                    </w:rPr>
                    <w:t>（m/s）</w:t>
                  </w:r>
                </w:p>
              </w:tc>
              <w:tc>
                <w:tcPr>
                  <w:tcW w:w="445"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初值计算结果（m）</w:t>
                  </w:r>
                </w:p>
              </w:tc>
              <w:tc>
                <w:tcPr>
                  <w:tcW w:w="445"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级差（m）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rPr>
              <w:tc>
                <w:tcPr>
                  <w:tcW w:w="61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42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0.0007</w:t>
                  </w:r>
                </w:p>
              </w:tc>
              <w:tc>
                <w:tcPr>
                  <w:tcW w:w="66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44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8.29</w:t>
                  </w:r>
                </w:p>
              </w:tc>
              <w:tc>
                <w:tcPr>
                  <w:tcW w:w="36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470</w:t>
                  </w:r>
                </w:p>
              </w:tc>
              <w:tc>
                <w:tcPr>
                  <w:tcW w:w="3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0.021</w:t>
                  </w:r>
                </w:p>
              </w:tc>
              <w:tc>
                <w:tcPr>
                  <w:tcW w:w="33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1.85</w:t>
                  </w:r>
                </w:p>
              </w:tc>
              <w:tc>
                <w:tcPr>
                  <w:tcW w:w="3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0.84</w:t>
                  </w:r>
                </w:p>
              </w:tc>
              <w:tc>
                <w:tcPr>
                  <w:tcW w:w="52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2.2</w:t>
                  </w:r>
                </w:p>
              </w:tc>
              <w:tc>
                <w:tcPr>
                  <w:tcW w:w="44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1.713</w:t>
                  </w:r>
                </w:p>
              </w:tc>
              <w:tc>
                <w:tcPr>
                  <w:tcW w:w="44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r>
          </w:tbl>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根据《大气有害物质无组织排放卫生防护距离推导技术导则》（GB/T39499-2020），单一特征大气有害物质终值的确定，依据GB/T 39499-2020规定，L值为100m以内时，级差为50m；超过100m，小于或等于1000m时，级差为100m；超过1000m以上，级差为200m。</w:t>
            </w:r>
          </w:p>
          <w:p>
            <w:pPr>
              <w:pStyle w:val="18"/>
              <w:adjustRightInd w:val="0"/>
              <w:snapToGrid w:val="0"/>
              <w:spacing w:after="0" w:line="360" w:lineRule="auto"/>
              <w:ind w:left="0" w:leftChars="0"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采用趋近法计算L值，按最大Qc/Cm计，则本项目卫生防护距离为50米。根据周围环境现状和现场勘查结果可知，本项目边界距最近敏感点（上河坊润府）距离约130米，项目生产区车间外50m内无居民区、学校、医院等敏感点，满足项目环境防护距离50m范围内无居民、学校、医院等敏感点的要求。按以上要求处理后，运营期间项目产生的大气污染物均可以做到达标排放，不会对当地大气环境造成不良影响。项目卫生防护距离包络线图见</w:t>
            </w:r>
            <w:r>
              <w:rPr>
                <w:b/>
                <w:bCs/>
                <w:color w:val="000000" w:themeColor="text1"/>
                <w:sz w:val="21"/>
                <w:szCs w:val="21"/>
                <w14:textFill>
                  <w14:solidFill>
                    <w14:schemeClr w14:val="tx1"/>
                  </w14:solidFill>
                </w14:textFill>
              </w:rPr>
              <w:t>附图5</w:t>
            </w:r>
            <w:r>
              <w:rPr>
                <w:color w:val="000000" w:themeColor="text1"/>
                <w:sz w:val="21"/>
                <w:szCs w:val="21"/>
                <w14:textFill>
                  <w14:solidFill>
                    <w14:schemeClr w14:val="tx1"/>
                  </w14:solidFill>
                </w14:textFill>
              </w:rPr>
              <w:t>。</w:t>
            </w:r>
          </w:p>
          <w:p>
            <w:pPr>
              <w:tabs>
                <w:tab w:val="left" w:pos="0"/>
              </w:tabs>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5、环保措施可行性分析</w:t>
            </w:r>
          </w:p>
          <w:p>
            <w:pPr>
              <w:autoSpaceDE w:val="0"/>
              <w:autoSpaceDN w:val="0"/>
              <w:adjustRightInd w:val="0"/>
              <w:snapToGrid w:val="0"/>
              <w:spacing w:line="360" w:lineRule="auto"/>
              <w:ind w:firstLine="420" w:firstLineChars="200"/>
              <w:jc w:val="left"/>
              <w:rPr>
                <w:bCs/>
                <w:color w:val="000000" w:themeColor="text1"/>
                <w:kern w:val="21"/>
                <w:szCs w:val="21"/>
                <w14:textFill>
                  <w14:solidFill>
                    <w14:schemeClr w14:val="tx1"/>
                  </w14:solidFill>
                </w14:textFill>
              </w:rPr>
            </w:pPr>
            <w:r>
              <w:rPr>
                <w:bCs/>
                <w:color w:val="000000" w:themeColor="text1"/>
                <w:kern w:val="21"/>
                <w:szCs w:val="21"/>
                <w14:textFill>
                  <w14:solidFill>
                    <w14:schemeClr w14:val="tx1"/>
                  </w14:solidFill>
                </w14:textFill>
              </w:rPr>
              <w:t>根据</w:t>
            </w:r>
            <w:r>
              <w:fldChar w:fldCharType="begin"/>
            </w:r>
            <w:r>
              <w:instrText xml:space="preserve"> HYPERLINK "http://www.mee.gov.cn/ywgz/fgbz/bz/bzwb/pwxk/202004/W020200401327032592051.pdf" </w:instrText>
            </w:r>
            <w:r>
              <w:fldChar w:fldCharType="separate"/>
            </w:r>
            <w:r>
              <w:rPr>
                <w:bCs/>
                <w:color w:val="000000" w:themeColor="text1"/>
                <w:kern w:val="21"/>
                <w:szCs w:val="21"/>
                <w14:textFill>
                  <w14:solidFill>
                    <w14:schemeClr w14:val="tx1"/>
                  </w14:solidFill>
                </w14:textFill>
              </w:rPr>
              <w:t>《排污许可证申请与核发技术规范 橡胶和塑料制品工业》（HJ1122-2020）</w:t>
            </w:r>
            <w:r>
              <w:rPr>
                <w:bCs/>
                <w:color w:val="000000" w:themeColor="text1"/>
                <w:kern w:val="21"/>
                <w:szCs w:val="21"/>
                <w14:textFill>
                  <w14:solidFill>
                    <w14:schemeClr w14:val="tx1"/>
                  </w14:solidFill>
                </w14:textFill>
              </w:rPr>
              <w:fldChar w:fldCharType="end"/>
            </w:r>
            <w:r>
              <w:rPr>
                <w:bCs/>
                <w:color w:val="000000" w:themeColor="text1"/>
                <w:kern w:val="21"/>
                <w:szCs w:val="21"/>
                <w14:textFill>
                  <w14:solidFill>
                    <w14:schemeClr w14:val="tx1"/>
                  </w14:solidFill>
                </w14:textFill>
              </w:rPr>
              <w:t>表A.2 塑料制品工业排污单位废气污染防治可行技术参考表，使用除聚氯乙烯以外的树脂生产塑料包装箱及容器：-非甲烷总烃的可行技术为“喷淋；吸附；吸附浓缩+热力燃烧/催化燃烧”，项目采用活性炭吸附属于可行性技术，因此项目采用两级活性炭吸附装置对有机废气进行处理符合技术规范的相关要求</w:t>
            </w:r>
            <w:r>
              <w:rPr>
                <w:color w:val="000000" w:themeColor="text1"/>
                <w:szCs w:val="21"/>
                <w14:textFill>
                  <w14:solidFill>
                    <w14:schemeClr w14:val="tx1"/>
                  </w14:solidFill>
                </w14:textFill>
              </w:rPr>
              <w:t>，因此项目采用的 “活性炭吸附”属于可行性技术。</w:t>
            </w:r>
          </w:p>
          <w:p>
            <w:pPr>
              <w:pStyle w:val="84"/>
              <w:adjustRightInd w:val="0"/>
              <w:snapToGrid w:val="0"/>
              <w:spacing w:line="360" w:lineRule="auto"/>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14:textFill>
                  <w14:solidFill>
                    <w14:schemeClr w14:val="tx1"/>
                  </w14:solidFill>
                </w14:textFill>
              </w:rPr>
              <w:t>表</w:t>
            </w:r>
            <w:r>
              <w:rPr>
                <w:rFonts w:cs="Times New Roman"/>
                <w:b/>
                <w:bCs/>
                <w:color w:val="000000" w:themeColor="text1"/>
                <w:szCs w:val="21"/>
                <w14:textFill>
                  <w14:solidFill>
                    <w14:schemeClr w14:val="tx1"/>
                  </w14:solidFill>
                </w14:textFill>
              </w:rPr>
              <w:t>4</w:t>
            </w:r>
            <w:r>
              <w:rPr>
                <w:rFonts w:cs="Times New Roman"/>
                <w:b/>
                <w:bCs/>
                <w:color w:val="000000" w:themeColor="text1"/>
                <w:szCs w:val="21"/>
                <w:lang w:eastAsia="zh-CN"/>
                <w14:textFill>
                  <w14:solidFill>
                    <w14:schemeClr w14:val="tx1"/>
                  </w14:solidFill>
                </w14:textFill>
              </w:rPr>
              <w:t>-10 废气防治可行性技术对照一览表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435"/>
              <w:gridCol w:w="1198"/>
              <w:gridCol w:w="1072"/>
              <w:gridCol w:w="2114"/>
              <w:gridCol w:w="1204"/>
              <w:gridCol w:w="1014"/>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6"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序号</w:t>
                  </w:r>
                </w:p>
              </w:tc>
              <w:tc>
                <w:tcPr>
                  <w:tcW w:w="831"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主要生产工序</w:t>
                  </w:r>
                </w:p>
              </w:tc>
              <w:tc>
                <w:tcPr>
                  <w:tcW w:w="694"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主要生产装置</w:t>
                  </w:r>
                </w:p>
              </w:tc>
              <w:tc>
                <w:tcPr>
                  <w:tcW w:w="621"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污染物项目</w:t>
                  </w:r>
                </w:p>
              </w:tc>
              <w:tc>
                <w:tcPr>
                  <w:tcW w:w="1224"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可行技术</w:t>
                  </w:r>
                </w:p>
              </w:tc>
              <w:tc>
                <w:tcPr>
                  <w:tcW w:w="697"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本项目</w:t>
                  </w:r>
                </w:p>
              </w:tc>
              <w:tc>
                <w:tcPr>
                  <w:tcW w:w="588" w:type="pct"/>
                  <w:vAlign w:val="center"/>
                </w:tcPr>
                <w:p>
                  <w:pPr>
                    <w:pStyle w:val="84"/>
                    <w:adjustRightInd w:val="0"/>
                    <w:snapToGrid w:val="0"/>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是否可行</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46"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1</w:t>
                  </w:r>
                </w:p>
              </w:tc>
              <w:tc>
                <w:tcPr>
                  <w:tcW w:w="831"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注塑工序</w:t>
                  </w:r>
                </w:p>
              </w:tc>
              <w:tc>
                <w:tcPr>
                  <w:tcW w:w="694"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注塑机</w:t>
                  </w:r>
                </w:p>
              </w:tc>
              <w:tc>
                <w:tcPr>
                  <w:tcW w:w="621"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非甲烷总烃</w:t>
                  </w:r>
                </w:p>
              </w:tc>
              <w:tc>
                <w:tcPr>
                  <w:tcW w:w="1224"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bCs/>
                      <w:color w:val="000000" w:themeColor="text1"/>
                      <w:kern w:val="21"/>
                      <w:szCs w:val="21"/>
                      <w14:textFill>
                        <w14:solidFill>
                          <w14:schemeClr w14:val="tx1"/>
                        </w14:solidFill>
                      </w14:textFill>
                    </w:rPr>
                    <w:t>喷淋；吸附；吸附浓缩+热力燃烧/催化燃烧</w:t>
                  </w:r>
                </w:p>
              </w:tc>
              <w:tc>
                <w:tcPr>
                  <w:tcW w:w="697"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bCs/>
                      <w:color w:val="000000" w:themeColor="text1"/>
                      <w:kern w:val="21"/>
                      <w:szCs w:val="21"/>
                      <w14:textFill>
                        <w14:solidFill>
                          <w14:schemeClr w14:val="tx1"/>
                        </w14:solidFill>
                      </w14:textFill>
                    </w:rPr>
                    <w:t>两级活性炭吸附</w:t>
                  </w:r>
                </w:p>
              </w:tc>
              <w:tc>
                <w:tcPr>
                  <w:tcW w:w="588" w:type="pct"/>
                  <w:vAlign w:val="center"/>
                </w:tcPr>
                <w:p>
                  <w:pPr>
                    <w:pStyle w:val="84"/>
                    <w:adjustRightInd w:val="0"/>
                    <w:snapToGrid w:val="0"/>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可行</w:t>
                  </w:r>
                </w:p>
              </w:tc>
            </w:tr>
          </w:tbl>
          <w:p>
            <w:pPr>
              <w:adjustRightInd w:val="0"/>
              <w:snapToGrid w:val="0"/>
              <w:spacing w:line="360" w:lineRule="auto"/>
              <w:ind w:firstLine="422" w:firstLineChars="200"/>
              <w:rPr>
                <w:b/>
                <w:bCs/>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6、</w:t>
            </w:r>
            <w:r>
              <w:rPr>
                <w:b/>
                <w:bCs/>
                <w:color w:val="000000" w:themeColor="text1"/>
                <w:szCs w:val="21"/>
                <w14:textFill>
                  <w14:solidFill>
                    <w14:schemeClr w14:val="tx1"/>
                  </w14:solidFill>
                </w14:textFill>
              </w:rPr>
              <w:t>大气环境影响分析</w:t>
            </w:r>
          </w:p>
          <w:p>
            <w:pPr>
              <w:adjustRightInd w:val="0"/>
              <w:snapToGrid w:val="0"/>
              <w:spacing w:line="360" w:lineRule="auto"/>
              <w:ind w:firstLine="420" w:firstLineChars="200"/>
              <w:rPr>
                <w:color w:val="000000" w:themeColor="text1"/>
                <w:sz w:val="24"/>
                <w14:textFill>
                  <w14:solidFill>
                    <w14:schemeClr w14:val="tx1"/>
                  </w14:solidFill>
                </w14:textFill>
              </w:rPr>
            </w:pPr>
            <w:r>
              <w:rPr>
                <w:bCs/>
                <w:color w:val="000000" w:themeColor="text1"/>
                <w:kern w:val="21"/>
                <w:szCs w:val="21"/>
                <w14:textFill>
                  <w14:solidFill>
                    <w14:schemeClr w14:val="tx1"/>
                  </w14:solidFill>
                </w14:textFill>
              </w:rPr>
              <w:t>本项目评价区域环境空气质量较好，</w:t>
            </w:r>
            <w:r>
              <w:rPr>
                <w:color w:val="000000" w:themeColor="text1"/>
                <w:szCs w:val="21"/>
                <w14:textFill>
                  <w14:solidFill>
                    <w14:schemeClr w14:val="tx1"/>
                  </w14:solidFill>
                </w14:textFill>
              </w:rPr>
              <w:t>特征因子</w:t>
            </w:r>
            <w:r>
              <w:rPr>
                <w:bCs/>
                <w:color w:val="000000" w:themeColor="text1"/>
                <w:spacing w:val="4"/>
                <w:kern w:val="18"/>
                <w:szCs w:val="21"/>
                <w14:textFill>
                  <w14:solidFill>
                    <w14:schemeClr w14:val="tx1"/>
                  </w14:solidFill>
                </w14:textFill>
              </w:rPr>
              <w:t>TVOC可以达到《环境影响评价技术导则大气环境》（HJ2.2-2018）附录D.1其他污染物空气质量浓度参考限值</w:t>
            </w:r>
            <w:r>
              <w:rPr>
                <w:bCs/>
                <w:color w:val="000000" w:themeColor="text1"/>
                <w:kern w:val="21"/>
                <w:szCs w:val="21"/>
                <w14:textFill>
                  <w14:solidFill>
                    <w14:schemeClr w14:val="tx1"/>
                  </w14:solidFill>
                </w14:textFill>
              </w:rPr>
              <w:t>，本项目各产污环节产生的废气均做到了有效收集，选取的污染防治设施属于排污许可证申请与核发技术规范推荐的可行性技术，可以做到达标排放，本项目外排废气的区域环境影响较小。</w:t>
            </w: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8" w:type="default"/>
          <w:pgSz w:w="11906" w:h="16838"/>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1"/>
        <w:gridCol w:w="8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1" w:hRule="atLeast"/>
          <w:jc w:val="center"/>
        </w:trPr>
        <w:tc>
          <w:tcPr>
            <w:tcW w:w="318" w:type="pct"/>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682" w:type="pct"/>
          </w:tcPr>
          <w:p>
            <w:pPr>
              <w:numPr>
                <w:ilvl w:val="0"/>
                <w:numId w:val="19"/>
              </w:numPr>
              <w:adjustRightInd w:val="0"/>
              <w:snapToGrid w:val="0"/>
              <w:spacing w:line="360" w:lineRule="auto"/>
              <w:ind w:left="0" w:firstLine="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废水</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szCs w:val="21"/>
                <w14:textFill>
                  <w14:solidFill>
                    <w14:schemeClr w14:val="tx1"/>
                  </w14:solidFill>
                </w14:textFill>
              </w:rPr>
              <w:t>项目设置1台30m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的冷却塔，间接冷却水经冷却塔循环循环冷却后再回用于冷却工序，不外排。冷却水为自来水，无需添加冷却剂等，冷却用水在循环使用过程中存在少量的损耗，需要补给水，本项目的冷却塔的补充新鲜水约3.6t/d（1080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/a），冷却系统无旁滤装置，因此无冷却废水排放。</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本项目员工人数50人，均不在项目内食宿，年平均工作300天，根据《用水定额 第3部分：生活》（DB44/T1461.3-2021），用水定额按10m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/人•d，则员工生活用水量为1.67t/d（500t/a），产污系数按0.8计，则本项目生活污水产生量为1.34t/d（400t/a）。</w:t>
            </w:r>
          </w:p>
          <w:p>
            <w:pPr>
              <w:numPr>
                <w:ilvl w:val="0"/>
                <w:numId w:val="24"/>
              </w:numPr>
              <w:adjustRightInd w:val="0"/>
              <w:snapToGrid w:val="0"/>
              <w:spacing w:line="360" w:lineRule="auto"/>
              <w:ind w:firstLine="422" w:firstLineChars="200"/>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源强核算</w:t>
            </w:r>
          </w:p>
          <w:p>
            <w:pPr>
              <w:adjustRightInd w:val="0"/>
              <w:snapToGrid w:val="0"/>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color w:val="000000" w:themeColor="text1"/>
                <w:szCs w:val="21"/>
                <w14:textFill>
                  <w14:solidFill>
                    <w14:schemeClr w14:val="tx1"/>
                  </w14:solidFill>
                </w14:textFill>
              </w:rPr>
              <w:t>4-11</w:t>
            </w:r>
            <w:r>
              <w:rPr>
                <w:b/>
                <w:bCs/>
                <w:color w:val="000000" w:themeColor="text1"/>
                <w:szCs w:val="21"/>
                <w14:textFill>
                  <w14:solidFill>
                    <w14:schemeClr w14:val="tx1"/>
                  </w14:solidFill>
                </w14:textFill>
              </w:rPr>
              <w:t>废水污染物源强核算结果一览表</w:t>
            </w:r>
          </w:p>
          <w:tbl>
            <w:tblPr>
              <w:tblStyle w:val="29"/>
              <w:tblW w:w="4997" w:type="pct"/>
              <w:tblInd w:w="0" w:type="dxa"/>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68"/>
              <w:gridCol w:w="698"/>
              <w:gridCol w:w="723"/>
              <w:gridCol w:w="752"/>
              <w:gridCol w:w="686"/>
              <w:gridCol w:w="459"/>
              <w:gridCol w:w="481"/>
              <w:gridCol w:w="459"/>
              <w:gridCol w:w="763"/>
              <w:gridCol w:w="755"/>
              <w:gridCol w:w="542"/>
              <w:gridCol w:w="889"/>
              <w:gridCol w:w="889"/>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18" w:type="pct"/>
                  <w:vMerge w:val="restart"/>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产排污环节</w:t>
                  </w:r>
                </w:p>
              </w:tc>
              <w:tc>
                <w:tcPr>
                  <w:tcW w:w="412" w:type="pct"/>
                  <w:vMerge w:val="restar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污染物</w:t>
                  </w:r>
                  <w:r>
                    <w:rPr>
                      <w:b/>
                      <w:color w:val="000000" w:themeColor="text1"/>
                      <w:kern w:val="0"/>
                      <w14:textFill>
                        <w14:solidFill>
                          <w14:schemeClr w14:val="tx1"/>
                        </w14:solidFill>
                      </w14:textFill>
                    </w:rPr>
                    <w:t>种类</w:t>
                  </w:r>
                </w:p>
              </w:tc>
              <w:tc>
                <w:tcPr>
                  <w:tcW w:w="871" w:type="pct"/>
                  <w:gridSpan w:val="2"/>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污染物产生情况</w:t>
                  </w:r>
                </w:p>
              </w:tc>
              <w:tc>
                <w:tcPr>
                  <w:tcW w:w="405"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治理措施</w:t>
                  </w:r>
                </w:p>
              </w:tc>
              <w:tc>
                <w:tcPr>
                  <w:tcW w:w="1723" w:type="pct"/>
                  <w:gridSpan w:val="5"/>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污染物排放情况</w:t>
                  </w:r>
                </w:p>
              </w:tc>
              <w:tc>
                <w:tcPr>
                  <w:tcW w:w="320" w:type="pct"/>
                  <w:vMerge w:val="restart"/>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排放方式</w:t>
                  </w:r>
                </w:p>
              </w:tc>
              <w:tc>
                <w:tcPr>
                  <w:tcW w:w="525" w:type="pct"/>
                  <w:vMerge w:val="restart"/>
                  <w:noWrap/>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排放去向</w:t>
                  </w:r>
                </w:p>
              </w:tc>
              <w:tc>
                <w:tcPr>
                  <w:tcW w:w="525" w:type="pct"/>
                  <w:vMerge w:val="restart"/>
                  <w:noWrap/>
                  <w:tcMar>
                    <w:top w:w="15" w:type="dxa"/>
                    <w:left w:w="15" w:type="dxa"/>
                    <w:right w:w="15" w:type="dxa"/>
                  </w:tcMar>
                  <w:vAlign w:val="center"/>
                </w:tcPr>
                <w:p>
                  <w:pPr>
                    <w:widowControl/>
                    <w:jc w:val="center"/>
                    <w:textAlignment w:val="center"/>
                    <w:rPr>
                      <w:b/>
                      <w:bCs/>
                      <w:color w:val="000000" w:themeColor="text1"/>
                      <w:szCs w:val="21"/>
                      <w14:textFill>
                        <w14:solidFill>
                          <w14:schemeClr w14:val="tx1"/>
                        </w14:solidFill>
                      </w14:textFill>
                    </w:rPr>
                  </w:pPr>
                  <w:r>
                    <w:rPr>
                      <w:b/>
                      <w:bCs/>
                      <w:color w:val="000000" w:themeColor="text1"/>
                      <w:kern w:val="0"/>
                      <w:szCs w:val="21"/>
                      <w:lang w:bidi="ar"/>
                      <w14:textFill>
                        <w14:solidFill>
                          <w14:schemeClr w14:val="tx1"/>
                        </w14:solidFill>
                      </w14:textFill>
                    </w:rPr>
                    <w:t>排放规律</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18"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412" w:type="pct"/>
                  <w:vMerge w:val="continue"/>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p>
              </w:tc>
              <w:tc>
                <w:tcPr>
                  <w:tcW w:w="427"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产生量</w:t>
                  </w:r>
                  <w:r>
                    <w:rPr>
                      <w:b/>
                      <w:color w:val="000000" w:themeColor="text1"/>
                      <w:kern w:val="0"/>
                      <w:szCs w:val="21"/>
                      <w14:textFill>
                        <w14:solidFill>
                          <w14:schemeClr w14:val="tx1"/>
                        </w14:solidFill>
                      </w14:textFill>
                    </w:rPr>
                    <w:t>（t/a</w:t>
                  </w:r>
                  <w:r>
                    <w:rPr>
                      <w:bCs/>
                      <w:color w:val="000000" w:themeColor="text1"/>
                      <w:kern w:val="0"/>
                      <w:szCs w:val="21"/>
                      <w14:textFill>
                        <w14:solidFill>
                          <w14:schemeClr w14:val="tx1"/>
                        </w14:solidFill>
                      </w14:textFill>
                    </w:rPr>
                    <w:t>）</w:t>
                  </w:r>
                </w:p>
              </w:tc>
              <w:tc>
                <w:tcPr>
                  <w:tcW w:w="444"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产生浓度</w:t>
                  </w:r>
                  <w:r>
                    <w:rPr>
                      <w:b/>
                      <w:color w:val="000000" w:themeColor="text1"/>
                      <w:kern w:val="0"/>
                      <w:szCs w:val="21"/>
                      <w14:textFill>
                        <w14:solidFill>
                          <w14:schemeClr w14:val="tx1"/>
                        </w14:solidFill>
                      </w14:textFill>
                    </w:rPr>
                    <w:t>mg/L</w:t>
                  </w:r>
                </w:p>
              </w:tc>
              <w:tc>
                <w:tcPr>
                  <w:tcW w:w="405"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工艺</w:t>
                  </w:r>
                </w:p>
              </w:tc>
              <w:tc>
                <w:tcPr>
                  <w:tcW w:w="271"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治理效率</w:t>
                  </w:r>
                  <w:r>
                    <w:rPr>
                      <w:b/>
                      <w:color w:val="000000" w:themeColor="text1"/>
                      <w:kern w:val="0"/>
                      <w:szCs w:val="21"/>
                      <w14:textFill>
                        <w14:solidFill>
                          <w14:schemeClr w14:val="tx1"/>
                        </w14:solidFill>
                      </w14:textFill>
                    </w:rPr>
                    <w:t>/%</w:t>
                  </w:r>
                </w:p>
              </w:tc>
              <w:tc>
                <w:tcPr>
                  <w:tcW w:w="284" w:type="pct"/>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是否为可行技术</w:t>
                  </w:r>
                </w:p>
              </w:tc>
              <w:tc>
                <w:tcPr>
                  <w:tcW w:w="271" w:type="pct"/>
                  <w:tcMar>
                    <w:top w:w="15" w:type="dxa"/>
                    <w:left w:w="15" w:type="dxa"/>
                    <w:right w:w="15" w:type="dxa"/>
                  </w:tcMar>
                  <w:vAlign w:val="center"/>
                </w:tcPr>
                <w:p>
                  <w:pPr>
                    <w:widowControl/>
                    <w:jc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废水排放量t/a</w:t>
                  </w:r>
                </w:p>
              </w:tc>
              <w:tc>
                <w:tcPr>
                  <w:tcW w:w="451"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排放量</w:t>
                  </w:r>
                  <w:r>
                    <w:rPr>
                      <w:bCs/>
                      <w:color w:val="000000" w:themeColor="text1"/>
                      <w:kern w:val="0"/>
                      <w:szCs w:val="21"/>
                      <w14:textFill>
                        <w14:solidFill>
                          <w14:schemeClr w14:val="tx1"/>
                        </w14:solidFill>
                      </w14:textFill>
                    </w:rPr>
                    <w:t>（</w:t>
                  </w:r>
                  <w:r>
                    <w:rPr>
                      <w:b/>
                      <w:color w:val="000000" w:themeColor="text1"/>
                      <w:kern w:val="0"/>
                      <w:szCs w:val="21"/>
                      <w14:textFill>
                        <w14:solidFill>
                          <w14:schemeClr w14:val="tx1"/>
                        </w14:solidFill>
                      </w14:textFill>
                    </w:rPr>
                    <w:t>t/a</w:t>
                  </w:r>
                  <w:r>
                    <w:rPr>
                      <w:bCs/>
                      <w:color w:val="000000" w:themeColor="text1"/>
                      <w:kern w:val="0"/>
                      <w:szCs w:val="21"/>
                      <w14:textFill>
                        <w14:solidFill>
                          <w14:schemeClr w14:val="tx1"/>
                        </w14:solidFill>
                      </w14:textFill>
                    </w:rPr>
                    <w:t>）</w:t>
                  </w:r>
                </w:p>
              </w:tc>
              <w:tc>
                <w:tcPr>
                  <w:tcW w:w="446" w:type="pct"/>
                  <w:tcMar>
                    <w:top w:w="15" w:type="dxa"/>
                    <w:left w:w="15" w:type="dxa"/>
                    <w:right w:w="15" w:type="dxa"/>
                  </w:tcMar>
                  <w:vAlign w:val="center"/>
                </w:tcPr>
                <w:p>
                  <w:pPr>
                    <w:widowControl/>
                    <w:jc w:val="center"/>
                    <w:textAlignment w:val="center"/>
                    <w:rPr>
                      <w:b/>
                      <w:color w:val="000000" w:themeColor="text1"/>
                      <w:kern w:val="0"/>
                      <w:szCs w:val="21"/>
                      <w:lang w:bidi="ar"/>
                      <w14:textFill>
                        <w14:solidFill>
                          <w14:schemeClr w14:val="tx1"/>
                        </w14:solidFill>
                      </w14:textFill>
                    </w:rPr>
                  </w:pPr>
                  <w:r>
                    <w:rPr>
                      <w:b/>
                      <w:color w:val="000000" w:themeColor="text1"/>
                      <w:kern w:val="0"/>
                      <w:szCs w:val="21"/>
                      <w:lang w:bidi="ar"/>
                      <w14:textFill>
                        <w14:solidFill>
                          <w14:schemeClr w14:val="tx1"/>
                        </w14:solidFill>
                      </w14:textFill>
                    </w:rPr>
                    <w:t>排放浓度mg/L</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noWrap/>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noWrap/>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18" w:type="pct"/>
                  <w:vMerge w:val="restar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生活污水</w:t>
                  </w:r>
                </w:p>
              </w:tc>
              <w:tc>
                <w:tcPr>
                  <w:tcW w:w="412" w:type="pct"/>
                  <w:noWrap/>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COD</w:t>
                  </w:r>
                  <w:r>
                    <w:rPr>
                      <w:rStyle w:val="83"/>
                      <w:rFonts w:hint="default" w:ascii="Times New Roman" w:hAnsi="Times New Roman" w:cs="Times New Roman"/>
                      <w:color w:val="000000" w:themeColor="text1"/>
                      <w:lang w:bidi="ar"/>
                      <w14:textFill>
                        <w14:solidFill>
                          <w14:schemeClr w14:val="tx1"/>
                        </w14:solidFill>
                      </w14:textFill>
                    </w:rPr>
                    <w:t>cr</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0.112</w:t>
                  </w:r>
                </w:p>
              </w:tc>
              <w:tc>
                <w:tcPr>
                  <w:tcW w:w="44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280</w:t>
                  </w:r>
                </w:p>
              </w:tc>
              <w:tc>
                <w:tcPr>
                  <w:tcW w:w="405" w:type="pct"/>
                  <w:vMerge w:val="restar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三级化粪池+</w:t>
                  </w:r>
                  <w:r>
                    <w:rPr>
                      <w:color w:val="000000" w:themeColor="text1"/>
                      <w14:textFill>
                        <w14:solidFill>
                          <w14:schemeClr w14:val="tx1"/>
                        </w14:solidFill>
                      </w14:textFill>
                    </w:rPr>
                    <w:t>博罗县石湾镇西基生活污水处理厂</w:t>
                  </w:r>
                </w:p>
              </w:tc>
              <w:tc>
                <w:tcPr>
                  <w:tcW w:w="271" w:type="pct"/>
                  <w:vMerge w:val="restar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84" w:type="pct"/>
                  <w:vMerge w:val="restar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是</w:t>
                  </w:r>
                </w:p>
              </w:tc>
              <w:tc>
                <w:tcPr>
                  <w:tcW w:w="271" w:type="pct"/>
                  <w:vMerge w:val="restar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0.016</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320" w:type="pct"/>
                  <w:vMerge w:val="restart"/>
                  <w:tcMar>
                    <w:top w:w="15" w:type="dxa"/>
                    <w:left w:w="15" w:type="dxa"/>
                    <w:right w:w="15" w:type="dxa"/>
                  </w:tcMar>
                  <w:vAlign w:val="center"/>
                </w:tcPr>
                <w:p>
                  <w:pPr>
                    <w:widowControl/>
                    <w:jc w:val="center"/>
                    <w:textAlignment w:val="center"/>
                    <w:rPr>
                      <w:bCs/>
                      <w:color w:val="000000" w:themeColor="text1"/>
                      <w:szCs w:val="21"/>
                      <w14:textFill>
                        <w14:solidFill>
                          <w14:schemeClr w14:val="tx1"/>
                        </w14:solidFill>
                      </w14:textFill>
                    </w:rPr>
                  </w:pPr>
                  <w:r>
                    <w:rPr>
                      <w:bCs/>
                      <w:color w:val="000000" w:themeColor="text1"/>
                      <w:kern w:val="0"/>
                      <w:szCs w:val="21"/>
                      <w:lang w:bidi="ar"/>
                      <w14:textFill>
                        <w14:solidFill>
                          <w14:schemeClr w14:val="tx1"/>
                        </w14:solidFill>
                      </w14:textFill>
                    </w:rPr>
                    <w:t>间接排放</w:t>
                  </w:r>
                </w:p>
              </w:tc>
              <w:tc>
                <w:tcPr>
                  <w:tcW w:w="525" w:type="pct"/>
                  <w:vMerge w:val="restart"/>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14:textFill>
                        <w14:solidFill>
                          <w14:schemeClr w14:val="tx1"/>
                        </w14:solidFill>
                      </w14:textFill>
                    </w:rPr>
                    <w:t>博罗县石湾镇西基生活污水处理厂</w:t>
                  </w:r>
                  <w:r>
                    <w:rPr>
                      <w:color w:val="000000" w:themeColor="text1"/>
                      <w:kern w:val="0"/>
                      <w:szCs w:val="21"/>
                      <w:lang w:bidi="ar"/>
                      <w14:textFill>
                        <w14:solidFill>
                          <w14:schemeClr w14:val="tx1"/>
                        </w14:solidFill>
                      </w14:textFill>
                    </w:rPr>
                    <w:t xml:space="preserve"> </w:t>
                  </w:r>
                </w:p>
              </w:tc>
              <w:tc>
                <w:tcPr>
                  <w:tcW w:w="525" w:type="pct"/>
                  <w:vMerge w:val="restart"/>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间断排放、排放期间流量稳定</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218"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12" w:type="pct"/>
                  <w:noWrap/>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BOD</w:t>
                  </w:r>
                  <w:r>
                    <w:rPr>
                      <w:rStyle w:val="83"/>
                      <w:rFonts w:hint="default" w:ascii="Times New Roman" w:hAnsi="Times New Roman" w:cs="Times New Roman"/>
                      <w:color w:val="000000" w:themeColor="text1"/>
                      <w:lang w:bidi="ar"/>
                      <w14:textFill>
                        <w14:solidFill>
                          <w14:schemeClr w14:val="tx1"/>
                        </w14:solidFill>
                      </w14:textFill>
                    </w:rPr>
                    <w:t>5</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0.064</w:t>
                  </w:r>
                </w:p>
              </w:tc>
              <w:tc>
                <w:tcPr>
                  <w:tcW w:w="44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160</w:t>
                  </w:r>
                </w:p>
              </w:tc>
              <w:tc>
                <w:tcPr>
                  <w:tcW w:w="40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84"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0.004</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218"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12" w:type="pct"/>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总磷</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0.002</w:t>
                  </w:r>
                </w:p>
              </w:tc>
              <w:tc>
                <w:tcPr>
                  <w:tcW w:w="444" w:type="pct"/>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5</w:t>
                  </w:r>
                </w:p>
              </w:tc>
              <w:tc>
                <w:tcPr>
                  <w:tcW w:w="40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84"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0.00016</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218"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12" w:type="pct"/>
                  <w:noWrap/>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总氮</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0.012</w:t>
                  </w:r>
                </w:p>
              </w:tc>
              <w:tc>
                <w:tcPr>
                  <w:tcW w:w="444" w:type="pct"/>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30</w:t>
                  </w:r>
                </w:p>
              </w:tc>
              <w:tc>
                <w:tcPr>
                  <w:tcW w:w="40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84"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0.0008</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18"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12" w:type="pct"/>
                  <w:noWrap/>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SS</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0.060</w:t>
                  </w:r>
                </w:p>
              </w:tc>
              <w:tc>
                <w:tcPr>
                  <w:tcW w:w="44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150</w:t>
                  </w:r>
                </w:p>
              </w:tc>
              <w:tc>
                <w:tcPr>
                  <w:tcW w:w="40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84"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0.004</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18"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12" w:type="pct"/>
                  <w:noWrap/>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NH</w:t>
                  </w:r>
                  <w:r>
                    <w:rPr>
                      <w:rStyle w:val="83"/>
                      <w:rFonts w:hint="default" w:ascii="Times New Roman" w:hAnsi="Times New Roman" w:cs="Times New Roman"/>
                      <w:color w:val="000000" w:themeColor="text1"/>
                      <w:vertAlign w:val="subscript"/>
                      <w:lang w:bidi="ar"/>
                      <w14:textFill>
                        <w14:solidFill>
                          <w14:schemeClr w14:val="tx1"/>
                        </w14:solidFill>
                      </w14:textFill>
                    </w:rPr>
                    <w:t>3</w:t>
                  </w:r>
                  <w:r>
                    <w:rPr>
                      <w:rStyle w:val="82"/>
                      <w:color w:val="000000" w:themeColor="text1"/>
                      <w:lang w:bidi="ar"/>
                      <w14:textFill>
                        <w14:solidFill>
                          <w14:schemeClr w14:val="tx1"/>
                        </w14:solidFill>
                      </w14:textFill>
                    </w:rPr>
                    <w:t>-N</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0.010</w:t>
                  </w:r>
                </w:p>
              </w:tc>
              <w:tc>
                <w:tcPr>
                  <w:tcW w:w="44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25</w:t>
                  </w:r>
                </w:p>
              </w:tc>
              <w:tc>
                <w:tcPr>
                  <w:tcW w:w="40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84"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271"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0.0008</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31" w:type="pct"/>
                  <w:gridSpan w:val="2"/>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合计</w:t>
                  </w:r>
                </w:p>
              </w:tc>
              <w:tc>
                <w:tcPr>
                  <w:tcW w:w="427"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4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05"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7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84"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27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c>
                <w:tcPr>
                  <w:tcW w:w="451"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446" w:type="pct"/>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w:t>
                  </w:r>
                </w:p>
              </w:tc>
              <w:tc>
                <w:tcPr>
                  <w:tcW w:w="320" w:type="pct"/>
                  <w:vMerge w:val="continue"/>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25" w:type="pct"/>
                  <w:vMerge w:val="continue"/>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bl>
          <w:p>
            <w:pPr>
              <w:pStyle w:val="44"/>
              <w:spacing w:line="500" w:lineRule="exact"/>
              <w:ind w:firstLine="420"/>
              <w:rPr>
                <w:color w:val="000000" w:themeColor="text1"/>
                <w:kern w:val="2"/>
                <w:sz w:val="21"/>
                <w:szCs w:val="21"/>
                <w14:textFill>
                  <w14:solidFill>
                    <w14:schemeClr w14:val="tx1"/>
                  </w14:solidFill>
                </w14:textFill>
              </w:rPr>
            </w:pPr>
            <w:r>
              <w:rPr>
                <w:color w:val="000000" w:themeColor="text1"/>
                <w:kern w:val="2"/>
                <w:sz w:val="21"/>
                <w:szCs w:val="21"/>
                <w14:textFill>
                  <w14:solidFill>
                    <w14:schemeClr w14:val="tx1"/>
                  </w14:solidFill>
                </w14:textFill>
              </w:rPr>
              <w:t>综上所述，本项目生活污水的总产生量为400t</w:t>
            </w:r>
            <w:r>
              <w:rPr>
                <w:color w:val="000000" w:themeColor="text1"/>
                <w:sz w:val="21"/>
                <w:szCs w:val="21"/>
                <w14:textFill>
                  <w14:solidFill>
                    <w14:schemeClr w14:val="tx1"/>
                  </w14:solidFill>
                </w14:textFill>
              </w:rPr>
              <w:t>/a</w:t>
            </w:r>
            <w:r>
              <w:rPr>
                <w:color w:val="000000" w:themeColor="text1"/>
                <w:kern w:val="2"/>
                <w:sz w:val="21"/>
                <w:szCs w:val="21"/>
                <w14:textFill>
                  <w14:solidFill>
                    <w14:schemeClr w14:val="tx1"/>
                  </w14:solidFill>
                </w14:textFill>
              </w:rPr>
              <w:t>。</w:t>
            </w:r>
          </w:p>
          <w:p>
            <w:pPr>
              <w:spacing w:line="520" w:lineRule="exact"/>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color w:val="000000" w:themeColor="text1"/>
                <w:szCs w:val="21"/>
                <w14:textFill>
                  <w14:solidFill>
                    <w14:schemeClr w14:val="tx1"/>
                  </w14:solidFill>
                </w14:textFill>
              </w:rPr>
              <w:t xml:space="preserve">4-12 </w:t>
            </w:r>
            <w:r>
              <w:rPr>
                <w:b/>
                <w:bCs/>
                <w:color w:val="000000" w:themeColor="text1"/>
                <w:szCs w:val="21"/>
                <w14:textFill>
                  <w14:solidFill>
                    <w14:schemeClr w14:val="tx1"/>
                  </w14:solidFill>
                </w14:textFill>
              </w:rPr>
              <w:t>废水排放口基本情况</w:t>
            </w:r>
          </w:p>
          <w:tbl>
            <w:tblPr>
              <w:tblStyle w:val="29"/>
              <w:tblW w:w="4997" w:type="pct"/>
              <w:tblInd w:w="5" w:type="dxa"/>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695"/>
              <w:gridCol w:w="1232"/>
              <w:gridCol w:w="1159"/>
              <w:gridCol w:w="1248"/>
              <w:gridCol w:w="684"/>
              <w:gridCol w:w="1710"/>
              <w:gridCol w:w="1746"/>
            </w:tblGrid>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8" w:type="pct"/>
                  <w:vMerge w:val="restart"/>
                  <w:tcBorders>
                    <w:top w:val="single" w:color="000000" w:sz="18" w:space="0"/>
                    <w:left w:val="single" w:color="000000" w:sz="4"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编号及名称</w:t>
                  </w:r>
                </w:p>
              </w:tc>
              <w:tc>
                <w:tcPr>
                  <w:tcW w:w="1368" w:type="pct"/>
                  <w:gridSpan w:val="2"/>
                  <w:tcBorders>
                    <w:top w:val="single" w:color="000000" w:sz="18"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经纬度</w:t>
                  </w:r>
                </w:p>
              </w:tc>
              <w:tc>
                <w:tcPr>
                  <w:tcW w:w="911" w:type="pct"/>
                  <w:vMerge w:val="restart"/>
                  <w:tcBorders>
                    <w:top w:val="single" w:color="000000" w:sz="18"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排放去向</w:t>
                  </w:r>
                </w:p>
              </w:tc>
              <w:tc>
                <w:tcPr>
                  <w:tcW w:w="540" w:type="pct"/>
                  <w:vMerge w:val="restart"/>
                  <w:tcBorders>
                    <w:top w:val="single" w:color="000000" w:sz="18"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排放规律</w:t>
                  </w:r>
                </w:p>
              </w:tc>
              <w:tc>
                <w:tcPr>
                  <w:tcW w:w="780" w:type="pct"/>
                  <w:vMerge w:val="restart"/>
                  <w:tcBorders>
                    <w:top w:val="single" w:color="000000" w:sz="18"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排放标准</w:t>
                  </w:r>
                </w:p>
              </w:tc>
              <w:tc>
                <w:tcPr>
                  <w:tcW w:w="893" w:type="pct"/>
                  <w:vMerge w:val="restart"/>
                  <w:tcBorders>
                    <w:top w:val="single" w:color="000000" w:sz="18" w:space="0"/>
                    <w:bottom w:val="single" w:color="000000" w:sz="18" w:space="0"/>
                    <w:right w:val="single" w:color="000000" w:sz="4" w:space="0"/>
                  </w:tcBorders>
                  <w:noWrap/>
                  <w:tcMar>
                    <w:top w:w="15" w:type="dxa"/>
                    <w:left w:w="15" w:type="dxa"/>
                    <w:right w:w="15"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浓度限值（mg/L）</w:t>
                  </w:r>
                </w:p>
              </w:tc>
            </w:tr>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508" w:type="pct"/>
                  <w:vMerge w:val="continue"/>
                  <w:tcBorders>
                    <w:top w:val="single" w:color="000000" w:sz="4" w:space="0"/>
                    <w:left w:val="single" w:color="000000" w:sz="4" w:space="0"/>
                    <w:bottom w:val="single" w:color="000000" w:sz="18" w:space="0"/>
                  </w:tcBorders>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686" w:type="pct"/>
                  <w:tcBorders>
                    <w:top w:val="single" w:color="000000" w:sz="4"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经度</w:t>
                  </w:r>
                </w:p>
              </w:tc>
              <w:tc>
                <w:tcPr>
                  <w:tcW w:w="682" w:type="pct"/>
                  <w:tcBorders>
                    <w:top w:val="single" w:color="000000" w:sz="4" w:space="0"/>
                    <w:bottom w:val="single" w:color="000000" w:sz="18" w:space="0"/>
                  </w:tcBorders>
                  <w:tcMar>
                    <w:top w:w="15" w:type="dxa"/>
                    <w:left w:w="15" w:type="dxa"/>
                    <w:right w:w="15" w:type="dxa"/>
                  </w:tcMar>
                  <w:vAlign w:val="center"/>
                </w:tcPr>
                <w:p>
                  <w:pPr>
                    <w:widowControl/>
                    <w:jc w:val="center"/>
                    <w:textAlignment w:val="center"/>
                    <w:rPr>
                      <w:b/>
                      <w:color w:val="000000" w:themeColor="text1"/>
                      <w:szCs w:val="21"/>
                      <w14:textFill>
                        <w14:solidFill>
                          <w14:schemeClr w14:val="tx1"/>
                        </w14:solidFill>
                      </w14:textFill>
                    </w:rPr>
                  </w:pPr>
                  <w:r>
                    <w:rPr>
                      <w:b/>
                      <w:color w:val="000000" w:themeColor="text1"/>
                      <w:kern w:val="0"/>
                      <w:szCs w:val="21"/>
                      <w:lang w:bidi="ar"/>
                      <w14:textFill>
                        <w14:solidFill>
                          <w14:schemeClr w14:val="tx1"/>
                        </w14:solidFill>
                      </w14:textFill>
                    </w:rPr>
                    <w:t>纬度</w:t>
                  </w:r>
                </w:p>
              </w:tc>
              <w:tc>
                <w:tcPr>
                  <w:tcW w:w="911"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54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78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b/>
                      <w:color w:val="000000" w:themeColor="text1"/>
                      <w:szCs w:val="21"/>
                      <w14:textFill>
                        <w14:solidFill>
                          <w14:schemeClr w14:val="tx1"/>
                        </w14:solidFill>
                      </w14:textFill>
                    </w:rPr>
                  </w:pPr>
                </w:p>
              </w:tc>
              <w:tc>
                <w:tcPr>
                  <w:tcW w:w="893" w:type="pct"/>
                  <w:vMerge w:val="continue"/>
                  <w:tcBorders>
                    <w:top w:val="single" w:color="000000" w:sz="4" w:space="0"/>
                    <w:bottom w:val="single" w:color="000000" w:sz="18" w:space="0"/>
                    <w:right w:val="single" w:color="000000" w:sz="4" w:space="0"/>
                  </w:tcBorders>
                  <w:noWrap/>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08" w:type="pct"/>
                  <w:vMerge w:val="restart"/>
                  <w:tcBorders>
                    <w:top w:val="single" w:color="000000" w:sz="4" w:space="0"/>
                    <w:left w:val="single" w:color="000000" w:sz="4" w:space="0"/>
                    <w:bottom w:val="single" w:color="000000" w:sz="18" w:space="0"/>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DW001综合废水排放口</w:t>
                  </w:r>
                </w:p>
              </w:tc>
              <w:tc>
                <w:tcPr>
                  <w:tcW w:w="686" w:type="pct"/>
                  <w:vMerge w:val="restart"/>
                  <w:tcBorders>
                    <w:top w:val="single" w:color="000000" w:sz="4" w:space="0"/>
                    <w:bottom w:val="single" w:color="000000" w:sz="18" w:space="0"/>
                  </w:tcBorders>
                  <w:tcMar>
                    <w:top w:w="15" w:type="dxa"/>
                    <w:left w:w="15" w:type="dxa"/>
                    <w:right w:w="15" w:type="dxa"/>
                  </w:tcMar>
                  <w:vAlign w:val="center"/>
                </w:tcPr>
                <w:p>
                  <w:pPr>
                    <w:pStyle w:val="25"/>
                    <w:spacing w:before="0" w:beforeAutospacing="0" w:after="0" w:afterAutospacing="0"/>
                    <w:jc w:val="center"/>
                    <w:rPr>
                      <w:rFonts w:ascii="Times New Roman" w:hAnsi="Times New Roman"/>
                      <w:color w:val="000000" w:themeColor="text1"/>
                      <w:kern w:val="2"/>
                      <w:sz w:val="21"/>
                      <w:szCs w:val="24"/>
                      <w14:textFill>
                        <w14:solidFill>
                          <w14:schemeClr w14:val="tx1"/>
                        </w14:solidFill>
                      </w14:textFill>
                    </w:rPr>
                  </w:pPr>
                  <w:r>
                    <w:rPr>
                      <w:rFonts w:ascii="Times New Roman" w:hAnsi="Times New Roman"/>
                      <w:color w:val="000000" w:themeColor="text1"/>
                      <w:kern w:val="2"/>
                      <w:sz w:val="21"/>
                      <w:szCs w:val="24"/>
                      <w14:textFill>
                        <w14:solidFill>
                          <w14:schemeClr w14:val="tx1"/>
                        </w14:solidFill>
                      </w14:textFill>
                    </w:rPr>
                    <w:t>E113.885741°</w:t>
                  </w:r>
                </w:p>
              </w:tc>
              <w:tc>
                <w:tcPr>
                  <w:tcW w:w="682" w:type="pct"/>
                  <w:vMerge w:val="restart"/>
                  <w:tcBorders>
                    <w:top w:val="single" w:color="000000" w:sz="4" w:space="0"/>
                    <w:bottom w:val="single" w:color="000000" w:sz="18" w:space="0"/>
                  </w:tcBorders>
                  <w:tcMar>
                    <w:top w:w="15" w:type="dxa"/>
                    <w:left w:w="15" w:type="dxa"/>
                    <w:right w:w="15" w:type="dxa"/>
                  </w:tcMar>
                  <w:vAlign w:val="center"/>
                </w:tcPr>
                <w:p>
                  <w:pPr>
                    <w:pStyle w:val="25"/>
                    <w:spacing w:before="0" w:beforeAutospacing="0" w:after="0" w:afterAutospacing="0"/>
                    <w:jc w:val="center"/>
                    <w:rPr>
                      <w:rFonts w:ascii="Times New Roman" w:hAnsi="Times New Roman"/>
                      <w:color w:val="000000" w:themeColor="text1"/>
                      <w:kern w:val="2"/>
                      <w:sz w:val="21"/>
                      <w:szCs w:val="24"/>
                      <w14:textFill>
                        <w14:solidFill>
                          <w14:schemeClr w14:val="tx1"/>
                        </w14:solidFill>
                      </w14:textFill>
                    </w:rPr>
                  </w:pPr>
                  <w:r>
                    <w:rPr>
                      <w:rFonts w:ascii="Times New Roman" w:hAnsi="Times New Roman"/>
                      <w:color w:val="000000" w:themeColor="text1"/>
                      <w:kern w:val="2"/>
                      <w:sz w:val="21"/>
                      <w:szCs w:val="24"/>
                      <w14:textFill>
                        <w14:solidFill>
                          <w14:schemeClr w14:val="tx1"/>
                        </w14:solidFill>
                      </w14:textFill>
                    </w:rPr>
                    <w:t>N23.155133°</w:t>
                  </w:r>
                </w:p>
              </w:tc>
              <w:tc>
                <w:tcPr>
                  <w:tcW w:w="911" w:type="pct"/>
                  <w:vMerge w:val="restart"/>
                  <w:tcBorders>
                    <w:top w:val="single" w:color="000000" w:sz="4" w:space="0"/>
                    <w:bottom w:val="single" w:color="000000" w:sz="18" w:space="0"/>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14:textFill>
                        <w14:solidFill>
                          <w14:schemeClr w14:val="tx1"/>
                        </w14:solidFill>
                      </w14:textFill>
                    </w:rPr>
                    <w:t>博罗县石湾镇西基生活污水处理厂</w:t>
                  </w:r>
                  <w:r>
                    <w:rPr>
                      <w:color w:val="000000" w:themeColor="text1"/>
                      <w:kern w:val="0"/>
                      <w:szCs w:val="21"/>
                      <w:lang w:bidi="ar"/>
                      <w14:textFill>
                        <w14:solidFill>
                          <w14:schemeClr w14:val="tx1"/>
                        </w14:solidFill>
                      </w14:textFill>
                    </w:rPr>
                    <w:t xml:space="preserve"> </w:t>
                  </w:r>
                </w:p>
              </w:tc>
              <w:tc>
                <w:tcPr>
                  <w:tcW w:w="540" w:type="pct"/>
                  <w:vMerge w:val="restart"/>
                  <w:tcBorders>
                    <w:top w:val="single" w:color="000000" w:sz="4" w:space="0"/>
                    <w:bottom w:val="single" w:color="000000" w:sz="18" w:space="0"/>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间断排放、排放期间流量稳定</w:t>
                  </w:r>
                </w:p>
              </w:tc>
              <w:tc>
                <w:tcPr>
                  <w:tcW w:w="780" w:type="pct"/>
                  <w:vMerge w:val="restart"/>
                  <w:tcBorders>
                    <w:top w:val="single" w:color="000000" w:sz="4" w:space="0"/>
                    <w:bottom w:val="single" w:color="000000" w:sz="18" w:space="0"/>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（DB44/26-2001）第二时段三级标准</w:t>
                  </w:r>
                </w:p>
              </w:tc>
              <w:tc>
                <w:tcPr>
                  <w:tcW w:w="893" w:type="pct"/>
                  <w:vMerge w:val="restart"/>
                  <w:tcBorders>
                    <w:top w:val="single" w:color="000000" w:sz="4" w:space="0"/>
                    <w:bottom w:val="single" w:color="000000" w:sz="18" w:space="0"/>
                    <w:right w:val="single" w:color="000000" w:sz="4" w:space="0"/>
                  </w:tcBorders>
                  <w:tcMar>
                    <w:top w:w="15" w:type="dxa"/>
                    <w:left w:w="15" w:type="dxa"/>
                    <w:right w:w="15" w:type="dxa"/>
                  </w:tcMar>
                  <w:vAlign w:val="center"/>
                </w:tcPr>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COD</w:t>
                  </w:r>
                  <w:r>
                    <w:rPr>
                      <w:color w:val="000000" w:themeColor="text1"/>
                      <w:kern w:val="0"/>
                      <w:szCs w:val="21"/>
                      <w:vertAlign w:val="subscript"/>
                      <w:lang w:bidi="ar"/>
                      <w14:textFill>
                        <w14:solidFill>
                          <w14:schemeClr w14:val="tx1"/>
                        </w14:solidFill>
                      </w14:textFill>
                    </w:rPr>
                    <w:t>Cr</w:t>
                  </w:r>
                  <w:r>
                    <w:rPr>
                      <w:color w:val="000000" w:themeColor="text1"/>
                      <w:kern w:val="0"/>
                      <w:szCs w:val="21"/>
                      <w:lang w:bidi="ar"/>
                      <w14:textFill>
                        <w14:solidFill>
                          <w14:schemeClr w14:val="tx1"/>
                        </w14:solidFill>
                      </w14:textFill>
                    </w:rPr>
                    <w:t>:500</w:t>
                  </w:r>
                  <w:r>
                    <w:rPr>
                      <w:color w:val="000000" w:themeColor="text1"/>
                      <w:kern w:val="0"/>
                      <w:szCs w:val="21"/>
                      <w:lang w:bidi="ar"/>
                      <w14:textFill>
                        <w14:solidFill>
                          <w14:schemeClr w14:val="tx1"/>
                        </w14:solidFill>
                      </w14:textFill>
                    </w:rPr>
                    <w:br w:type="textWrapping"/>
                  </w:r>
                  <w:r>
                    <w:rPr>
                      <w:color w:val="000000" w:themeColor="text1"/>
                      <w:kern w:val="0"/>
                      <w:szCs w:val="21"/>
                      <w:lang w:bidi="ar"/>
                      <w14:textFill>
                        <w14:solidFill>
                          <w14:schemeClr w14:val="tx1"/>
                        </w14:solidFill>
                      </w14:textFill>
                    </w:rPr>
                    <w:t>BOD</w:t>
                  </w:r>
                  <w:r>
                    <w:rPr>
                      <w:color w:val="000000" w:themeColor="text1"/>
                      <w:kern w:val="0"/>
                      <w:szCs w:val="21"/>
                      <w:vertAlign w:val="subscript"/>
                      <w:lang w:bidi="ar"/>
                      <w14:textFill>
                        <w14:solidFill>
                          <w14:schemeClr w14:val="tx1"/>
                        </w14:solidFill>
                      </w14:textFill>
                    </w:rPr>
                    <w:t>5</w:t>
                  </w:r>
                  <w:r>
                    <w:rPr>
                      <w:color w:val="000000" w:themeColor="text1"/>
                      <w:kern w:val="0"/>
                      <w:szCs w:val="21"/>
                      <w:lang w:bidi="ar"/>
                      <w14:textFill>
                        <w14:solidFill>
                          <w14:schemeClr w14:val="tx1"/>
                        </w14:solidFill>
                      </w14:textFill>
                    </w:rPr>
                    <w:t>:300</w:t>
                  </w:r>
                  <w:r>
                    <w:rPr>
                      <w:color w:val="000000" w:themeColor="text1"/>
                      <w:kern w:val="0"/>
                      <w:szCs w:val="21"/>
                      <w:lang w:bidi="ar"/>
                      <w14:textFill>
                        <w14:solidFill>
                          <w14:schemeClr w14:val="tx1"/>
                        </w14:solidFill>
                      </w14:textFill>
                    </w:rPr>
                    <w:br w:type="textWrapping"/>
                  </w:r>
                  <w:r>
                    <w:rPr>
                      <w:color w:val="000000" w:themeColor="text1"/>
                      <w:kern w:val="0"/>
                      <w:szCs w:val="21"/>
                      <w:lang w:bidi="ar"/>
                      <w14:textFill>
                        <w14:solidFill>
                          <w14:schemeClr w14:val="tx1"/>
                        </w14:solidFill>
                      </w14:textFill>
                    </w:rPr>
                    <w:t>SS:400</w:t>
                  </w:r>
                </w:p>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NH</w:t>
                  </w:r>
                  <w:r>
                    <w:rPr>
                      <w:color w:val="000000" w:themeColor="text1"/>
                      <w:kern w:val="0"/>
                      <w:szCs w:val="21"/>
                      <w:vertAlign w:val="subscript"/>
                      <w:lang w:bidi="ar"/>
                      <w14:textFill>
                        <w14:solidFill>
                          <w14:schemeClr w14:val="tx1"/>
                        </w14:solidFill>
                      </w14:textFill>
                    </w:rPr>
                    <w:t>3</w:t>
                  </w:r>
                  <w:r>
                    <w:rPr>
                      <w:color w:val="000000" w:themeColor="text1"/>
                      <w:kern w:val="0"/>
                      <w:szCs w:val="21"/>
                      <w:lang w:bidi="ar"/>
                      <w14:textFill>
                        <w14:solidFill>
                          <w14:schemeClr w14:val="tx1"/>
                        </w14:solidFill>
                      </w14:textFill>
                    </w:rPr>
                    <w:t>-N:/</w:t>
                  </w:r>
                </w:p>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 xml:space="preserve">总磷:/ </w:t>
                  </w:r>
                </w:p>
                <w:p>
                  <w:pPr>
                    <w:widowControl/>
                    <w:jc w:val="center"/>
                    <w:textAlignment w:val="center"/>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总氮:/</w:t>
                  </w:r>
                </w:p>
              </w:tc>
            </w:tr>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08" w:type="pct"/>
                  <w:vMerge w:val="continue"/>
                  <w:tcBorders>
                    <w:top w:val="single" w:color="000000" w:sz="4" w:space="0"/>
                    <w:left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686" w:type="pct"/>
                  <w:vMerge w:val="continue"/>
                  <w:tcBorders>
                    <w:top w:val="single" w:color="000000" w:sz="4" w:space="0"/>
                    <w:bottom w:val="single" w:color="000000" w:sz="18" w:space="0"/>
                  </w:tcBorders>
                  <w:tcMar>
                    <w:top w:w="15" w:type="dxa"/>
                    <w:left w:w="15" w:type="dxa"/>
                    <w:right w:w="15" w:type="dxa"/>
                  </w:tcMar>
                  <w:vAlign w:val="center"/>
                </w:tcPr>
                <w:p>
                  <w:pPr>
                    <w:widowControl/>
                    <w:rPr>
                      <w:color w:val="000000" w:themeColor="text1"/>
                      <w:szCs w:val="21"/>
                      <w14:textFill>
                        <w14:solidFill>
                          <w14:schemeClr w14:val="tx1"/>
                        </w14:solidFill>
                      </w14:textFill>
                    </w:rPr>
                  </w:pPr>
                </w:p>
              </w:tc>
              <w:tc>
                <w:tcPr>
                  <w:tcW w:w="682"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911"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4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78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893" w:type="pct"/>
                  <w:vMerge w:val="continue"/>
                  <w:tcBorders>
                    <w:top w:val="single" w:color="000000" w:sz="4" w:space="0"/>
                    <w:bottom w:val="single" w:color="000000" w:sz="18" w:space="0"/>
                    <w:right w:val="single" w:color="000000" w:sz="4"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08" w:type="pct"/>
                  <w:vMerge w:val="continue"/>
                  <w:tcBorders>
                    <w:top w:val="single" w:color="000000" w:sz="4" w:space="0"/>
                    <w:left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686" w:type="pct"/>
                  <w:vMerge w:val="continue"/>
                  <w:tcBorders>
                    <w:top w:val="single" w:color="000000" w:sz="4" w:space="0"/>
                    <w:bottom w:val="single" w:color="000000" w:sz="18" w:space="0"/>
                  </w:tcBorders>
                  <w:tcMar>
                    <w:top w:w="15" w:type="dxa"/>
                    <w:left w:w="15" w:type="dxa"/>
                    <w:right w:w="15" w:type="dxa"/>
                  </w:tcMar>
                  <w:vAlign w:val="center"/>
                </w:tcPr>
                <w:p>
                  <w:pPr>
                    <w:widowControl/>
                    <w:rPr>
                      <w:color w:val="000000" w:themeColor="text1"/>
                      <w:szCs w:val="21"/>
                      <w14:textFill>
                        <w14:solidFill>
                          <w14:schemeClr w14:val="tx1"/>
                        </w14:solidFill>
                      </w14:textFill>
                    </w:rPr>
                  </w:pPr>
                </w:p>
              </w:tc>
              <w:tc>
                <w:tcPr>
                  <w:tcW w:w="682"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911"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4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78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893" w:type="pct"/>
                  <w:vMerge w:val="continue"/>
                  <w:tcBorders>
                    <w:top w:val="single" w:color="000000" w:sz="4" w:space="0"/>
                    <w:bottom w:val="single" w:color="000000" w:sz="18" w:space="0"/>
                    <w:right w:val="single" w:color="000000" w:sz="4"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r>
              <w:tblPrEx>
                <w:tblBorders>
                  <w:top w:val="single" w:color="000000" w:sz="18" w:space="0"/>
                  <w:left w:val="none" w:color="auto" w:sz="0" w:space="0"/>
                  <w:bottom w:val="single" w:color="000000" w:sz="18"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508" w:type="pct"/>
                  <w:vMerge w:val="continue"/>
                  <w:tcBorders>
                    <w:top w:val="single" w:color="000000" w:sz="4" w:space="0"/>
                    <w:left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686" w:type="pct"/>
                  <w:vMerge w:val="continue"/>
                  <w:tcBorders>
                    <w:top w:val="single" w:color="000000" w:sz="4" w:space="0"/>
                    <w:bottom w:val="single" w:color="000000" w:sz="18" w:space="0"/>
                  </w:tcBorders>
                  <w:tcMar>
                    <w:top w:w="15" w:type="dxa"/>
                    <w:left w:w="15" w:type="dxa"/>
                    <w:right w:w="15" w:type="dxa"/>
                  </w:tcMar>
                  <w:vAlign w:val="center"/>
                </w:tcPr>
                <w:p>
                  <w:pPr>
                    <w:widowControl/>
                    <w:rPr>
                      <w:color w:val="000000" w:themeColor="text1"/>
                      <w:szCs w:val="21"/>
                      <w14:textFill>
                        <w14:solidFill>
                          <w14:schemeClr w14:val="tx1"/>
                        </w14:solidFill>
                      </w14:textFill>
                    </w:rPr>
                  </w:pPr>
                </w:p>
              </w:tc>
              <w:tc>
                <w:tcPr>
                  <w:tcW w:w="682"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911"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54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780" w:type="pct"/>
                  <w:vMerge w:val="continue"/>
                  <w:tcBorders>
                    <w:top w:val="single" w:color="000000" w:sz="4" w:space="0"/>
                    <w:bottom w:val="single" w:color="000000" w:sz="18"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c>
                <w:tcPr>
                  <w:tcW w:w="893" w:type="pct"/>
                  <w:vMerge w:val="continue"/>
                  <w:tcBorders>
                    <w:top w:val="single" w:color="000000" w:sz="4" w:space="0"/>
                    <w:bottom w:val="single" w:color="000000" w:sz="18" w:space="0"/>
                    <w:right w:val="single" w:color="000000" w:sz="4" w:space="0"/>
                  </w:tcBorders>
                  <w:tcMar>
                    <w:top w:w="15" w:type="dxa"/>
                    <w:left w:w="15" w:type="dxa"/>
                    <w:right w:w="15" w:type="dxa"/>
                  </w:tcMar>
                  <w:vAlign w:val="center"/>
                </w:tcPr>
                <w:p>
                  <w:pPr>
                    <w:widowControl/>
                    <w:jc w:val="center"/>
                    <w:rPr>
                      <w:color w:val="000000" w:themeColor="text1"/>
                      <w:szCs w:val="21"/>
                      <w14:textFill>
                        <w14:solidFill>
                          <w14:schemeClr w14:val="tx1"/>
                        </w14:solidFill>
                      </w14:textFill>
                    </w:rPr>
                  </w:pPr>
                </w:p>
              </w:tc>
            </w:tr>
          </w:tbl>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注：根据《</w:t>
            </w:r>
            <w:r>
              <w:fldChar w:fldCharType="begin"/>
            </w:r>
            <w:r>
              <w:instrText xml:space="preserve"> HYPERLINK "https://www.so.com/link?m=bs7JT9b2/gn4f+yA3uNVWkPSOW8f0GM1nfcgUceyr1DKRrLoLnCFUJfcC1agZW5p8Oavp01Ii8U6xwlCPqbIhHR96cDY7vNWLYEYlfRsCehqnaYI+LotQhEFfA0y+jjSBVu6/198J6kdbxmTaqeIzEb+y2r4wSBUY92tar7xSO6RubN5p3xDKTWt0UV/np3ls9p3nmg==" \t "https://www.so.com/_blank" </w:instrText>
            </w:r>
            <w:r>
              <w:fldChar w:fldCharType="separate"/>
            </w:r>
            <w:r>
              <w:rPr>
                <w:color w:val="000000" w:themeColor="text1"/>
                <w14:textFill>
                  <w14:solidFill>
                    <w14:schemeClr w14:val="tx1"/>
                  </w14:solidFill>
                </w14:textFill>
              </w:rPr>
              <w:t xml:space="preserve">排污单位自行监测技术指南 总则》（HJ 819-2017） </w:t>
            </w:r>
            <w:r>
              <w:rPr>
                <w:color w:val="000000" w:themeColor="text1"/>
                <w14:textFill>
                  <w14:solidFill>
                    <w14:schemeClr w14:val="tx1"/>
                  </w14:solidFill>
                </w14:textFill>
              </w:rPr>
              <w:fldChar w:fldCharType="end"/>
            </w:r>
            <w:r>
              <w:rPr>
                <w:color w:val="000000" w:themeColor="text1"/>
                <w14:textFill>
                  <w14:solidFill>
                    <w14:schemeClr w14:val="tx1"/>
                  </w14:solidFill>
                </w14:textFill>
              </w:rPr>
              <w:t>自行监测管理要求中对单独排入城镇污水集中处理设施的生活污水不作监测要求；</w:t>
            </w:r>
          </w:p>
          <w:p>
            <w:pPr>
              <w:numPr>
                <w:ilvl w:val="0"/>
                <w:numId w:val="24"/>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达标性分析</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项目外排废水主要是员工生活污水，产生量为400t/a。主要污染物为 COD</w:t>
            </w:r>
            <w:r>
              <w:rPr>
                <w:color w:val="000000" w:themeColor="text1"/>
                <w:szCs w:val="21"/>
                <w:vertAlign w:val="subscript"/>
                <w14:textFill>
                  <w14:solidFill>
                    <w14:schemeClr w14:val="tx1"/>
                  </w14:solidFill>
                </w14:textFill>
              </w:rPr>
              <w:t>Cr</w:t>
            </w: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、总磷、总氮、氨氮、SS。</w:t>
            </w:r>
            <w:r>
              <w:rPr>
                <w:color w:val="000000" w:themeColor="text1"/>
                <w14:textFill>
                  <w14:solidFill>
                    <w14:schemeClr w14:val="tx1"/>
                  </w14:solidFill>
                </w14:textFill>
              </w:rPr>
              <w:t>项目所在区域属于博罗县石湾镇西基生活污水处理厂的纳污管网范围，项目生活污水经三级化粪池预处理达到</w:t>
            </w:r>
            <w:r>
              <w:rPr>
                <w:color w:val="000000" w:themeColor="text1"/>
                <w:szCs w:val="21"/>
                <w14:textFill>
                  <w14:solidFill>
                    <w14:schemeClr w14:val="tx1"/>
                  </w14:solidFill>
                </w14:textFill>
              </w:rPr>
              <w:t>广东省地方标准《水污染物排放限值》（DB44/26-2001）第二时段三级标准</w:t>
            </w:r>
            <w:r>
              <w:rPr>
                <w:color w:val="000000" w:themeColor="text1"/>
                <w:kern w:val="1"/>
                <w:szCs w:val="21"/>
                <w14:textFill>
                  <w14:solidFill>
                    <w14:schemeClr w14:val="tx1"/>
                  </w14:solidFill>
                </w14:textFill>
              </w:rPr>
              <w:t>后</w:t>
            </w:r>
            <w:r>
              <w:rPr>
                <w:color w:val="000000" w:themeColor="text1"/>
                <w14:textFill>
                  <w14:solidFill>
                    <w14:schemeClr w14:val="tx1"/>
                  </w14:solidFill>
                </w14:textFill>
              </w:rPr>
              <w:t>通过市政纳污管网排入博罗县石湾镇西基生活污水处理厂处理，尾水排入石湾中心排渠</w:t>
            </w:r>
            <w:r>
              <w:rPr>
                <w:color w:val="000000" w:themeColor="text1"/>
                <w:szCs w:val="21"/>
                <w14:textFill>
                  <w14:solidFill>
                    <w14:schemeClr w14:val="tx1"/>
                  </w14:solidFill>
                </w14:textFill>
              </w:rPr>
              <w:t>。</w:t>
            </w:r>
          </w:p>
          <w:p>
            <w:pPr>
              <w:numPr>
                <w:ilvl w:val="0"/>
                <w:numId w:val="24"/>
              </w:numPr>
              <w:adjustRightInd w:val="0"/>
              <w:snapToGrid w:val="0"/>
              <w:spacing w:line="360" w:lineRule="auto"/>
              <w:ind w:firstLine="482"/>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依托可行性分析</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项目外排废水主要是员工生活污水，产生总量为400t/a，主要污染物为CODCr、BOD5、总磷、总氮、NH3-N、SS等。项目所在区域属于博罗县石湾镇西基生活污水处理厂纳污范围，博罗县石湾镇西基生活污水处理厂于 2017 年建设，采用较为先进的污水处理工艺（采用的污水处理工艺为 A/A/O 微曝氧化沟及 D 型滤池深度处理）， 其设计规模为 5 万立方米/日，近期日处理规模达到 1.5 万 m3 /d，项目投资近 8325.56 万元，建设地点：位于惠州市博罗县。因此项目生活污水纳入博罗县石湾镇西基生活污水处理厂进行处理的方案是可行的。</w:t>
            </w:r>
          </w:p>
          <w:p>
            <w:pPr>
              <w:snapToGrid w:val="0"/>
              <w:spacing w:line="520" w:lineRule="exact"/>
              <w:ind w:firstLine="175" w:firstLineChars="83"/>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表4-13 </w:t>
            </w:r>
            <w:r>
              <w:rPr>
                <w:b/>
                <w:bCs/>
                <w:color w:val="000000" w:themeColor="text1"/>
                <w:szCs w:val="21"/>
                <w14:textFill>
                  <w14:solidFill>
                    <w14:schemeClr w14:val="tx1"/>
                  </w14:solidFill>
                </w14:textFill>
              </w:rPr>
              <w:t>博罗县石湾镇西基生活污水处理厂</w:t>
            </w:r>
            <w:r>
              <w:rPr>
                <w:b/>
                <w:color w:val="000000" w:themeColor="text1"/>
                <w:szCs w:val="21"/>
                <w14:textFill>
                  <w14:solidFill>
                    <w14:schemeClr w14:val="tx1"/>
                  </w14:solidFill>
                </w14:textFill>
              </w:rPr>
              <w:t>各污染物的处理效率一览表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3"/>
              <w:gridCol w:w="977"/>
              <w:gridCol w:w="981"/>
              <w:gridCol w:w="977"/>
              <w:gridCol w:w="981"/>
              <w:gridCol w:w="981"/>
              <w:gridCol w:w="97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31"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577"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COD</w:t>
                  </w:r>
                  <w:r>
                    <w:rPr>
                      <w:b/>
                      <w:color w:val="000000" w:themeColor="text1"/>
                      <w:szCs w:val="21"/>
                      <w:vertAlign w:val="subscript"/>
                      <w14:textFill>
                        <w14:solidFill>
                          <w14:schemeClr w14:val="tx1"/>
                        </w14:solidFill>
                      </w14:textFill>
                    </w:rPr>
                    <w:t>Cr</w:t>
                  </w:r>
                </w:p>
              </w:tc>
              <w:tc>
                <w:tcPr>
                  <w:tcW w:w="579"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BOD</w:t>
                  </w:r>
                  <w:r>
                    <w:rPr>
                      <w:b/>
                      <w:color w:val="000000" w:themeColor="text1"/>
                      <w:szCs w:val="21"/>
                      <w:vertAlign w:val="subscript"/>
                      <w14:textFill>
                        <w14:solidFill>
                          <w14:schemeClr w14:val="tx1"/>
                        </w14:solidFill>
                      </w14:textFill>
                    </w:rPr>
                    <w:t>5</w:t>
                  </w:r>
                </w:p>
              </w:tc>
              <w:tc>
                <w:tcPr>
                  <w:tcW w:w="577"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NH</w:t>
                  </w:r>
                  <w:r>
                    <w:rPr>
                      <w:b/>
                      <w:color w:val="000000" w:themeColor="text1"/>
                      <w:szCs w:val="21"/>
                      <w:vertAlign w:val="subscript"/>
                      <w14:textFill>
                        <w14:solidFill>
                          <w14:schemeClr w14:val="tx1"/>
                        </w14:solidFill>
                      </w14:textFill>
                    </w:rPr>
                    <w:t>3</w:t>
                  </w:r>
                  <w:r>
                    <w:rPr>
                      <w:b/>
                      <w:color w:val="000000" w:themeColor="text1"/>
                      <w:szCs w:val="21"/>
                      <w14:textFill>
                        <w14:solidFill>
                          <w14:schemeClr w14:val="tx1"/>
                        </w14:solidFill>
                      </w14:textFill>
                    </w:rPr>
                    <w:t>-N</w:t>
                  </w:r>
                </w:p>
              </w:tc>
              <w:tc>
                <w:tcPr>
                  <w:tcW w:w="579"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SS</w:t>
                  </w:r>
                </w:p>
              </w:tc>
              <w:tc>
                <w:tcPr>
                  <w:tcW w:w="579"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总氮</w:t>
                  </w:r>
                </w:p>
              </w:tc>
              <w:tc>
                <w:tcPr>
                  <w:tcW w:w="579"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总磷</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31"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本项目生活污水水质</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280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160</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31"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预处理后排水水质</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31"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接管标准</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531"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出水执行标准（mg/m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577"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579"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w:t>
                  </w:r>
                </w:p>
              </w:tc>
            </w:tr>
          </w:tbl>
          <w:p>
            <w:pPr>
              <w:adjustRightInd w:val="0"/>
              <w:snapToGrid w:val="0"/>
              <w:spacing w:line="360" w:lineRule="auto"/>
              <w:ind w:firstLine="482"/>
              <w:rPr>
                <w:color w:val="000000" w:themeColor="text1"/>
                <w:szCs w:val="21"/>
                <w14:textFill>
                  <w14:solidFill>
                    <w14:schemeClr w14:val="tx1"/>
                  </w14:solidFill>
                </w14:textFill>
              </w:rPr>
            </w:pPr>
            <w:r>
              <w:rPr>
                <w:color w:val="000000" w:themeColor="text1"/>
                <w:szCs w:val="21"/>
                <w14:textFill>
                  <w14:solidFill>
                    <w14:schemeClr w14:val="tx1"/>
                  </w14:solidFill>
                </w14:textFill>
              </w:rPr>
              <w:t>综上所述，项目生活污水的产生量为1.34t/d，博罗县石湾镇西基生活污水处理厂</w:t>
            </w:r>
            <w:r>
              <w:rPr>
                <w:bCs/>
                <w:color w:val="000000" w:themeColor="text1"/>
                <w:szCs w:val="21"/>
                <w14:textFill>
                  <w14:solidFill>
                    <w14:schemeClr w14:val="tx1"/>
                  </w14:solidFill>
                </w14:textFill>
              </w:rPr>
              <w:t>的剩余处理量为2000m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/d，则本项目生活污水的产生量仅占其处理量的0.067%，项目生活污水经三级化粪池预处理后排入市政污水管</w:t>
            </w:r>
            <w:r>
              <w:rPr>
                <w:color w:val="000000" w:themeColor="text1"/>
                <w:szCs w:val="21"/>
                <w14:textFill>
                  <w14:solidFill>
                    <w14:schemeClr w14:val="tx1"/>
                  </w14:solidFill>
                </w14:textFill>
              </w:rPr>
              <w:t>网进入博罗县石湾镇西基生活污水处理厂进行处理的方案可行。</w:t>
            </w:r>
          </w:p>
          <w:p>
            <w:pPr>
              <w:numPr>
                <w:ilvl w:val="0"/>
                <w:numId w:val="24"/>
              </w:numPr>
              <w:adjustRightInd w:val="0"/>
              <w:snapToGrid w:val="0"/>
              <w:spacing w:line="360" w:lineRule="auto"/>
              <w:ind w:firstLine="422" w:firstLineChars="200"/>
              <w:rPr>
                <w:color w:val="000000" w:themeColor="text1"/>
                <w:szCs w:val="21"/>
                <w:lang w:bidi="ar"/>
                <w14:textFill>
                  <w14:solidFill>
                    <w14:schemeClr w14:val="tx1"/>
                  </w14:solidFill>
                </w14:textFill>
              </w:rPr>
            </w:pPr>
            <w:r>
              <w:rPr>
                <w:b/>
                <w:bCs/>
                <w:color w:val="000000" w:themeColor="text1"/>
                <w:szCs w:val="21"/>
                <w:lang w:bidi="ar"/>
                <w14:textFill>
                  <w14:solidFill>
                    <w14:schemeClr w14:val="tx1"/>
                  </w14:solidFill>
                </w14:textFill>
              </w:rPr>
              <w:t>结论</w:t>
            </w:r>
          </w:p>
          <w:p>
            <w:pPr>
              <w:adjustRightInd w:val="0"/>
              <w:snapToGrid w:val="0"/>
              <w:spacing w:line="360" w:lineRule="auto"/>
              <w:ind w:firstLine="420" w:firstLineChars="200"/>
              <w:rPr>
                <w:color w:val="000000" w:themeColor="text1"/>
                <w:szCs w:val="21"/>
                <w:lang w:bidi="ar"/>
                <w14:textFill>
                  <w14:solidFill>
                    <w14:schemeClr w14:val="tx1"/>
                  </w14:solidFill>
                </w14:textFill>
              </w:rPr>
            </w:pPr>
            <w:r>
              <w:rPr>
                <w:color w:val="000000" w:themeColor="text1"/>
                <w:szCs w:val="21"/>
                <w:lang w:bidi="ar"/>
                <w14:textFill>
                  <w14:solidFill>
                    <w14:schemeClr w14:val="tx1"/>
                  </w14:solidFill>
                </w14:textFill>
              </w:rPr>
              <w:t>项目间接冷却用水经冷却塔循环回用不外排</w:t>
            </w:r>
            <w:r>
              <w:rPr>
                <w:color w:val="000000" w:themeColor="text1"/>
                <w:szCs w:val="21"/>
                <w14:textFill>
                  <w14:solidFill>
                    <w14:schemeClr w14:val="tx1"/>
                  </w14:solidFill>
                </w14:textFill>
              </w:rPr>
              <w:t>；</w:t>
            </w:r>
            <w:r>
              <w:rPr>
                <w:color w:val="000000" w:themeColor="text1"/>
                <w:kern w:val="1"/>
                <w:szCs w:val="21"/>
                <w14:textFill>
                  <w14:solidFill>
                    <w14:schemeClr w14:val="tx1"/>
                  </w14:solidFill>
                </w14:textFill>
              </w:rPr>
              <w:t>员工生活污水经三级化粪池预处理达到</w:t>
            </w:r>
            <w:r>
              <w:rPr>
                <w:color w:val="000000" w:themeColor="text1"/>
                <w:szCs w:val="21"/>
                <w14:textFill>
                  <w14:solidFill>
                    <w14:schemeClr w14:val="tx1"/>
                  </w14:solidFill>
                </w14:textFill>
              </w:rPr>
              <w:t>广东省地方标准《水污染物排放限值》（DB44/26-2001）第二时段三级标准</w:t>
            </w:r>
            <w:r>
              <w:rPr>
                <w:color w:val="000000" w:themeColor="text1"/>
                <w:kern w:val="1"/>
                <w:szCs w:val="21"/>
                <w14:textFill>
                  <w14:solidFill>
                    <w14:schemeClr w14:val="tx1"/>
                  </w14:solidFill>
                </w14:textFill>
              </w:rPr>
              <w:t>后通过市政纳污管网排入博罗县石湾镇西基生活污水处理厂进一步处理，其尾水中的CODcr、氨氮、总氮和总磷执行</w:t>
            </w:r>
            <w:r>
              <w:rPr>
                <w:color w:val="000000" w:themeColor="text1"/>
                <w:szCs w:val="21"/>
                <w14:textFill>
                  <w14:solidFill>
                    <w14:schemeClr w14:val="tx1"/>
                  </w14:solidFill>
                </w14:textFill>
              </w:rPr>
              <w:t>《地表水环境质量》（GB3838-2002）</w:t>
            </w:r>
            <w:r>
              <w:rPr>
                <w:rFonts w:hint="eastAsia" w:ascii="宋体" w:hAnsi="宋体" w:cs="宋体"/>
                <w:color w:val="000000" w:themeColor="text1"/>
                <w:szCs w:val="21"/>
                <w14:textFill>
                  <w14:solidFill>
                    <w14:schemeClr w14:val="tx1"/>
                  </w14:solidFill>
                </w14:textFill>
              </w:rPr>
              <w:t>Ⅴ</w:t>
            </w:r>
            <w:r>
              <w:rPr>
                <w:color w:val="000000" w:themeColor="text1"/>
                <w:szCs w:val="21"/>
                <w14:textFill>
                  <w14:solidFill>
                    <w14:schemeClr w14:val="tx1"/>
                  </w14:solidFill>
                </w14:textFill>
              </w:rPr>
              <w:t>类标准，其余指标执行国家《城镇污水处理厂污染物排放标》（GB18918-2002）一级 A 标准与广东省地方标准《水污染物排放限值》（DB44/26-2001）第二时段一级标准较严值的标准。</w:t>
            </w:r>
            <w:r>
              <w:rPr>
                <w:color w:val="000000" w:themeColor="text1"/>
                <w:szCs w:val="21"/>
                <w:lang w:bidi="ar"/>
                <w14:textFill>
                  <w14:solidFill>
                    <w14:schemeClr w14:val="tx1"/>
                  </w14:solidFill>
                </w14:textFill>
              </w:rPr>
              <w:t>废水各污染物排放满足相应的废水排放要求，对地表水体造成的环境影响不大，其地表水环境影响是可接受的。</w:t>
            </w:r>
          </w:p>
          <w:p>
            <w:pPr>
              <w:adjustRightInd w:val="0"/>
              <w:snapToGrid w:val="0"/>
              <w:spacing w:line="360" w:lineRule="auto"/>
              <w:rPr>
                <w:b/>
                <w:bCs/>
                <w:color w:val="000000" w:themeColor="text1"/>
                <w:spacing w:val="-10"/>
                <w:szCs w:val="21"/>
                <w14:textFill>
                  <w14:solidFill>
                    <w14:schemeClr w14:val="tx1"/>
                  </w14:solidFill>
                </w14:textFill>
              </w:rPr>
            </w:pPr>
            <w:r>
              <w:rPr>
                <w:b/>
                <w:bCs/>
                <w:color w:val="000000" w:themeColor="text1"/>
                <w:spacing w:val="-10"/>
                <w:szCs w:val="21"/>
                <w14:textFill>
                  <w14:solidFill>
                    <w14:schemeClr w14:val="tx1"/>
                  </w14:solidFill>
                </w14:textFill>
              </w:rPr>
              <w:t>三、声污染源及环保措施分析</w:t>
            </w:r>
          </w:p>
          <w:p>
            <w:pPr>
              <w:adjustRightInd w:val="0"/>
              <w:snapToGrid w:val="0"/>
              <w:spacing w:line="360" w:lineRule="auto"/>
              <w:ind w:firstLine="382" w:firstLineChars="200"/>
              <w:rPr>
                <w:b/>
                <w:bCs/>
                <w:color w:val="000000" w:themeColor="text1"/>
                <w:spacing w:val="-10"/>
                <w:szCs w:val="21"/>
                <w14:textFill>
                  <w14:solidFill>
                    <w14:schemeClr w14:val="tx1"/>
                  </w14:solidFill>
                </w14:textFill>
              </w:rPr>
            </w:pPr>
            <w:r>
              <w:rPr>
                <w:b/>
                <w:bCs/>
                <w:color w:val="000000" w:themeColor="text1"/>
                <w:spacing w:val="-10"/>
                <w:szCs w:val="21"/>
                <w14:textFill>
                  <w14:solidFill>
                    <w14:schemeClr w14:val="tx1"/>
                  </w14:solidFill>
                </w14:textFill>
              </w:rPr>
              <w:t>3.1、声源强核算</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营运期最主要的噪声污染源为生产车间生产设施、风机、水泵等生产设备运行产生的噪声，生产设备采用降噪措施、厂房隔声、厂区围墙、厂区绿化等措施进行降噪，项目声源源强参考</w:t>
            </w:r>
            <w:r>
              <w:rPr>
                <w:color w:val="000000" w:themeColor="text1"/>
                <w14:textFill>
                  <w14:solidFill>
                    <w14:schemeClr w14:val="tx1"/>
                  </w14:solidFill>
                </w14:textFill>
              </w:rPr>
              <w:t>《环境噪声控制工程》表6-1常见工业设备声级范围</w:t>
            </w:r>
            <w:r>
              <w:rPr>
                <w:color w:val="000000" w:themeColor="text1"/>
                <w:szCs w:val="21"/>
                <w14:textFill>
                  <w14:solidFill>
                    <w14:schemeClr w14:val="tx1"/>
                  </w14:solidFill>
                </w14:textFill>
              </w:rPr>
              <w:t>，</w:t>
            </w:r>
          </w:p>
          <w:p>
            <w:pPr>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根据刘惠玲主编的《噪声控制技术》（2002年10月第1版），采用隔声间（室）技术措施，降噪效果可达20~40dB（A）；减振处理，降噪效果可达5~25dB（A）。本项目通过减振、墙体隔音的方式，噪声效果降低25dB（A）。</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具体设备噪声源情况见下表。</w:t>
            </w:r>
          </w:p>
          <w:p>
            <w:pPr>
              <w:spacing w:line="360" w:lineRule="auto"/>
              <w:ind w:firstLine="480" w:firstLineChars="200"/>
              <w:rPr>
                <w:color w:val="000000" w:themeColor="text1"/>
                <w:sz w:val="24"/>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9" w:type="default"/>
          <w:pgSz w:w="11906" w:h="16838"/>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1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3" w:hRule="atLeast"/>
          <w:jc w:val="center"/>
        </w:trPr>
        <w:tc>
          <w:tcPr>
            <w:tcW w:w="219" w:type="pct"/>
            <w:vAlign w:val="center"/>
          </w:tcPr>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pStyle w:val="2"/>
              <w:spacing w:line="360" w:lineRule="auto"/>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781" w:type="pct"/>
          </w:tcPr>
          <w:p>
            <w:pPr>
              <w:spacing w:line="520" w:lineRule="exact"/>
              <w:jc w:val="center"/>
              <w:textAlignment w:val="baseline"/>
              <w:rPr>
                <w:b/>
                <w:color w:val="000000" w:themeColor="text1"/>
                <w:kern w:val="0"/>
                <w:szCs w:val="21"/>
                <w14:textFill>
                  <w14:solidFill>
                    <w14:schemeClr w14:val="tx1"/>
                  </w14:solidFill>
                </w14:textFill>
              </w:rPr>
            </w:pPr>
            <w:r>
              <w:rPr>
                <w:b/>
                <w:color w:val="000000" w:themeColor="text1"/>
                <w:szCs w:val="21"/>
                <w14:textFill>
                  <w14:solidFill>
                    <w14:schemeClr w14:val="tx1"/>
                  </w14:solidFill>
                </w14:textFill>
              </w:rPr>
              <w:t>表</w:t>
            </w:r>
            <w:r>
              <w:rPr>
                <w:color w:val="000000" w:themeColor="text1"/>
                <w14:textFill>
                  <w14:solidFill>
                    <w14:schemeClr w14:val="tx1"/>
                  </w14:solidFill>
                </w14:textFill>
              </w:rPr>
              <w:t xml:space="preserve">4-14 </w:t>
            </w:r>
            <w:r>
              <w:rPr>
                <w:b/>
                <w:color w:val="000000" w:themeColor="text1"/>
                <w:kern w:val="0"/>
                <w:szCs w:val="21"/>
                <w14:textFill>
                  <w14:solidFill>
                    <w14:schemeClr w14:val="tx1"/>
                  </w14:solidFill>
                </w14:textFill>
              </w:rPr>
              <w:t>项目主要设备噪声源情况</w:t>
            </w:r>
          </w:p>
          <w:tbl>
            <w:tblPr>
              <w:tblStyle w:val="29"/>
              <w:tblW w:w="13285" w:type="dxa"/>
              <w:jc w:val="center"/>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06"/>
              <w:gridCol w:w="645"/>
              <w:gridCol w:w="1375"/>
              <w:gridCol w:w="683"/>
              <w:gridCol w:w="963"/>
              <w:gridCol w:w="818"/>
              <w:gridCol w:w="975"/>
              <w:gridCol w:w="602"/>
              <w:gridCol w:w="602"/>
              <w:gridCol w:w="602"/>
              <w:gridCol w:w="780"/>
              <w:gridCol w:w="811"/>
              <w:gridCol w:w="1123"/>
              <w:gridCol w:w="998"/>
              <w:gridCol w:w="1109"/>
              <w:gridCol w:w="693"/>
            </w:tblGrid>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序号</w:t>
                  </w:r>
                </w:p>
              </w:tc>
              <w:tc>
                <w:tcPr>
                  <w:tcW w:w="645" w:type="dxa"/>
                  <w:vMerge w:val="restart"/>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建筑物</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名称</w:t>
                  </w:r>
                </w:p>
              </w:tc>
              <w:tc>
                <w:tcPr>
                  <w:tcW w:w="1375"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声源名称</w:t>
                  </w:r>
                </w:p>
              </w:tc>
              <w:tc>
                <w:tcPr>
                  <w:tcW w:w="683"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型号</w:t>
                  </w:r>
                </w:p>
              </w:tc>
              <w:tc>
                <w:tcPr>
                  <w:tcW w:w="1781" w:type="dxa"/>
                  <w:gridSpan w:val="2"/>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声源源强</w:t>
                  </w:r>
                </w:p>
              </w:tc>
              <w:tc>
                <w:tcPr>
                  <w:tcW w:w="975"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声源控制措施</w:t>
                  </w:r>
                </w:p>
              </w:tc>
              <w:tc>
                <w:tcPr>
                  <w:tcW w:w="1806" w:type="dxa"/>
                  <w:gridSpan w:val="3"/>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空间相对位置/m</w:t>
                  </w:r>
                </w:p>
              </w:tc>
              <w:tc>
                <w:tcPr>
                  <w:tcW w:w="780" w:type="dxa"/>
                  <w:vMerge w:val="restart"/>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距室内边</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界距离/m</w:t>
                  </w:r>
                </w:p>
              </w:tc>
              <w:tc>
                <w:tcPr>
                  <w:tcW w:w="811" w:type="dxa"/>
                  <w:vMerge w:val="restart"/>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室内边界</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声级</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/dB(A)</w:t>
                  </w:r>
                </w:p>
              </w:tc>
              <w:tc>
                <w:tcPr>
                  <w:tcW w:w="1123"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运行时段</w:t>
                  </w:r>
                </w:p>
              </w:tc>
              <w:tc>
                <w:tcPr>
                  <w:tcW w:w="998" w:type="dxa"/>
                  <w:vMerge w:val="restart"/>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建筑物</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插入损</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 xml:space="preserve">失/ </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dB(A)</w:t>
                  </w:r>
                </w:p>
              </w:tc>
              <w:tc>
                <w:tcPr>
                  <w:tcW w:w="1802" w:type="dxa"/>
                  <w:gridSpan w:val="2"/>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建筑物外噪声</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vMerge w:val="continue"/>
                  <w:vAlign w:val="center"/>
                </w:tcPr>
                <w:p>
                  <w:pPr>
                    <w:widowControl/>
                    <w:jc w:val="center"/>
                    <w:rPr>
                      <w:color w:val="000000" w:themeColor="text1"/>
                      <w:kern w:val="0"/>
                      <w:szCs w:val="21"/>
                      <w14:textFill>
                        <w14:solidFill>
                          <w14:schemeClr w14:val="tx1"/>
                        </w14:solidFill>
                      </w14:textFill>
                    </w:rPr>
                  </w:pPr>
                </w:p>
              </w:tc>
              <w:tc>
                <w:tcPr>
                  <w:tcW w:w="645" w:type="dxa"/>
                  <w:vMerge w:val="continue"/>
                  <w:vAlign w:val="center"/>
                </w:tcPr>
                <w:p>
                  <w:pPr>
                    <w:widowControl/>
                    <w:jc w:val="center"/>
                    <w:rPr>
                      <w:color w:val="000000" w:themeColor="text1"/>
                      <w:kern w:val="0"/>
                      <w:szCs w:val="21"/>
                      <w14:textFill>
                        <w14:solidFill>
                          <w14:schemeClr w14:val="tx1"/>
                        </w14:solidFill>
                      </w14:textFill>
                    </w:rPr>
                  </w:pPr>
                </w:p>
              </w:tc>
              <w:tc>
                <w:tcPr>
                  <w:tcW w:w="1375" w:type="dxa"/>
                  <w:vMerge w:val="continue"/>
                  <w:vAlign w:val="center"/>
                </w:tcPr>
                <w:p>
                  <w:pPr>
                    <w:widowControl/>
                    <w:jc w:val="center"/>
                    <w:rPr>
                      <w:color w:val="000000" w:themeColor="text1"/>
                      <w:kern w:val="0"/>
                      <w:szCs w:val="21"/>
                      <w14:textFill>
                        <w14:solidFill>
                          <w14:schemeClr w14:val="tx1"/>
                        </w14:solidFill>
                      </w14:textFill>
                    </w:rPr>
                  </w:pPr>
                </w:p>
              </w:tc>
              <w:tc>
                <w:tcPr>
                  <w:tcW w:w="683" w:type="dxa"/>
                  <w:vMerge w:val="continue"/>
                  <w:vAlign w:val="center"/>
                </w:tcPr>
                <w:p>
                  <w:pPr>
                    <w:widowControl/>
                    <w:jc w:val="center"/>
                    <w:rPr>
                      <w:color w:val="000000" w:themeColor="text1"/>
                      <w:kern w:val="0"/>
                      <w:szCs w:val="21"/>
                      <w14:textFill>
                        <w14:solidFill>
                          <w14:schemeClr w14:val="tx1"/>
                        </w14:solidFill>
                      </w14:textFill>
                    </w:rPr>
                  </w:pPr>
                </w:p>
              </w:tc>
              <w:tc>
                <w:tcPr>
                  <w:tcW w:w="963" w:type="dxa"/>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声压（dB(A)</w:t>
                  </w:r>
                </w:p>
              </w:tc>
              <w:tc>
                <w:tcPr>
                  <w:tcW w:w="818" w:type="dxa"/>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距声源距离m</w:t>
                  </w:r>
                </w:p>
              </w:tc>
              <w:tc>
                <w:tcPr>
                  <w:tcW w:w="975" w:type="dxa"/>
                  <w:vMerge w:val="continue"/>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X</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Y</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Z</w:t>
                  </w:r>
                </w:p>
              </w:tc>
              <w:tc>
                <w:tcPr>
                  <w:tcW w:w="780" w:type="dxa"/>
                  <w:vMerge w:val="continue"/>
                  <w:vAlign w:val="center"/>
                </w:tcPr>
                <w:p>
                  <w:pPr>
                    <w:widowControl/>
                    <w:jc w:val="center"/>
                    <w:rPr>
                      <w:color w:val="000000" w:themeColor="text1"/>
                      <w:kern w:val="0"/>
                      <w:szCs w:val="21"/>
                      <w14:textFill>
                        <w14:solidFill>
                          <w14:schemeClr w14:val="tx1"/>
                        </w14:solidFill>
                      </w14:textFill>
                    </w:rPr>
                  </w:pPr>
                </w:p>
              </w:tc>
              <w:tc>
                <w:tcPr>
                  <w:tcW w:w="811" w:type="dxa"/>
                  <w:vMerge w:val="continue"/>
                  <w:vAlign w:val="center"/>
                </w:tcPr>
                <w:p>
                  <w:pPr>
                    <w:widowControl/>
                    <w:jc w:val="center"/>
                    <w:rPr>
                      <w:color w:val="000000" w:themeColor="text1"/>
                      <w:kern w:val="0"/>
                      <w:szCs w:val="21"/>
                      <w14:textFill>
                        <w14:solidFill>
                          <w14:schemeClr w14:val="tx1"/>
                        </w14:solidFill>
                      </w14:textFill>
                    </w:rPr>
                  </w:pPr>
                </w:p>
              </w:tc>
              <w:tc>
                <w:tcPr>
                  <w:tcW w:w="1123" w:type="dxa"/>
                  <w:vMerge w:val="continue"/>
                  <w:vAlign w:val="center"/>
                </w:tcPr>
                <w:p>
                  <w:pPr>
                    <w:widowControl/>
                    <w:jc w:val="center"/>
                    <w:rPr>
                      <w:color w:val="000000" w:themeColor="text1"/>
                      <w:kern w:val="0"/>
                      <w:szCs w:val="21"/>
                      <w14:textFill>
                        <w14:solidFill>
                          <w14:schemeClr w14:val="tx1"/>
                        </w14:solidFill>
                      </w14:textFill>
                    </w:rPr>
                  </w:pPr>
                </w:p>
              </w:tc>
              <w:tc>
                <w:tcPr>
                  <w:tcW w:w="998" w:type="dxa"/>
                  <w:vMerge w:val="continue"/>
                  <w:vAlign w:val="center"/>
                </w:tcPr>
                <w:p>
                  <w:pPr>
                    <w:widowControl/>
                    <w:jc w:val="center"/>
                    <w:rPr>
                      <w:color w:val="000000" w:themeColor="text1"/>
                      <w:kern w:val="0"/>
                      <w:szCs w:val="21"/>
                      <w14:textFill>
                        <w14:solidFill>
                          <w14:schemeClr w14:val="tx1"/>
                        </w14:solidFill>
                      </w14:textFill>
                    </w:rPr>
                  </w:pPr>
                </w:p>
              </w:tc>
              <w:tc>
                <w:tcPr>
                  <w:tcW w:w="1109" w:type="dxa"/>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声压级</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/dB(A)</w:t>
                  </w:r>
                </w:p>
              </w:tc>
              <w:tc>
                <w:tcPr>
                  <w:tcW w:w="693" w:type="dxa"/>
                  <w:shd w:val="clear" w:color="auto" w:fill="auto"/>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建筑物</w:t>
                  </w:r>
                  <w:r>
                    <w:rPr>
                      <w:color w:val="000000" w:themeColor="text1"/>
                      <w:kern w:val="0"/>
                      <w:szCs w:val="21"/>
                      <w14:textFill>
                        <w14:solidFill>
                          <w14:schemeClr w14:val="tx1"/>
                        </w14:solidFill>
                      </w14:textFill>
                    </w:rPr>
                    <w:br w:type="textWrapping"/>
                  </w:r>
                  <w:r>
                    <w:rPr>
                      <w:color w:val="000000" w:themeColor="text1"/>
                      <w:kern w:val="0"/>
                      <w:szCs w:val="21"/>
                      <w14:textFill>
                        <w14:solidFill>
                          <w14:schemeClr w14:val="tx1"/>
                        </w14:solidFill>
                      </w14:textFill>
                    </w:rPr>
                    <w:t>外距离</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c>
                <w:tcPr>
                  <w:tcW w:w="645" w:type="dxa"/>
                  <w:vMerge w:val="restart"/>
                  <w:shd w:val="clear" w:color="auto" w:fill="auto"/>
                  <w:noWrap/>
                  <w:vAlign w:val="center"/>
                </w:tcPr>
                <w:p>
                  <w:pPr>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厂房</w:t>
                  </w:r>
                </w:p>
              </w:tc>
              <w:tc>
                <w:tcPr>
                  <w:tcW w:w="1375"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设备减震隔声，厂房隔声、厂区围墙等</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-24</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-33</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60.4</w:t>
                  </w:r>
                </w:p>
              </w:tc>
              <w:tc>
                <w:tcPr>
                  <w:tcW w:w="1123" w:type="dxa"/>
                  <w:vMerge w:val="restart"/>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上午8:00~12：00；下午14：00~18：00，每天连续工作8h，每年工作2400h</w:t>
                  </w:r>
                </w:p>
              </w:tc>
              <w:tc>
                <w:tcPr>
                  <w:tcW w:w="998" w:type="dxa"/>
                  <w:vMerge w:val="restart"/>
                  <w:shd w:val="clear" w:color="auto" w:fill="auto"/>
                  <w:noWrap/>
                  <w:vAlign w:val="center"/>
                </w:tcPr>
                <w:p>
                  <w:pPr>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25dB（A）</w:t>
                  </w:r>
                </w:p>
              </w:tc>
              <w:tc>
                <w:tcPr>
                  <w:tcW w:w="1109"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-17</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-45</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8</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-26</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-48</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69.4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-27</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69.4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11</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冲床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-52</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69.4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12</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精雕机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-22</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-48</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13</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精雕机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-17</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60.4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29.29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14</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数控车床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-12</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-56</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15</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车床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-51</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车床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80</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-59</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17</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-16</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-58</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18</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19</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-7</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20</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-48</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21</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铣床</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76</w:t>
                  </w:r>
                </w:p>
              </w:tc>
              <w:tc>
                <w:tcPr>
                  <w:tcW w:w="818" w:type="dxa"/>
                  <w:shd w:val="clear" w:color="auto" w:fill="auto"/>
                  <w:noWrap/>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602"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64.4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14:textFill>
                        <w14:solidFill>
                          <w14:schemeClr w14:val="tx1"/>
                        </w14:solidFill>
                      </w14:textFill>
                    </w:rPr>
                  </w:pPr>
                  <w:r>
                    <w:rPr>
                      <w:color w:val="000000" w:themeColor="text1"/>
                      <w14:textFill>
                        <w14:solidFill>
                          <w14:schemeClr w14:val="tx1"/>
                        </w14:solidFill>
                      </w14:textFill>
                    </w:rPr>
                    <w:t>33.29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22</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装配线</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70</w:t>
                  </w:r>
                </w:p>
              </w:tc>
              <w:tc>
                <w:tcPr>
                  <w:tcW w:w="818"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-8</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-52</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38.56</w:t>
                  </w:r>
                </w:p>
              </w:tc>
              <w:tc>
                <w:tcPr>
                  <w:tcW w:w="811"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54.4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23.29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23</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冷却塔</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80</w:t>
                  </w:r>
                </w:p>
              </w:tc>
              <w:tc>
                <w:tcPr>
                  <w:tcW w:w="818"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7</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15.26</w:t>
                  </w:r>
                </w:p>
              </w:tc>
              <w:tc>
                <w:tcPr>
                  <w:tcW w:w="811"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69.34</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38.09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24</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空压机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85</w:t>
                  </w:r>
                </w:p>
              </w:tc>
              <w:tc>
                <w:tcPr>
                  <w:tcW w:w="818"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-392</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-265</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0.8</w:t>
                  </w:r>
                </w:p>
              </w:tc>
              <w:tc>
                <w:tcPr>
                  <w:tcW w:w="780"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811"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43.09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06"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25</w:t>
                  </w:r>
                </w:p>
              </w:tc>
              <w:tc>
                <w:tcPr>
                  <w:tcW w:w="645" w:type="dxa"/>
                  <w:vMerge w:val="continue"/>
                  <w:shd w:val="clear" w:color="auto" w:fill="auto"/>
                  <w:noWrap/>
                  <w:vAlign w:val="center"/>
                </w:tcPr>
                <w:p>
                  <w:pPr>
                    <w:jc w:val="center"/>
                    <w:rPr>
                      <w:color w:val="000000" w:themeColor="text1"/>
                      <w:kern w:val="0"/>
                      <w:szCs w:val="21"/>
                      <w14:textFill>
                        <w14:solidFill>
                          <w14:schemeClr w14:val="tx1"/>
                        </w14:solidFill>
                      </w14:textFill>
                    </w:rPr>
                  </w:pPr>
                </w:p>
              </w:tc>
              <w:tc>
                <w:tcPr>
                  <w:tcW w:w="1375" w:type="dxa"/>
                  <w:shd w:val="clear" w:color="auto" w:fill="auto"/>
                  <w:noWrap/>
                  <w:vAlign w:val="center"/>
                </w:tcPr>
                <w:p>
                  <w:pPr>
                    <w:widowControl/>
                    <w:jc w:val="center"/>
                    <w:rPr>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风机</w:t>
                  </w:r>
                </w:p>
              </w:tc>
              <w:tc>
                <w:tcPr>
                  <w:tcW w:w="68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点源</w:t>
                  </w:r>
                </w:p>
              </w:tc>
              <w:tc>
                <w:tcPr>
                  <w:tcW w:w="96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90</w:t>
                  </w:r>
                </w:p>
              </w:tc>
              <w:tc>
                <w:tcPr>
                  <w:tcW w:w="818"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1</w:t>
                  </w:r>
                </w:p>
              </w:tc>
              <w:tc>
                <w:tcPr>
                  <w:tcW w:w="975"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3</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-45</w:t>
                  </w:r>
                </w:p>
              </w:tc>
              <w:tc>
                <w:tcPr>
                  <w:tcW w:w="602"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24.3</w:t>
                  </w:r>
                </w:p>
              </w:tc>
              <w:tc>
                <w:tcPr>
                  <w:tcW w:w="780"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811"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1123"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998" w:type="dxa"/>
                  <w:vMerge w:val="continue"/>
                  <w:shd w:val="clear" w:color="auto" w:fill="auto"/>
                  <w:noWrap/>
                  <w:vAlign w:val="center"/>
                </w:tcPr>
                <w:p>
                  <w:pPr>
                    <w:widowControl/>
                    <w:jc w:val="center"/>
                    <w:rPr>
                      <w:color w:val="000000" w:themeColor="text1"/>
                      <w:kern w:val="0"/>
                      <w:szCs w:val="21"/>
                      <w14:textFill>
                        <w14:solidFill>
                          <w14:schemeClr w14:val="tx1"/>
                        </w14:solidFill>
                      </w14:textFill>
                    </w:rPr>
                  </w:pPr>
                </w:p>
              </w:tc>
              <w:tc>
                <w:tcPr>
                  <w:tcW w:w="1109"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14:textFill>
                        <w14:solidFill>
                          <w14:schemeClr w14:val="tx1"/>
                        </w14:solidFill>
                      </w14:textFill>
                    </w:rPr>
                    <w:t>48.09</w:t>
                  </w:r>
                </w:p>
              </w:tc>
              <w:tc>
                <w:tcPr>
                  <w:tcW w:w="693" w:type="dxa"/>
                  <w:shd w:val="clear" w:color="auto" w:fill="auto"/>
                  <w:noWrap/>
                  <w:vAlign w:val="center"/>
                </w:tcPr>
                <w:p>
                  <w:pPr>
                    <w:widowControl/>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r>
            <w:tr>
              <w:tblPrEx>
                <w:tblBorders>
                  <w:top w:val="single" w:color="000000" w:sz="18" w:space="0"/>
                  <w:left w:val="single" w:color="000000" w:sz="4" w:space="0"/>
                  <w:bottom w:val="single" w:color="000000" w:sz="18"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13285" w:type="dxa"/>
                  <w:gridSpan w:val="16"/>
                  <w:shd w:val="clear" w:color="auto" w:fill="auto"/>
                  <w:noWrap/>
                  <w:vAlign w:val="center"/>
                </w:tcPr>
                <w:p>
                  <w:pPr>
                    <w:rPr>
                      <w:color w:val="000000" w:themeColor="text1"/>
                      <w:szCs w:val="21"/>
                      <w14:textFill>
                        <w14:solidFill>
                          <w14:schemeClr w14:val="tx1"/>
                        </w14:solidFill>
                      </w14:textFill>
                    </w:rPr>
                  </w:pPr>
                  <w:r>
                    <w:rPr>
                      <w:color w:val="000000" w:themeColor="text1"/>
                      <w:szCs w:val="21"/>
                      <w14:textFill>
                        <w14:solidFill>
                          <w14:schemeClr w14:val="tx1"/>
                        </w14:solidFill>
                      </w14:textFill>
                    </w:rPr>
                    <w:t>备注：1、根据《环境影响评价技术导则声环境》（HJ2.4-2021）附录B，房间常数R＝S</w:t>
                  </w:r>
                  <w:r>
                    <w:rPr>
                      <w:i/>
                      <w:iCs/>
                      <w:color w:val="000000" w:themeColor="text1"/>
                      <w:szCs w:val="21"/>
                      <w14:textFill>
                        <w14:solidFill>
                          <w14:schemeClr w14:val="tx1"/>
                        </w14:solidFill>
                      </w14:textFill>
                    </w:rPr>
                    <w:t>α</w:t>
                  </w:r>
                  <w:r>
                    <w:rPr>
                      <w:color w:val="000000" w:themeColor="text1"/>
                      <w:szCs w:val="21"/>
                      <w14:textFill>
                        <w14:solidFill>
                          <w14:schemeClr w14:val="tx1"/>
                        </w14:solidFill>
                      </w14:textFill>
                    </w:rPr>
                    <w:t>/（1－</w:t>
                  </w:r>
                  <w:r>
                    <w:rPr>
                      <w:i/>
                      <w:iCs/>
                      <w:color w:val="000000" w:themeColor="text1"/>
                      <w:szCs w:val="21"/>
                      <w14:textFill>
                        <w14:solidFill>
                          <w14:schemeClr w14:val="tx1"/>
                        </w14:solidFill>
                      </w14:textFill>
                    </w:rPr>
                    <w:t>α</w:t>
                  </w:r>
                  <w:r>
                    <w:rPr>
                      <w:color w:val="000000" w:themeColor="text1"/>
                      <w:szCs w:val="21"/>
                      <w14:textFill>
                        <w14:solidFill>
                          <w14:schemeClr w14:val="tx1"/>
                        </w14:solidFill>
                      </w14:textFill>
                    </w:rPr>
                    <w:t>）；</w:t>
                  </w:r>
                  <w:r>
                    <w:rPr>
                      <w:i/>
                      <w:iCs/>
                      <w:color w:val="000000" w:themeColor="text1"/>
                      <w:szCs w:val="21"/>
                      <w14:textFill>
                        <w14:solidFill>
                          <w14:schemeClr w14:val="tx1"/>
                        </w14:solidFill>
                      </w14:textFill>
                    </w:rPr>
                    <w:t>S</w:t>
                  </w:r>
                  <w:r>
                    <w:rPr>
                      <w:color w:val="000000" w:themeColor="text1"/>
                      <w:szCs w:val="21"/>
                      <w14:textFill>
                        <w14:solidFill>
                          <w14:schemeClr w14:val="tx1"/>
                        </w14:solidFill>
                      </w14:textFill>
                    </w:rPr>
                    <w:t>为房间内表面面积，m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w:t>
                  </w:r>
                  <w:r>
                    <w:rPr>
                      <w:i/>
                      <w:iCs/>
                      <w:color w:val="000000" w:themeColor="text1"/>
                      <w:szCs w:val="21"/>
                      <w14:textFill>
                        <w14:solidFill>
                          <w14:schemeClr w14:val="tx1"/>
                        </w14:solidFill>
                      </w14:textFill>
                    </w:rPr>
                    <w:t>α</w:t>
                  </w:r>
                  <w:r>
                    <w:rPr>
                      <w:color w:val="000000" w:themeColor="text1"/>
                      <w:szCs w:val="21"/>
                      <w14:textFill>
                        <w14:solidFill>
                          <w14:schemeClr w14:val="tx1"/>
                        </w14:solidFill>
                      </w14:textFill>
                    </w:rPr>
                    <w:t>为平均吸声系数（本项目取0.1）；本项目厂房L＝100；W＝27.5；H＝4.5，经计算得项目R＝739；</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2、空间相对位置的Z代表设备相对厂房的离地高度；</w:t>
                  </w:r>
                </w:p>
                <w:p>
                  <w:pPr>
                    <w:widowControl/>
                    <w:jc w:val="left"/>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3、机械手的声源源强较低，本报告不予以评价。由于车床和铣床为间歇式使用，且使用时间较短，本报告不予以评价。</w:t>
                  </w:r>
                </w:p>
              </w:tc>
            </w:tr>
          </w:tbl>
          <w:p>
            <w:pPr>
              <w:spacing w:line="360" w:lineRule="auto"/>
              <w:jc w:val="left"/>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sectPr>
          <w:pgSz w:w="16783" w:h="11850" w:orient="landscape"/>
          <w:pgMar w:top="1418" w:right="1418" w:bottom="1418" w:left="1418" w:header="567" w:footer="567" w:gutter="0"/>
          <w:cols w:space="720" w:num="1"/>
          <w:docGrid w:type="lines" w:linePitch="312" w:charSpace="0"/>
        </w:sect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1"/>
        <w:gridCol w:w="8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1" w:hRule="atLeast"/>
          <w:jc w:val="center"/>
        </w:trPr>
        <w:tc>
          <w:tcPr>
            <w:tcW w:w="318" w:type="pct"/>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2"/>
              <w:spacing w:line="360" w:lineRule="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措施</w:t>
            </w:r>
          </w:p>
        </w:tc>
        <w:tc>
          <w:tcPr>
            <w:tcW w:w="4682" w:type="pct"/>
          </w:tcPr>
          <w:p>
            <w:pPr>
              <w:adjustRightInd w:val="0"/>
              <w:snapToGrid w:val="0"/>
              <w:spacing w:line="360" w:lineRule="auto"/>
              <w:ind w:firstLine="382" w:firstLineChars="200"/>
              <w:rPr>
                <w:bCs/>
                <w:color w:val="000000" w:themeColor="text1"/>
                <w:szCs w:val="21"/>
                <w14:textFill>
                  <w14:solidFill>
                    <w14:schemeClr w14:val="tx1"/>
                  </w14:solidFill>
                </w14:textFill>
              </w:rPr>
            </w:pPr>
            <w:r>
              <w:rPr>
                <w:b/>
                <w:bCs/>
                <w:color w:val="000000" w:themeColor="text1"/>
                <w:spacing w:val="-10"/>
                <w:szCs w:val="21"/>
                <w14:textFill>
                  <w14:solidFill>
                    <w14:schemeClr w14:val="tx1"/>
                  </w14:solidFill>
                </w14:textFill>
              </w:rPr>
              <w:t>3.2、达标分析</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环境影响评价技术导则声环境》（HJ2.4-2021）附录B，声环境影响预测，一般采用声源的倍频带声功率级、A声功率级或靠近声源某一位置的倍频带声压级、A声级来预测计算距声源不同距离的声级。工业声源有室外和室内两种声源，本项目仅涉及室内声源，因此仅进行室内声源的计算。</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根据《环境影响评价技术导则声环境》（HJ2.4-2021）附录B，针对室内声源，可采用等效室外声源声功率级法进行计算，然后按照室外声源声传播衰减方式预测计算点的声级。</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项目采用北京尚云环境有限公司针对《环境影响评价技术导则声环境》（HJ2.4-2021）开发的噪声预测软件-噪声专业EIAProN2021进行预测。</w:t>
            </w:r>
          </w:p>
          <w:p>
            <w:pPr>
              <w:spacing w:line="360" w:lineRule="auto"/>
              <w:rPr>
                <w:color w:val="000000" w:themeColor="text1"/>
                <w:szCs w:val="21"/>
                <w14:textFill>
                  <w14:solidFill>
                    <w14:schemeClr w14:val="tx1"/>
                  </w14:solidFill>
                </w14:textFill>
              </w:rPr>
            </w:pP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10" w:type="default"/>
          <w:pgSz w:w="11906" w:h="16838"/>
          <w:pgMar w:top="1418" w:right="1418" w:bottom="1418" w:left="1418" w:header="567" w:footer="567" w:gutter="0"/>
          <w:cols w:space="720" w:num="1"/>
          <w:docGrid w:type="lines"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13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5" w:type="dxa"/>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87"/>
              <w:ind w:firstLine="0" w:firstLineChars="0"/>
              <w:jc w:val="center"/>
              <w:rPr>
                <w:snapToGrid w:val="0"/>
                <w:color w:val="000000" w:themeColor="text1"/>
                <w14:textFill>
                  <w14:solidFill>
                    <w14:schemeClr w14:val="tx1"/>
                  </w14:solidFill>
                </w14:textFill>
              </w:rPr>
            </w:pPr>
            <w:r>
              <w:rPr>
                <w:bCs/>
                <w:color w:val="000000" w:themeColor="text1"/>
                <w:sz w:val="21"/>
                <w:szCs w:val="21"/>
                <w14:textFill>
                  <w14:solidFill>
                    <w14:schemeClr w14:val="tx1"/>
                  </w14:solidFill>
                </w14:textFill>
              </w:rPr>
              <w:t>措施</w:t>
            </w:r>
          </w:p>
        </w:tc>
        <w:tc>
          <w:tcPr>
            <w:tcW w:w="14933" w:type="dxa"/>
          </w:tcPr>
          <w:p>
            <w:pPr>
              <w:spacing w:line="520" w:lineRule="exact"/>
              <w:ind w:firstLine="422" w:firstLineChars="200"/>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表</w:t>
            </w:r>
            <w:r>
              <w:rPr>
                <w:color w:val="000000" w:themeColor="text1"/>
                <w14:textFill>
                  <w14:solidFill>
                    <w14:schemeClr w14:val="tx1"/>
                  </w14:solidFill>
                </w14:textFill>
              </w:rPr>
              <w:t>4-15</w:t>
            </w:r>
            <w:r>
              <w:rPr>
                <w:b/>
                <w:color w:val="000000" w:themeColor="text1"/>
                <w:szCs w:val="21"/>
                <w14:textFill>
                  <w14:solidFill>
                    <w14:schemeClr w14:val="tx1"/>
                  </w14:solidFill>
                </w14:textFill>
              </w:rPr>
              <w:t xml:space="preserve"> </w:t>
            </w:r>
            <w:r>
              <w:rPr>
                <w:b/>
                <w:bCs/>
                <w:color w:val="000000" w:themeColor="text1"/>
                <w:szCs w:val="21"/>
                <w14:textFill>
                  <w14:solidFill>
                    <w14:schemeClr w14:val="tx1"/>
                  </w14:solidFill>
                </w14:textFill>
              </w:rPr>
              <w:t>厂界噪声和敏感点预测结果  dB(A)</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342"/>
              <w:gridCol w:w="886"/>
              <w:gridCol w:w="967"/>
              <w:gridCol w:w="967"/>
              <w:gridCol w:w="967"/>
              <w:gridCol w:w="967"/>
              <w:gridCol w:w="967"/>
              <w:gridCol w:w="967"/>
              <w:gridCol w:w="967"/>
              <w:gridCol w:w="967"/>
              <w:gridCol w:w="967"/>
              <w:gridCol w:w="967"/>
              <w:gridCol w:w="97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8" w:type="pct"/>
                  <w:vMerge w:val="restar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496" w:type="pct"/>
                  <w:vMerge w:val="restart"/>
                  <w:shd w:val="clear" w:color="auto" w:fill="auto"/>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预测点位</w:t>
                  </w:r>
                </w:p>
              </w:tc>
              <w:tc>
                <w:tcPr>
                  <w:tcW w:w="68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噪声现状值</w:t>
                  </w:r>
                </w:p>
              </w:tc>
              <w:tc>
                <w:tcPr>
                  <w:tcW w:w="71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噪声标准值</w:t>
                  </w:r>
                </w:p>
              </w:tc>
              <w:tc>
                <w:tcPr>
                  <w:tcW w:w="71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噪声贡献值</w:t>
                  </w:r>
                </w:p>
              </w:tc>
              <w:tc>
                <w:tcPr>
                  <w:tcW w:w="71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噪声预测值</w:t>
                  </w:r>
                </w:p>
              </w:tc>
              <w:tc>
                <w:tcPr>
                  <w:tcW w:w="71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较现状增量</w:t>
                  </w:r>
                </w:p>
              </w:tc>
              <w:tc>
                <w:tcPr>
                  <w:tcW w:w="714" w:type="pct"/>
                  <w:gridSpan w:val="2"/>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超标和达标情况</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8" w:type="pct"/>
                  <w:vMerge w:val="continue"/>
                  <w:shd w:val="clear" w:color="auto" w:fill="auto"/>
                  <w:vAlign w:val="center"/>
                </w:tcPr>
                <w:p>
                  <w:pPr>
                    <w:jc w:val="center"/>
                    <w:rPr>
                      <w:color w:val="000000" w:themeColor="text1"/>
                      <w14:textFill>
                        <w14:solidFill>
                          <w14:schemeClr w14:val="tx1"/>
                        </w14:solidFill>
                      </w14:textFill>
                    </w:rPr>
                  </w:pPr>
                </w:p>
              </w:tc>
              <w:tc>
                <w:tcPr>
                  <w:tcW w:w="496" w:type="pct"/>
                  <w:vMerge w:val="continue"/>
                  <w:shd w:val="clear" w:color="auto" w:fill="auto"/>
                  <w:vAlign w:val="center"/>
                </w:tcPr>
                <w:p>
                  <w:pPr>
                    <w:jc w:val="center"/>
                    <w:rPr>
                      <w:color w:val="000000" w:themeColor="text1"/>
                      <w14:textFill>
                        <w14:solidFill>
                          <w14:schemeClr w14:val="tx1"/>
                        </w14:solidFill>
                      </w14:textFill>
                    </w:rPr>
                  </w:pPr>
                </w:p>
              </w:tc>
              <w:tc>
                <w:tcPr>
                  <w:tcW w:w="32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昼间</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夜间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96" w:type="pct"/>
                  <w:shd w:val="clear" w:color="auto" w:fill="auto"/>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北侧边界</w:t>
                  </w:r>
                </w:p>
              </w:tc>
              <w:tc>
                <w:tcPr>
                  <w:tcW w:w="32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53.07</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w:t>
                  </w:r>
                </w:p>
              </w:tc>
              <w:tc>
                <w:tcPr>
                  <w:tcW w:w="496" w:type="pct"/>
                  <w:shd w:val="clear" w:color="auto" w:fill="auto"/>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东侧边界</w:t>
                  </w:r>
                </w:p>
              </w:tc>
              <w:tc>
                <w:tcPr>
                  <w:tcW w:w="32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54.57</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8"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496" w:type="pct"/>
                  <w:shd w:val="clear" w:color="auto" w:fill="auto"/>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南侧边界</w:t>
                  </w:r>
                </w:p>
              </w:tc>
              <w:tc>
                <w:tcPr>
                  <w:tcW w:w="32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56.15</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达标</w:t>
                  </w:r>
                </w:p>
              </w:tc>
              <w:tc>
                <w:tcPr>
                  <w:tcW w:w="357" w:type="pct"/>
                  <w:shd w:val="clear" w:color="auto" w:fill="auto"/>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4"/>
                  <w:shd w:val="clear" w:color="auto" w:fill="auto"/>
                  <w:vAlign w:val="center"/>
                </w:tcPr>
                <w:p>
                  <w:pPr>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备注：1、项目厂界噪声执行《工业企业厂界环境噪声排放标准》（GB12348-2008）中2类标准。</w:t>
                  </w:r>
                </w:p>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2、由于项目夜间不生产，根据《</w:t>
                  </w:r>
                  <w:r>
                    <w:fldChar w:fldCharType="begin"/>
                  </w:r>
                  <w:r>
                    <w:instrText xml:space="preserve"> HYPERLINK "https://www.mee.gov.cn/xxgk2018/xxgk/xxgk05/202101/W020210104371003931528.pdf" </w:instrText>
                  </w:r>
                  <w:r>
                    <w:fldChar w:fldCharType="separate"/>
                  </w:r>
                  <w:r>
                    <w:rPr>
                      <w:color w:val="000000" w:themeColor="text1"/>
                      <w:szCs w:val="21"/>
                      <w14:textFill>
                        <w14:solidFill>
                          <w14:schemeClr w14:val="tx1"/>
                        </w14:solidFill>
                      </w14:textFill>
                    </w:rPr>
                    <w:t>建设项目环境影响报告表编制技术指南（污染影响类）（试行）</w:t>
                  </w:r>
                  <w:r>
                    <w:rPr>
                      <w:color w:val="000000" w:themeColor="text1"/>
                      <w:szCs w:val="21"/>
                      <w14:textFill>
                        <w14:solidFill>
                          <w14:schemeClr w14:val="tx1"/>
                        </w14:solidFill>
                      </w14:textFill>
                    </w:rPr>
                    <w:fldChar w:fldCharType="end"/>
                  </w:r>
                  <w:r>
                    <w:rPr>
                      <w:color w:val="000000" w:themeColor="text1"/>
                      <w:szCs w:val="21"/>
                      <w14:textFill>
                        <w14:solidFill>
                          <w14:schemeClr w14:val="tx1"/>
                        </w14:solidFill>
                      </w14:textFill>
                    </w:rPr>
                    <w:t>》项目夜间不生产则仅监测昼间噪声，因此本项目不监测夜间噪声，本项目未不对夜间噪声进行预测。</w:t>
                  </w:r>
                </w:p>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3、根据《环境影响评价技术导则声环境》（HJ2.4-2021）8.6.1列表给出建设项目厂界（场界、边界）噪声贡献值和各声环境保护目标处的背景噪声值、噪声</w:t>
                  </w:r>
                </w:p>
                <w:p>
                  <w:pPr>
                    <w:pStyle w:val="2"/>
                    <w:snapToGrid w:val="0"/>
                    <w:jc w:val="both"/>
                    <w:rPr>
                      <w:color w:val="000000" w:themeColor="text1"/>
                      <w:szCs w:val="21"/>
                      <w14:textFill>
                        <w14:solidFill>
                          <w14:schemeClr w14:val="tx1"/>
                        </w14:solidFill>
                      </w14:textFill>
                    </w:rPr>
                  </w:pPr>
                  <w:r>
                    <w:rPr>
                      <w:color w:val="000000" w:themeColor="text1"/>
                      <w:szCs w:val="21"/>
                      <w14:textFill>
                        <w14:solidFill>
                          <w14:schemeClr w14:val="tx1"/>
                        </w14:solidFill>
                      </w14:textFill>
                    </w:rPr>
                    <w:t>贡献值、噪声预测值、超标和达标情况等，因此本项目厂界仅给出噪声贡献值。</w:t>
                  </w:r>
                </w:p>
                <w:p>
                  <w:pPr>
                    <w:pStyle w:val="2"/>
                    <w:jc w:val="both"/>
                    <w:rPr>
                      <w:color w:val="000000" w:themeColor="text1"/>
                      <w:szCs w:val="21"/>
                      <w14:textFill>
                        <w14:solidFill>
                          <w14:schemeClr w14:val="tx1"/>
                        </w14:solidFill>
                      </w14:textFill>
                    </w:rPr>
                  </w:pPr>
                  <w:r>
                    <w:rPr>
                      <w:color w:val="000000" w:themeColor="text1"/>
                      <w14:textFill>
                        <w14:solidFill>
                          <w14:schemeClr w14:val="tx1"/>
                        </w14:solidFill>
                      </w14:textFill>
                    </w:rPr>
                    <w:t>4、</w:t>
                  </w:r>
                  <w:r>
                    <w:rPr>
                      <w:color w:val="000000" w:themeColor="text1"/>
                      <w:szCs w:val="21"/>
                      <w14:textFill>
                        <w14:solidFill>
                          <w14:schemeClr w14:val="tx1"/>
                        </w14:solidFill>
                      </w14:textFill>
                    </w:rPr>
                    <w:t>由于项目西侧边界与江陵电动车服务中心东侧边界紧邻，即共用墙，受声屏障的干扰较大，因此不进行西侧边界的噪声预测。</w:t>
                  </w:r>
                </w:p>
              </w:tc>
            </w:tr>
          </w:tbl>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由上表可知，项目四周厂界噪声能满足《工业企业厂界环境噪声排放标准》（GB12348-2008）中2类标准，因此项目运营期设备在采取相应措施后，噪声对声环境质量影响较小。</w:t>
            </w:r>
          </w:p>
          <w:p>
            <w:pPr>
              <w:pStyle w:val="87"/>
              <w:ind w:firstLine="0" w:firstLineChars="0"/>
              <w:rPr>
                <w:snapToGrid w:val="0"/>
                <w:color w:val="000000" w:themeColor="text1"/>
                <w14:textFill>
                  <w14:solidFill>
                    <w14:schemeClr w14:val="tx1"/>
                  </w14:solidFill>
                </w14:textFill>
              </w:rPr>
            </w:pPr>
          </w:p>
        </w:tc>
      </w:tr>
    </w:tbl>
    <w:p>
      <w:pPr>
        <w:pStyle w:val="87"/>
        <w:ind w:firstLine="480"/>
        <w:rPr>
          <w:snapToGrid w:val="0"/>
          <w:color w:val="000000" w:themeColor="text1"/>
          <w14:textFill>
            <w14:solidFill>
              <w14:schemeClr w14:val="tx1"/>
            </w14:solidFill>
          </w14:textFill>
        </w:rPr>
        <w:sectPr>
          <w:headerReference r:id="rId11" w:type="default"/>
          <w:pgSz w:w="16838" w:h="11906" w:orient="landscape"/>
          <w:pgMar w:top="1418" w:right="1418" w:bottom="1418" w:left="1418" w:header="567" w:footer="567" w:gutter="0"/>
          <w:cols w:space="720" w:num="1"/>
          <w:docGrid w:type="lines"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8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87"/>
              <w:ind w:firstLine="0" w:firstLineChars="0"/>
              <w:jc w:val="center"/>
              <w:rPr>
                <w:snapToGrid w:val="0"/>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措施</w:t>
            </w:r>
          </w:p>
        </w:tc>
        <w:tc>
          <w:tcPr>
            <w:tcW w:w="9894" w:type="dxa"/>
          </w:tcPr>
          <w:p>
            <w:pPr>
              <w:adjustRightInd w:val="0"/>
              <w:snapToGrid w:val="0"/>
              <w:spacing w:line="360" w:lineRule="auto"/>
              <w:rPr>
                <w:b/>
                <w:bCs/>
                <w:color w:val="000000" w:themeColor="text1"/>
                <w:spacing w:val="-10"/>
                <w:szCs w:val="21"/>
                <w14:textFill>
                  <w14:solidFill>
                    <w14:schemeClr w14:val="tx1"/>
                  </w14:solidFill>
                </w14:textFill>
              </w:rPr>
            </w:pPr>
            <w:r>
              <w:rPr>
                <w:b/>
                <w:bCs/>
                <w:color w:val="000000" w:themeColor="text1"/>
                <w:spacing w:val="-10"/>
                <w:szCs w:val="21"/>
                <w14:textFill>
                  <w14:solidFill>
                    <w14:schemeClr w14:val="tx1"/>
                  </w14:solidFill>
                </w14:textFill>
              </w:rPr>
              <w:t>3.3、噪声监测要求</w:t>
            </w:r>
          </w:p>
          <w:p>
            <w:pPr>
              <w:adjustRightInd w:val="0"/>
              <w:snapToGrid w:val="0"/>
              <w:spacing w:line="360" w:lineRule="auto"/>
              <w:ind w:firstLine="420" w:firstLineChars="200"/>
              <w:rPr>
                <w:bCs/>
                <w:color w:val="000000" w:themeColor="text1"/>
                <w:spacing w:val="-10"/>
                <w:szCs w:val="21"/>
                <w14:textFill>
                  <w14:solidFill>
                    <w14:schemeClr w14:val="tx1"/>
                  </w14:solidFill>
                </w14:textFill>
              </w:rPr>
            </w:pPr>
            <w:r>
              <w:rPr>
                <w:color w:val="000000" w:themeColor="text1"/>
                <w:szCs w:val="21"/>
                <w14:textFill>
                  <w14:solidFill>
                    <w14:schemeClr w14:val="tx1"/>
                  </w14:solidFill>
                </w14:textFill>
              </w:rPr>
              <w:t>根据《</w:t>
            </w:r>
            <w:r>
              <w:fldChar w:fldCharType="begin"/>
            </w:r>
            <w:r>
              <w:instrText xml:space="preserve"> HYPERLINK "https://www.mee.gov.cn/ywgz/fgbz/bz/bzwb/jcffbz/202112/W020211206547863741730.pdf" </w:instrText>
            </w:r>
            <w:r>
              <w:fldChar w:fldCharType="separate"/>
            </w:r>
            <w:r>
              <w:rPr>
                <w:color w:val="000000" w:themeColor="text1"/>
                <w:szCs w:val="21"/>
                <w14:textFill>
                  <w14:solidFill>
                    <w14:schemeClr w14:val="tx1"/>
                  </w14:solidFill>
                </w14:textFill>
              </w:rPr>
              <w:t>排污单位自行监测技术指南 橡胶和塑料制品》（HJ 1207-2021）</w:t>
            </w:r>
            <w:r>
              <w:rPr>
                <w:color w:val="000000" w:themeColor="text1"/>
                <w:szCs w:val="21"/>
                <w14:textFill>
                  <w14:solidFill>
                    <w14:schemeClr w14:val="tx1"/>
                  </w14:solidFill>
                </w14:textFill>
              </w:rPr>
              <w:fldChar w:fldCharType="end"/>
            </w:r>
            <w:r>
              <w:rPr>
                <w:bCs/>
                <w:color w:val="000000" w:themeColor="text1"/>
                <w:spacing w:val="-10"/>
                <w:szCs w:val="21"/>
                <w14:textFill>
                  <w14:solidFill>
                    <w14:schemeClr w14:val="tx1"/>
                  </w14:solidFill>
                </w14:textFill>
              </w:rPr>
              <w:t>制定项目噪声监测计划。</w:t>
            </w:r>
          </w:p>
          <w:p>
            <w:pPr>
              <w:pStyle w:val="47"/>
              <w:rPr>
                <w:color w:val="000000" w:themeColor="text1"/>
                <w:szCs w:val="21"/>
                <w14:textFill>
                  <w14:solidFill>
                    <w14:schemeClr w14:val="tx1"/>
                  </w14:solidFill>
                </w14:textFill>
              </w:rPr>
            </w:pPr>
            <w:r>
              <w:rPr>
                <w:color w:val="000000" w:themeColor="text1"/>
                <w:szCs w:val="21"/>
                <w14:textFill>
                  <w14:solidFill>
                    <w14:schemeClr w14:val="tx1"/>
                  </w14:solidFill>
                </w14:textFill>
              </w:rPr>
              <w:t>表4-16 项目噪声监测一览表</w:t>
            </w:r>
          </w:p>
          <w:tbl>
            <w:tblPr>
              <w:tblStyle w:val="29"/>
              <w:tblW w:w="5000"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998"/>
              <w:gridCol w:w="1052"/>
              <w:gridCol w:w="938"/>
              <w:gridCol w:w="996"/>
              <w:gridCol w:w="3893"/>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81"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项目</w:t>
                  </w:r>
                </w:p>
              </w:tc>
              <w:tc>
                <w:tcPr>
                  <w:tcW w:w="585"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监测点位</w:t>
                  </w:r>
                </w:p>
              </w:tc>
              <w:tc>
                <w:tcPr>
                  <w:tcW w:w="617"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监测时段</w:t>
                  </w:r>
                </w:p>
              </w:tc>
              <w:tc>
                <w:tcPr>
                  <w:tcW w:w="550"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监测指标</w:t>
                  </w:r>
                </w:p>
              </w:tc>
              <w:tc>
                <w:tcPr>
                  <w:tcW w:w="584"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监测频次</w:t>
                  </w:r>
                </w:p>
              </w:tc>
              <w:tc>
                <w:tcPr>
                  <w:tcW w:w="2283" w:type="pct"/>
                  <w:vAlign w:val="center"/>
                </w:tcPr>
                <w:p>
                  <w:pPr>
                    <w:pStyle w:val="40"/>
                    <w:snapToGrid w:val="0"/>
                    <w:spacing w:line="240" w:lineRule="auto"/>
                    <w:ind w:firstLine="0"/>
                    <w:jc w:val="center"/>
                    <w:rPr>
                      <w:rFonts w:eastAsia="宋体"/>
                      <w:b/>
                      <w:color w:val="000000" w:themeColor="text1"/>
                      <w:sz w:val="21"/>
                      <w:szCs w:val="21"/>
                      <w14:textFill>
                        <w14:solidFill>
                          <w14:schemeClr w14:val="tx1"/>
                        </w14:solidFill>
                      </w14:textFill>
                    </w:rPr>
                  </w:pPr>
                  <w:r>
                    <w:rPr>
                      <w:rFonts w:eastAsia="宋体"/>
                      <w:b/>
                      <w:color w:val="000000" w:themeColor="text1"/>
                      <w:sz w:val="21"/>
                      <w:szCs w:val="21"/>
                      <w14:textFill>
                        <w14:solidFill>
                          <w14:schemeClr w14:val="tx1"/>
                        </w14:solidFill>
                      </w14:textFill>
                    </w:rPr>
                    <w:t>执行排放标准</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81" w:type="pct"/>
                  <w:vAlign w:val="center"/>
                </w:tcPr>
                <w:p>
                  <w:pPr>
                    <w:pStyle w:val="40"/>
                    <w:snapToGrid w:val="0"/>
                    <w:spacing w:line="240" w:lineRule="auto"/>
                    <w:ind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噪声</w:t>
                  </w:r>
                </w:p>
              </w:tc>
              <w:tc>
                <w:tcPr>
                  <w:tcW w:w="585" w:type="pct"/>
                  <w:vAlign w:val="center"/>
                </w:tcPr>
                <w:p>
                  <w:pPr>
                    <w:pStyle w:val="40"/>
                    <w:snapToGrid w:val="0"/>
                    <w:spacing w:line="240" w:lineRule="auto"/>
                    <w:ind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厂界</w:t>
                  </w:r>
                </w:p>
              </w:tc>
              <w:tc>
                <w:tcPr>
                  <w:tcW w:w="617" w:type="pct"/>
                  <w:vAlign w:val="center"/>
                </w:tcPr>
                <w:p>
                  <w:pPr>
                    <w:pStyle w:val="40"/>
                    <w:snapToGrid w:val="0"/>
                    <w:spacing w:line="240" w:lineRule="auto"/>
                    <w:ind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昼间</w:t>
                  </w:r>
                </w:p>
              </w:tc>
              <w:tc>
                <w:tcPr>
                  <w:tcW w:w="550" w:type="pct"/>
                  <w:vAlign w:val="center"/>
                </w:tcPr>
                <w:p>
                  <w:pPr>
                    <w:pStyle w:val="40"/>
                    <w:snapToGrid w:val="0"/>
                    <w:spacing w:line="240" w:lineRule="auto"/>
                    <w:ind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LAeq</w:t>
                  </w:r>
                </w:p>
              </w:tc>
              <w:tc>
                <w:tcPr>
                  <w:tcW w:w="584" w:type="pct"/>
                  <w:vAlign w:val="center"/>
                </w:tcPr>
                <w:p>
                  <w:pPr>
                    <w:pStyle w:val="40"/>
                    <w:snapToGrid w:val="0"/>
                    <w:spacing w:line="240" w:lineRule="auto"/>
                    <w:ind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1次/季</w:t>
                  </w:r>
                </w:p>
              </w:tc>
              <w:tc>
                <w:tcPr>
                  <w:tcW w:w="2283" w:type="pct"/>
                  <w:vAlign w:val="center"/>
                </w:tcPr>
                <w:p>
                  <w:pPr>
                    <w:pStyle w:val="40"/>
                    <w:snapToGrid w:val="0"/>
                    <w:spacing w:line="240" w:lineRule="auto"/>
                    <w:ind w:right="181" w:rightChars="86" w:firstLine="0"/>
                    <w:jc w:val="center"/>
                    <w:rPr>
                      <w:rFonts w:eastAsia="宋体"/>
                      <w:color w:val="000000" w:themeColor="text1"/>
                      <w:sz w:val="21"/>
                      <w:szCs w:val="21"/>
                      <w14:textFill>
                        <w14:solidFill>
                          <w14:schemeClr w14:val="tx1"/>
                        </w14:solidFill>
                      </w14:textFill>
                    </w:rPr>
                  </w:pPr>
                  <w:r>
                    <w:rPr>
                      <w:rFonts w:eastAsia="宋体"/>
                      <w:color w:val="000000" w:themeColor="text1"/>
                      <w:sz w:val="21"/>
                      <w:szCs w:val="21"/>
                      <w14:textFill>
                        <w14:solidFill>
                          <w14:schemeClr w14:val="tx1"/>
                        </w14:solidFill>
                      </w14:textFill>
                    </w:rPr>
                    <w:t>《工业企业厂界环境噪声排放标准》(GB12348-2008)中的2类标准</w:t>
                  </w:r>
                </w:p>
              </w:tc>
            </w:tr>
          </w:tbl>
          <w:p>
            <w:pPr>
              <w:adjustRightInd w:val="0"/>
              <w:snapToGrid w:val="0"/>
              <w:spacing w:line="360" w:lineRule="auto"/>
              <w:ind w:firstLine="477" w:firstLineChars="250"/>
              <w:rPr>
                <w:bCs/>
                <w:color w:val="000000" w:themeColor="text1"/>
                <w:szCs w:val="21"/>
                <w14:textFill>
                  <w14:solidFill>
                    <w14:schemeClr w14:val="tx1"/>
                  </w14:solidFill>
                </w14:textFill>
              </w:rPr>
            </w:pPr>
            <w:r>
              <w:rPr>
                <w:b/>
                <w:bCs/>
                <w:color w:val="000000" w:themeColor="text1"/>
                <w:spacing w:val="-10"/>
                <w:szCs w:val="21"/>
                <w14:textFill>
                  <w14:solidFill>
                    <w14:schemeClr w14:val="tx1"/>
                  </w14:solidFill>
                </w14:textFill>
              </w:rPr>
              <w:t>3.4、噪声防治措施</w:t>
            </w:r>
          </w:p>
          <w:p>
            <w:pPr>
              <w:widowControl/>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为保证项目对周边声环境质量影响，建设单位采取以下防治措施，具体见下文。</w:t>
            </w:r>
          </w:p>
          <w:p>
            <w:pPr>
              <w:widowControl/>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1）维持设备处于良好的运转状态，减少因零部件磨损产生的噪声；</w:t>
            </w:r>
          </w:p>
          <w:p>
            <w:pPr>
              <w:widowControl/>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2）合</w:t>
            </w:r>
            <w:r>
              <w:rPr>
                <w:color w:val="000000" w:themeColor="text1"/>
                <w:szCs w:val="21"/>
                <w14:textFill>
                  <w14:solidFill>
                    <w14:schemeClr w14:val="tx1"/>
                  </w14:solidFill>
                </w14:textFill>
              </w:rPr>
              <w:t>理布设生产车间，项目空压机等均为中高噪声设备，建设单位将空压机等设置在独立的空压机房内，这样可通过车间阻挡噪声传播，尽量把车间的噪声影响限制在厂区范围内，降低噪声对外界的影响</w:t>
            </w:r>
            <w:r>
              <w:rPr>
                <w:bCs/>
                <w:color w:val="000000" w:themeColor="text1"/>
                <w:szCs w:val="21"/>
                <w14:textFill>
                  <w14:solidFill>
                    <w14:schemeClr w14:val="tx1"/>
                  </w14:solidFill>
                </w14:textFill>
              </w:rPr>
              <w:t>；</w:t>
            </w:r>
          </w:p>
          <w:p>
            <w:pPr>
              <w:widowControl/>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3）强噪声设备底座设置防振装置，并设置适当的隔声屏障；</w:t>
            </w:r>
          </w:p>
          <w:p>
            <w:pPr>
              <w:widowControl/>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4）加强作业管理，减少非正常噪声。生产时门窗紧闭，通过强制机械排风来加强车间通风换气，以减少噪声外传。</w:t>
            </w:r>
          </w:p>
          <w:p>
            <w:pPr>
              <w:widowControl/>
              <w:spacing w:line="360" w:lineRule="auto"/>
              <w:ind w:firstLine="420" w:firstLineChars="200"/>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5）项目污水处理设施需设置在设备房内，并进行隔声措施，。</w:t>
            </w:r>
          </w:p>
          <w:p>
            <w:pPr>
              <w:wordWrap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在采取上述噪声治理措施后，并且在厂房墙体、门窗隔声和距离衰减等综合作用下，项目生产运营时（8：00~18：00，午休2小时）产生的噪声在厂界外1米处可满足《工业企业厂界环境噪声排放标准》（GB12348-2008）中昼间的2类标准要求。</w:t>
            </w:r>
          </w:p>
          <w:p>
            <w:pPr>
              <w:numPr>
                <w:ilvl w:val="0"/>
                <w:numId w:val="19"/>
              </w:numPr>
              <w:adjustRightInd w:val="0"/>
              <w:snapToGrid w:val="0"/>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固体废物</w:t>
            </w:r>
          </w:p>
          <w:p>
            <w:pPr>
              <w:numPr>
                <w:ilvl w:val="0"/>
                <w:numId w:val="25"/>
              </w:numPr>
              <w:adjustRightInd w:val="0"/>
              <w:snapToGrid w:val="0"/>
              <w:spacing w:line="360" w:lineRule="auto"/>
              <w:ind w:firstLine="422" w:firstLineChars="200"/>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源强分析</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本项目固体废物包括生活垃圾、一般工业固体废物、危险废物。</w:t>
            </w:r>
          </w:p>
          <w:p>
            <w:pPr>
              <w:numPr>
                <w:ilvl w:val="0"/>
                <w:numId w:val="26"/>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生活垃圾</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本项目员工人数50人，不在项目内食宿，年平均工作300天，生活垃圾产生系数为0.5kg/人•日，则生活垃圾产生量为25kg/d（7.5</w:t>
            </w:r>
            <w:r>
              <w:rPr>
                <w:rFonts w:eastAsia="MS Mincho"/>
                <w:color w:val="000000" w:themeColor="text1"/>
                <w:szCs w:val="21"/>
                <w14:textFill>
                  <w14:solidFill>
                    <w14:schemeClr w14:val="tx1"/>
                  </w14:solidFill>
                </w14:textFill>
              </w:rPr>
              <w:t>‬</w:t>
            </w:r>
            <w:r>
              <w:rPr>
                <w:color w:val="000000" w:themeColor="text1"/>
                <w:szCs w:val="21"/>
                <w14:textFill>
                  <w14:solidFill>
                    <w14:schemeClr w14:val="tx1"/>
                  </w14:solidFill>
                </w14:textFill>
              </w:rPr>
              <w:t>t/a），集中收集，由环卫部门统一运走处理。</w:t>
            </w:r>
          </w:p>
          <w:p>
            <w:pPr>
              <w:numPr>
                <w:ilvl w:val="0"/>
                <w:numId w:val="26"/>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一般工业固体废物</w:t>
            </w:r>
          </w:p>
          <w:p>
            <w:pPr>
              <w:numPr>
                <w:ilvl w:val="0"/>
                <w:numId w:val="27"/>
              </w:numPr>
              <w:adjustRightInd w:val="0"/>
              <w:snapToGrid w:val="0"/>
              <w:spacing w:line="360" w:lineRule="auto"/>
              <w:ind w:left="0" w:firstLine="422" w:firstLineChars="200"/>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水口料</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项目水口料的产生量约为原料用量的3%，经计算其产生量约0.48t/a。</w:t>
            </w:r>
          </w:p>
          <w:p>
            <w:pPr>
              <w:numPr>
                <w:ilvl w:val="0"/>
                <w:numId w:val="27"/>
              </w:numPr>
              <w:adjustRightInd w:val="0"/>
              <w:snapToGrid w:val="0"/>
              <w:spacing w:line="360" w:lineRule="auto"/>
              <w:ind w:left="0" w:firstLine="482"/>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包装废物</w:t>
            </w:r>
          </w:p>
          <w:p>
            <w:pPr>
              <w:tabs>
                <w:tab w:val="left" w:pos="851"/>
              </w:tabs>
              <w:adjustRightInd w:val="0"/>
              <w:snapToGrid w:val="0"/>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项目包装废物的产生量约</w:t>
            </w:r>
            <w:r>
              <w:rPr>
                <w:bCs/>
                <w:color w:val="000000" w:themeColor="text1"/>
                <w:szCs w:val="21"/>
                <w14:textFill>
                  <w14:solidFill>
                    <w14:schemeClr w14:val="tx1"/>
                  </w14:solidFill>
                </w14:textFill>
              </w:rPr>
              <w:t>0.181t/a，</w:t>
            </w:r>
            <w:r>
              <w:rPr>
                <w:color w:val="000000" w:themeColor="text1"/>
                <w:szCs w:val="21"/>
                <w14:textFill>
                  <w14:solidFill>
                    <w14:schemeClr w14:val="tx1"/>
                  </w14:solidFill>
                </w14:textFill>
              </w:rPr>
              <w:t>属于一般工业固体废物。</w:t>
            </w:r>
          </w:p>
          <w:p>
            <w:pPr>
              <w:numPr>
                <w:ilvl w:val="0"/>
                <w:numId w:val="27"/>
              </w:numPr>
              <w:adjustRightInd w:val="0"/>
              <w:snapToGrid w:val="0"/>
              <w:spacing w:line="360" w:lineRule="auto"/>
              <w:ind w:left="0" w:firstLine="482"/>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边角料</w:t>
            </w:r>
          </w:p>
          <w:p>
            <w:pPr>
              <w:tabs>
                <w:tab w:val="left" w:pos="851"/>
              </w:tabs>
              <w:adjustRightInd w:val="0"/>
              <w:snapToGrid w:val="0"/>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项目边角料的产生量约</w:t>
            </w:r>
            <w:r>
              <w:rPr>
                <w:bCs/>
                <w:color w:val="000000" w:themeColor="text1"/>
                <w:szCs w:val="21"/>
                <w14:textFill>
                  <w14:solidFill>
                    <w14:schemeClr w14:val="tx1"/>
                  </w14:solidFill>
                </w14:textFill>
              </w:rPr>
              <w:t>0.6t/a，</w:t>
            </w:r>
            <w:r>
              <w:rPr>
                <w:color w:val="000000" w:themeColor="text1"/>
                <w:szCs w:val="21"/>
                <w14:textFill>
                  <w14:solidFill>
                    <w14:schemeClr w14:val="tx1"/>
                  </w14:solidFill>
                </w14:textFill>
              </w:rPr>
              <w:t>属于一般工业固体废物。</w:t>
            </w:r>
          </w:p>
          <w:p>
            <w:pPr>
              <w:numPr>
                <w:ilvl w:val="0"/>
                <w:numId w:val="26"/>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危险废物</w:t>
            </w:r>
          </w:p>
          <w:p>
            <w:pPr>
              <w:numPr>
                <w:ilvl w:val="0"/>
                <w:numId w:val="28"/>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废活性炭</w:t>
            </w:r>
          </w:p>
          <w:p>
            <w:pPr>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项目注塑废气采用“两级活性炭吸附装置”进行治理，非甲烷总烃的去除量约0.0035t/a，为保证活性炭吸附效率，本项目活性炭应定期更换，项目“两级活性炭吸附装置”的</w:t>
            </w:r>
            <w:r>
              <w:rPr>
                <w:color w:val="000000" w:themeColor="text1"/>
                <w:szCs w:val="21"/>
                <w:lang w:eastAsia="zh-Hans"/>
                <w14:textFill>
                  <w14:solidFill>
                    <w14:schemeClr w14:val="tx1"/>
                  </w14:solidFill>
                </w14:textFill>
              </w:rPr>
              <w:t>设计风量为</w:t>
            </w:r>
            <w:r>
              <w:rPr>
                <w:color w:val="000000" w:themeColor="text1"/>
                <w:szCs w:val="21"/>
                <w14:textFill>
                  <w14:solidFill>
                    <w14:schemeClr w14:val="tx1"/>
                  </w14:solidFill>
                </w14:textFill>
              </w:rPr>
              <w:t>4500</w:t>
            </w:r>
            <w:r>
              <w:rPr>
                <w:color w:val="000000" w:themeColor="text1"/>
                <w:szCs w:val="21"/>
                <w:lang w:eastAsia="zh-Hans"/>
                <w14:textFill>
                  <w14:solidFill>
                    <w14:schemeClr w14:val="tx1"/>
                  </w14:solidFill>
                </w14:textFill>
              </w:rPr>
              <w:t>m</w:t>
            </w:r>
            <w:r>
              <w:rPr>
                <w:color w:val="000000" w:themeColor="text1"/>
                <w:szCs w:val="21"/>
                <w:vertAlign w:val="superscript"/>
                <w:lang w:eastAsia="zh-Hans"/>
                <w14:textFill>
                  <w14:solidFill>
                    <w14:schemeClr w14:val="tx1"/>
                  </w14:solidFill>
                </w14:textFill>
              </w:rPr>
              <w:t>3</w:t>
            </w:r>
            <w:r>
              <w:rPr>
                <w:color w:val="000000" w:themeColor="text1"/>
                <w:szCs w:val="21"/>
                <w:lang w:eastAsia="zh-Hans"/>
                <w14:textFill>
                  <w14:solidFill>
                    <w14:schemeClr w14:val="tx1"/>
                  </w14:solidFill>
                </w14:textFill>
              </w:rPr>
              <w:t>/h</w:t>
            </w:r>
            <w:r>
              <w:rPr>
                <w:color w:val="000000" w:themeColor="text1"/>
                <w:szCs w:val="21"/>
                <w14:textFill>
                  <w14:solidFill>
                    <w14:schemeClr w14:val="tx1"/>
                  </w14:solidFill>
                </w14:textFill>
              </w:rPr>
              <w:t>。由于活性炭填料量与设施风量、横截面面积等有关，活性炭吸附设备活性炭填料量计算公式为：M=LSρ。</w:t>
            </w:r>
          </w:p>
          <w:p>
            <w:pPr>
              <w:pStyle w:val="84"/>
              <w:adjustRightInd w:val="0"/>
              <w:snapToGrid w:val="0"/>
              <w:spacing w:line="360" w:lineRule="auto"/>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color w:val="000000" w:themeColor="text1"/>
                <w:szCs w:val="21"/>
                <w14:textFill>
                  <w14:solidFill>
                    <w14:schemeClr w14:val="tx1"/>
                  </w14:solidFill>
                </w14:textFill>
              </w:rPr>
              <w:t>表</w:t>
            </w:r>
            <w:r>
              <w:rPr>
                <w:rFonts w:cs="Times New Roman"/>
                <w:color w:val="000000" w:themeColor="text1"/>
                <w:szCs w:val="21"/>
                <w14:textFill>
                  <w14:solidFill>
                    <w14:schemeClr w14:val="tx1"/>
                  </w14:solidFill>
                </w14:textFill>
              </w:rPr>
              <w:t>4-</w:t>
            </w:r>
            <w:r>
              <w:rPr>
                <w:rFonts w:cs="Times New Roman"/>
                <w:color w:val="000000" w:themeColor="text1"/>
                <w:szCs w:val="21"/>
                <w:lang w:eastAsia="zh-CN"/>
                <w14:textFill>
                  <w14:solidFill>
                    <w14:schemeClr w14:val="tx1"/>
                  </w14:solidFill>
                </w14:textFill>
              </w:rPr>
              <w:t>17</w:t>
            </w:r>
            <w:r>
              <w:rPr>
                <w:rFonts w:cs="Times New Roman"/>
                <w:b/>
                <w:bCs/>
                <w:color w:val="000000" w:themeColor="text1"/>
                <w:szCs w:val="21"/>
                <w:lang w:eastAsia="zh-CN"/>
                <w14:textFill>
                  <w14:solidFill>
                    <w14:schemeClr w14:val="tx1"/>
                  </w14:solidFill>
                </w14:textFill>
              </w:rPr>
              <w:t>本项目有机废气处理设施主要技术参数</w:t>
            </w:r>
          </w:p>
          <w:tbl>
            <w:tblPr>
              <w:tblStyle w:val="29"/>
              <w:tblW w:w="4994" w:type="pct"/>
              <w:tblInd w:w="0" w:type="dxa"/>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3000"/>
              <w:gridCol w:w="1450"/>
              <w:gridCol w:w="312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Align w:val="center"/>
                </w:tcPr>
                <w:p>
                  <w:pPr>
                    <w:pStyle w:val="84"/>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废气设施编号</w:t>
                  </w:r>
                </w:p>
              </w:tc>
              <w:tc>
                <w:tcPr>
                  <w:tcW w:w="1761" w:type="pct"/>
                  <w:vAlign w:val="center"/>
                </w:tcPr>
                <w:p>
                  <w:pPr>
                    <w:pStyle w:val="84"/>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参数</w:t>
                  </w:r>
                </w:p>
              </w:tc>
              <w:tc>
                <w:tcPr>
                  <w:tcW w:w="851" w:type="pct"/>
                  <w:vAlign w:val="center"/>
                </w:tcPr>
                <w:p>
                  <w:pPr>
                    <w:pStyle w:val="84"/>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本项目指标</w:t>
                  </w:r>
                </w:p>
              </w:tc>
              <w:tc>
                <w:tcPr>
                  <w:tcW w:w="1835" w:type="pct"/>
                  <w:vAlign w:val="center"/>
                </w:tcPr>
                <w:p>
                  <w:pPr>
                    <w:pStyle w:val="84"/>
                    <w:ind w:firstLine="0" w:firstLineChars="0"/>
                    <w:jc w:val="center"/>
                    <w:rPr>
                      <w:rFonts w:cs="Times New Roman"/>
                      <w:b/>
                      <w:bCs/>
                      <w:color w:val="000000" w:themeColor="text1"/>
                      <w:szCs w:val="21"/>
                      <w:lang w:eastAsia="zh-CN"/>
                      <w14:textFill>
                        <w14:solidFill>
                          <w14:schemeClr w14:val="tx1"/>
                        </w14:solidFill>
                      </w14:textFill>
                    </w:rPr>
                  </w:pPr>
                  <w:r>
                    <w:rPr>
                      <w:rFonts w:cs="Times New Roman"/>
                      <w:b/>
                      <w:bCs/>
                      <w:color w:val="000000" w:themeColor="text1"/>
                      <w:szCs w:val="21"/>
                      <w:lang w:eastAsia="zh-CN"/>
                      <w14:textFill>
                        <w14:solidFill>
                          <w14:schemeClr w14:val="tx1"/>
                        </w14:solidFill>
                      </w14:textFill>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restar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1#排气筒</w:t>
                  </w: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废气流向</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从上往下</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废气从活性炭箱体的顶端风管进入活性炭吸附层，再从底部风管流出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设计风量</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4500m</w:t>
                  </w:r>
                  <w:r>
                    <w:rPr>
                      <w:rFonts w:cs="Times New Roman"/>
                      <w:color w:val="000000" w:themeColor="text1"/>
                      <w:szCs w:val="21"/>
                      <w:vertAlign w:val="superscript"/>
                      <w:lang w:eastAsia="zh-CN"/>
                      <w14:textFill>
                        <w14:solidFill>
                          <w14:schemeClr w14:val="tx1"/>
                        </w14:solidFill>
                      </w14:textFill>
                    </w:rPr>
                    <w:t>3</w:t>
                  </w:r>
                  <w:r>
                    <w:rPr>
                      <w:rFonts w:cs="Times New Roman"/>
                      <w:color w:val="000000" w:themeColor="text1"/>
                      <w:szCs w:val="21"/>
                      <w:lang w:eastAsia="zh-CN"/>
                      <w14:textFill>
                        <w14:solidFill>
                          <w14:schemeClr w14:val="tx1"/>
                        </w14:solidFill>
                      </w14:textFill>
                    </w:rPr>
                    <w:t>/h</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采用变频风机</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单级活性炭炭层横截面积</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1.05m</w:t>
                  </w:r>
                  <w:r>
                    <w:rPr>
                      <w:rFonts w:cs="Times New Roman"/>
                      <w:color w:val="000000" w:themeColor="text1"/>
                      <w:szCs w:val="21"/>
                      <w:vertAlign w:val="superscript"/>
                      <w:lang w:eastAsia="zh-CN"/>
                      <w14:textFill>
                        <w14:solidFill>
                          <w14:schemeClr w14:val="tx1"/>
                        </w14:solidFill>
                      </w14:textFill>
                    </w:rPr>
                    <w:t>2</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方形</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活性炭形态</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蜂窝状</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 xml:space="preserve">空箱风速 </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1.19m/s</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根据</w:t>
                  </w:r>
                  <w:r>
                    <w:rPr>
                      <w:rFonts w:cs="Times New Roman"/>
                      <w:color w:val="000000" w:themeColor="text1"/>
                      <w:szCs w:val="21"/>
                      <w:lang w:eastAsia="zh-Hans"/>
                      <w14:textFill>
                        <w14:solidFill>
                          <w14:schemeClr w14:val="tx1"/>
                        </w14:solidFill>
                      </w14:textFill>
                    </w:rPr>
                    <w:t>《吸附法工业有机废气治理工程技术规范》（HJ2026-2013)中使用蜂窝活性炭风速小于1.2m/s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炭层实际厚度</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0.45m</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项目共设置3层炭层，单层厚度为0.15m，3层的厚度为0.45m，炭层间间距为0.1m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过滤风速</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0.8m/s</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单个活性炭箱体停留时间</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0.56s</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Hans"/>
                      <w14:textFill>
                        <w14:solidFill>
                          <w14:schemeClr w14:val="tx1"/>
                        </w14:solidFill>
                      </w14:textFill>
                    </w:rPr>
                    <w:t>满足污染物在活性炭箱内的接触吸附时间0.5s～2s</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3层活性炭炭层实际体积</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0.45m</w:t>
                  </w:r>
                  <w:r>
                    <w:rPr>
                      <w:rFonts w:cs="Times New Roman"/>
                      <w:color w:val="000000" w:themeColor="text1"/>
                      <w:szCs w:val="21"/>
                      <w:vertAlign w:val="superscript"/>
                      <w:lang w:eastAsia="zh-CN"/>
                      <w14:textFill>
                        <w14:solidFill>
                          <w14:schemeClr w14:val="tx1"/>
                        </w14:solidFill>
                      </w14:textFill>
                    </w:rPr>
                    <w:t>3</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3层炭层厚度0.45m</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堆积密度</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0.4g/cm</w:t>
                  </w:r>
                  <w:r>
                    <w:rPr>
                      <w:rFonts w:cs="Times New Roman"/>
                      <w:color w:val="000000" w:themeColor="text1"/>
                      <w:szCs w:val="21"/>
                      <w:vertAlign w:val="superscript"/>
                      <w:lang w:eastAsia="zh-CN"/>
                      <w14:textFill>
                        <w14:solidFill>
                          <w14:schemeClr w14:val="tx1"/>
                        </w14:solidFill>
                      </w14:textFill>
                    </w:rPr>
                    <w:t>3</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单个活性炭箱体单次填装活性炭量</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0.189t</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两级活性炭的单次</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0.378t</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每年更换次数</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4次</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53" w:type="pct"/>
                  <w:vMerge w:val="continue"/>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p>
              </w:tc>
              <w:tc>
                <w:tcPr>
                  <w:tcW w:w="176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活性炭的更换量</w:t>
                  </w:r>
                </w:p>
              </w:tc>
              <w:tc>
                <w:tcPr>
                  <w:tcW w:w="851"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1.512t</w:t>
                  </w:r>
                </w:p>
              </w:tc>
              <w:tc>
                <w:tcPr>
                  <w:tcW w:w="1835" w:type="pct"/>
                  <w:vAlign w:val="center"/>
                </w:tcPr>
                <w:p>
                  <w:pPr>
                    <w:pStyle w:val="84"/>
                    <w:ind w:firstLine="0" w:firstLineChars="0"/>
                    <w:jc w:val="center"/>
                    <w:rPr>
                      <w:rFonts w:cs="Times New Roman"/>
                      <w:color w:val="000000" w:themeColor="text1"/>
                      <w:szCs w:val="21"/>
                      <w:lang w:eastAsia="zh-CN"/>
                      <w14:textFill>
                        <w14:solidFill>
                          <w14:schemeClr w14:val="tx1"/>
                        </w14:solidFill>
                      </w14:textFill>
                    </w:rPr>
                  </w:pPr>
                  <w:r>
                    <w:rPr>
                      <w:rFonts w:cs="Times New Roman"/>
                      <w:color w:val="000000" w:themeColor="text1"/>
                      <w:szCs w:val="21"/>
                      <w:lang w:eastAsia="zh-CN"/>
                      <w14:textFill>
                        <w14:solidFill>
                          <w14:schemeClr w14:val="tx1"/>
                        </w14:solidFill>
                      </w14:textFill>
                    </w:rPr>
                    <w:t>/</w:t>
                  </w:r>
                </w:p>
              </w:tc>
            </w:tr>
          </w:tbl>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经计算项目活性炭的更换量为1.512t/a（每年更换4次），根据《广东省工业源挥发性有机物减排量核算方法（试行）》表4.5-2“活性炭年更换量×活性炭吸附比例”（蜂窝状活性炭取值20%）作为废气处理设施非甲烷总烃削减量，项目活性炭的年更换量为1.512t，其吸附比例为20%，则削减量为1.5408t/a，由前文可知，本项目有机废气的处理量为0.0035t/a，在《广东省工业源挥发性有机物减排量核算方法（试行）》所荐复核方法所算有机废气削减量范围内，则本项目吸附有机废气理论所需的活性炭用量约1.512t/a，加上有机废气（非甲烷总烃）吸附量0.0035t/a，本项目废活性炭产生量约为1.5155t/a。属于《国家危险废物名录（2021年版）》（2021</w:t>
            </w:r>
            <w:r>
              <w:rPr>
                <w:bCs/>
                <w:color w:val="000000" w:themeColor="text1"/>
                <w:szCs w:val="21"/>
                <w14:textFill>
                  <w14:solidFill>
                    <w14:schemeClr w14:val="tx1"/>
                  </w14:solidFill>
                </w14:textFill>
              </w:rPr>
              <w:t>年1月1日起施行）</w:t>
            </w:r>
            <w:r>
              <w:rPr>
                <w:color w:val="000000" w:themeColor="text1"/>
                <w:szCs w:val="21"/>
                <w14:textFill>
                  <w14:solidFill>
                    <w14:schemeClr w14:val="tx1"/>
                  </w14:solidFill>
                </w14:textFill>
              </w:rPr>
              <w:t>中规定的危险废物，编号为“HW49其他废物”- “非特定行业-900-039-49”，应委托有相应危险废物处理资质的单位统一处置。</w:t>
            </w:r>
          </w:p>
          <w:p>
            <w:pPr>
              <w:numPr>
                <w:ilvl w:val="0"/>
                <w:numId w:val="28"/>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废机油</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项目生产设备维修过程中产生废机油，产生量约为0.15t/a。根据《国家危险废物名录》（2021年版），废机油为危险废物，危险废物类别为</w:t>
            </w:r>
            <w:r>
              <w:rPr>
                <w:color w:val="000000" w:themeColor="text1"/>
                <w:kern w:val="0"/>
                <w:szCs w:val="21"/>
                <w:lang w:bidi="ar"/>
                <w14:textFill>
                  <w14:solidFill>
                    <w14:schemeClr w14:val="tx1"/>
                  </w14:solidFill>
                </w14:textFill>
              </w:rPr>
              <w:t>HW08废矿物油与含矿物油废物</w:t>
            </w:r>
            <w:r>
              <w:rPr>
                <w:color w:val="000000" w:themeColor="text1"/>
                <w:szCs w:val="21"/>
                <w14:textFill>
                  <w14:solidFill>
                    <w14:schemeClr w14:val="tx1"/>
                  </w14:solidFill>
                </w14:textFill>
              </w:rPr>
              <w:t>，危险废物代码为</w:t>
            </w:r>
            <w:r>
              <w:rPr>
                <w:color w:val="000000" w:themeColor="text1"/>
                <w:kern w:val="0"/>
                <w:szCs w:val="21"/>
                <w:lang w:bidi="ar"/>
                <w14:textFill>
                  <w14:solidFill>
                    <w14:schemeClr w14:val="tx1"/>
                  </w14:solidFill>
                </w14:textFill>
              </w:rPr>
              <w:t>900-249-08其他生产、销售、使用过程中产生的废矿物油及沾染矿物油的废弃包装物</w:t>
            </w:r>
            <w:r>
              <w:rPr>
                <w:color w:val="000000" w:themeColor="text1"/>
                <w:szCs w:val="21"/>
                <w14:textFill>
                  <w14:solidFill>
                    <w14:schemeClr w14:val="tx1"/>
                  </w14:solidFill>
                </w14:textFill>
              </w:rPr>
              <w:t>，收集后暂存于危险废物贮存间，委托有危险废物处置资质的单位处理。</w:t>
            </w:r>
          </w:p>
          <w:p>
            <w:pPr>
              <w:numPr>
                <w:ilvl w:val="0"/>
                <w:numId w:val="28"/>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废机油桶</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机油为桶装，产生废机油桶，根据建设单位提供资料，废机油桶产生量约为0.36t/a。根据《国家危险废物名录》（2021年版），废机油桶为危险废物，危险废物类别为HW08废矿物油与含矿物油废物，危险废物代码为900-249-08其他生产、销售、使用过程中产生的废矿物油及沾染矿物油的废弃包装物，收集后暂存于危险废物贮存间，委托有危险废物处置资质的单位处理。</w:t>
            </w:r>
          </w:p>
          <w:p>
            <w:pPr>
              <w:numPr>
                <w:ilvl w:val="0"/>
                <w:numId w:val="28"/>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废抹布</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项目CNC加工过程会产生废抹布，产生量约为0.02t/a。根据《国家危险废物名录》（2021年版），废抹布为危险废物，危险废物类别为</w:t>
            </w:r>
            <w:r>
              <w:rPr>
                <w:color w:val="000000" w:themeColor="text1"/>
                <w:kern w:val="0"/>
                <w:szCs w:val="21"/>
                <w:lang w:bidi="ar"/>
                <w14:textFill>
                  <w14:solidFill>
                    <w14:schemeClr w14:val="tx1"/>
                  </w14:solidFill>
                </w14:textFill>
              </w:rPr>
              <w:t>HW49其他废物</w:t>
            </w:r>
            <w:r>
              <w:rPr>
                <w:color w:val="000000" w:themeColor="text1"/>
                <w:szCs w:val="21"/>
                <w14:textFill>
                  <w14:solidFill>
                    <w14:schemeClr w14:val="tx1"/>
                  </w14:solidFill>
                </w14:textFill>
              </w:rPr>
              <w:t>，危险废物代码为</w:t>
            </w:r>
            <w:r>
              <w:rPr>
                <w:color w:val="000000" w:themeColor="text1"/>
                <w:kern w:val="0"/>
                <w:szCs w:val="21"/>
                <w:lang w:bidi="ar"/>
                <w14:textFill>
                  <w14:solidFill>
                    <w14:schemeClr w14:val="tx1"/>
                  </w14:solidFill>
                </w14:textFill>
              </w:rPr>
              <w:t>900-041-49含有或沾染毒性、感染性危险废物的废弃包装物、容器、过滤吸附介质</w:t>
            </w:r>
            <w:r>
              <w:rPr>
                <w:color w:val="000000" w:themeColor="text1"/>
                <w:szCs w:val="21"/>
                <w14:textFill>
                  <w14:solidFill>
                    <w14:schemeClr w14:val="tx1"/>
                  </w14:solidFill>
                </w14:textFill>
              </w:rPr>
              <w:t>，收集后暂存于危险废物贮存间，委托有危险废物处置资质的单位处理。</w:t>
            </w:r>
          </w:p>
          <w:p>
            <w:pPr>
              <w:numPr>
                <w:ilvl w:val="0"/>
                <w:numId w:val="28"/>
              </w:numPr>
              <w:adjustRightInd w:val="0"/>
              <w:snapToGrid w:val="0"/>
              <w:spacing w:line="360" w:lineRule="auto"/>
              <w:ind w:firstLine="482"/>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废原料桶</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项目CNC加工过程会产生废原料桶，产生量约为0.08t/a。根据《国家危险废物名录》（2021年版），废原料桶为危险废物，危险废物类别为</w:t>
            </w:r>
            <w:r>
              <w:rPr>
                <w:color w:val="000000" w:themeColor="text1"/>
                <w:kern w:val="0"/>
                <w:szCs w:val="21"/>
                <w:lang w:bidi="ar"/>
                <w14:textFill>
                  <w14:solidFill>
                    <w14:schemeClr w14:val="tx1"/>
                  </w14:solidFill>
                </w14:textFill>
              </w:rPr>
              <w:t>HW49其他废物</w:t>
            </w:r>
            <w:r>
              <w:rPr>
                <w:color w:val="000000" w:themeColor="text1"/>
                <w:szCs w:val="21"/>
                <w14:textFill>
                  <w14:solidFill>
                    <w14:schemeClr w14:val="tx1"/>
                  </w14:solidFill>
                </w14:textFill>
              </w:rPr>
              <w:t>，危险废物代码为</w:t>
            </w:r>
            <w:r>
              <w:rPr>
                <w:color w:val="000000" w:themeColor="text1"/>
                <w:kern w:val="0"/>
                <w:szCs w:val="21"/>
                <w:lang w:bidi="ar"/>
                <w14:textFill>
                  <w14:solidFill>
                    <w14:schemeClr w14:val="tx1"/>
                  </w14:solidFill>
                </w14:textFill>
              </w:rPr>
              <w:t>900-041-49含有或沾染毒性、感染性危险废物的废弃包装物、容器、过滤吸附介质</w:t>
            </w:r>
            <w:r>
              <w:rPr>
                <w:color w:val="000000" w:themeColor="text1"/>
                <w:szCs w:val="21"/>
                <w14:textFill>
                  <w14:solidFill>
                    <w14:schemeClr w14:val="tx1"/>
                  </w14:solidFill>
                </w14:textFill>
              </w:rPr>
              <w:t>，收集后暂存于危险废物贮存间，委托有危险废物处置资质的单位处理。</w:t>
            </w:r>
          </w:p>
          <w:p>
            <w:pPr>
              <w:adjustRightInd w:val="0"/>
              <w:snapToGrid w:val="0"/>
              <w:spacing w:line="360" w:lineRule="auto"/>
              <w:ind w:firstLine="567"/>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6）废切削液</w:t>
            </w:r>
          </w:p>
          <w:p>
            <w:pPr>
              <w:adjustRightInd w:val="0"/>
              <w:snapToGrid w:val="0"/>
              <w:spacing w:line="360" w:lineRule="auto"/>
              <w:ind w:firstLine="567"/>
              <w:jc w:val="left"/>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项目CNC加工过程中会产生废切削液，属于</w:t>
            </w:r>
            <w:r>
              <w:rPr>
                <w:bCs/>
                <w:color w:val="000000" w:themeColor="text1"/>
                <w:szCs w:val="21"/>
                <w14:textFill>
                  <w14:solidFill>
                    <w14:schemeClr w14:val="tx1"/>
                  </w14:solidFill>
                </w14:textFill>
              </w:rPr>
              <w:t>《国家危险废物名录（2021年版）》（2021年1月1日起施行）</w:t>
            </w:r>
            <w:r>
              <w:rPr>
                <w:color w:val="000000" w:themeColor="text1"/>
                <w:szCs w:val="21"/>
                <w14:textFill>
                  <w14:solidFill>
                    <w14:schemeClr w14:val="tx1"/>
                  </w14:solidFill>
                </w14:textFill>
              </w:rPr>
              <w:t>中规定的危险废物，编号为“HW09油/水、烃/水混合物或乳化液”-“非特定行业</w:t>
            </w:r>
            <w:r>
              <w:rPr>
                <w:color w:val="000000" w:themeColor="text1"/>
                <w14:textFill>
                  <w14:solidFill>
                    <w14:schemeClr w14:val="tx1"/>
                  </w14:solidFill>
                </w14:textFill>
              </w:rPr>
              <w:t>900-006-09使用切削油或切削液进行机械加工过程中产生的油/水、烃/水混合物或乳化液</w:t>
            </w:r>
            <w:r>
              <w:rPr>
                <w:color w:val="000000" w:themeColor="text1"/>
                <w:szCs w:val="21"/>
                <w14:textFill>
                  <w14:solidFill>
                    <w14:schemeClr w14:val="tx1"/>
                  </w14:solidFill>
                </w14:textFill>
              </w:rPr>
              <w:t>”，产生量为0.3t/a。</w:t>
            </w:r>
          </w:p>
          <w:p>
            <w:pPr>
              <w:adjustRightInd w:val="0"/>
              <w:snapToGrid w:val="0"/>
              <w:spacing w:line="360" w:lineRule="auto"/>
              <w:ind w:firstLine="567"/>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7）含切削液的金属屑</w:t>
            </w:r>
          </w:p>
          <w:p>
            <w:pPr>
              <w:adjustRightInd w:val="0"/>
              <w:snapToGrid w:val="0"/>
              <w:spacing w:line="360" w:lineRule="auto"/>
              <w:ind w:firstLine="567"/>
              <w:jc w:val="left"/>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项目CNC加工过程中会产生废切削液，属于</w:t>
            </w:r>
            <w:r>
              <w:rPr>
                <w:bCs/>
                <w:color w:val="000000" w:themeColor="text1"/>
                <w:szCs w:val="21"/>
                <w14:textFill>
                  <w14:solidFill>
                    <w14:schemeClr w14:val="tx1"/>
                  </w14:solidFill>
                </w14:textFill>
              </w:rPr>
              <w:t>《国家危险废物名录（2021年版）》（2021年1月1日起施行）</w:t>
            </w:r>
            <w:r>
              <w:rPr>
                <w:color w:val="000000" w:themeColor="text1"/>
                <w:szCs w:val="21"/>
                <w14:textFill>
                  <w14:solidFill>
                    <w14:schemeClr w14:val="tx1"/>
                  </w14:solidFill>
                </w14:textFill>
              </w:rPr>
              <w:t>中规定的危险废物，编号为“HW09油/水、烃/水混合物或乳化液”-“非特定行业</w:t>
            </w:r>
            <w:r>
              <w:rPr>
                <w:color w:val="000000" w:themeColor="text1"/>
                <w14:textFill>
                  <w14:solidFill>
                    <w14:schemeClr w14:val="tx1"/>
                  </w14:solidFill>
                </w14:textFill>
              </w:rPr>
              <w:t>900-006-09使用切削油或切削液进行机械加工过程中产生的油/水、烃/水混合物或乳化液</w:t>
            </w:r>
            <w:r>
              <w:rPr>
                <w:color w:val="000000" w:themeColor="text1"/>
                <w:szCs w:val="21"/>
                <w14:textFill>
                  <w14:solidFill>
                    <w14:schemeClr w14:val="tx1"/>
                  </w14:solidFill>
                </w14:textFill>
              </w:rPr>
              <w:t>”，产生量为0.4t/a。</w:t>
            </w:r>
          </w:p>
          <w:p>
            <w:pPr>
              <w:numPr>
                <w:ilvl w:val="0"/>
                <w:numId w:val="25"/>
              </w:numPr>
              <w:adjustRightInd w:val="0"/>
              <w:snapToGrid w:val="0"/>
              <w:spacing w:line="360" w:lineRule="auto"/>
              <w:ind w:firstLine="420" w:firstLineChars="200"/>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项目固体废物污染源源强核算结果及相关参数见下表。</w:t>
            </w:r>
          </w:p>
        </w:tc>
      </w:tr>
    </w:tbl>
    <w:p>
      <w:pPr>
        <w:pStyle w:val="87"/>
        <w:ind w:firstLine="480"/>
        <w:rPr>
          <w:snapToGrid w:val="0"/>
          <w:color w:val="000000" w:themeColor="text1"/>
          <w14:textFill>
            <w14:solidFill>
              <w14:schemeClr w14:val="tx1"/>
            </w14:solidFill>
          </w14:textFill>
        </w:rPr>
        <w:sectPr>
          <w:pgSz w:w="11906" w:h="16838"/>
          <w:pgMar w:top="1418" w:right="1418" w:bottom="1418" w:left="1418" w:header="567" w:footer="567" w:gutter="0"/>
          <w:cols w:space="720" w:num="1"/>
          <w:docGrid w:type="lines"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 w:type="dxa"/>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87"/>
              <w:ind w:firstLine="0" w:firstLineChars="0"/>
              <w:jc w:val="center"/>
              <w:rPr>
                <w:snapToGrid w:val="0"/>
                <w:color w:val="000000" w:themeColor="text1"/>
                <w14:textFill>
                  <w14:solidFill>
                    <w14:schemeClr w14:val="tx1"/>
                  </w14:solidFill>
                </w14:textFill>
              </w:rPr>
            </w:pPr>
            <w:r>
              <w:rPr>
                <w:bCs/>
                <w:color w:val="000000" w:themeColor="text1"/>
                <w:sz w:val="21"/>
                <w:szCs w:val="21"/>
                <w14:textFill>
                  <w14:solidFill>
                    <w14:schemeClr w14:val="tx1"/>
                  </w14:solidFill>
                </w14:textFill>
              </w:rPr>
              <w:t>措施</w:t>
            </w:r>
          </w:p>
        </w:tc>
        <w:tc>
          <w:tcPr>
            <w:tcW w:w="14967" w:type="dxa"/>
          </w:tcPr>
          <w:p>
            <w:pPr>
              <w:pStyle w:val="47"/>
              <w:rPr>
                <w:color w:val="000000" w:themeColor="text1"/>
                <w14:textFill>
                  <w14:solidFill>
                    <w14:schemeClr w14:val="tx1"/>
                  </w14:solidFill>
                </w14:textFill>
              </w:rPr>
            </w:pPr>
            <w:r>
              <w:rPr>
                <w:color w:val="000000" w:themeColor="text1"/>
                <w14:textFill>
                  <w14:solidFill>
                    <w14:schemeClr w14:val="tx1"/>
                  </w14:solidFill>
                </w14:textFill>
              </w:rPr>
              <w:t>表4-18 项目危废产生情况表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429"/>
              <w:gridCol w:w="1604"/>
              <w:gridCol w:w="1251"/>
              <w:gridCol w:w="1015"/>
              <w:gridCol w:w="1666"/>
              <w:gridCol w:w="790"/>
              <w:gridCol w:w="1050"/>
              <w:gridCol w:w="1126"/>
              <w:gridCol w:w="803"/>
              <w:gridCol w:w="947"/>
              <w:gridCol w:w="1262"/>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527"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危险废物名称</w:t>
                  </w:r>
                </w:p>
              </w:tc>
              <w:tc>
                <w:tcPr>
                  <w:tcW w:w="591"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危险废物类别</w:t>
                  </w:r>
                </w:p>
              </w:tc>
              <w:tc>
                <w:tcPr>
                  <w:tcW w:w="461"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危险废物代码</w:t>
                  </w:r>
                </w:p>
              </w:tc>
              <w:tc>
                <w:tcPr>
                  <w:tcW w:w="374"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产生量（t/a）</w:t>
                  </w:r>
                </w:p>
              </w:tc>
              <w:tc>
                <w:tcPr>
                  <w:tcW w:w="614"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产生工序及装置</w:t>
                  </w:r>
                </w:p>
              </w:tc>
              <w:tc>
                <w:tcPr>
                  <w:tcW w:w="291"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形态</w:t>
                  </w:r>
                </w:p>
              </w:tc>
              <w:tc>
                <w:tcPr>
                  <w:tcW w:w="387"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主要成分</w:t>
                  </w:r>
                </w:p>
              </w:tc>
              <w:tc>
                <w:tcPr>
                  <w:tcW w:w="415"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有害成分</w:t>
                  </w:r>
                </w:p>
              </w:tc>
              <w:tc>
                <w:tcPr>
                  <w:tcW w:w="296"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产废</w:t>
                  </w:r>
                </w:p>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周期</w:t>
                  </w:r>
                </w:p>
              </w:tc>
              <w:tc>
                <w:tcPr>
                  <w:tcW w:w="349"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w:t>
                  </w:r>
                </w:p>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特性</w:t>
                  </w:r>
                </w:p>
              </w:tc>
              <w:tc>
                <w:tcPr>
                  <w:tcW w:w="465"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污染防治措施</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废活性炭</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环保单元</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有机物</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有机物</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2个月</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465" w:type="pct"/>
                  <w:vMerge w:val="restar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交有危废处置资质的公司处置</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设备维修</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液态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3个月</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lang w:val="zh-CN"/>
                      <w14:textFill>
                        <w14:solidFill>
                          <w14:schemeClr w14:val="tx1"/>
                        </w14:solidFill>
                      </w14:textFill>
                    </w:rPr>
                  </w:pPr>
                  <w:r>
                    <w:rPr>
                      <w:color w:val="000000" w:themeColor="text1"/>
                      <w14:textFill>
                        <w14:solidFill>
                          <w14:schemeClr w14:val="tx1"/>
                        </w14:solidFill>
                      </w14:textFill>
                    </w:rPr>
                    <w:t>废机油桶</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设备维修</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415" w:type="pct"/>
                  <w:tcBorders>
                    <w:tl2br w:val="nil"/>
                    <w:tr2bl w:val="nil"/>
                  </w:tcBorders>
                  <w:vAlign w:val="center"/>
                </w:tcPr>
                <w:p>
                  <w:pPr>
                    <w:jc w:val="center"/>
                    <w:rPr>
                      <w:color w:val="000000" w:themeColor="text1"/>
                      <w:lang w:val="zh-CN"/>
                      <w14:textFill>
                        <w14:solidFill>
                          <w14:schemeClr w14:val="tx1"/>
                        </w14:solidFill>
                      </w14:textFill>
                    </w:rPr>
                  </w:pPr>
                  <w:r>
                    <w:rPr>
                      <w:color w:val="000000" w:themeColor="text1"/>
                      <w14:textFill>
                        <w14:solidFill>
                          <w14:schemeClr w14:val="tx1"/>
                        </w14:solidFill>
                      </w14:textFill>
                    </w:rPr>
                    <w:t>机油</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3个月</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废原料桶</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每个月</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T/In</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废切削液</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300d</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含切削液的金属屑</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90d</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0" w:type="pct"/>
                  <w:tcBorders>
                    <w:tl2br w:val="nil"/>
                    <w:tr2bl w:val="nil"/>
                  </w:tcBorders>
                  <w:vAlign w:val="center"/>
                </w:tcPr>
                <w:p>
                  <w:pPr>
                    <w:numPr>
                      <w:ilvl w:val="0"/>
                      <w:numId w:val="29"/>
                    </w:numPr>
                    <w:jc w:val="center"/>
                    <w:rPr>
                      <w:color w:val="000000" w:themeColor="text1"/>
                      <w14:textFill>
                        <w14:solidFill>
                          <w14:schemeClr w14:val="tx1"/>
                        </w14:solidFill>
                      </w14:textFill>
                    </w:rPr>
                  </w:pPr>
                </w:p>
              </w:tc>
              <w:tc>
                <w:tcPr>
                  <w:tcW w:w="52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废抹布</w:t>
                  </w:r>
                </w:p>
              </w:tc>
              <w:tc>
                <w:tcPr>
                  <w:tcW w:w="5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6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37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61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29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387"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4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9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5d</w:t>
                  </w:r>
                </w:p>
              </w:tc>
              <w:tc>
                <w:tcPr>
                  <w:tcW w:w="34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T/In</w:t>
                  </w:r>
                </w:p>
              </w:tc>
              <w:tc>
                <w:tcPr>
                  <w:tcW w:w="465" w:type="pct"/>
                  <w:vMerge w:val="continue"/>
                  <w:tcBorders>
                    <w:tl2br w:val="nil"/>
                    <w:tr2bl w:val="nil"/>
                  </w:tcBorders>
                  <w:vAlign w:val="center"/>
                </w:tcPr>
                <w:p>
                  <w:pPr>
                    <w:jc w:val="center"/>
                    <w:rPr>
                      <w:color w:val="000000" w:themeColor="text1"/>
                      <w14:textFill>
                        <w14:solidFill>
                          <w14:schemeClr w14:val="tx1"/>
                        </w14:solidFill>
                      </w14:textFill>
                    </w:rPr>
                  </w:pPr>
                </w:p>
              </w:tc>
            </w:tr>
          </w:tbl>
          <w:p>
            <w:pPr>
              <w:tabs>
                <w:tab w:val="left" w:pos="1081"/>
              </w:tabs>
              <w:adjustRightIn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 xml:space="preserve">注：T：毒性；I：易燃性；In：感染性； </w:t>
            </w:r>
          </w:p>
          <w:p>
            <w:pPr>
              <w:pStyle w:val="47"/>
              <w:rPr>
                <w:color w:val="000000" w:themeColor="text1"/>
                <w14:textFill>
                  <w14:solidFill>
                    <w14:schemeClr w14:val="tx1"/>
                  </w14:solidFill>
                </w14:textFill>
              </w:rPr>
            </w:pPr>
            <w:r>
              <w:rPr>
                <w:color w:val="000000" w:themeColor="text1"/>
                <w14:textFill>
                  <w14:solidFill>
                    <w14:schemeClr w14:val="tx1"/>
                  </w14:solidFill>
                </w14:textFill>
              </w:rPr>
              <w:t>表4-19 项目固体废物污染源源强核算结果及相关参数一览表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1115"/>
              <w:gridCol w:w="1245"/>
              <w:gridCol w:w="1297"/>
              <w:gridCol w:w="1164"/>
              <w:gridCol w:w="703"/>
              <w:gridCol w:w="1102"/>
              <w:gridCol w:w="866"/>
              <w:gridCol w:w="1224"/>
              <w:gridCol w:w="1772"/>
              <w:gridCol w:w="1042"/>
              <w:gridCol w:w="876"/>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产生环节</w:t>
                  </w:r>
                </w:p>
              </w:tc>
              <w:tc>
                <w:tcPr>
                  <w:tcW w:w="411"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名称</w:t>
                  </w:r>
                </w:p>
              </w:tc>
              <w:tc>
                <w:tcPr>
                  <w:tcW w:w="459"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属性</w:t>
                  </w:r>
                </w:p>
              </w:tc>
              <w:tc>
                <w:tcPr>
                  <w:tcW w:w="478"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废物代码</w:t>
                  </w:r>
                </w:p>
              </w:tc>
              <w:tc>
                <w:tcPr>
                  <w:tcW w:w="429"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主要有毒有害物质名称</w:t>
                  </w:r>
                </w:p>
              </w:tc>
              <w:tc>
                <w:tcPr>
                  <w:tcW w:w="259"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物理性状</w:t>
                  </w:r>
                </w:p>
              </w:tc>
              <w:tc>
                <w:tcPr>
                  <w:tcW w:w="406"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环境危险特性</w:t>
                  </w:r>
                </w:p>
              </w:tc>
              <w:tc>
                <w:tcPr>
                  <w:tcW w:w="319"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年度产生量（t）</w:t>
                  </w:r>
                </w:p>
              </w:tc>
              <w:tc>
                <w:tcPr>
                  <w:tcW w:w="451"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贮存方式</w:t>
                  </w:r>
                </w:p>
              </w:tc>
              <w:tc>
                <w:tcPr>
                  <w:tcW w:w="653"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利用处置方式和去向</w:t>
                  </w:r>
                </w:p>
              </w:tc>
              <w:tc>
                <w:tcPr>
                  <w:tcW w:w="384"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利用或处置量（t/a）</w:t>
                  </w:r>
                </w:p>
              </w:tc>
              <w:tc>
                <w:tcPr>
                  <w:tcW w:w="323"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环境管理要求</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垃圾桶</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环卫部门</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w:t>
                  </w:r>
                </w:p>
              </w:tc>
              <w:tc>
                <w:tcPr>
                  <w:tcW w:w="323" w:type="pct"/>
                  <w:vMerge w:val="restar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设置一般工业固体废物、危险废物贮存间，并分类储存</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注塑</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水口料</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387-01-06</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0.48</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集中堆放</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专业公司回收利用</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0.48</w:t>
                  </w:r>
                </w:p>
              </w:tc>
              <w:tc>
                <w:tcPr>
                  <w:tcW w:w="323"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CNC加工、冲压、精雕</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边角料</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387-01-10</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0.6</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集中堆放</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专业公司回收利用</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0.6</w:t>
                  </w:r>
                </w:p>
              </w:tc>
              <w:tc>
                <w:tcPr>
                  <w:tcW w:w="323"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包装</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包装废物</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387-01-07</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0.181</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集中堆放</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专业公司回收利用</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0.181</w:t>
                  </w:r>
                </w:p>
              </w:tc>
              <w:tc>
                <w:tcPr>
                  <w:tcW w:w="323"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环保单元</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废活性炭</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有机物</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c>
                <w:tcPr>
                  <w:tcW w:w="323"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设备维修</w:t>
                  </w:r>
                </w:p>
              </w:tc>
              <w:tc>
                <w:tcPr>
                  <w:tcW w:w="41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4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78"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42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5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液态</w:t>
                  </w:r>
                </w:p>
              </w:tc>
              <w:tc>
                <w:tcPr>
                  <w:tcW w:w="406"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w:t>
                  </w:r>
                </w:p>
              </w:tc>
              <w:tc>
                <w:tcPr>
                  <w:tcW w:w="319"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323" w:type="pct"/>
                  <w:vMerge w:val="continue"/>
                  <w:tcBorders>
                    <w:tl2br w:val="nil"/>
                    <w:tr2bl w:val="nil"/>
                  </w:tcBorders>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41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废原料桶</w:t>
                  </w:r>
                </w:p>
              </w:tc>
              <w:tc>
                <w:tcPr>
                  <w:tcW w:w="4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42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T/In</w:t>
                  </w:r>
                </w:p>
              </w:tc>
              <w:tc>
                <w:tcPr>
                  <w:tcW w:w="31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323"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41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废切削液</w:t>
                  </w:r>
                </w:p>
              </w:tc>
              <w:tc>
                <w:tcPr>
                  <w:tcW w:w="4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4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42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31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323"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41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含切削液的金属屑</w:t>
                  </w:r>
                </w:p>
              </w:tc>
              <w:tc>
                <w:tcPr>
                  <w:tcW w:w="4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4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42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w:t>
                  </w:r>
                </w:p>
              </w:tc>
              <w:tc>
                <w:tcPr>
                  <w:tcW w:w="31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323"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设备维修</w:t>
                  </w:r>
                </w:p>
              </w:tc>
              <w:tc>
                <w:tcPr>
                  <w:tcW w:w="41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废机油桶</w:t>
                  </w:r>
                </w:p>
              </w:tc>
              <w:tc>
                <w:tcPr>
                  <w:tcW w:w="4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4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42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2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w:t>
                  </w:r>
                </w:p>
              </w:tc>
              <w:tc>
                <w:tcPr>
                  <w:tcW w:w="31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集中堆放</w:t>
                  </w:r>
                </w:p>
              </w:tc>
              <w:tc>
                <w:tcPr>
                  <w:tcW w:w="65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323"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CNC加工</w:t>
                  </w:r>
                </w:p>
              </w:tc>
              <w:tc>
                <w:tcPr>
                  <w:tcW w:w="41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废抹布</w:t>
                  </w:r>
                </w:p>
              </w:tc>
              <w:tc>
                <w:tcPr>
                  <w:tcW w:w="4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4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42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25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固态</w:t>
                  </w:r>
                </w:p>
              </w:tc>
              <w:tc>
                <w:tcPr>
                  <w:tcW w:w="40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T/In</w:t>
                  </w:r>
                </w:p>
              </w:tc>
              <w:tc>
                <w:tcPr>
                  <w:tcW w:w="31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45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653"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有危险废物处理资质的单位</w:t>
                  </w:r>
                </w:p>
              </w:tc>
              <w:tc>
                <w:tcPr>
                  <w:tcW w:w="38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323" w:type="pct"/>
                  <w:vMerge w:val="continue"/>
                  <w:vAlign w:val="center"/>
                </w:tcPr>
                <w:p>
                  <w:pPr>
                    <w:jc w:val="center"/>
                    <w:rPr>
                      <w:color w:val="000000" w:themeColor="text1"/>
                      <w14:textFill>
                        <w14:solidFill>
                          <w14:schemeClr w14:val="tx1"/>
                        </w14:solidFill>
                      </w14:textFill>
                    </w:rPr>
                  </w:pPr>
                </w:p>
              </w:tc>
            </w:tr>
          </w:tbl>
          <w:p>
            <w:pPr>
              <w:pStyle w:val="87"/>
              <w:ind w:firstLine="0" w:firstLineChars="0"/>
              <w:rPr>
                <w:snapToGrid w:val="0"/>
                <w:color w:val="000000" w:themeColor="text1"/>
                <w14:textFill>
                  <w14:solidFill>
                    <w14:schemeClr w14:val="tx1"/>
                  </w14:solidFill>
                </w14:textFill>
              </w:rPr>
            </w:pPr>
          </w:p>
        </w:tc>
      </w:tr>
    </w:tbl>
    <w:p>
      <w:pPr>
        <w:pStyle w:val="87"/>
        <w:ind w:firstLine="480"/>
        <w:rPr>
          <w:snapToGrid w:val="0"/>
          <w:color w:val="000000" w:themeColor="text1"/>
          <w14:textFill>
            <w14:solidFill>
              <w14:schemeClr w14:val="tx1"/>
            </w14:solidFill>
          </w14:textFill>
        </w:rPr>
        <w:sectPr>
          <w:pgSz w:w="16838" w:h="11906" w:orient="landscape"/>
          <w:pgMar w:top="1418" w:right="1418" w:bottom="1418" w:left="1418" w:header="567" w:footer="567" w:gutter="0"/>
          <w:cols w:space="720" w:num="1"/>
          <w:docGrid w:type="lines" w:linePitch="312" w:charSpace="0"/>
        </w:sectPr>
      </w:pPr>
    </w:p>
    <w:tbl>
      <w:tblPr>
        <w:tblStyle w:val="3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3"/>
        <w:gridCol w:w="8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运营</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期环</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境影</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响和</w:t>
            </w:r>
          </w:p>
          <w:p>
            <w:pPr>
              <w:adjustRightInd w:val="0"/>
              <w:snapToGrid w:val="0"/>
              <w:spacing w:line="360" w:lineRule="auto"/>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保护</w:t>
            </w:r>
          </w:p>
          <w:p>
            <w:pPr>
              <w:pStyle w:val="87"/>
              <w:ind w:firstLine="0" w:firstLineChars="0"/>
              <w:jc w:val="center"/>
              <w:rPr>
                <w:snapToGrid w:val="0"/>
                <w:color w:val="000000" w:themeColor="text1"/>
                <w14:textFill>
                  <w14:solidFill>
                    <w14:schemeClr w14:val="tx1"/>
                  </w14:solidFill>
                </w14:textFill>
              </w:rPr>
            </w:pPr>
            <w:r>
              <w:rPr>
                <w:bCs/>
                <w:color w:val="000000" w:themeColor="text1"/>
                <w:sz w:val="21"/>
                <w:szCs w:val="21"/>
                <w14:textFill>
                  <w14:solidFill>
                    <w14:schemeClr w14:val="tx1"/>
                  </w14:solidFill>
                </w14:textFill>
              </w:rPr>
              <w:t>措施</w:t>
            </w:r>
          </w:p>
        </w:tc>
        <w:tc>
          <w:tcPr>
            <w:tcW w:w="9894" w:type="dxa"/>
          </w:tcPr>
          <w:p>
            <w:pPr>
              <w:numPr>
                <w:ilvl w:val="0"/>
                <w:numId w:val="25"/>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管理情况</w:t>
            </w:r>
          </w:p>
          <w:p>
            <w:pPr>
              <w:pStyle w:val="47"/>
              <w:rPr>
                <w:color w:val="000000" w:themeColor="text1"/>
                <w14:textFill>
                  <w14:solidFill>
                    <w14:schemeClr w14:val="tx1"/>
                  </w14:solidFill>
                </w14:textFill>
              </w:rPr>
            </w:pPr>
            <w:r>
              <w:rPr>
                <w:color w:val="000000" w:themeColor="text1"/>
                <w14:textFill>
                  <w14:solidFill>
                    <w14:schemeClr w14:val="tx1"/>
                  </w14:solidFill>
                </w14:textFill>
              </w:rPr>
              <w:t>表4-20 本项目危险废物贮存场所（设施）基本情况</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1012"/>
              <w:gridCol w:w="855"/>
              <w:gridCol w:w="1151"/>
              <w:gridCol w:w="1272"/>
              <w:gridCol w:w="684"/>
              <w:gridCol w:w="908"/>
              <w:gridCol w:w="831"/>
              <w:gridCol w:w="727"/>
              <w:gridCol w:w="667"/>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序号</w:t>
                  </w:r>
                </w:p>
              </w:tc>
              <w:tc>
                <w:tcPr>
                  <w:tcW w:w="592"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贮存场所（设施）</w:t>
                  </w:r>
                </w:p>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名称</w:t>
                  </w:r>
                </w:p>
              </w:tc>
              <w:tc>
                <w:tcPr>
                  <w:tcW w:w="500"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危险废物名称</w:t>
                  </w:r>
                </w:p>
              </w:tc>
              <w:tc>
                <w:tcPr>
                  <w:tcW w:w="673"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危险废物类别</w:t>
                  </w:r>
                </w:p>
              </w:tc>
              <w:tc>
                <w:tcPr>
                  <w:tcW w:w="744"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危险废物代码</w:t>
                  </w:r>
                </w:p>
              </w:tc>
              <w:tc>
                <w:tcPr>
                  <w:tcW w:w="400"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位置</w:t>
                  </w:r>
                </w:p>
              </w:tc>
              <w:tc>
                <w:tcPr>
                  <w:tcW w:w="531"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占地面积（m</w:t>
                  </w:r>
                  <w:r>
                    <w:rPr>
                      <w:b/>
                      <w:bCs/>
                      <w:color w:val="000000" w:themeColor="text1"/>
                      <w:vertAlign w:val="superscript"/>
                      <w14:textFill>
                        <w14:solidFill>
                          <w14:schemeClr w14:val="tx1"/>
                        </w14:solidFill>
                      </w14:textFill>
                    </w:rPr>
                    <w:t>2</w:t>
                  </w:r>
                  <w:r>
                    <w:rPr>
                      <w:b/>
                      <w:bCs/>
                      <w:color w:val="000000" w:themeColor="text1"/>
                      <w14:textFill>
                        <w14:solidFill>
                          <w14:schemeClr w14:val="tx1"/>
                        </w14:solidFill>
                      </w14:textFill>
                    </w:rPr>
                    <w:t>）</w:t>
                  </w:r>
                </w:p>
              </w:tc>
              <w:tc>
                <w:tcPr>
                  <w:tcW w:w="486"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贮存方式</w:t>
                  </w:r>
                </w:p>
              </w:tc>
              <w:tc>
                <w:tcPr>
                  <w:tcW w:w="425"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贮存能力（t）</w:t>
                  </w:r>
                </w:p>
              </w:tc>
              <w:tc>
                <w:tcPr>
                  <w:tcW w:w="390" w:type="pct"/>
                  <w:tcBorders>
                    <w:tl2br w:val="nil"/>
                    <w:tr2bl w:val="nil"/>
                  </w:tcBorders>
                  <w:vAlign w:val="center"/>
                </w:tcPr>
                <w:p>
                  <w:pPr>
                    <w:adjustRightInd w:val="0"/>
                    <w:snapToGrid w:val="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贮存周期</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restar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危废仓</w:t>
                  </w: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废活性炭</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900-039-49</w:t>
                  </w:r>
                </w:p>
              </w:tc>
              <w:tc>
                <w:tcPr>
                  <w:tcW w:w="400" w:type="pct"/>
                  <w:vMerge w:val="restar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项目1F厂房西南部</w:t>
                  </w:r>
                </w:p>
              </w:tc>
              <w:tc>
                <w:tcPr>
                  <w:tcW w:w="531" w:type="pct"/>
                  <w:vMerge w:val="restar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3个月</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0.2</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废机油桶</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HW08废矿物油与含矿物油废物</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900-249-08</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集中堆放</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废原料桶</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0.2</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废切削液</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含切削液的金属屑</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HW09油/水、烃/水混合物或乳化液</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900-006-09</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8" w:type="pct"/>
                  <w:tcBorders>
                    <w:tl2br w:val="nil"/>
                    <w:tr2bl w:val="nil"/>
                  </w:tcBorders>
                  <w:vAlign w:val="center"/>
                </w:tcPr>
                <w:p>
                  <w:pPr>
                    <w:numPr>
                      <w:ilvl w:val="0"/>
                      <w:numId w:val="30"/>
                    </w:numPr>
                    <w:adjustRightInd w:val="0"/>
                    <w:snapToGrid w:val="0"/>
                    <w:jc w:val="center"/>
                    <w:rPr>
                      <w:color w:val="000000" w:themeColor="text1"/>
                      <w14:textFill>
                        <w14:solidFill>
                          <w14:schemeClr w14:val="tx1"/>
                        </w14:solidFill>
                      </w14:textFill>
                    </w:rPr>
                  </w:pPr>
                </w:p>
              </w:tc>
              <w:tc>
                <w:tcPr>
                  <w:tcW w:w="592"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0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废抹布</w:t>
                  </w:r>
                </w:p>
              </w:tc>
              <w:tc>
                <w:tcPr>
                  <w:tcW w:w="673"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HW49其他废物</w:t>
                  </w:r>
                </w:p>
              </w:tc>
              <w:tc>
                <w:tcPr>
                  <w:tcW w:w="744"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900-041-49</w:t>
                  </w:r>
                </w:p>
              </w:tc>
              <w:tc>
                <w:tcPr>
                  <w:tcW w:w="400"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531" w:type="pct"/>
                  <w:vMerge w:val="continue"/>
                  <w:tcBorders>
                    <w:tl2br w:val="nil"/>
                    <w:tr2bl w:val="nil"/>
                  </w:tcBorders>
                  <w:vAlign w:val="center"/>
                </w:tcPr>
                <w:p>
                  <w:pPr>
                    <w:adjustRightInd w:val="0"/>
                    <w:snapToGrid w:val="0"/>
                    <w:jc w:val="center"/>
                    <w:rPr>
                      <w:color w:val="000000" w:themeColor="text1"/>
                      <w14:textFill>
                        <w14:solidFill>
                          <w14:schemeClr w14:val="tx1"/>
                        </w14:solidFill>
                      </w14:textFill>
                    </w:rPr>
                  </w:pPr>
                </w:p>
              </w:tc>
              <w:tc>
                <w:tcPr>
                  <w:tcW w:w="486"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塑料桶装，密封保存</w:t>
                  </w:r>
                </w:p>
              </w:tc>
              <w:tc>
                <w:tcPr>
                  <w:tcW w:w="425"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0.1</w:t>
                  </w:r>
                </w:p>
              </w:tc>
              <w:tc>
                <w:tcPr>
                  <w:tcW w:w="390" w:type="pct"/>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1年</w:t>
                  </w:r>
                </w:p>
              </w:tc>
            </w:tr>
          </w:tbl>
          <w:p>
            <w:pPr>
              <w:adjustRightInd w:val="0"/>
              <w:snapToGrid w:val="0"/>
              <w:spacing w:line="360" w:lineRule="auto"/>
              <w:ind w:firstLine="420" w:firstLineChars="200"/>
              <w:rPr>
                <w:b/>
                <w:color w:val="000000" w:themeColor="text1"/>
                <w:szCs w:val="21"/>
                <w14:textFill>
                  <w14:solidFill>
                    <w14:schemeClr w14:val="tx1"/>
                  </w14:solidFill>
                </w14:textFill>
              </w:rPr>
            </w:pPr>
            <w:r>
              <w:rPr>
                <w:color w:val="000000" w:themeColor="text1"/>
                <w:szCs w:val="21"/>
                <w14:textFill>
                  <w14:solidFill>
                    <w14:schemeClr w14:val="tx1"/>
                  </w14:solidFill>
                </w14:textFill>
              </w:rPr>
              <w:t>项目产生的危险废物均得到了妥善有效的处理，对周边环境影响较小。</w:t>
            </w:r>
          </w:p>
          <w:p>
            <w:pPr>
              <w:numPr>
                <w:ilvl w:val="0"/>
                <w:numId w:val="25"/>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保护措施分析</w:t>
            </w:r>
          </w:p>
          <w:p>
            <w:pPr>
              <w:numPr>
                <w:ilvl w:val="0"/>
                <w:numId w:val="31"/>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生活垃圾</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生活垃圾主要成份是废纸、布类、皮革、瓜果皮核、饮料包装瓶、塑料等。生活垃圾按照指定地点堆放在生活、垃圾堆放点，每日</w:t>
            </w:r>
            <w:r>
              <w:rPr>
                <w:bCs/>
                <w:color w:val="000000" w:themeColor="text1"/>
                <w:szCs w:val="21"/>
                <w14:textFill>
                  <w14:solidFill>
                    <w14:schemeClr w14:val="tx1"/>
                  </w14:solidFill>
                </w14:textFill>
              </w:rPr>
              <w:t>由环卫部门统一运走处理</w:t>
            </w:r>
            <w:r>
              <w:rPr>
                <w:color w:val="000000" w:themeColor="text1"/>
                <w:szCs w:val="21"/>
                <w14:textFill>
                  <w14:solidFill>
                    <w14:schemeClr w14:val="tx1"/>
                  </w14:solidFill>
                </w14:textFill>
              </w:rPr>
              <w:t>，并对堆放点进行定期的清洁消毒，杀灭害虫。</w:t>
            </w:r>
          </w:p>
          <w:p>
            <w:pPr>
              <w:numPr>
                <w:ilvl w:val="0"/>
                <w:numId w:val="31"/>
              </w:numPr>
              <w:adjustRightInd w:val="0"/>
              <w:snapToGrid w:val="0"/>
              <w:spacing w:line="360" w:lineRule="auto"/>
              <w:ind w:firstLine="422" w:firstLineChars="200"/>
              <w:rPr>
                <w:b/>
                <w:color w:val="000000" w:themeColor="text1"/>
                <w:szCs w:val="21"/>
                <w14:textFill>
                  <w14:solidFill>
                    <w14:schemeClr w14:val="tx1"/>
                  </w14:solidFill>
                </w14:textFill>
              </w:rPr>
            </w:pPr>
            <w:r>
              <w:rPr>
                <w:b/>
                <w:bCs/>
                <w:color w:val="000000" w:themeColor="text1"/>
                <w:szCs w:val="21"/>
                <w14:textFill>
                  <w14:solidFill>
                    <w14:schemeClr w14:val="tx1"/>
                  </w14:solidFill>
                </w14:textFill>
              </w:rPr>
              <w:t>一般</w:t>
            </w:r>
            <w:r>
              <w:rPr>
                <w:b/>
                <w:color w:val="000000" w:themeColor="text1"/>
                <w:szCs w:val="21"/>
                <w14:textFill>
                  <w14:solidFill>
                    <w14:schemeClr w14:val="tx1"/>
                  </w14:solidFill>
                </w14:textFill>
              </w:rPr>
              <w:t>工业固体废物的处置</w:t>
            </w:r>
          </w:p>
          <w:p>
            <w:pPr>
              <w:adjustRightInd w:val="0"/>
              <w:snapToGrid w:val="0"/>
              <w:spacing w:line="360" w:lineRule="auto"/>
              <w:ind w:firstLine="420" w:firstLineChars="200"/>
              <w:rPr>
                <w:color w:val="000000" w:themeColor="text1"/>
                <w:szCs w:val="21"/>
                <w14:textFill>
                  <w14:solidFill>
                    <w14:schemeClr w14:val="tx1"/>
                  </w14:solidFill>
                </w14:textFill>
              </w:rPr>
            </w:pPr>
            <w:r>
              <w:rPr>
                <w:bCs/>
                <w:color w:val="000000" w:themeColor="text1"/>
                <w:szCs w:val="21"/>
                <w14:textFill>
                  <w14:solidFill>
                    <w14:schemeClr w14:val="tx1"/>
                  </w14:solidFill>
                </w14:textFill>
              </w:rPr>
              <w:t>项目一般工业固体废物主要为</w:t>
            </w:r>
            <w:r>
              <w:rPr>
                <w:color w:val="000000" w:themeColor="text1"/>
                <w:szCs w:val="21"/>
                <w14:textFill>
                  <w14:solidFill>
                    <w14:schemeClr w14:val="tx1"/>
                  </w14:solidFill>
                </w14:textFill>
              </w:rPr>
              <w:t>水口料、包装废物，建设单位在厂房内设置专门的一般工业固体废物存放区进行临时存放。</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厂内一般固废临时贮存应注意：</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1）对固体废物实行从产生、收集、运输、贮存直至最终处理实行全过程管理，加强固体废物运输过程的事故风险防范，按照有关法律、法规的要求，对固体废弃物全过程管理应报当地环保行政主管部门等批准。</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2）加强固体废物规范化管理，固体废物分类定点堆放，堆放场所远离办公区和周围环境敏感点。</w:t>
            </w:r>
          </w:p>
          <w:p>
            <w:pPr>
              <w:numPr>
                <w:ilvl w:val="0"/>
                <w:numId w:val="31"/>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危险废物</w:t>
            </w:r>
          </w:p>
          <w:p>
            <w:pPr>
              <w:adjustRightInd w:val="0"/>
              <w:snapToGrid w:val="0"/>
              <w:spacing w:line="360" w:lineRule="auto"/>
              <w:ind w:firstLine="420" w:firstLineChars="200"/>
              <w:rPr>
                <w:bCs/>
                <w:color w:val="000000" w:themeColor="text1"/>
                <w:kern w:val="0"/>
                <w:szCs w:val="21"/>
                <w14:textFill>
                  <w14:solidFill>
                    <w14:schemeClr w14:val="tx1"/>
                  </w14:solidFill>
                </w14:textFill>
              </w:rPr>
            </w:pPr>
            <w:r>
              <w:rPr>
                <w:bCs/>
                <w:color w:val="000000" w:themeColor="text1"/>
                <w:szCs w:val="21"/>
                <w14:textFill>
                  <w14:solidFill>
                    <w14:schemeClr w14:val="tx1"/>
                  </w14:solidFill>
                </w14:textFill>
              </w:rPr>
              <w:t>项目危险废物主要为</w:t>
            </w:r>
            <w:r>
              <w:rPr>
                <w:color w:val="000000" w:themeColor="text1"/>
                <w:szCs w:val="21"/>
                <w14:textFill>
                  <w14:solidFill>
                    <w14:schemeClr w14:val="tx1"/>
                  </w14:solidFill>
                </w14:textFill>
              </w:rPr>
              <w:t>废活性炭、废机油、废机油桶、废抹布、废原料桶和废切削液，委托有危险废物处置资质的单位处理</w:t>
            </w:r>
            <w:r>
              <w:rPr>
                <w:bCs/>
                <w:color w:val="000000" w:themeColor="text1"/>
                <w:kern w:val="0"/>
                <w:szCs w:val="21"/>
                <w14:textFill>
                  <w14:solidFill>
                    <w14:schemeClr w14:val="tx1"/>
                  </w14:solidFill>
                </w14:textFill>
              </w:rPr>
              <w:t>。</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须严格按《广东省危险废物经营许可证管理暂行规定》和《广东省危险废物转移报告联单管理暂行规定》中的有关要求管理。加强对危险废物的管理，对危险废物的产生、利用、收集、运输、贮存、处置等环节建立追踪性的帐目和手续，并纳入环保部门的监督管理。</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危险废物的贮存和运输注意事项如下：</w:t>
            </w:r>
          </w:p>
          <w:p>
            <w:pPr>
              <w:numPr>
                <w:ilvl w:val="0"/>
                <w:numId w:val="32"/>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贮存</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生产过程中将产生一定量的危险废物，应严格按照《危险废物贮存污染控制标准》（GB18597-2001）及2013年修改单相关要求进行分类收集后置于专用桶中，暂存放在项目的危险废物贮存间。同时该危险废物贮存间应严格按照《危险废物贮存污染控制标准》（GBl8597-2001）及2013年修改单要求进行。</w:t>
            </w:r>
          </w:p>
          <w:p>
            <w:pPr>
              <w:numPr>
                <w:ilvl w:val="0"/>
                <w:numId w:val="32"/>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运输</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项目产生的危险废物，需</w:t>
            </w:r>
            <w:r>
              <w:rPr>
                <w:bCs/>
                <w:color w:val="000000" w:themeColor="text1"/>
                <w:kern w:val="0"/>
                <w:szCs w:val="21"/>
                <w14:textFill>
                  <w14:solidFill>
                    <w14:schemeClr w14:val="tx1"/>
                  </w14:solidFill>
                </w14:textFill>
              </w:rPr>
              <w:t>有危废处置资质的公司处理</w:t>
            </w:r>
            <w:r>
              <w:rPr>
                <w:color w:val="000000" w:themeColor="text1"/>
                <w:szCs w:val="21"/>
                <w14:textFill>
                  <w14:solidFill>
                    <w14:schemeClr w14:val="tx1"/>
                  </w14:solidFill>
                </w14:textFill>
              </w:rPr>
              <w:t>，由处理单位派专用车辆定期上门接收，运输至资质单位废物处理场进行处理。</w:t>
            </w:r>
          </w:p>
          <w:p>
            <w:pPr>
              <w:numPr>
                <w:ilvl w:val="0"/>
                <w:numId w:val="32"/>
              </w:numPr>
              <w:adjustRightInd w:val="0"/>
              <w:snapToGrid w:val="0"/>
              <w:spacing w:line="360" w:lineRule="auto"/>
              <w:ind w:firstLine="422" w:firstLineChars="20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处置</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项目产生的危险废物交</w:t>
            </w:r>
            <w:r>
              <w:rPr>
                <w:bCs/>
                <w:color w:val="000000" w:themeColor="text1"/>
                <w:kern w:val="0"/>
                <w:szCs w:val="21"/>
                <w14:textFill>
                  <w14:solidFill>
                    <w14:schemeClr w14:val="tx1"/>
                  </w14:solidFill>
                </w14:textFill>
              </w:rPr>
              <w:t>有危废处置资质的公司处理，</w:t>
            </w:r>
            <w:r>
              <w:rPr>
                <w:color w:val="000000" w:themeColor="text1"/>
                <w:szCs w:val="21"/>
                <w14:textFill>
                  <w14:solidFill>
                    <w14:schemeClr w14:val="tx1"/>
                  </w14:solidFill>
                </w14:textFill>
              </w:rPr>
              <w:t>根据各危险废物的性质进行无害化处置。环评针对危险废物的储存提出项目设置的危险废物临时堆放间需满足以下要求：</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w:t>
            </w:r>
            <w:r>
              <w:rPr>
                <w:color w:val="000000" w:themeColor="text1"/>
                <w:szCs w:val="21"/>
                <w14:textFill>
                  <w14:solidFill>
                    <w14:schemeClr w14:val="tx1"/>
                  </w14:solidFill>
                </w14:textFill>
              </w:rPr>
              <w:t>基础必须防渗，防渗层必须为砼结构，或至少为1m厚粘土层（渗透系数≤10-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cm/s），或2mm厚高密度聚乙烯，或至少为2mm厚的其他人工材料，渗透系数≤10</w:t>
            </w:r>
            <w:r>
              <w:rPr>
                <w:color w:val="000000" w:themeColor="text1"/>
                <w:szCs w:val="21"/>
                <w:vertAlign w:val="superscript"/>
                <w14:textFill>
                  <w14:solidFill>
                    <w14:schemeClr w14:val="tx1"/>
                  </w14:solidFill>
                </w14:textFill>
              </w:rPr>
              <w:t>-10</w:t>
            </w:r>
            <w:r>
              <w:rPr>
                <w:color w:val="000000" w:themeColor="text1"/>
                <w:szCs w:val="21"/>
                <w14:textFill>
                  <w14:solidFill>
                    <w14:schemeClr w14:val="tx1"/>
                  </w14:solidFill>
                </w14:textFill>
              </w:rPr>
              <w:t>cm/s。</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w:t>
            </w:r>
            <w:r>
              <w:rPr>
                <w:color w:val="000000" w:themeColor="text1"/>
                <w:szCs w:val="21"/>
                <w14:textFill>
                  <w14:solidFill>
                    <w14:schemeClr w14:val="tx1"/>
                  </w14:solidFill>
                </w14:textFill>
              </w:rPr>
              <w:t>堆放危险废物的高度应根据地面承载能力确定。</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w:t>
            </w:r>
            <w:r>
              <w:rPr>
                <w:color w:val="000000" w:themeColor="text1"/>
                <w:szCs w:val="21"/>
                <w14:textFill>
                  <w14:solidFill>
                    <w14:schemeClr w14:val="tx1"/>
                  </w14:solidFill>
                </w14:textFill>
              </w:rPr>
              <w:t>衬里放在一个基础或底座上。</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w:t>
            </w:r>
            <w:r>
              <w:rPr>
                <w:color w:val="000000" w:themeColor="text1"/>
                <w:szCs w:val="21"/>
                <w14:textFill>
                  <w14:solidFill>
                    <w14:schemeClr w14:val="tx1"/>
                  </w14:solidFill>
                </w14:textFill>
              </w:rPr>
              <w:t>衬里要能够覆盖危险废物或其溶出物可能涉及到的范围。</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⑤</w:t>
            </w:r>
            <w:r>
              <w:rPr>
                <w:color w:val="000000" w:themeColor="text1"/>
                <w:szCs w:val="21"/>
                <w14:textFill>
                  <w14:solidFill>
                    <w14:schemeClr w14:val="tx1"/>
                  </w14:solidFill>
                </w14:textFill>
              </w:rPr>
              <w:t>衬里材料与堆放危险废物相容。</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⑥</w:t>
            </w:r>
            <w:r>
              <w:rPr>
                <w:color w:val="000000" w:themeColor="text1"/>
                <w:szCs w:val="21"/>
                <w14:textFill>
                  <w14:solidFill>
                    <w14:schemeClr w14:val="tx1"/>
                  </w14:solidFill>
                </w14:textFill>
              </w:rPr>
              <w:t>在衬里上设计、建造浸出液收集清除系统。</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⑦</w:t>
            </w:r>
            <w:r>
              <w:rPr>
                <w:color w:val="000000" w:themeColor="text1"/>
                <w:szCs w:val="21"/>
                <w14:textFill>
                  <w14:solidFill>
                    <w14:schemeClr w14:val="tx1"/>
                  </w14:solidFill>
                </w14:textFill>
              </w:rPr>
              <w:t>应设计建造径流疏导系统，保证能防止25年一遇的暴雨不会流到危险废物临时堆放场内。</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⑧</w:t>
            </w:r>
            <w:r>
              <w:rPr>
                <w:color w:val="000000" w:themeColor="text1"/>
                <w:szCs w:val="21"/>
                <w14:textFill>
                  <w14:solidFill>
                    <w14:schemeClr w14:val="tx1"/>
                  </w14:solidFill>
                </w14:textFill>
              </w:rPr>
              <w:t>危险废物临时堆放场要做好防风、防雨、防晒。</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⑨</w:t>
            </w:r>
            <w:r>
              <w:rPr>
                <w:color w:val="000000" w:themeColor="text1"/>
                <w:szCs w:val="21"/>
                <w14:textFill>
                  <w14:solidFill>
                    <w14:schemeClr w14:val="tx1"/>
                  </w14:solidFill>
                </w14:textFill>
              </w:rPr>
              <w:t>不相容的危险废物不能堆放在一起。</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⑩</w:t>
            </w:r>
            <w:r>
              <w:rPr>
                <w:color w:val="000000" w:themeColor="text1"/>
                <w:szCs w:val="21"/>
                <w14:textFill>
                  <w14:solidFill>
                    <w14:schemeClr w14:val="tx1"/>
                  </w14:solidFill>
                </w14:textFill>
              </w:rPr>
              <w:t>项目</w:t>
            </w:r>
            <w:r>
              <w:rPr>
                <w:bCs/>
                <w:color w:val="000000" w:themeColor="text1"/>
                <w:szCs w:val="21"/>
                <w14:textFill>
                  <w14:solidFill>
                    <w14:schemeClr w14:val="tx1"/>
                  </w14:solidFill>
                </w14:textFill>
              </w:rPr>
              <w:t>危险废物</w:t>
            </w:r>
            <w:r>
              <w:rPr>
                <w:color w:val="000000" w:themeColor="text1"/>
                <w:szCs w:val="21"/>
                <w14:textFill>
                  <w14:solidFill>
                    <w14:schemeClr w14:val="tx1"/>
                  </w14:solidFill>
                </w14:textFill>
              </w:rPr>
              <w:t>用塑料桶储存在危险废物暂存区内，并在相应的储存区域内设置围堰。</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项目员工生活产生的生活垃圾和生产过程产生的固体废物均得到了妥善有效的处理，采取的固废污染防治措施可行。</w:t>
            </w:r>
          </w:p>
          <w:p>
            <w:pPr>
              <w:numPr>
                <w:ilvl w:val="0"/>
                <w:numId w:val="19"/>
              </w:numPr>
              <w:adjustRightInd w:val="0"/>
              <w:snapToGrid w:val="0"/>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地下水、土壤</w:t>
            </w:r>
          </w:p>
          <w:p>
            <w:pPr>
              <w:numPr>
                <w:ilvl w:val="0"/>
                <w:numId w:val="33"/>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土壤及地下水影响识别</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本项目厂区各区域均做好有效的防渗措施，正常生产情况对土壤和地下水无影响，只有特殊情况如防渗层破损，管道阀门跑冒滴漏等对土壤和地下水产生影响。</w:t>
            </w:r>
          </w:p>
          <w:p>
            <w:pPr>
              <w:pStyle w:val="47"/>
              <w:adjustRightInd w:val="0"/>
              <w:snapToGrid w:val="0"/>
              <w:rPr>
                <w:color w:val="000000" w:themeColor="text1"/>
                <w:szCs w:val="21"/>
                <w14:textFill>
                  <w14:solidFill>
                    <w14:schemeClr w14:val="tx1"/>
                  </w14:solidFill>
                </w14:textFill>
              </w:rPr>
            </w:pPr>
            <w:r>
              <w:rPr>
                <w:color w:val="000000" w:themeColor="text1"/>
                <w:szCs w:val="21"/>
                <w14:textFill>
                  <w14:solidFill>
                    <w14:schemeClr w14:val="tx1"/>
                  </w14:solidFill>
                </w14:textFill>
              </w:rPr>
              <w:t>表4-21环境影响源及影响因子识别表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7"/>
              <w:gridCol w:w="1700"/>
              <w:gridCol w:w="2975"/>
              <w:gridCol w:w="173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产污环节</w:t>
                  </w:r>
                </w:p>
              </w:tc>
              <w:tc>
                <w:tcPr>
                  <w:tcW w:w="994"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污染途径</w:t>
                  </w:r>
                </w:p>
              </w:tc>
              <w:tc>
                <w:tcPr>
                  <w:tcW w:w="1740"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污染物指标</w:t>
                  </w:r>
                </w:p>
              </w:tc>
              <w:tc>
                <w:tcPr>
                  <w:tcW w:w="1015" w:type="pct"/>
                  <w:tcBorders>
                    <w:tl2br w:val="nil"/>
                    <w:tr2bl w:val="nil"/>
                  </w:tcBorders>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备注</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50"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原料仓</w:t>
                  </w:r>
                </w:p>
              </w:tc>
              <w:tc>
                <w:tcPr>
                  <w:tcW w:w="99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垂直入渗</w:t>
                  </w:r>
                </w:p>
              </w:tc>
              <w:tc>
                <w:tcPr>
                  <w:tcW w:w="1740"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机油、切削液</w:t>
                  </w:r>
                </w:p>
              </w:tc>
              <w:tc>
                <w:tcPr>
                  <w:tcW w:w="10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连续</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1250"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危</w:t>
                  </w:r>
                  <w:r>
                    <w:rPr>
                      <w:color w:val="000000" w:themeColor="text1"/>
                      <w:szCs w:val="21"/>
                      <w14:textFill>
                        <w14:solidFill>
                          <w14:schemeClr w14:val="tx1"/>
                        </w14:solidFill>
                      </w14:textFill>
                    </w:rPr>
                    <w:t>废仓</w:t>
                  </w:r>
                </w:p>
              </w:tc>
              <w:tc>
                <w:tcPr>
                  <w:tcW w:w="99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垂直入渗</w:t>
                  </w:r>
                </w:p>
              </w:tc>
              <w:tc>
                <w:tcPr>
                  <w:tcW w:w="1740"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废机油和废切削液</w:t>
                  </w:r>
                </w:p>
              </w:tc>
              <w:tc>
                <w:tcPr>
                  <w:tcW w:w="101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连续</w:t>
                  </w:r>
                </w:p>
              </w:tc>
            </w:tr>
          </w:tbl>
          <w:p>
            <w:pPr>
              <w:numPr>
                <w:ilvl w:val="0"/>
                <w:numId w:val="33"/>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防控措施</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本项目厂区“原料仓，危废仓”属于重点防渗区，为确保本项目不会对周围的土壤、地下水环境造成污染，本项目采取了以下防控措施：</w:t>
            </w:r>
          </w:p>
          <w:p>
            <w:pPr>
              <w:numPr>
                <w:ilvl w:val="0"/>
                <w:numId w:val="34"/>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源头控制措施</w:t>
            </w:r>
          </w:p>
          <w:p>
            <w:pPr>
              <w:autoSpaceDE w:val="0"/>
              <w:autoSpaceDN w:val="0"/>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在源头上采取措施进行控制，主要包括在工艺、管道、设备和废物储存及处理构筑物采取相应措施，防止和降低污染物跑、冒、滴、漏，将污染物泄漏的环境风险事故降到最低程度。加强对原料仓和危废仓的巡视、管理，以便泄漏时做出判断并采取相应措施，做到污染物“早发现、早处理”，减少由于泄漏而造成的地下水、土壤污染。</w:t>
            </w:r>
          </w:p>
          <w:p>
            <w:pPr>
              <w:numPr>
                <w:ilvl w:val="0"/>
                <w:numId w:val="34"/>
              </w:numPr>
              <w:adjustRightInd w:val="0"/>
              <w:snapToGrid w:val="0"/>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分区防治措施</w:t>
            </w:r>
          </w:p>
          <w:p>
            <w:pPr>
              <w:autoSpaceDE w:val="0"/>
              <w:autoSpaceDN w:val="0"/>
              <w:adjustRightInd w:val="0"/>
              <w:snapToGrid w:val="0"/>
              <w:spacing w:line="360" w:lineRule="auto"/>
              <w:ind w:firstLine="420" w:firstLineChars="200"/>
              <w:jc w:val="left"/>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按照场地天然包气带防污性能、污染控制难易程度及污染物类型，将全场进行分区防治，分别是：非污染防治区、一般防渗区及重点防渗区。</w:t>
            </w:r>
          </w:p>
          <w:p>
            <w:pPr>
              <w:numPr>
                <w:ilvl w:val="0"/>
                <w:numId w:val="35"/>
              </w:numPr>
              <w:autoSpaceDE w:val="0"/>
              <w:autoSpaceDN w:val="0"/>
              <w:adjustRightInd w:val="0"/>
              <w:snapToGrid w:val="0"/>
              <w:spacing w:line="360" w:lineRule="auto"/>
              <w:ind w:firstLine="422" w:firstLineChars="200"/>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非污染防治区</w:t>
            </w:r>
          </w:p>
          <w:p>
            <w:pPr>
              <w:autoSpaceDE w:val="0"/>
              <w:autoSpaceDN w:val="0"/>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对于办公区等非污染防治区采用一般地面硬化。</w:t>
            </w:r>
          </w:p>
          <w:p>
            <w:pPr>
              <w:numPr>
                <w:ilvl w:val="0"/>
                <w:numId w:val="35"/>
              </w:numPr>
              <w:autoSpaceDE w:val="0"/>
              <w:autoSpaceDN w:val="0"/>
              <w:adjustRightInd w:val="0"/>
              <w:snapToGrid w:val="0"/>
              <w:spacing w:line="360" w:lineRule="auto"/>
              <w:ind w:firstLine="422" w:firstLineChars="200"/>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一般防渗区</w:t>
            </w:r>
          </w:p>
          <w:p>
            <w:pPr>
              <w:autoSpaceDE w:val="0"/>
              <w:autoSpaceDN w:val="0"/>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对于车间等一般防渗区参照《环境影响评价技术导则 地下水环境》（HJ610-2016）中一般防渗区的防渗要求进行防渗设计，防渗性能应等效于1.5m厚渗透系数为1.0×10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cm/s的黏土层的防渗性能。</w:t>
            </w:r>
          </w:p>
          <w:p>
            <w:pPr>
              <w:numPr>
                <w:ilvl w:val="0"/>
                <w:numId w:val="35"/>
              </w:numPr>
              <w:autoSpaceDE w:val="0"/>
              <w:autoSpaceDN w:val="0"/>
              <w:adjustRightInd w:val="0"/>
              <w:snapToGrid w:val="0"/>
              <w:spacing w:line="360" w:lineRule="auto"/>
              <w:ind w:firstLine="422" w:firstLineChars="200"/>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重点防渗区</w:t>
            </w:r>
          </w:p>
          <w:p>
            <w:pPr>
              <w:autoSpaceDE w:val="0"/>
              <w:autoSpaceDN w:val="0"/>
              <w:adjustRightInd w:val="0"/>
              <w:snapToGrid w:val="0"/>
              <w:spacing w:line="360" w:lineRule="auto"/>
              <w:ind w:firstLine="420" w:firstLineChars="200"/>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对于原料仓、危废仓等重点防渗区参照《环境影响评价技术导则 地下水环境》（HJ610-2016）中重点防渗区的防渗要求进行防渗设计，防渗性能应等效于6.0m厚渗透系数为1.0×10</w:t>
            </w:r>
            <w:r>
              <w:rPr>
                <w:color w:val="000000" w:themeColor="text1"/>
                <w:szCs w:val="21"/>
                <w:vertAlign w:val="superscript"/>
                <w14:textFill>
                  <w14:solidFill>
                    <w14:schemeClr w14:val="tx1"/>
                  </w14:solidFill>
                </w14:textFill>
              </w:rPr>
              <w:t>-7</w:t>
            </w:r>
            <w:r>
              <w:rPr>
                <w:color w:val="000000" w:themeColor="text1"/>
                <w:szCs w:val="21"/>
                <w14:textFill>
                  <w14:solidFill>
                    <w14:schemeClr w14:val="tx1"/>
                  </w14:solidFill>
                </w14:textFill>
              </w:rPr>
              <w:t>cm/s的黏土层的防渗性能。</w:t>
            </w:r>
          </w:p>
          <w:p>
            <w:pPr>
              <w:numPr>
                <w:ilvl w:val="0"/>
                <w:numId w:val="19"/>
              </w:numPr>
              <w:adjustRightInd w:val="0"/>
              <w:snapToGrid w:val="0"/>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生态</w:t>
            </w:r>
          </w:p>
          <w:p>
            <w:pPr>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本项目为产业园区外建设项目，</w:t>
            </w:r>
            <w:r>
              <w:rPr>
                <w:rStyle w:val="36"/>
                <w:color w:val="000000" w:themeColor="text1"/>
                <w:szCs w:val="21"/>
                <w14:textFill>
                  <w14:solidFill>
                    <w14:schemeClr w14:val="tx1"/>
                  </w14:solidFill>
                </w14:textFill>
              </w:rPr>
              <w:t>项目周边</w:t>
            </w:r>
            <w:r>
              <w:rPr>
                <w:color w:val="000000" w:themeColor="text1"/>
                <w:szCs w:val="21"/>
                <w14:textFill>
                  <w14:solidFill>
                    <w14:schemeClr w14:val="tx1"/>
                  </w14:solidFill>
                </w14:textFill>
              </w:rPr>
              <w:t>无生态环境保护目标，故对周边生态环境影响不大。</w:t>
            </w:r>
          </w:p>
          <w:p>
            <w:pPr>
              <w:numPr>
                <w:ilvl w:val="0"/>
                <w:numId w:val="19"/>
              </w:numPr>
              <w:adjustRightInd w:val="0"/>
              <w:snapToGrid w:val="0"/>
              <w:spacing w:line="360" w:lineRule="auto"/>
              <w:ind w:left="0" w:firstLine="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环境风险</w:t>
            </w:r>
          </w:p>
          <w:p>
            <w:pPr>
              <w:pStyle w:val="44"/>
              <w:adjustRightInd w:val="0"/>
              <w:snapToGrid w:val="0"/>
              <w:spacing w:line="360" w:lineRule="auto"/>
              <w:ind w:firstLine="422"/>
              <w:rPr>
                <w:b/>
                <w:bCs/>
                <w:color w:val="000000" w:themeColor="text1"/>
                <w:kern w:val="2"/>
                <w:sz w:val="21"/>
                <w:szCs w:val="21"/>
                <w14:textFill>
                  <w14:solidFill>
                    <w14:schemeClr w14:val="tx1"/>
                  </w14:solidFill>
                </w14:textFill>
              </w:rPr>
            </w:pPr>
            <w:r>
              <w:rPr>
                <w:b/>
                <w:bCs/>
                <w:color w:val="000000" w:themeColor="text1"/>
                <w:kern w:val="2"/>
                <w:sz w:val="21"/>
                <w:szCs w:val="21"/>
                <w14:textFill>
                  <w14:solidFill>
                    <w14:schemeClr w14:val="tx1"/>
                  </w14:solidFill>
                </w14:textFill>
              </w:rPr>
              <w:t>（1）评价依据</w:t>
            </w:r>
          </w:p>
          <w:p>
            <w:pPr>
              <w:pStyle w:val="44"/>
              <w:adjustRightInd w:val="0"/>
              <w:snapToGrid w:val="0"/>
              <w:spacing w:line="360" w:lineRule="auto"/>
              <w:ind w:firstLine="420"/>
              <w:rPr>
                <w:color w:val="000000" w:themeColor="text1"/>
                <w:kern w:val="2"/>
                <w:sz w:val="21"/>
                <w:szCs w:val="21"/>
                <w14:textFill>
                  <w14:solidFill>
                    <w14:schemeClr w14:val="tx1"/>
                  </w14:solidFill>
                </w14:textFill>
              </w:rPr>
            </w:pPr>
            <w:r>
              <w:rPr>
                <w:rFonts w:hint="eastAsia" w:ascii="宋体" w:hAnsi="宋体" w:cs="宋体"/>
                <w:color w:val="000000" w:themeColor="text1"/>
                <w:kern w:val="2"/>
                <w:sz w:val="21"/>
                <w:szCs w:val="21"/>
                <w14:textFill>
                  <w14:solidFill>
                    <w14:schemeClr w14:val="tx1"/>
                  </w14:solidFill>
                </w14:textFill>
              </w:rPr>
              <w:t>①</w:t>
            </w:r>
            <w:r>
              <w:rPr>
                <w:color w:val="000000" w:themeColor="text1"/>
                <w:kern w:val="2"/>
                <w:sz w:val="21"/>
                <w:szCs w:val="21"/>
                <w14:textFill>
                  <w14:solidFill>
                    <w14:schemeClr w14:val="tx1"/>
                  </w14:solidFill>
                </w14:textFill>
              </w:rPr>
              <w:t>风险调查</w:t>
            </w:r>
          </w:p>
          <w:p>
            <w:pPr>
              <w:pStyle w:val="44"/>
              <w:adjustRightInd w:val="0"/>
              <w:snapToGrid w:val="0"/>
              <w:spacing w:line="360" w:lineRule="auto"/>
              <w:ind w:firstLine="420"/>
              <w:rPr>
                <w:color w:val="000000" w:themeColor="text1"/>
                <w:kern w:val="2"/>
                <w:sz w:val="21"/>
                <w:szCs w:val="21"/>
                <w14:textFill>
                  <w14:solidFill>
                    <w14:schemeClr w14:val="tx1"/>
                  </w14:solidFill>
                </w14:textFill>
              </w:rPr>
            </w:pPr>
            <w:r>
              <w:rPr>
                <w:color w:val="000000" w:themeColor="text1"/>
                <w:kern w:val="2"/>
                <w:sz w:val="21"/>
                <w:szCs w:val="21"/>
                <w14:textFill>
                  <w14:solidFill>
                    <w14:schemeClr w14:val="tx1"/>
                  </w14:solidFill>
                </w14:textFill>
              </w:rPr>
              <w:t>根据原辅材料的特性以及生产工艺特点以及《建设项目环境风险评价导则》（HJ169-2018）附录B 重点关注的风险物质及临界量。本项目所涉及的风险物质年用量及最大储存量见下表。</w:t>
            </w:r>
          </w:p>
          <w:p>
            <w:pPr>
              <w:widowControl/>
              <w:adjustRightInd w:val="0"/>
              <w:snapToGrid w:val="0"/>
              <w:spacing w:line="360" w:lineRule="auto"/>
              <w:ind w:firstLine="422" w:firstLineChars="20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表4-22 危险物质数量与临界量比值Q核算表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002"/>
              <w:gridCol w:w="983"/>
              <w:gridCol w:w="3280"/>
              <w:gridCol w:w="1268"/>
              <w:gridCol w:w="939"/>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类别</w:t>
                  </w:r>
                </w:p>
              </w:tc>
              <w:tc>
                <w:tcPr>
                  <w:tcW w:w="586" w:type="pct"/>
                  <w:vAlign w:val="center"/>
                </w:tcPr>
                <w:p>
                  <w:pPr>
                    <w:widowControl/>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危化品名</w:t>
                  </w:r>
                </w:p>
              </w:tc>
              <w:tc>
                <w:tcPr>
                  <w:tcW w:w="575" w:type="pc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临界量Qi（t）</w:t>
                  </w:r>
                </w:p>
              </w:tc>
              <w:tc>
                <w:tcPr>
                  <w:tcW w:w="1919" w:type="pct"/>
                  <w:vAlign w:val="center"/>
                </w:tcPr>
                <w:p>
                  <w:pPr>
                    <w:widowControl/>
                    <w:jc w:val="center"/>
                    <w:rPr>
                      <w:b/>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附录B中对应临界类别</w:t>
                  </w:r>
                </w:p>
              </w:tc>
              <w:tc>
                <w:tcPr>
                  <w:tcW w:w="742" w:type="pct"/>
                  <w:vAlign w:val="center"/>
                </w:tcPr>
                <w:p>
                  <w:pPr>
                    <w:widowControl/>
                    <w:jc w:val="center"/>
                    <w:rPr>
                      <w:b/>
                      <w:color w:val="000000" w:themeColor="text1"/>
                      <w:kern w:val="0"/>
                      <w:szCs w:val="21"/>
                      <w14:textFill>
                        <w14:solidFill>
                          <w14:schemeClr w14:val="tx1"/>
                        </w14:solidFill>
                      </w14:textFill>
                    </w:rPr>
                  </w:pPr>
                  <w:r>
                    <w:rPr>
                      <w:b/>
                      <w:color w:val="000000" w:themeColor="text1"/>
                      <w:szCs w:val="21"/>
                      <w14:textFill>
                        <w14:solidFill>
                          <w14:schemeClr w14:val="tx1"/>
                        </w14:solidFill>
                      </w14:textFill>
                    </w:rPr>
                    <w:t>厂内最大存在量qi（t）</w:t>
                  </w:r>
                </w:p>
              </w:tc>
              <w:tc>
                <w:tcPr>
                  <w:tcW w:w="549" w:type="pct"/>
                  <w:vAlign w:val="center"/>
                </w:tcPr>
                <w:p>
                  <w:pPr>
                    <w:widowControl/>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q</w:t>
                  </w:r>
                  <w:r>
                    <w:rPr>
                      <w:b/>
                      <w:color w:val="000000" w:themeColor="text1"/>
                      <w:kern w:val="0"/>
                      <w:szCs w:val="21"/>
                      <w:vertAlign w:val="subscript"/>
                      <w14:textFill>
                        <w14:solidFill>
                          <w14:schemeClr w14:val="tx1"/>
                        </w14:solidFill>
                      </w14:textFill>
                    </w:rPr>
                    <w:t>i</w:t>
                  </w:r>
                  <w:r>
                    <w:rPr>
                      <w:b/>
                      <w:color w:val="000000" w:themeColor="text1"/>
                      <w:kern w:val="0"/>
                      <w:szCs w:val="21"/>
                      <w14:textFill>
                        <w14:solidFill>
                          <w14:schemeClr w14:val="tx1"/>
                        </w14:solidFill>
                      </w14:textFill>
                    </w:rPr>
                    <w:t>/Q</w:t>
                  </w:r>
                  <w:r>
                    <w:rPr>
                      <w:b/>
                      <w:color w:val="000000" w:themeColor="text1"/>
                      <w:kern w:val="0"/>
                      <w:szCs w:val="21"/>
                      <w:vertAlign w:val="subscript"/>
                      <w14:textFill>
                        <w14:solidFill>
                          <w14:schemeClr w14:val="tx1"/>
                        </w14:solidFill>
                      </w14:textFill>
                    </w:rPr>
                    <w:t>i</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Merge w:val="restar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原辅材料</w:t>
                  </w:r>
                </w:p>
              </w:tc>
              <w:tc>
                <w:tcPr>
                  <w:tcW w:w="586" w:type="pct"/>
                  <w:vAlign w:val="center"/>
                </w:tcPr>
                <w:p>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机油</w:t>
                  </w:r>
                </w:p>
              </w:tc>
              <w:tc>
                <w:tcPr>
                  <w:tcW w:w="57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2500</w:t>
                  </w:r>
                </w:p>
              </w:tc>
              <w:tc>
                <w:tcPr>
                  <w:tcW w:w="191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油类物质（矿物油类，如石油、汽油、柴油等；生物柴油等）</w:t>
                  </w:r>
                </w:p>
              </w:tc>
              <w:tc>
                <w:tcPr>
                  <w:tcW w:w="7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5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0.00008</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629" w:type="pct"/>
                  <w:vMerge w:val="continue"/>
                  <w:vAlign w:val="center"/>
                </w:tcPr>
                <w:p>
                  <w:pPr>
                    <w:widowControl/>
                    <w:jc w:val="center"/>
                    <w:rPr>
                      <w:color w:val="000000" w:themeColor="text1"/>
                      <w:szCs w:val="21"/>
                      <w14:textFill>
                        <w14:solidFill>
                          <w14:schemeClr w14:val="tx1"/>
                        </w14:solidFill>
                      </w14:textFill>
                    </w:rPr>
                  </w:pPr>
                </w:p>
              </w:tc>
              <w:tc>
                <w:tcPr>
                  <w:tcW w:w="586"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切削液</w:t>
                  </w:r>
                </w:p>
              </w:tc>
              <w:tc>
                <w:tcPr>
                  <w:tcW w:w="57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2500</w:t>
                  </w:r>
                </w:p>
              </w:tc>
              <w:tc>
                <w:tcPr>
                  <w:tcW w:w="191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油类物质（矿物油类，如石油、汽油、柴油等；生物柴油等）</w:t>
                  </w:r>
                </w:p>
              </w:tc>
              <w:tc>
                <w:tcPr>
                  <w:tcW w:w="7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5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0.00008</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w:t>
                  </w:r>
                </w:p>
              </w:tc>
              <w:tc>
                <w:tcPr>
                  <w:tcW w:w="586"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废切削液</w:t>
                  </w:r>
                </w:p>
              </w:tc>
              <w:tc>
                <w:tcPr>
                  <w:tcW w:w="57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2500</w:t>
                  </w:r>
                </w:p>
              </w:tc>
              <w:tc>
                <w:tcPr>
                  <w:tcW w:w="191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油类物质（矿物油类，如石油、汽油、柴油等；生物柴油等）</w:t>
                  </w:r>
                </w:p>
              </w:tc>
              <w:tc>
                <w:tcPr>
                  <w:tcW w:w="7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w:t>
                  </w:r>
                </w:p>
              </w:tc>
              <w:tc>
                <w:tcPr>
                  <w:tcW w:w="5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0.00012</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9" w:type="pct"/>
                  <w:vMerge w:val="continue"/>
                  <w:vAlign w:val="center"/>
                </w:tcPr>
                <w:p>
                  <w:pPr>
                    <w:widowControl/>
                    <w:jc w:val="center"/>
                    <w:rPr>
                      <w:color w:val="000000" w:themeColor="text1"/>
                      <w:szCs w:val="21"/>
                      <w14:textFill>
                        <w14:solidFill>
                          <w14:schemeClr w14:val="tx1"/>
                        </w14:solidFill>
                      </w14:textFill>
                    </w:rPr>
                  </w:pPr>
                </w:p>
              </w:tc>
              <w:tc>
                <w:tcPr>
                  <w:tcW w:w="58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废机油</w:t>
                  </w:r>
                </w:p>
              </w:tc>
              <w:tc>
                <w:tcPr>
                  <w:tcW w:w="57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2500</w:t>
                  </w:r>
                </w:p>
              </w:tc>
              <w:tc>
                <w:tcPr>
                  <w:tcW w:w="1919" w:type="pct"/>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油类物质（矿物油类，如石油、汽油、柴油等；生物柴油等）</w:t>
                  </w:r>
                </w:p>
              </w:tc>
              <w:tc>
                <w:tcPr>
                  <w:tcW w:w="74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0.15</w:t>
                  </w:r>
                </w:p>
              </w:tc>
              <w:tc>
                <w:tcPr>
                  <w:tcW w:w="5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0.00006</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PrEx>
              <w:trPr>
                <w:trHeight w:val="397" w:hRule="atLeast"/>
                <w:jc w:val="center"/>
              </w:trPr>
              <w:tc>
                <w:tcPr>
                  <w:tcW w:w="4451" w:type="pct"/>
                  <w:gridSpan w:val="5"/>
                  <w:vAlign w:val="center"/>
                </w:tcPr>
                <w:p>
                  <w:pPr>
                    <w:widowControl/>
                    <w:jc w:val="center"/>
                    <w:rPr>
                      <w:color w:val="000000" w:themeColor="text1"/>
                      <w:szCs w:val="21"/>
                      <w:lang w:val="zh-CN"/>
                      <w14:textFill>
                        <w14:solidFill>
                          <w14:schemeClr w14:val="tx1"/>
                        </w14:solidFill>
                      </w14:textFill>
                    </w:rPr>
                  </w:pPr>
                  <w:r>
                    <w:rPr>
                      <w:color w:val="000000" w:themeColor="text1"/>
                      <w:position w:val="-28"/>
                      <w:szCs w:val="21"/>
                      <w:lang w:val="zh-CN"/>
                      <w14:textFill>
                        <w14:solidFill>
                          <w14:schemeClr w14:val="tx1"/>
                        </w14:solidFill>
                      </w14:textFill>
                    </w:rPr>
                    <w:object>
                      <v:shape id="_x0000_i1032" o:spt="75" type="#_x0000_t75" style="height:34.6pt;width:47.7pt;" o:ole="t" filled="f" o:preferrelative="t" stroked="f" coordsize="21600,21600">
                        <v:path/>
                        <v:fill on="f" focussize="0,0"/>
                        <v:stroke on="f" joinstyle="miter"/>
                        <v:imagedata r:id="rId33" o:title=""/>
                        <o:lock v:ext="edit" aspectratio="t"/>
                        <w10:wrap type="none"/>
                        <w10:anchorlock/>
                      </v:shape>
                      <o:OLEObject Type="Embed" ProgID="Equation.3" ShapeID="_x0000_i1032" DrawAspect="Content" ObjectID="_1468075732" r:id="rId32">
                        <o:LockedField>false</o:LockedField>
                      </o:OLEObject>
                    </w:object>
                  </w:r>
                </w:p>
              </w:tc>
              <w:tc>
                <w:tcPr>
                  <w:tcW w:w="54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0.00034</w:t>
                  </w:r>
                </w:p>
              </w:tc>
            </w:tr>
          </w:tbl>
          <w:p>
            <w:pPr>
              <w:pStyle w:val="44"/>
              <w:adjustRightInd w:val="0"/>
              <w:snapToGrid w:val="0"/>
              <w:spacing w:line="360" w:lineRule="auto"/>
              <w:ind w:firstLine="420"/>
              <w:rPr>
                <w:b/>
                <w:bCs/>
                <w:color w:val="000000" w:themeColor="text1"/>
                <w:kern w:val="2"/>
                <w:sz w:val="21"/>
                <w:szCs w:val="21"/>
                <w14:textFill>
                  <w14:solidFill>
                    <w14:schemeClr w14:val="tx1"/>
                  </w14:solidFill>
                </w14:textFill>
              </w:rPr>
            </w:pPr>
            <w:r>
              <w:rPr>
                <w:color w:val="000000" w:themeColor="text1"/>
                <w:kern w:val="2"/>
                <w:sz w:val="21"/>
                <w:szCs w:val="21"/>
                <w14:textFill>
                  <w14:solidFill>
                    <w14:schemeClr w14:val="tx1"/>
                  </w14:solidFill>
                </w14:textFill>
              </w:rPr>
              <w:t>根据《建设项目环境风险评价技术导则》（HJ169-2018），无需设置环境风险专章。</w:t>
            </w:r>
          </w:p>
          <w:p>
            <w:pPr>
              <w:pStyle w:val="44"/>
              <w:adjustRightInd w:val="0"/>
              <w:snapToGrid w:val="0"/>
              <w:spacing w:line="360" w:lineRule="auto"/>
              <w:ind w:firstLine="422"/>
              <w:rPr>
                <w:b/>
                <w:bCs/>
                <w:color w:val="000000" w:themeColor="text1"/>
                <w:kern w:val="2"/>
                <w:sz w:val="21"/>
                <w:szCs w:val="21"/>
                <w14:textFill>
                  <w14:solidFill>
                    <w14:schemeClr w14:val="tx1"/>
                  </w14:solidFill>
                </w14:textFill>
              </w:rPr>
            </w:pPr>
            <w:r>
              <w:rPr>
                <w:b/>
                <w:bCs/>
                <w:color w:val="000000" w:themeColor="text1"/>
                <w:kern w:val="2"/>
                <w:sz w:val="21"/>
                <w:szCs w:val="21"/>
                <w14:textFill>
                  <w14:solidFill>
                    <w14:schemeClr w14:val="tx1"/>
                  </w14:solidFill>
                </w14:textFill>
              </w:rPr>
              <w:t>（2）环境风险识别</w:t>
            </w:r>
          </w:p>
          <w:p>
            <w:pPr>
              <w:widowControl/>
              <w:adjustRightInd w:val="0"/>
              <w:snapToGrid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项目生产、使用、储存过程中涉及的危险物质根据《建设项目环境风险评价技术导则》（HJ169-2018）附录B 进行识别，风险源和危险物质分布情况见下表。</w:t>
            </w:r>
          </w:p>
          <w:p>
            <w:pPr>
              <w:widowControl/>
              <w:adjustRightInd w:val="0"/>
              <w:snapToGrid w:val="0"/>
              <w:spacing w:line="360" w:lineRule="auto"/>
              <w:ind w:firstLine="422" w:firstLineChars="20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w:t>
            </w:r>
            <w:r>
              <w:rPr>
                <w:b/>
                <w:color w:val="000000" w:themeColor="text1"/>
                <w:szCs w:val="21"/>
                <w14:textFill>
                  <w14:solidFill>
                    <w14:schemeClr w14:val="tx1"/>
                  </w14:solidFill>
                </w14:textFill>
              </w:rPr>
              <w:t>4-23</w:t>
            </w:r>
            <w:r>
              <w:rPr>
                <w:b/>
                <w:bCs/>
                <w:color w:val="000000" w:themeColor="text1"/>
                <w:szCs w:val="21"/>
                <w14:textFill>
                  <w14:solidFill>
                    <w14:schemeClr w14:val="tx1"/>
                  </w14:solidFill>
                </w14:textFill>
              </w:rPr>
              <w:t>环境风险物质识别表</w:t>
            </w:r>
          </w:p>
          <w:tbl>
            <w:tblPr>
              <w:tblStyle w:val="29"/>
              <w:tblW w:w="5000" w:type="pct"/>
              <w:jc w:val="center"/>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19"/>
              <w:gridCol w:w="1258"/>
              <w:gridCol w:w="2356"/>
              <w:gridCol w:w="1239"/>
              <w:gridCol w:w="1400"/>
              <w:gridCol w:w="1075"/>
            </w:tblGrid>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13"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危险单元</w:t>
                  </w:r>
                </w:p>
              </w:tc>
              <w:tc>
                <w:tcPr>
                  <w:tcW w:w="736"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风险源</w:t>
                  </w:r>
                </w:p>
              </w:tc>
              <w:tc>
                <w:tcPr>
                  <w:tcW w:w="1378"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主要危险物质</w:t>
                  </w:r>
                </w:p>
              </w:tc>
              <w:tc>
                <w:tcPr>
                  <w:tcW w:w="725"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环境风险</w:t>
                  </w:r>
                </w:p>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类型</w:t>
                  </w:r>
                </w:p>
              </w:tc>
              <w:tc>
                <w:tcPr>
                  <w:tcW w:w="819"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环境影响途径</w:t>
                  </w:r>
                </w:p>
              </w:tc>
              <w:tc>
                <w:tcPr>
                  <w:tcW w:w="629"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可能受影响的敏感目标</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13"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原料仓</w:t>
                  </w:r>
                </w:p>
              </w:tc>
              <w:tc>
                <w:tcPr>
                  <w:tcW w:w="736"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化学品存放区</w:t>
                  </w:r>
                </w:p>
              </w:tc>
              <w:tc>
                <w:tcPr>
                  <w:tcW w:w="1378"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机油和切削液</w:t>
                  </w:r>
                </w:p>
              </w:tc>
              <w:tc>
                <w:tcPr>
                  <w:tcW w:w="725" w:type="pct"/>
                  <w:vMerge w:val="restar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泄露、火灾</w:t>
                  </w:r>
                </w:p>
              </w:tc>
              <w:tc>
                <w:tcPr>
                  <w:tcW w:w="819"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地表水、地下水、大气、土壤</w:t>
                  </w:r>
                </w:p>
              </w:tc>
              <w:tc>
                <w:tcPr>
                  <w:tcW w:w="629"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周边耕地</w:t>
                  </w: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13"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生产车间</w:t>
                  </w:r>
                </w:p>
              </w:tc>
              <w:tc>
                <w:tcPr>
                  <w:tcW w:w="736"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生产区</w:t>
                  </w:r>
                </w:p>
              </w:tc>
              <w:tc>
                <w:tcPr>
                  <w:tcW w:w="1378"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机油和切削液</w:t>
                  </w:r>
                </w:p>
              </w:tc>
              <w:tc>
                <w:tcPr>
                  <w:tcW w:w="725" w:type="pct"/>
                  <w:vMerge w:val="continue"/>
                  <w:vAlign w:val="center"/>
                </w:tcPr>
                <w:p>
                  <w:pPr>
                    <w:pStyle w:val="44"/>
                    <w:ind w:firstLine="0" w:firstLineChars="0"/>
                    <w:jc w:val="center"/>
                    <w:rPr>
                      <w:color w:val="000000" w:themeColor="text1"/>
                      <w:kern w:val="2"/>
                      <w:sz w:val="21"/>
                      <w14:textFill>
                        <w14:solidFill>
                          <w14:schemeClr w14:val="tx1"/>
                        </w14:solidFill>
                      </w14:textFill>
                    </w:rPr>
                  </w:pPr>
                </w:p>
              </w:tc>
              <w:tc>
                <w:tcPr>
                  <w:tcW w:w="819" w:type="pct"/>
                  <w:vMerge w:val="continue"/>
                  <w:vAlign w:val="center"/>
                </w:tcPr>
                <w:p>
                  <w:pPr>
                    <w:pStyle w:val="44"/>
                    <w:ind w:firstLine="0" w:firstLineChars="0"/>
                    <w:jc w:val="center"/>
                    <w:rPr>
                      <w:color w:val="000000" w:themeColor="text1"/>
                      <w:kern w:val="2"/>
                      <w:sz w:val="21"/>
                      <w14:textFill>
                        <w14:solidFill>
                          <w14:schemeClr w14:val="tx1"/>
                        </w14:solidFill>
                      </w14:textFill>
                    </w:rPr>
                  </w:pPr>
                </w:p>
              </w:tc>
              <w:tc>
                <w:tcPr>
                  <w:tcW w:w="629"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13"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危废仓</w:t>
                  </w:r>
                </w:p>
              </w:tc>
              <w:tc>
                <w:tcPr>
                  <w:tcW w:w="736"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液态危险废物</w:t>
                  </w:r>
                </w:p>
              </w:tc>
              <w:tc>
                <w:tcPr>
                  <w:tcW w:w="1378"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废机油和废切削液</w:t>
                  </w:r>
                </w:p>
              </w:tc>
              <w:tc>
                <w:tcPr>
                  <w:tcW w:w="725" w:type="pct"/>
                  <w:vMerge w:val="restar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泄露</w:t>
                  </w:r>
                </w:p>
              </w:tc>
              <w:tc>
                <w:tcPr>
                  <w:tcW w:w="819"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地表水、地下水、土壤</w:t>
                  </w:r>
                </w:p>
              </w:tc>
              <w:tc>
                <w:tcPr>
                  <w:tcW w:w="629" w:type="pct"/>
                  <w:vMerge w:val="continue"/>
                  <w:vAlign w:val="center"/>
                </w:tcPr>
                <w:p>
                  <w:pPr>
                    <w:jc w:val="center"/>
                    <w:rPr>
                      <w:color w:val="000000" w:themeColor="text1"/>
                      <w14:textFill>
                        <w14:solidFill>
                          <w14:schemeClr w14:val="tx1"/>
                        </w14:solidFill>
                      </w14:textFill>
                    </w:rPr>
                  </w:pPr>
                </w:p>
              </w:tc>
            </w:tr>
            <w:tr>
              <w:tblPrEx>
                <w:tblBorders>
                  <w:top w:val="single" w:color="auto" w:sz="18" w:space="0"/>
                  <w:left w:val="single" w:color="auto" w:sz="4" w:space="0"/>
                  <w:bottom w:val="single" w:color="auto" w:sz="18"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713"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kern w:val="2"/>
                      <w:sz w:val="21"/>
                      <w14:textFill>
                        <w14:solidFill>
                          <w14:schemeClr w14:val="tx1"/>
                        </w14:solidFill>
                      </w14:textFill>
                    </w:rPr>
                    <w:t>废气治理设施</w:t>
                  </w:r>
                </w:p>
              </w:tc>
              <w:tc>
                <w:tcPr>
                  <w:tcW w:w="736" w:type="pct"/>
                  <w:vAlign w:val="center"/>
                </w:tcPr>
                <w:p>
                  <w:pPr>
                    <w:pStyle w:val="44"/>
                    <w:ind w:firstLine="0" w:firstLineChars="0"/>
                    <w:jc w:val="center"/>
                    <w:rPr>
                      <w:color w:val="000000" w:themeColor="text1"/>
                      <w:kern w:val="2"/>
                      <w:sz w:val="21"/>
                      <w14:textFill>
                        <w14:solidFill>
                          <w14:schemeClr w14:val="tx1"/>
                        </w14:solidFill>
                      </w14:textFill>
                    </w:rPr>
                  </w:pPr>
                  <w:r>
                    <w:rPr>
                      <w:color w:val="000000" w:themeColor="text1"/>
                      <w:sz w:val="21"/>
                      <w14:textFill>
                        <w14:solidFill>
                          <w14:schemeClr w14:val="tx1"/>
                        </w14:solidFill>
                      </w14:textFill>
                    </w:rPr>
                    <w:t>废气排放口</w:t>
                  </w:r>
                </w:p>
              </w:tc>
              <w:tc>
                <w:tcPr>
                  <w:tcW w:w="137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有机废气</w:t>
                  </w:r>
                </w:p>
              </w:tc>
              <w:tc>
                <w:tcPr>
                  <w:tcW w:w="725" w:type="pct"/>
                  <w:vMerge w:val="continue"/>
                  <w:vAlign w:val="center"/>
                </w:tcPr>
                <w:p>
                  <w:pPr>
                    <w:pStyle w:val="44"/>
                    <w:ind w:firstLine="0" w:firstLineChars="0"/>
                    <w:jc w:val="center"/>
                    <w:rPr>
                      <w:color w:val="000000" w:themeColor="text1"/>
                      <w:kern w:val="2"/>
                      <w:sz w:val="21"/>
                      <w14:textFill>
                        <w14:solidFill>
                          <w14:schemeClr w14:val="tx1"/>
                        </w14:solidFill>
                      </w14:textFill>
                    </w:rPr>
                  </w:pPr>
                </w:p>
              </w:tc>
              <w:tc>
                <w:tcPr>
                  <w:tcW w:w="819" w:type="pct"/>
                  <w:vMerge w:val="continue"/>
                  <w:vAlign w:val="center"/>
                </w:tcPr>
                <w:p>
                  <w:pPr>
                    <w:jc w:val="center"/>
                    <w:rPr>
                      <w:color w:val="000000" w:themeColor="text1"/>
                      <w14:textFill>
                        <w14:solidFill>
                          <w14:schemeClr w14:val="tx1"/>
                        </w14:solidFill>
                      </w14:textFill>
                    </w:rPr>
                  </w:pPr>
                </w:p>
              </w:tc>
              <w:tc>
                <w:tcPr>
                  <w:tcW w:w="629" w:type="pct"/>
                  <w:vMerge w:val="continue"/>
                  <w:vAlign w:val="center"/>
                </w:tcPr>
                <w:p>
                  <w:pPr>
                    <w:jc w:val="center"/>
                    <w:rPr>
                      <w:color w:val="000000" w:themeColor="text1"/>
                      <w14:textFill>
                        <w14:solidFill>
                          <w14:schemeClr w14:val="tx1"/>
                        </w14:solidFill>
                      </w14:textFill>
                    </w:rPr>
                  </w:pPr>
                </w:p>
              </w:tc>
            </w:tr>
          </w:tbl>
          <w:p>
            <w:pPr>
              <w:pStyle w:val="44"/>
              <w:adjustRightInd w:val="0"/>
              <w:spacing w:line="360" w:lineRule="auto"/>
              <w:ind w:firstLine="422"/>
              <w:rPr>
                <w:b/>
                <w:bCs/>
                <w:color w:val="000000" w:themeColor="text1"/>
                <w:kern w:val="2"/>
                <w:sz w:val="21"/>
                <w:szCs w:val="21"/>
                <w14:textFill>
                  <w14:solidFill>
                    <w14:schemeClr w14:val="tx1"/>
                  </w14:solidFill>
                </w14:textFill>
              </w:rPr>
            </w:pPr>
            <w:r>
              <w:rPr>
                <w:b/>
                <w:bCs/>
                <w:color w:val="000000" w:themeColor="text1"/>
                <w:kern w:val="2"/>
                <w:sz w:val="21"/>
                <w:szCs w:val="21"/>
                <w14:textFill>
                  <w14:solidFill>
                    <w14:schemeClr w14:val="tx1"/>
                  </w14:solidFill>
                </w14:textFill>
              </w:rPr>
              <w:t>（3）风险防控措施</w:t>
            </w:r>
          </w:p>
          <w:p>
            <w:pPr>
              <w:pStyle w:val="44"/>
              <w:adjustRightInd w:val="0"/>
              <w:spacing w:line="360" w:lineRule="auto"/>
              <w:ind w:firstLine="422"/>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1）火灾风险防范措施</w:t>
            </w:r>
          </w:p>
          <w:p>
            <w:pPr>
              <w:pStyle w:val="44"/>
              <w:adjustRightInd w:val="0"/>
              <w:spacing w:line="360" w:lineRule="auto"/>
              <w:ind w:firstLine="420"/>
              <w:rPr>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①</w:t>
            </w:r>
            <w:r>
              <w:rPr>
                <w:bCs/>
                <w:color w:val="000000" w:themeColor="text1"/>
                <w:sz w:val="21"/>
                <w:szCs w:val="21"/>
                <w14:textFill>
                  <w14:solidFill>
                    <w14:schemeClr w14:val="tx1"/>
                  </w14:solidFill>
                </w14:textFill>
              </w:rPr>
              <w:t>生产车间应按规范配置灭火器材和消防装备。</w:t>
            </w:r>
          </w:p>
          <w:p>
            <w:pPr>
              <w:pStyle w:val="44"/>
              <w:adjustRightInd w:val="0"/>
              <w:spacing w:line="360" w:lineRule="auto"/>
              <w:ind w:firstLine="420"/>
              <w:rPr>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②</w:t>
            </w:r>
            <w:r>
              <w:rPr>
                <w:bCs/>
                <w:color w:val="000000" w:themeColor="text1"/>
                <w:sz w:val="21"/>
                <w:szCs w:val="21"/>
                <w14:textFill>
                  <w14:solidFill>
                    <w14:schemeClr w14:val="tx1"/>
                  </w14:solidFill>
                </w14:textFill>
              </w:rPr>
              <w:t>制定巡查制度，对有泄漏现象和迹象的部位及时采取处理措施。</w:t>
            </w:r>
          </w:p>
          <w:p>
            <w:pPr>
              <w:pStyle w:val="44"/>
              <w:adjustRightInd w:val="0"/>
              <w:spacing w:line="360" w:lineRule="auto"/>
              <w:ind w:firstLine="420"/>
              <w:rPr>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③</w:t>
            </w:r>
            <w:r>
              <w:rPr>
                <w:bCs/>
                <w:color w:val="000000" w:themeColor="text1"/>
                <w:sz w:val="21"/>
                <w:szCs w:val="21"/>
                <w14:textFill>
                  <w14:solidFill>
                    <w14:schemeClr w14:val="tx1"/>
                  </w14:solidFill>
                </w14:textFill>
              </w:rPr>
              <w:t>加强火源管理，杜绝各种火种，严禁闲杂人员入内。</w:t>
            </w:r>
          </w:p>
          <w:p>
            <w:pPr>
              <w:pStyle w:val="44"/>
              <w:adjustRightInd w:val="0"/>
              <w:spacing w:line="360" w:lineRule="auto"/>
              <w:ind w:firstLine="420"/>
              <w:rPr>
                <w:bCs/>
                <w:color w:val="000000" w:themeColor="text1"/>
                <w:sz w:val="21"/>
                <w:szCs w:val="21"/>
                <w14:textFill>
                  <w14:solidFill>
                    <w14:schemeClr w14:val="tx1"/>
                  </w14:solidFill>
                </w14:textFill>
              </w:rPr>
            </w:pPr>
            <w:r>
              <w:rPr>
                <w:rFonts w:hint="eastAsia" w:ascii="宋体" w:hAnsi="宋体" w:cs="宋体"/>
                <w:bCs/>
                <w:color w:val="000000" w:themeColor="text1"/>
                <w:sz w:val="21"/>
                <w:szCs w:val="21"/>
                <w14:textFill>
                  <w14:solidFill>
                    <w14:schemeClr w14:val="tx1"/>
                  </w14:solidFill>
                </w14:textFill>
              </w:rPr>
              <w:t>④</w:t>
            </w:r>
            <w:r>
              <w:rPr>
                <w:bCs/>
                <w:color w:val="000000" w:themeColor="text1"/>
                <w:sz w:val="21"/>
                <w:szCs w:val="21"/>
                <w14:textFill>
                  <w14:solidFill>
                    <w14:schemeClr w14:val="tx1"/>
                  </w14:solidFill>
                </w14:textFill>
              </w:rPr>
              <w:t>工作人员要熟练掌握操作技术和防火安全管理规定。</w:t>
            </w:r>
          </w:p>
          <w:p>
            <w:pPr>
              <w:pStyle w:val="44"/>
              <w:numPr>
                <w:ilvl w:val="0"/>
                <w:numId w:val="36"/>
              </w:numPr>
              <w:adjustRightInd w:val="0"/>
              <w:spacing w:line="360" w:lineRule="auto"/>
              <w:ind w:firstLine="422"/>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火灾事故废水处置措施</w:t>
            </w:r>
          </w:p>
          <w:p>
            <w:pPr>
              <w:widowControl/>
              <w:adjustRightInd w:val="0"/>
              <w:spacing w:line="360" w:lineRule="auto"/>
              <w:ind w:firstLine="420" w:firstLineChars="200"/>
              <w:rPr>
                <w:color w:val="000000" w:themeColor="text1"/>
                <w:kern w:val="0"/>
                <w:szCs w:val="21"/>
                <w:lang w:bidi="ar"/>
                <w14:textFill>
                  <w14:solidFill>
                    <w14:schemeClr w14:val="tx1"/>
                  </w14:solidFill>
                </w14:textFill>
              </w:rPr>
            </w:pPr>
            <w:r>
              <w:rPr>
                <w:color w:val="000000" w:themeColor="text1"/>
                <w:kern w:val="0"/>
                <w:szCs w:val="21"/>
                <w:lang w:bidi="ar"/>
                <w14:textFill>
                  <w14:solidFill>
                    <w14:schemeClr w14:val="tx1"/>
                  </w14:solidFill>
                </w14:textFill>
              </w:rPr>
              <w:t>本项目机油和切削液置于原料仓中的独立存放区域中。配手提式干粉、泡沫灭火器，机油最大暂存量为200kg、切削液的最大储存量为200kg，车间配备吨桶等应急暂存设施，由于暂存量很低，若发生火灾将使用干粉和泡沫灭火器灭火，无消防废水产生。本项目原料仓库门口设缓坡，并将机油/切削液的存储罐放置在托盘上，托盘高度为30cm，可以将风险控制在独立存放区域中。本项目危废暂存间设置于厂房1F西南部的一个独立房间里面，面积15m</w:t>
            </w:r>
            <w:r>
              <w:rPr>
                <w:color w:val="000000" w:themeColor="text1"/>
                <w:kern w:val="0"/>
                <w:szCs w:val="21"/>
                <w:vertAlign w:val="superscript"/>
                <w:lang w:bidi="ar"/>
                <w14:textFill>
                  <w14:solidFill>
                    <w14:schemeClr w14:val="tx1"/>
                  </w14:solidFill>
                </w14:textFill>
              </w:rPr>
              <w:t>2</w:t>
            </w:r>
            <w:r>
              <w:rPr>
                <w:color w:val="000000" w:themeColor="text1"/>
                <w:kern w:val="0"/>
                <w:szCs w:val="21"/>
                <w:lang w:bidi="ar"/>
                <w14:textFill>
                  <w14:solidFill>
                    <w14:schemeClr w14:val="tx1"/>
                  </w14:solidFill>
                </w14:textFill>
              </w:rPr>
              <w:t>。危废暂存间危废主要为</w:t>
            </w:r>
            <w:r>
              <w:rPr>
                <w:color w:val="000000" w:themeColor="text1"/>
                <w:szCs w:val="21"/>
                <w14:textFill>
                  <w14:solidFill>
                    <w14:schemeClr w14:val="tx1"/>
                  </w14:solidFill>
                </w14:textFill>
              </w:rPr>
              <w:t>废活性炭、废机油、废机油桶、废抹布、废原料桶和废切削液</w:t>
            </w:r>
            <w:r>
              <w:rPr>
                <w:color w:val="000000" w:themeColor="text1"/>
                <w:kern w:val="0"/>
                <w:szCs w:val="21"/>
                <w:lang w:bidi="ar"/>
                <w14:textFill>
                  <w14:solidFill>
                    <w14:schemeClr w14:val="tx1"/>
                  </w14:solidFill>
                </w14:textFill>
              </w:rPr>
              <w:t>等，最大储存量为1t，其中液态废物最大储存量为0.3t，危废暂存间配备手提式和手推式干粉灭火器以及消防沙，无消防废水产生，且危废暂存间门口设置缓坡（约15cm），发生泄漏或火灾等环境风险事故时可以使用将风险控制在危废暂存间内。原料仓及危废暂存间外未经污染的雨水可以直接进入市政雨水管道，无需对雨水进行收集和处理。</w:t>
            </w:r>
          </w:p>
          <w:p>
            <w:pPr>
              <w:widowControl/>
              <w:adjustRightInd w:val="0"/>
              <w:spacing w:line="360" w:lineRule="auto"/>
              <w:ind w:firstLine="420" w:firstLineChars="200"/>
              <w:rPr>
                <w:color w:val="000000" w:themeColor="text1"/>
                <w:szCs w:val="21"/>
                <w14:textFill>
                  <w14:solidFill>
                    <w14:schemeClr w14:val="tx1"/>
                  </w14:solidFill>
                </w14:textFill>
              </w:rPr>
            </w:pPr>
            <w:r>
              <w:rPr>
                <w:color w:val="000000" w:themeColor="text1"/>
                <w:kern w:val="0"/>
                <w:szCs w:val="21"/>
                <w:lang w:bidi="ar"/>
                <w14:textFill>
                  <w14:solidFill>
                    <w14:schemeClr w14:val="tx1"/>
                  </w14:solidFill>
                </w14:textFill>
              </w:rPr>
              <w:t>为确保项目事故废水围堵在车间内，本环评建议在建设单位在</w:t>
            </w:r>
            <w:r>
              <w:rPr>
                <w:color w:val="000000" w:themeColor="text1"/>
                <w:szCs w:val="21"/>
                <w14:textFill>
                  <w14:solidFill>
                    <w14:schemeClr w14:val="tx1"/>
                  </w14:solidFill>
                </w14:textFill>
              </w:rPr>
              <w:t>车间门口设置漫坡、储备沙袋和UPS泵等应急物资。</w:t>
            </w:r>
          </w:p>
          <w:p>
            <w:pPr>
              <w:pStyle w:val="44"/>
              <w:adjustRightInd w:val="0"/>
              <w:spacing w:line="360" w:lineRule="auto"/>
              <w:ind w:firstLine="42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3</w:t>
            </w:r>
            <w:r>
              <w:rPr>
                <w:b/>
                <w:color w:val="000000" w:themeColor="text1"/>
                <w:sz w:val="21"/>
                <w:szCs w:val="21"/>
                <w14:textFill>
                  <w14:solidFill>
                    <w14:schemeClr w14:val="tx1"/>
                  </w14:solidFill>
                </w14:textFill>
              </w:rPr>
              <w:t>）废气处理系统风险防范措施</w:t>
            </w:r>
          </w:p>
          <w:p>
            <w:pPr>
              <w:pStyle w:val="44"/>
              <w:adjustRightInd w:val="0"/>
              <w:spacing w:line="360" w:lineRule="auto"/>
              <w:ind w:firstLine="42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建设单位应认真作好设备的保养、定期维护及保修工作，使处理设施达到预期效果。现场作业人员定时记录废气处理状况，如对风机等设备进行定期检查，并派专人巡视，遇不良工作状况应立即停止车间相关作业，维修正常后再开始作业，杜绝事故性废气直排，并及时呈报单位主管。待检修完毕再通知生产车间相关工序。风机等重要设备应一用一备，发生故障时可自动启动备用设备。</w:t>
            </w:r>
          </w:p>
          <w:p>
            <w:pPr>
              <w:pStyle w:val="44"/>
              <w:adjustRightInd w:val="0"/>
              <w:spacing w:line="360" w:lineRule="auto"/>
              <w:ind w:firstLine="422"/>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4）地下水、土壤风险防范措施</w:t>
            </w:r>
          </w:p>
          <w:p>
            <w:pPr>
              <w:pStyle w:val="44"/>
              <w:adjustRightInd w:val="0"/>
              <w:spacing w:line="360" w:lineRule="auto"/>
              <w:ind w:firstLine="42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本项目危废仓地面须做好硬化，进行防腐、防渗处理。日常巡检中发现地面出现破损应及时修补，防治物料、废液等跑冒滴漏渗透土壤进而污染地下水。</w:t>
            </w:r>
          </w:p>
          <w:p>
            <w:pPr>
              <w:pStyle w:val="44"/>
              <w:adjustRightInd w:val="0"/>
              <w:spacing w:line="360" w:lineRule="auto"/>
              <w:ind w:firstLine="42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5）物料泄露风险防控措施</w:t>
            </w:r>
          </w:p>
          <w:p>
            <w:pPr>
              <w:pStyle w:val="44"/>
              <w:adjustRightInd w:val="0"/>
              <w:spacing w:line="360" w:lineRule="auto"/>
              <w:ind w:firstLine="42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加强对员工的安全生产培训，生产过程中原辅材料的量取、加料等严格按要求操作，严禁化学品泄漏。原料仓和危废仓应远离火种、热源，工作场所禁止吸烟等；风险物质单独存放于特定的场所(仓库)，并由专职人员看管，加强管理，泄漏时应该隔离泄漏污染区，限制出入；建议应急处理人员戴防尘面具(全面罩)，穿防毒服，不要直接接触泄漏物，车间应配备急救设备及药品，作业人员应学会自救互救。</w:t>
            </w:r>
          </w:p>
          <w:p>
            <w:pPr>
              <w:pStyle w:val="87"/>
              <w:ind w:firstLine="0" w:firstLineChars="0"/>
              <w:rPr>
                <w:snapToGrid w:val="0"/>
                <w:color w:val="000000" w:themeColor="text1"/>
                <w14:textFill>
                  <w14:solidFill>
                    <w14:schemeClr w14:val="tx1"/>
                  </w14:solidFill>
                </w14:textFill>
              </w:rPr>
            </w:pPr>
          </w:p>
        </w:tc>
      </w:tr>
    </w:tbl>
    <w:p>
      <w:pPr>
        <w:pStyle w:val="87"/>
        <w:ind w:firstLine="480"/>
        <w:rPr>
          <w:snapToGrid w:val="0"/>
          <w:color w:val="000000" w:themeColor="text1"/>
          <w14:textFill>
            <w14:solidFill>
              <w14:schemeClr w14:val="tx1"/>
            </w14:solidFill>
          </w14:textFill>
        </w:rPr>
        <w:sectPr>
          <w:pgSz w:w="11906" w:h="16838"/>
          <w:pgMar w:top="1418" w:right="1418" w:bottom="1418" w:left="1418" w:header="567" w:footer="567" w:gutter="0"/>
          <w:cols w:space="720"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五、</w:t>
      </w:r>
      <w:bookmarkStart w:id="10" w:name="_Hlk54167917"/>
      <w:r>
        <w:rPr>
          <w:rFonts w:ascii="Times New Roman" w:hAnsi="Times New Roman"/>
          <w:snapToGrid w:val="0"/>
          <w:color w:val="000000" w:themeColor="text1"/>
          <w:sz w:val="30"/>
          <w:szCs w:val="30"/>
          <w14:textFill>
            <w14:solidFill>
              <w14:schemeClr w14:val="tx1"/>
            </w14:solidFill>
          </w14:textFill>
        </w:rPr>
        <w:t>环境保护措施监督检查清单</w:t>
      </w:r>
      <w:bookmarkEnd w:id="10"/>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298"/>
        <w:gridCol w:w="1599"/>
        <w:gridCol w:w="1458"/>
        <w:gridCol w:w="1744"/>
        <w:gridCol w:w="31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tcBorders>
              <w:tl2br w:val="single" w:color="auto" w:sz="4" w:space="0"/>
            </w:tcBorders>
            <w:vAlign w:val="center"/>
          </w:tcPr>
          <w:p>
            <w:pPr>
              <w:jc w:val="righ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内容</w:t>
            </w:r>
          </w:p>
          <w:p>
            <w:pPr>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w:t>
            </w:r>
          </w:p>
        </w:tc>
        <w:tc>
          <w:tcPr>
            <w:tcW w:w="861"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排放口（编号、名称）/污染源</w:t>
            </w:r>
          </w:p>
        </w:tc>
        <w:tc>
          <w:tcPr>
            <w:tcW w:w="785"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939"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环境保护措施</w:t>
            </w:r>
          </w:p>
        </w:tc>
        <w:tc>
          <w:tcPr>
            <w:tcW w:w="1716"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861"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注塑：1#有机废气排放口</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939"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8个包围型集气罩+两级活性炭吸附装置+4500m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/h风机+15m排气筒（1#）</w:t>
            </w:r>
          </w:p>
        </w:tc>
        <w:tc>
          <w:tcPr>
            <w:tcW w:w="17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《合成树脂工业污染物排放标准》（GB31572-2015）表5大气污染物特别排放限值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Merge w:val="continue"/>
            <w:vAlign w:val="center"/>
          </w:tcPr>
          <w:p>
            <w:pPr>
              <w:jc w:val="center"/>
              <w:rPr>
                <w:color w:val="000000" w:themeColor="text1"/>
                <w:szCs w:val="21"/>
                <w14:textFill>
                  <w14:solidFill>
                    <w14:schemeClr w14:val="tx1"/>
                  </w14:solidFill>
                </w14:textFill>
              </w:rPr>
            </w:pPr>
          </w:p>
        </w:tc>
        <w:tc>
          <w:tcPr>
            <w:tcW w:w="861" w:type="pct"/>
            <w:vMerge w:val="continue"/>
            <w:vAlign w:val="center"/>
          </w:tcPr>
          <w:p>
            <w:pPr>
              <w:jc w:val="center"/>
              <w:rPr>
                <w:color w:val="000000" w:themeColor="text1"/>
                <w:szCs w:val="21"/>
                <w14:textFill>
                  <w14:solidFill>
                    <w14:schemeClr w14:val="tx1"/>
                  </w14:solidFill>
                </w14:textFill>
              </w:rPr>
            </w:pP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臭气浓度</w:t>
            </w:r>
          </w:p>
        </w:tc>
        <w:tc>
          <w:tcPr>
            <w:tcW w:w="939" w:type="pct"/>
            <w:vMerge w:val="continue"/>
            <w:vAlign w:val="center"/>
          </w:tcPr>
          <w:p>
            <w:pPr>
              <w:jc w:val="center"/>
              <w:rPr>
                <w:color w:val="000000" w:themeColor="text1"/>
                <w:szCs w:val="21"/>
                <w14:textFill>
                  <w14:solidFill>
                    <w14:schemeClr w14:val="tx1"/>
                  </w14:solidFill>
                </w14:textFill>
              </w:rPr>
            </w:pPr>
          </w:p>
        </w:tc>
        <w:tc>
          <w:tcPr>
            <w:tcW w:w="17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《恶臭污染物排放标准》（GB14554-93）表2排放标准值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Merge w:val="continue"/>
            <w:vAlign w:val="center"/>
          </w:tcPr>
          <w:p>
            <w:pPr>
              <w:jc w:val="center"/>
              <w:rPr>
                <w:color w:val="000000" w:themeColor="text1"/>
                <w:szCs w:val="21"/>
                <w14:textFill>
                  <w14:solidFill>
                    <w14:schemeClr w14:val="tx1"/>
                  </w14:solidFill>
                </w14:textFill>
              </w:rPr>
            </w:pPr>
          </w:p>
        </w:tc>
        <w:tc>
          <w:tcPr>
            <w:tcW w:w="861"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注塑：无组织</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非甲烷总烃</w:t>
            </w:r>
          </w:p>
        </w:tc>
        <w:tc>
          <w:tcPr>
            <w:tcW w:w="93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加强车间管理</w:t>
            </w:r>
          </w:p>
        </w:tc>
        <w:tc>
          <w:tcPr>
            <w:tcW w:w="1716" w:type="pct"/>
            <w:vAlign w:val="center"/>
          </w:tcPr>
          <w:p>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《合成树脂工业污染物排放标准》（GB31572-2015）表9企业边界大气污染物浓度限值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Merge w:val="continue"/>
            <w:vAlign w:val="center"/>
          </w:tcPr>
          <w:p>
            <w:pPr>
              <w:jc w:val="center"/>
              <w:rPr>
                <w:color w:val="000000" w:themeColor="text1"/>
                <w:szCs w:val="21"/>
                <w14:textFill>
                  <w14:solidFill>
                    <w14:schemeClr w14:val="tx1"/>
                  </w14:solidFill>
                </w14:textFill>
              </w:rPr>
            </w:pPr>
          </w:p>
        </w:tc>
        <w:tc>
          <w:tcPr>
            <w:tcW w:w="861" w:type="pct"/>
            <w:vMerge w:val="continue"/>
            <w:vAlign w:val="center"/>
          </w:tcPr>
          <w:p>
            <w:pPr>
              <w:jc w:val="center"/>
              <w:rPr>
                <w:color w:val="000000" w:themeColor="text1"/>
                <w:szCs w:val="21"/>
                <w14:textFill>
                  <w14:solidFill>
                    <w14:schemeClr w14:val="tx1"/>
                  </w14:solidFill>
                </w14:textFill>
              </w:rPr>
            </w:pP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臭气浓度</w:t>
            </w:r>
          </w:p>
        </w:tc>
        <w:tc>
          <w:tcPr>
            <w:tcW w:w="93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加强车间管理</w:t>
            </w:r>
          </w:p>
        </w:tc>
        <w:tc>
          <w:tcPr>
            <w:tcW w:w="1716" w:type="pct"/>
            <w:vAlign w:val="center"/>
          </w:tcPr>
          <w:p>
            <w:pPr>
              <w:jc w:val="center"/>
              <w:rPr>
                <w:bCs/>
                <w:color w:val="000000" w:themeColor="text1"/>
                <w:szCs w:val="21"/>
                <w14:textFill>
                  <w14:solidFill>
                    <w14:schemeClr w14:val="tx1"/>
                  </w14:solidFill>
                </w14:textFill>
              </w:rPr>
            </w:pPr>
            <w:r>
              <w:rPr>
                <w:color w:val="000000" w:themeColor="text1"/>
                <w:szCs w:val="21"/>
                <w14:textFill>
                  <w14:solidFill>
                    <w14:schemeClr w14:val="tx1"/>
                  </w14:solidFill>
                </w14:textFill>
              </w:rPr>
              <w:t>《恶臭污染物排放标准》（GB14554-93）厂界新扩改建二级标准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Merge w:val="continue"/>
            <w:vAlign w:val="center"/>
          </w:tcPr>
          <w:p>
            <w:pPr>
              <w:jc w:val="center"/>
              <w:rPr>
                <w:color w:val="000000" w:themeColor="text1"/>
                <w:szCs w:val="21"/>
                <w14:textFill>
                  <w14:solidFill>
                    <w14:schemeClr w14:val="tx1"/>
                  </w14:solidFill>
                </w14:textFill>
              </w:rPr>
            </w:pPr>
          </w:p>
        </w:tc>
        <w:tc>
          <w:tcPr>
            <w:tcW w:w="8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厂区内无组织</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NMHC</w:t>
            </w:r>
          </w:p>
        </w:tc>
        <w:tc>
          <w:tcPr>
            <w:tcW w:w="93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加强车间管理</w:t>
            </w:r>
          </w:p>
        </w:tc>
        <w:tc>
          <w:tcPr>
            <w:tcW w:w="17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广东省地方标准《固定污染源挥发性有机物综合排放标准》（DB44/2367-2022）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8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939"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排入市政污水管网，送博罗县石湾镇西基生活污水处理厂处理</w:t>
            </w:r>
          </w:p>
        </w:tc>
        <w:tc>
          <w:tcPr>
            <w:tcW w:w="1716" w:type="pct"/>
            <w:vAlign w:val="center"/>
          </w:tcPr>
          <w:p>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《城镇污水处理厂污染物排放标准》（GB18918-2002）一级A标准、广东省《水污染物排放限值》（DB4426-2001）城镇污水处理厂第二时段一级标准较严者（其中CODcr、氨氮、总氮和总磷执行</w:t>
            </w:r>
            <w:r>
              <w:rPr>
                <w:color w:val="000000" w:themeColor="text1"/>
                <w:szCs w:val="21"/>
                <w14:textFill>
                  <w14:solidFill>
                    <w14:schemeClr w14:val="tx1"/>
                  </w14:solidFill>
                </w14:textFill>
              </w:rPr>
              <w:t>《地表水环境质量标准》（GB3838-2002）中V类标准</w:t>
            </w:r>
            <w:r>
              <w:rPr>
                <w:bCs/>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8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生产设备等</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机械噪声</w:t>
            </w:r>
          </w:p>
        </w:tc>
        <w:tc>
          <w:tcPr>
            <w:tcW w:w="93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噪声源隔音、消振，合理布局，隔音</w:t>
            </w:r>
          </w:p>
        </w:tc>
        <w:tc>
          <w:tcPr>
            <w:tcW w:w="17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电磁辐射</w:t>
            </w:r>
          </w:p>
        </w:tc>
        <w:tc>
          <w:tcPr>
            <w:tcW w:w="8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85"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93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716"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4301" w:type="pct"/>
            <w:gridSpan w:val="4"/>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员工生活垃圾集中收集，由环卫部门统一运走处理。</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水口料和包装废物经收集后交专业回收公司处理。</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废活性炭、废机油、废机油桶、废抹布、废原料桶和废切削液，委托有危险废物处置资质的单位处理。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污染防治措施</w:t>
            </w:r>
          </w:p>
        </w:tc>
        <w:tc>
          <w:tcPr>
            <w:tcW w:w="4301" w:type="pct"/>
            <w:gridSpan w:val="4"/>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对全场进行分区防治，分别是：非污染防治区、一般防渗区及重点防渗区。</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非污染防治区包括办公区等。</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一般防渗区包括车间等。</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重点防渗区包括原料仓、危废仓等。</w:t>
            </w:r>
          </w:p>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通过对各区进行分区防控，理论情况下渗透的污染物质非常少，不会对地下水、土壤环境造成影响。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生态保护措施</w:t>
            </w:r>
          </w:p>
        </w:tc>
        <w:tc>
          <w:tcPr>
            <w:tcW w:w="4301" w:type="pct"/>
            <w:gridSpan w:val="4"/>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环境风险</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防范措施</w:t>
            </w:r>
          </w:p>
        </w:tc>
        <w:tc>
          <w:tcPr>
            <w:tcW w:w="4301" w:type="pct"/>
            <w:gridSpan w:val="4"/>
            <w:vAlign w:val="center"/>
          </w:tcPr>
          <w:p>
            <w:pPr>
              <w:numPr>
                <w:ilvl w:val="0"/>
                <w:numId w:val="3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原料泄漏风险防范措施</w:t>
            </w:r>
          </w:p>
          <w:p>
            <w:pPr>
              <w:numPr>
                <w:ilvl w:val="0"/>
                <w:numId w:val="38"/>
              </w:numPr>
              <w:spacing w:line="360" w:lineRule="auto"/>
              <w:ind w:firstLine="420" w:firstLineChars="200"/>
              <w:rPr>
                <w:color w:val="000000" w:themeColor="text1"/>
                <w:szCs w:val="21"/>
                <w14:textFill>
                  <w14:solidFill>
                    <w14:schemeClr w14:val="tx1"/>
                  </w14:solidFill>
                </w14:textFill>
              </w:rPr>
            </w:pPr>
            <w:bookmarkStart w:id="11" w:name="_Hlk106111284"/>
            <w:r>
              <w:rPr>
                <w:color w:val="000000" w:themeColor="text1"/>
                <w:szCs w:val="21"/>
                <w14:textFill>
                  <w14:solidFill>
                    <w14:schemeClr w14:val="tx1"/>
                  </w14:solidFill>
                </w14:textFill>
              </w:rPr>
              <w:t>原料仓应根据物料使用和存储量设置符合要求的防泄漏围堰，防治泄漏液体在车间蔓延。</w:t>
            </w:r>
          </w:p>
          <w:bookmarkEnd w:id="11"/>
          <w:p>
            <w:pPr>
              <w:numPr>
                <w:ilvl w:val="0"/>
                <w:numId w:val="38"/>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做好贮存点的防雨、防泄漏围堰措施。</w:t>
            </w:r>
          </w:p>
          <w:p>
            <w:pPr>
              <w:numPr>
                <w:ilvl w:val="0"/>
                <w:numId w:val="3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危险废物泄漏风险防范措施</w:t>
            </w:r>
          </w:p>
          <w:p>
            <w:pPr>
              <w:numPr>
                <w:ilvl w:val="0"/>
                <w:numId w:val="39"/>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建立危险废物安全管理制度。加强危险废物的运输、贮存过程的管理，规范操作和使用规范。</w:t>
            </w:r>
          </w:p>
          <w:p>
            <w:pPr>
              <w:numPr>
                <w:ilvl w:val="0"/>
                <w:numId w:val="39"/>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做好贮存点的防雨、防泄漏围堰措施，定期交有危废处置资质公司处理。</w:t>
            </w:r>
          </w:p>
          <w:p>
            <w:pPr>
              <w:numPr>
                <w:ilvl w:val="0"/>
                <w:numId w:val="3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废气事故排放风险防范措施</w:t>
            </w:r>
          </w:p>
          <w:p>
            <w:pPr>
              <w:numPr>
                <w:ilvl w:val="0"/>
                <w:numId w:val="40"/>
              </w:numPr>
              <w:spacing w:line="360" w:lineRule="auto"/>
              <w:ind w:firstLine="420" w:firstLineChars="200"/>
              <w:rPr>
                <w:color w:val="000000" w:themeColor="text1"/>
                <w:szCs w:val="21"/>
                <w14:textFill>
                  <w14:solidFill>
                    <w14:schemeClr w14:val="tx1"/>
                  </w14:solidFill>
                </w14:textFill>
              </w:rPr>
            </w:pPr>
            <w:bookmarkStart w:id="12" w:name="_Hlk106111372"/>
            <w:r>
              <w:rPr>
                <w:color w:val="000000" w:themeColor="text1"/>
                <w:szCs w:val="21"/>
                <w14:textFill>
                  <w14:solidFill>
                    <w14:schemeClr w14:val="tx1"/>
                  </w14:solidFill>
                </w14:textFill>
              </w:rPr>
              <w:t>项目的废气处理设施按相关的标准要求设计、施工和管理。</w:t>
            </w:r>
          </w:p>
          <w:p>
            <w:pPr>
              <w:numPr>
                <w:ilvl w:val="0"/>
                <w:numId w:val="40"/>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一旦废气处理设施发生故障，立即停止生产，控制事故扩大。</w:t>
            </w:r>
          </w:p>
          <w:p>
            <w:pPr>
              <w:numPr>
                <w:ilvl w:val="0"/>
                <w:numId w:val="40"/>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定期进行维护和检修，使环保设备处于较好的运行状态，延长设备的使用寿命、减小故障概率。</w:t>
            </w:r>
          </w:p>
          <w:p>
            <w:pPr>
              <w:numPr>
                <w:ilvl w:val="0"/>
                <w:numId w:val="40"/>
              </w:num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废气处理设施配件在使用寿命期内进行定期更换，减少废气污染事故的发生概率。</w:t>
            </w:r>
          </w:p>
          <w:bookmarkEnd w:id="12"/>
          <w:p>
            <w:pPr>
              <w:numPr>
                <w:ilvl w:val="0"/>
                <w:numId w:val="37"/>
              </w:numPr>
              <w:spacing w:line="360" w:lineRule="auto"/>
              <w:ind w:firstLine="422" w:firstLineChars="2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火灾、爆炸事故风险防范措施</w:t>
            </w:r>
          </w:p>
          <w:p>
            <w:pPr>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禁止明火等一切安全隐患的存在。对员工进行日常风险教育和培训，提高安全防范知识的宣传力度，增加实验人员的安全意识。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其他环境</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管理要求</w:t>
            </w:r>
          </w:p>
        </w:tc>
        <w:tc>
          <w:tcPr>
            <w:tcW w:w="4301" w:type="pct"/>
            <w:gridSpan w:val="4"/>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pgSz w:w="11906" w:h="16838"/>
          <w:pgMar w:top="1418" w:right="1418" w:bottom="1418" w:left="1418" w:header="567" w:footer="567" w:gutter="0"/>
          <w:cols w:space="720" w:num="1"/>
          <w:docGrid w:type="lines" w:linePitch="312" w:charSpace="0"/>
        </w:sectPr>
      </w:pPr>
    </w:p>
    <w:p>
      <w:pPr>
        <w:pStyle w:val="25"/>
        <w:jc w:val="center"/>
        <w:outlineLvl w:val="0"/>
        <w:rPr>
          <w:rFonts w:ascii="Times New Roman" w:hAnsi="Times New Roman"/>
          <w:snapToGrid w:val="0"/>
          <w:color w:val="000000" w:themeColor="text1"/>
          <w:sz w:val="30"/>
          <w:szCs w:val="30"/>
          <w14:textFill>
            <w14:solidFill>
              <w14:schemeClr w14:val="tx1"/>
            </w14:solidFill>
          </w14:textFill>
        </w:rPr>
      </w:pPr>
      <w:r>
        <w:rPr>
          <w:rFonts w:ascii="Times New Roman" w:hAnsi="Times New Roman"/>
          <w:snapToGrid w:val="0"/>
          <w:color w:val="000000" w:themeColor="text1"/>
          <w:sz w:val="30"/>
          <w:szCs w:val="30"/>
          <w14:textFill>
            <w14:solidFill>
              <w14:schemeClr w14:val="tx1"/>
            </w14:solidFill>
          </w14:textFill>
        </w:rPr>
        <w:t>六、结论</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tcPr>
          <w:p>
            <w:pPr>
              <w:spacing w:line="360" w:lineRule="auto"/>
              <w:ind w:firstLine="420" w:firstLineChars="200"/>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综上所述，本项目符合国家产业政策，符合当地的城市规划、总体规划以及其它发展规划，与当地的环境功能区划也是相符的；采取相应措施后，污染物可以做到达标排放，并能达到总量控制的要求，对周围环境的影响在可承受范围之内，建成后能维持当地环境质量现状。</w:t>
            </w:r>
          </w:p>
          <w:p>
            <w:pPr>
              <w:spacing w:line="360" w:lineRule="auto"/>
              <w:ind w:firstLine="420" w:firstLineChars="200"/>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因此环评认为，在切实落实环评报告提出的各项污染防治措施、严格执行环保“三同时”制度的基础上，本项目在拟选厂址的实施在环境保护方面是可行的。</w:t>
            </w:r>
          </w:p>
        </w:tc>
      </w:tr>
    </w:tbl>
    <w:p>
      <w:pPr>
        <w:pStyle w:val="14"/>
        <w:spacing w:line="360" w:lineRule="auto"/>
        <w:ind w:firstLine="0" w:firstLineChars="0"/>
        <w:rPr>
          <w:color w:val="000000" w:themeColor="text1"/>
          <w14:textFill>
            <w14:solidFill>
              <w14:schemeClr w14:val="tx1"/>
            </w14:solidFill>
          </w14:textFill>
        </w:rPr>
      </w:pPr>
    </w:p>
    <w:p>
      <w:pPr>
        <w:pStyle w:val="14"/>
        <w:spacing w:line="360" w:lineRule="auto"/>
        <w:ind w:firstLine="0" w:firstLineChars="0"/>
        <w:rPr>
          <w:color w:val="000000" w:themeColor="text1"/>
          <w14:textFill>
            <w14:solidFill>
              <w14:schemeClr w14:val="tx1"/>
            </w14:solidFill>
          </w14:textFill>
        </w:rPr>
        <w:sectPr>
          <w:headerReference r:id="rId12" w:type="default"/>
          <w:pgSz w:w="11906" w:h="16838"/>
          <w:pgMar w:top="1418" w:right="1418" w:bottom="1418" w:left="1418" w:header="567" w:footer="567" w:gutter="0"/>
          <w:cols w:space="720" w:num="1"/>
          <w:docGrid w:type="lines" w:linePitch="312" w:charSpace="0"/>
        </w:sectPr>
      </w:pPr>
    </w:p>
    <w:p>
      <w:pPr>
        <w:pStyle w:val="25"/>
        <w:adjustRightInd w:val="0"/>
        <w:snapToGrid w:val="0"/>
        <w:spacing w:before="0" w:beforeAutospacing="0" w:after="0" w:afterAutospacing="0" w:line="360" w:lineRule="auto"/>
        <w:outlineLvl w:val="0"/>
        <w:rPr>
          <w:rFonts w:ascii="Times New Roman" w:hAnsi="Times New Roman"/>
          <w:snapToGrid w:val="0"/>
          <w:color w:val="000000" w:themeColor="text1"/>
          <w:sz w:val="32"/>
          <w:szCs w:val="32"/>
          <w14:textFill>
            <w14:solidFill>
              <w14:schemeClr w14:val="tx1"/>
            </w14:solidFill>
          </w14:textFill>
        </w:rPr>
      </w:pPr>
      <w:r>
        <w:rPr>
          <w:rFonts w:ascii="Times New Roman" w:hAnsi="Times New Roman"/>
          <w:snapToGrid w:val="0"/>
          <w:color w:val="000000" w:themeColor="text1"/>
          <w:sz w:val="32"/>
          <w:szCs w:val="32"/>
          <w14:textFill>
            <w14:solidFill>
              <w14:schemeClr w14:val="tx1"/>
            </w14:solidFill>
          </w14:textFill>
        </w:rPr>
        <w:t>附表</w:t>
      </w:r>
    </w:p>
    <w:p>
      <w:pPr>
        <w:pStyle w:val="25"/>
        <w:adjustRightInd w:val="0"/>
        <w:snapToGrid w:val="0"/>
        <w:spacing w:before="0" w:beforeAutospacing="0" w:after="0" w:afterAutospacing="0" w:line="360" w:lineRule="auto"/>
        <w:jc w:val="center"/>
        <w:outlineLvl w:val="0"/>
        <w:rPr>
          <w:rFonts w:ascii="Times New Roman" w:hAnsi="Times New Roman"/>
          <w:snapToGrid w:val="0"/>
          <w:color w:val="000000" w:themeColor="text1"/>
          <w:sz w:val="38"/>
          <w:szCs w:val="38"/>
          <w14:textFill>
            <w14:solidFill>
              <w14:schemeClr w14:val="tx1"/>
            </w14:solidFill>
          </w14:textFill>
        </w:rPr>
      </w:pPr>
      <w:r>
        <w:rPr>
          <w:rFonts w:ascii="Times New Roman" w:hAnsi="Times New Roman"/>
          <w:snapToGrid w:val="0"/>
          <w:color w:val="000000" w:themeColor="text1"/>
          <w:sz w:val="38"/>
          <w:szCs w:val="38"/>
          <w14:textFill>
            <w14:solidFill>
              <w14:schemeClr w14:val="tx1"/>
            </w14:solidFill>
          </w14:textFill>
        </w:rPr>
        <w:t>建设项目污染物排放量汇总表</w:t>
      </w:r>
    </w:p>
    <w:tbl>
      <w:tblPr>
        <w:tblStyle w:val="29"/>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1994"/>
        <w:gridCol w:w="1538"/>
        <w:gridCol w:w="1341"/>
        <w:gridCol w:w="1874"/>
        <w:gridCol w:w="1585"/>
        <w:gridCol w:w="1787"/>
        <w:gridCol w:w="1613"/>
        <w:gridCol w:w="121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377" w:type="pct"/>
            <w:tcBorders>
              <w:tl2br w:val="single" w:color="auto" w:sz="4" w:space="0"/>
            </w:tcBorders>
            <w:tcMar>
              <w:left w:w="28" w:type="dxa"/>
              <w:right w:w="28" w:type="dxa"/>
            </w:tcMar>
            <w:vAlign w:val="center"/>
          </w:tcPr>
          <w:p>
            <w:pPr>
              <w:jc w:val="right"/>
              <w:rPr>
                <w:color w:val="000000" w:themeColor="text1"/>
                <w14:textFill>
                  <w14:solidFill>
                    <w14:schemeClr w14:val="tx1"/>
                  </w14:solidFill>
                </w14:textFill>
              </w:rPr>
            </w:pPr>
            <w:r>
              <w:rPr>
                <w:color w:val="000000" w:themeColor="text1"/>
                <w14:textFill>
                  <w14:solidFill>
                    <w14:schemeClr w14:val="tx1"/>
                  </w14:solidFill>
                </w14:textFill>
              </w:rPr>
              <w:t>项目</w:t>
            </w:r>
          </w:p>
          <w:p>
            <w:pPr>
              <w:jc w:val="left"/>
              <w:rPr>
                <w:color w:val="000000" w:themeColor="text1"/>
                <w14:textFill>
                  <w14:solidFill>
                    <w14:schemeClr w14:val="tx1"/>
                  </w14:solidFill>
                </w14:textFill>
              </w:rPr>
            </w:pPr>
            <w:r>
              <w:rPr>
                <w:color w:val="000000" w:themeColor="text1"/>
                <w14:textFill>
                  <w14:solidFill>
                    <w14:schemeClr w14:val="tx1"/>
                  </w14:solidFill>
                </w14:textFill>
              </w:rPr>
              <w:t>分类</w:t>
            </w:r>
          </w:p>
        </w:tc>
        <w:tc>
          <w:tcPr>
            <w:tcW w:w="712"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污染物名称</w:t>
            </w:r>
          </w:p>
        </w:tc>
        <w:tc>
          <w:tcPr>
            <w:tcW w:w="549"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现有工程</w:t>
            </w:r>
          </w:p>
          <w:p>
            <w:pPr>
              <w:jc w:val="center"/>
              <w:rPr>
                <w:color w:val="000000" w:themeColor="text1"/>
                <w14:textFill>
                  <w14:solidFill>
                    <w14:schemeClr w14:val="tx1"/>
                  </w14:solidFill>
                </w14:textFill>
              </w:rPr>
            </w:pPr>
            <w:r>
              <w:rPr>
                <w:color w:val="000000" w:themeColor="text1"/>
                <w14:textFill>
                  <w14:solidFill>
                    <w14:schemeClr w14:val="tx1"/>
                  </w14:solidFill>
                </w14:textFill>
              </w:rPr>
              <w:t>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①</w:t>
            </w:r>
            <w:r>
              <w:rPr>
                <w:color w:val="000000" w:themeColor="text1"/>
                <w14:textFill>
                  <w14:solidFill>
                    <w14:schemeClr w14:val="tx1"/>
                  </w14:solidFill>
                </w14:textFill>
              </w:rPr>
              <w:fldChar w:fldCharType="end"/>
            </w:r>
          </w:p>
        </w:tc>
        <w:tc>
          <w:tcPr>
            <w:tcW w:w="479"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现有工程</w:t>
            </w:r>
          </w:p>
          <w:p>
            <w:pPr>
              <w:jc w:val="center"/>
              <w:rPr>
                <w:color w:val="000000" w:themeColor="text1"/>
                <w14:textFill>
                  <w14:solidFill>
                    <w14:schemeClr w14:val="tx1"/>
                  </w14:solidFill>
                </w14:textFill>
              </w:rPr>
            </w:pPr>
            <w:r>
              <w:rPr>
                <w:color w:val="000000" w:themeColor="text1"/>
                <w14:textFill>
                  <w14:solidFill>
                    <w14:schemeClr w14:val="tx1"/>
                  </w14:solidFill>
                </w14:textFill>
              </w:rPr>
              <w:t>许可排放量</w:t>
            </w:r>
          </w:p>
          <w:p>
            <w:pPr>
              <w:jc w:val="cente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2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②</w:t>
            </w:r>
            <w:r>
              <w:rPr>
                <w:color w:val="000000" w:themeColor="text1"/>
                <w14:textFill>
                  <w14:solidFill>
                    <w14:schemeClr w14:val="tx1"/>
                  </w14:solidFill>
                </w14:textFill>
              </w:rPr>
              <w:fldChar w:fldCharType="end"/>
            </w:r>
          </w:p>
        </w:tc>
        <w:tc>
          <w:tcPr>
            <w:tcW w:w="669"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在建工程</w:t>
            </w:r>
          </w:p>
          <w:p>
            <w:pPr>
              <w:jc w:val="center"/>
              <w:rPr>
                <w:color w:val="000000" w:themeColor="text1"/>
                <w14:textFill>
                  <w14:solidFill>
                    <w14:schemeClr w14:val="tx1"/>
                  </w14:solidFill>
                </w14:textFill>
              </w:rPr>
            </w:pPr>
            <w:r>
              <w:rPr>
                <w:color w:val="000000" w:themeColor="text1"/>
                <w14:textFill>
                  <w14:solidFill>
                    <w14:schemeClr w14:val="tx1"/>
                  </w14:solidFill>
                </w14:textFill>
              </w:rPr>
              <w:t>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3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③</w:t>
            </w:r>
            <w:r>
              <w:rPr>
                <w:color w:val="000000" w:themeColor="text1"/>
                <w14:textFill>
                  <w14:solidFill>
                    <w14:schemeClr w14:val="tx1"/>
                  </w14:solidFill>
                </w14:textFill>
              </w:rPr>
              <w:fldChar w:fldCharType="end"/>
            </w:r>
          </w:p>
        </w:tc>
        <w:tc>
          <w:tcPr>
            <w:tcW w:w="566"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本项目</w:t>
            </w:r>
          </w:p>
          <w:p>
            <w:pPr>
              <w:jc w:val="center"/>
              <w:rPr>
                <w:color w:val="000000" w:themeColor="text1"/>
                <w14:textFill>
                  <w14:solidFill>
                    <w14:schemeClr w14:val="tx1"/>
                  </w14:solidFill>
                </w14:textFill>
              </w:rPr>
            </w:pPr>
            <w:r>
              <w:rPr>
                <w:color w:val="000000" w:themeColor="text1"/>
                <w14:textFill>
                  <w14:solidFill>
                    <w14:schemeClr w14:val="tx1"/>
                  </w14:solidFill>
                </w14:textFill>
              </w:rPr>
              <w:t>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4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④</w:t>
            </w:r>
            <w:r>
              <w:rPr>
                <w:color w:val="000000" w:themeColor="text1"/>
                <w14:textFill>
                  <w14:solidFill>
                    <w14:schemeClr w14:val="tx1"/>
                  </w14:solidFill>
                </w14:textFill>
              </w:rPr>
              <w:fldChar w:fldCharType="end"/>
            </w:r>
          </w:p>
        </w:tc>
        <w:tc>
          <w:tcPr>
            <w:tcW w:w="638"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以新带老削减量</w:t>
            </w:r>
          </w:p>
          <w:p>
            <w:pPr>
              <w:jc w:val="center"/>
              <w:rPr>
                <w:color w:val="000000" w:themeColor="text1"/>
                <w14:textFill>
                  <w14:solidFill>
                    <w14:schemeClr w14:val="tx1"/>
                  </w14:solidFill>
                </w14:textFill>
              </w:rPr>
            </w:pPr>
            <w:r>
              <w:rPr>
                <w:color w:val="000000" w:themeColor="text1"/>
                <w14:textFill>
                  <w14:solidFill>
                    <w14:schemeClr w14:val="tx1"/>
                  </w14:solidFill>
                </w14:textFill>
              </w:rPr>
              <w:t>（新建项目不填）</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5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⑤</w:t>
            </w:r>
            <w:r>
              <w:rPr>
                <w:color w:val="000000" w:themeColor="text1"/>
                <w14:textFill>
                  <w14:solidFill>
                    <w14:schemeClr w14:val="tx1"/>
                  </w14:solidFill>
                </w14:textFill>
              </w:rPr>
              <w:fldChar w:fldCharType="end"/>
            </w:r>
          </w:p>
        </w:tc>
        <w:tc>
          <w:tcPr>
            <w:tcW w:w="576"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本项目建成后</w:t>
            </w:r>
          </w:p>
          <w:p>
            <w:pPr>
              <w:jc w:val="center"/>
              <w:rPr>
                <w:color w:val="000000" w:themeColor="text1"/>
                <w14:textFill>
                  <w14:solidFill>
                    <w14:schemeClr w14:val="tx1"/>
                  </w14:solidFill>
                </w14:textFill>
              </w:rPr>
            </w:pPr>
            <w:r>
              <w:rPr>
                <w:color w:val="000000" w:themeColor="text1"/>
                <w14:textFill>
                  <w14:solidFill>
                    <w14:schemeClr w14:val="tx1"/>
                  </w14:solidFill>
                </w14:textFill>
              </w:rPr>
              <w:t>全厂排放量（固体废物产生量）</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6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⑥</w:t>
            </w:r>
            <w:r>
              <w:rPr>
                <w:color w:val="000000" w:themeColor="text1"/>
                <w14:textFill>
                  <w14:solidFill>
                    <w14:schemeClr w14:val="tx1"/>
                  </w14:solidFill>
                </w14:textFill>
              </w:rPr>
              <w:fldChar w:fldCharType="end"/>
            </w:r>
          </w:p>
        </w:tc>
        <w:tc>
          <w:tcPr>
            <w:tcW w:w="434" w:type="pct"/>
            <w:tcMar>
              <w:left w:w="28" w:type="dxa"/>
              <w:right w:w="28" w:type="dxa"/>
            </w:tcMar>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变化量</w:t>
            </w:r>
          </w:p>
          <w:p>
            <w:pPr>
              <w:jc w:val="cente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7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⑦</w:t>
            </w:r>
            <w:r>
              <w:rPr>
                <w:color w:val="000000" w:themeColor="text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废气</w:t>
            </w: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TVOC（t/a）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0.044</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0.044</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废水</w:t>
            </w: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排放量（万t/a）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0.0400</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0.0400</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+0.0400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COD（t/a）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0.016</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0.016</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NH</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-N（t/a）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0.0008</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0.0008</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+0.0008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一般工业</w:t>
            </w:r>
          </w:p>
          <w:p>
            <w:pPr>
              <w:jc w:val="center"/>
              <w:rPr>
                <w:color w:val="000000" w:themeColor="text1"/>
                <w14:textFill>
                  <w14:solidFill>
                    <w14:schemeClr w14:val="tx1"/>
                  </w14:solidFill>
                </w14:textFill>
              </w:rPr>
            </w:pPr>
            <w:r>
              <w:rPr>
                <w:color w:val="000000" w:themeColor="text1"/>
                <w14:textFill>
                  <w14:solidFill>
                    <w14:schemeClr w14:val="tx1"/>
                  </w14:solidFill>
                </w14:textFill>
              </w:rPr>
              <w:t>固体废物</w:t>
            </w: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水口料（t/a）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0.48</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0.48</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边角料（t/a）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0.6</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0.6</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包装废物（t/a）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0.181</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0.181</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restar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危险废物</w:t>
            </w: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废活性炭（t/a）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+1.5155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含切削液的金属屑（t/a）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废机油桶（t/a）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废切削液（t/a）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废原料桶（t/a）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377" w:type="pct"/>
            <w:vMerge w:val="continue"/>
            <w:vAlign w:val="center"/>
          </w:tcPr>
          <w:p>
            <w:pPr>
              <w:jc w:val="center"/>
              <w:rPr>
                <w:color w:val="000000" w:themeColor="text1"/>
                <w14:textFill>
                  <w14:solidFill>
                    <w14:schemeClr w14:val="tx1"/>
                  </w14:solidFill>
                </w14:textFill>
              </w:rPr>
            </w:pPr>
          </w:p>
        </w:tc>
        <w:tc>
          <w:tcPr>
            <w:tcW w:w="71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废抹布（t/a）</w:t>
            </w:r>
          </w:p>
        </w:tc>
        <w:tc>
          <w:tcPr>
            <w:tcW w:w="54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66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6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63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76"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434"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r>
    </w:tbl>
    <w:p>
      <w:pPr>
        <w:spacing w:line="360" w:lineRule="auto"/>
        <w:rPr>
          <w:color w:val="000000" w:themeColor="text1"/>
          <w14:textFill>
            <w14:solidFill>
              <w14:schemeClr w14:val="tx1"/>
            </w14:solidFill>
          </w14:textFill>
        </w:rPr>
        <w:sectPr>
          <w:pgSz w:w="16783" w:h="11850" w:orient="landscape"/>
          <w:pgMar w:top="1418" w:right="1418" w:bottom="1418" w:left="1418" w:header="567" w:footer="567" w:gutter="0"/>
          <w:cols w:space="720" w:num="1"/>
          <w:docGrid w:type="lines" w:linePitch="312" w:charSpace="0"/>
        </w:sectPr>
      </w:pPr>
      <w:r>
        <w:rPr>
          <w:color w:val="000000" w:themeColor="text1"/>
          <w14:textFill>
            <w14:solidFill>
              <w14:schemeClr w14:val="tx1"/>
            </w14:solidFill>
          </w14:textFill>
        </w:rPr>
        <w:t>注：</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6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⑥</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3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4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5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⑤</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7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⑦</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6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⑥</w:t>
      </w:r>
      <w:r>
        <w:rPr>
          <w:color w:val="000000" w:themeColor="text1"/>
          <w14:textFill>
            <w14:solidFill>
              <w14:schemeClr w14:val="tx1"/>
            </w14:solidFill>
          </w14:textFill>
        </w:rPr>
        <w:fldChar w:fldCharType="end"/>
      </w:r>
      <w:r>
        <w:rPr>
          <w:color w:val="000000" w:themeColor="text1"/>
          <w14:textFill>
            <w14:solidFill>
              <w14:schemeClr w14:val="tx1"/>
            </w14:solidFill>
          </w14:textFill>
        </w:rPr>
        <w:t>-</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 1 \* GB3 \* MERGEFORMAT </w:instrText>
      </w:r>
      <w:r>
        <w:rPr>
          <w:color w:val="000000" w:themeColor="text1"/>
          <w14:textFill>
            <w14:solidFill>
              <w14:schemeClr w14:val="tx1"/>
            </w14:solidFill>
          </w14:textFill>
        </w:rPr>
        <w:fldChar w:fldCharType="separate"/>
      </w:r>
      <w:r>
        <w:rPr>
          <w:rFonts w:hint="eastAsia" w:ascii="宋体" w:hAnsi="宋体" w:cs="宋体"/>
          <w:color w:val="000000" w:themeColor="text1"/>
          <w14:textFill>
            <w14:solidFill>
              <w14:schemeClr w14:val="tx1"/>
            </w14:solidFill>
          </w14:textFill>
        </w:rPr>
        <w:t>①</w:t>
      </w:r>
      <w:r>
        <w:rPr>
          <w:color w:val="000000" w:themeColor="text1"/>
          <w14:textFill>
            <w14:solidFill>
              <w14:schemeClr w14:val="tx1"/>
            </w14:solidFill>
          </w14:textFill>
        </w:rPr>
        <w:fldChar w:fldCharType="end"/>
      </w:r>
    </w:p>
    <w:p>
      <w:pPr>
        <w:pStyle w:val="45"/>
        <w:jc w:val="both"/>
        <w:rPr>
          <w:rFonts w:hint="default"/>
          <w:color w:val="000000" w:themeColor="text1"/>
          <w:lang w:val="en-US" w:eastAsia="zh-CN"/>
          <w14:textFill>
            <w14:solidFill>
              <w14:schemeClr w14:val="tx1"/>
            </w14:solidFill>
          </w14:textFill>
        </w:rPr>
      </w:pPr>
    </w:p>
    <w:sectPr>
      <w:headerReference r:id="rId13" w:type="default"/>
      <w:footerReference r:id="rId14" w:type="default"/>
      <w:pgSz w:w="11850" w:h="16783"/>
      <w:pgMar w:top="720" w:right="720" w:bottom="720" w:left="720"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40001" w:csb1="00000000"/>
  </w:font>
  <w:font w:name="Impact">
    <w:panose1 w:val="020B0806030902050204"/>
    <w:charset w:val="00"/>
    <w:family w:val="swiss"/>
    <w:pitch w:val="default"/>
    <w:sig w:usb0="00000287" w:usb1="00000000" w:usb2="00000000" w:usb3="00000000" w:csb0="2000009F" w:csb1="DFD7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-63500</wp:posOffset>
              </wp:positionV>
              <wp:extent cx="1828800" cy="1828800"/>
              <wp:effectExtent l="0" t="0" r="0" b="0"/>
              <wp:wrapNone/>
              <wp:docPr id="99"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1"/>
                          </w:pPr>
                          <w:r>
                            <w:rPr>
                              <w:rStyle w:val="33"/>
                              <w:sz w:val="24"/>
                            </w:rPr>
                            <w:t xml:space="preserve">—  </w:t>
                          </w:r>
                          <w:r>
                            <w:rPr>
                              <w:sz w:val="24"/>
                            </w:rPr>
                            <w:fldChar w:fldCharType="begin"/>
                          </w:r>
                          <w:r>
                            <w:rPr>
                              <w:rStyle w:val="33"/>
                              <w:sz w:val="24"/>
                            </w:rPr>
                            <w:instrText xml:space="preserve">PAGE  </w:instrText>
                          </w:r>
                          <w:r>
                            <w:rPr>
                              <w:sz w:val="24"/>
                            </w:rPr>
                            <w:fldChar w:fldCharType="separate"/>
                          </w:r>
                          <w:r>
                            <w:rPr>
                              <w:rStyle w:val="33"/>
                              <w:sz w:val="24"/>
                            </w:rPr>
                            <w:t>10</w:t>
                          </w:r>
                          <w:r>
                            <w:rPr>
                              <w:sz w:val="24"/>
                            </w:rPr>
                            <w:fldChar w:fldCharType="end"/>
                          </w:r>
                          <w:r>
                            <w:rPr>
                              <w:rStyle w:val="33"/>
                              <w:sz w:val="24"/>
                            </w:rPr>
                            <w:t xml:space="preserve">  —</w:t>
                          </w:r>
                        </w:p>
                      </w:txbxContent>
                    </wps:txbx>
                    <wps:bodyPr wrap="none" lIns="0" tIns="0" rIns="0" bIns="0">
                      <a:spAutoFit/>
                    </wps:bodyPr>
                  </wps:wsp>
                </a:graphicData>
              </a:graphic>
            </wp:anchor>
          </w:drawing>
        </mc:Choice>
        <mc:Fallback>
          <w:pict>
            <v:shape id="文本框 1025" o:spid="_x0000_s1026" o:spt="202" type="#_x0000_t202" style="position:absolute;left:0pt;margin-top:-5pt;height:144pt;width:144pt;mso-position-horizontal:outside;mso-position-horizontal-relative:margin;mso-wrap-style:none;z-index:251659264;mso-width-relative:page;mso-height-relative:page;" filled="f" stroked="f" coordsize="21600,21600" o:gfxdata="UEsDBAoAAAAAAIdO4kAAAAAAAAAAAAAAAAAEAAAAZHJzL1BLAwQUAAAACACHTuJAn5b7g9EAAAAI&#10;AQAADwAAAGRycy9kb3ducmV2LnhtbE2PMU/DMBCFdyT+g3VIbK2dDjQKcTpUYmGjICQ2N77GEfY5&#10;st00+fccE2zf6T29e689LMGLGVMeI2motgoEUh/tSIOGj/eXTQ0iF0PW+EioYcUMh+7+rjWNjTd6&#10;w/lUBsEhlBujwZUyNVLm3mEweRsnJNYuMQVT+EyDtMncODx4uVPqSQYzEn9wZsKjw/77dA0a9stn&#10;xCnjEb8uc5/cuNb+ddX68aFSzyAKLuXPDL/1uTp03Okcr2Sz8Bp4SNGwqRQDy7u6Zjgz7Blk18r/&#10;A7ofUEsDBBQAAAAIAIdO4kAwr3qezAEAAJoDAAAOAAAAZHJzL2Uyb0RvYy54bWytU0tu2zAQ3RfI&#10;HQjuY8kGUjiC5aCFkaJA0RZIcwCaIi0C/IFDW/IF2ht01U33PZfP0SElOb9NFtlQM5zhm3lvRqub&#10;3mhyEAGUszWdz0pKhOWuUXZX0/sft5dLSiAy2zDtrKjpUQC9WV+8W3W+EgvXOt2IQBDEQtX5mrYx&#10;+qoogLfCMJg5LywGpQuGRXTDrmgC6xDd6GJRlu+LzoXGB8cFAN5uhiAdEcNrAJ2UiouN43sjbBxQ&#10;g9AsIiVolQe6zt1KKXj8JiWISHRNkWnMJxZBe5vOYr1i1S4w3yo+tsBe08IzToYpi0XPUBsWGdkH&#10;9QLKKB4cOBln3JliIJIVQRbz8pk2dy3zInNBqcGfRYe3g+VfD98DUU1Nr68psczgxE+/f53+/Dv9&#10;/Unm5eIqSdR5qDDzzmNu7D+6Hhdnuge8TMx7GUz6IieCcRT4eBZY9JHw9Gi5WC5LDHGMTQ7iFw/P&#10;fYD4SThDklHTgBPMwrLDF4hD6pSSqll3q7TOU9SWdEjjClt+EkFwbbFGIjE0m6zYb/uR2dY1RyTW&#10;4RbU1OLSU6I/WxQ5LcxkhMnYjkaqAf7DPmIHubGEOkCNxXBkmdq4XmknHvs56+GXWv8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5b7g9EAAAAIAQAADwAAAAAAAAABACAAAAAiAAAAZHJzL2Rvd25y&#10;ZXYueG1sUEsBAhQAFAAAAAgAh07iQDCvep7MAQAAmgMAAA4AAAAAAAAAAQAgAAAAIAEAAGRycy9l&#10;Mm9Eb2MueG1sUEsFBgAAAAAGAAYAWQEAAF4FAAAAAA==&#10;">
              <v:fill on="f" focussize="0,0"/>
              <v:stroke on="f"/>
              <v:imagedata o:title=""/>
              <o:lock v:ext="edit" aspectratio="f"/>
              <v:textbox inset="0mm,0mm,0mm,0mm" style="mso-fit-shape-to-text:t;">
                <w:txbxContent>
                  <w:p>
                    <w:pPr>
                      <w:pStyle w:val="21"/>
                    </w:pPr>
                    <w:r>
                      <w:rPr>
                        <w:rStyle w:val="33"/>
                        <w:sz w:val="24"/>
                      </w:rPr>
                      <w:t xml:space="preserve">—  </w:t>
                    </w:r>
                    <w:r>
                      <w:rPr>
                        <w:sz w:val="24"/>
                      </w:rPr>
                      <w:fldChar w:fldCharType="begin"/>
                    </w:r>
                    <w:r>
                      <w:rPr>
                        <w:rStyle w:val="33"/>
                        <w:sz w:val="24"/>
                      </w:rPr>
                      <w:instrText xml:space="preserve">PAGE  </w:instrText>
                    </w:r>
                    <w:r>
                      <w:rPr>
                        <w:sz w:val="24"/>
                      </w:rPr>
                      <w:fldChar w:fldCharType="separate"/>
                    </w:r>
                    <w:r>
                      <w:rPr>
                        <w:rStyle w:val="33"/>
                        <w:sz w:val="24"/>
                      </w:rPr>
                      <w:t>10</w:t>
                    </w:r>
                    <w:r>
                      <w:rPr>
                        <w:sz w:val="24"/>
                      </w:rPr>
                      <w:fldChar w:fldCharType="end"/>
                    </w:r>
                    <w:r>
                      <w:rPr>
                        <w:rStyle w:val="33"/>
                        <w:sz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D802C"/>
    <w:multiLevelType w:val="singleLevel"/>
    <w:tmpl w:val="928D802C"/>
    <w:lvl w:ilvl="0" w:tentative="0">
      <w:start w:val="1"/>
      <w:numFmt w:val="decimal"/>
      <w:suff w:val="nothing"/>
      <w:lvlText w:val="%1）"/>
      <w:lvlJc w:val="left"/>
    </w:lvl>
  </w:abstractNum>
  <w:abstractNum w:abstractNumId="1">
    <w:nsid w:val="92A10FB0"/>
    <w:multiLevelType w:val="singleLevel"/>
    <w:tmpl w:val="92A10FB0"/>
    <w:lvl w:ilvl="0" w:tentative="0">
      <w:start w:val="1"/>
      <w:numFmt w:val="decimal"/>
      <w:suff w:val="nothing"/>
      <w:lvlText w:val="%1、"/>
      <w:lvlJc w:val="left"/>
      <w:pPr>
        <w:tabs>
          <w:tab w:val="left" w:pos="0"/>
        </w:tabs>
        <w:ind w:firstLine="40"/>
      </w:pPr>
      <w:rPr>
        <w:rFonts w:hint="default"/>
        <w:b/>
      </w:rPr>
    </w:lvl>
  </w:abstractNum>
  <w:abstractNum w:abstractNumId="2">
    <w:nsid w:val="96253172"/>
    <w:multiLevelType w:val="singleLevel"/>
    <w:tmpl w:val="96253172"/>
    <w:lvl w:ilvl="0" w:tentative="0">
      <w:start w:val="1"/>
      <w:numFmt w:val="decimal"/>
      <w:suff w:val="nothing"/>
      <w:lvlText w:val="（%1）"/>
      <w:lvlJc w:val="left"/>
      <w:pPr>
        <w:tabs>
          <w:tab w:val="left" w:pos="0"/>
        </w:tabs>
        <w:ind w:firstLine="40"/>
      </w:pPr>
      <w:rPr>
        <w:rFonts w:hint="default"/>
      </w:rPr>
    </w:lvl>
  </w:abstractNum>
  <w:abstractNum w:abstractNumId="3">
    <w:nsid w:val="977A792C"/>
    <w:multiLevelType w:val="singleLevel"/>
    <w:tmpl w:val="977A792C"/>
    <w:lvl w:ilvl="0" w:tentative="0">
      <w:start w:val="1"/>
      <w:numFmt w:val="decimal"/>
      <w:suff w:val="nothing"/>
      <w:lvlText w:val="%1、"/>
      <w:lvlJc w:val="left"/>
      <w:pPr>
        <w:tabs>
          <w:tab w:val="left" w:pos="0"/>
        </w:tabs>
        <w:ind w:firstLine="40"/>
      </w:pPr>
      <w:rPr>
        <w:rFonts w:hint="default" w:ascii="Times New Roman" w:hAnsi="Times New Roman" w:eastAsia="宋体" w:cs="宋体"/>
        <w:szCs w:val="21"/>
      </w:rPr>
    </w:lvl>
  </w:abstractNum>
  <w:abstractNum w:abstractNumId="4">
    <w:nsid w:val="995E3DB9"/>
    <w:multiLevelType w:val="singleLevel"/>
    <w:tmpl w:val="995E3DB9"/>
    <w:lvl w:ilvl="0" w:tentative="0">
      <w:start w:val="1"/>
      <w:numFmt w:val="decimal"/>
      <w:suff w:val="nothing"/>
      <w:lvlText w:val="（%1）"/>
      <w:lvlJc w:val="left"/>
      <w:pPr>
        <w:tabs>
          <w:tab w:val="left" w:pos="385"/>
        </w:tabs>
        <w:ind w:firstLine="40"/>
      </w:pPr>
      <w:rPr>
        <w:rFonts w:hint="default"/>
        <w:b/>
      </w:rPr>
    </w:lvl>
  </w:abstractNum>
  <w:abstractNum w:abstractNumId="5">
    <w:nsid w:val="A1512B64"/>
    <w:multiLevelType w:val="singleLevel"/>
    <w:tmpl w:val="A1512B64"/>
    <w:lvl w:ilvl="0" w:tentative="0">
      <w:start w:val="1"/>
      <w:numFmt w:val="decimal"/>
      <w:suff w:val="nothing"/>
      <w:lvlText w:val="（%1）"/>
      <w:lvlJc w:val="left"/>
      <w:pPr>
        <w:tabs>
          <w:tab w:val="left" w:pos="0"/>
        </w:tabs>
        <w:ind w:firstLine="40"/>
      </w:pPr>
      <w:rPr>
        <w:rFonts w:hint="default"/>
        <w:b/>
      </w:rPr>
    </w:lvl>
  </w:abstractNum>
  <w:abstractNum w:abstractNumId="6">
    <w:nsid w:val="BBEB5732"/>
    <w:multiLevelType w:val="singleLevel"/>
    <w:tmpl w:val="BBEB5732"/>
    <w:lvl w:ilvl="0" w:tentative="0">
      <w:start w:val="1"/>
      <w:numFmt w:val="decimal"/>
      <w:suff w:val="nothing"/>
      <w:lvlText w:val="%1）"/>
      <w:lvlJc w:val="left"/>
      <w:pPr>
        <w:tabs>
          <w:tab w:val="left" w:pos="0"/>
        </w:tabs>
        <w:ind w:firstLine="40"/>
      </w:pPr>
      <w:rPr>
        <w:rFonts w:hint="default" w:ascii="Times New Roman" w:hAnsi="Times New Roman" w:eastAsia="宋体" w:cs="宋体"/>
        <w:szCs w:val="21"/>
      </w:rPr>
    </w:lvl>
  </w:abstractNum>
  <w:abstractNum w:abstractNumId="7">
    <w:nsid w:val="BC68CB4A"/>
    <w:multiLevelType w:val="singleLevel"/>
    <w:tmpl w:val="BC68CB4A"/>
    <w:lvl w:ilvl="0" w:tentative="0">
      <w:start w:val="1"/>
      <w:numFmt w:val="decimal"/>
      <w:suff w:val="nothing"/>
      <w:lvlText w:val="%1、"/>
      <w:lvlJc w:val="left"/>
      <w:pPr>
        <w:tabs>
          <w:tab w:val="left" w:pos="0"/>
        </w:tabs>
        <w:ind w:firstLine="40"/>
      </w:pPr>
      <w:rPr>
        <w:rFonts w:hint="default" w:ascii="Times New Roman" w:hAnsi="Times New Roman" w:eastAsia="宋体" w:cs="宋体"/>
        <w:szCs w:val="21"/>
      </w:rPr>
    </w:lvl>
  </w:abstractNum>
  <w:abstractNum w:abstractNumId="8">
    <w:nsid w:val="BCD0F29F"/>
    <w:multiLevelType w:val="singleLevel"/>
    <w:tmpl w:val="BCD0F29F"/>
    <w:lvl w:ilvl="0" w:tentative="0">
      <w:start w:val="1"/>
      <w:numFmt w:val="decimal"/>
      <w:suff w:val="nothing"/>
      <w:lvlText w:val="%1"/>
      <w:lvlJc w:val="left"/>
      <w:pPr>
        <w:tabs>
          <w:tab w:val="left" w:pos="0"/>
        </w:tabs>
      </w:pPr>
      <w:rPr>
        <w:rFonts w:hint="default" w:ascii="Times New Roman" w:hAnsi="Times New Roman" w:eastAsia="宋体" w:cs="宋体"/>
        <w:sz w:val="21"/>
        <w:szCs w:val="21"/>
      </w:rPr>
    </w:lvl>
  </w:abstractNum>
  <w:abstractNum w:abstractNumId="9">
    <w:nsid w:val="BEA5DFE5"/>
    <w:multiLevelType w:val="singleLevel"/>
    <w:tmpl w:val="BEA5DFE5"/>
    <w:lvl w:ilvl="0" w:tentative="0">
      <w:start w:val="2"/>
      <w:numFmt w:val="decimal"/>
      <w:suff w:val="nothing"/>
      <w:lvlText w:val="%1）"/>
      <w:lvlJc w:val="left"/>
    </w:lvl>
  </w:abstractNum>
  <w:abstractNum w:abstractNumId="10">
    <w:nsid w:val="C52C6816"/>
    <w:multiLevelType w:val="singleLevel"/>
    <w:tmpl w:val="C52C6816"/>
    <w:lvl w:ilvl="0" w:tentative="0">
      <w:start w:val="1"/>
      <w:numFmt w:val="decimal"/>
      <w:suff w:val="nothing"/>
      <w:lvlText w:val="%1"/>
      <w:lvlJc w:val="left"/>
      <w:pPr>
        <w:tabs>
          <w:tab w:val="left" w:pos="0"/>
        </w:tabs>
      </w:pPr>
      <w:rPr>
        <w:rFonts w:hint="default" w:ascii="Times New Roman" w:hAnsi="Times New Roman" w:eastAsia="宋体" w:cs="宋体"/>
        <w:sz w:val="21"/>
        <w:szCs w:val="21"/>
      </w:rPr>
    </w:lvl>
  </w:abstractNum>
  <w:abstractNum w:abstractNumId="11">
    <w:nsid w:val="CC391096"/>
    <w:multiLevelType w:val="singleLevel"/>
    <w:tmpl w:val="CC391096"/>
    <w:lvl w:ilvl="0" w:tentative="0">
      <w:start w:val="1"/>
      <w:numFmt w:val="decimal"/>
      <w:suff w:val="nothing"/>
      <w:lvlText w:val="%1）"/>
      <w:lvlJc w:val="left"/>
      <w:pPr>
        <w:tabs>
          <w:tab w:val="left" w:pos="0"/>
        </w:tabs>
        <w:ind w:firstLine="40"/>
      </w:pPr>
      <w:rPr>
        <w:rFonts w:hint="default" w:ascii="Times New Roman" w:hAnsi="Times New Roman" w:eastAsia="宋体" w:cs="宋体"/>
        <w:szCs w:val="21"/>
      </w:rPr>
    </w:lvl>
  </w:abstractNum>
  <w:abstractNum w:abstractNumId="12">
    <w:nsid w:val="D07A9B14"/>
    <w:multiLevelType w:val="singleLevel"/>
    <w:tmpl w:val="D07A9B14"/>
    <w:lvl w:ilvl="0" w:tentative="0">
      <w:start w:val="1"/>
      <w:numFmt w:val="decimal"/>
      <w:suff w:val="nothing"/>
      <w:lvlText w:val="%1"/>
      <w:lvlJc w:val="left"/>
      <w:pPr>
        <w:tabs>
          <w:tab w:val="left" w:pos="0"/>
        </w:tabs>
      </w:pPr>
      <w:rPr>
        <w:rFonts w:hint="default" w:ascii="Times New Roman" w:hAnsi="Times New Roman" w:eastAsia="宋体" w:cs="Times New Roman"/>
        <w:sz w:val="21"/>
        <w:szCs w:val="21"/>
      </w:rPr>
    </w:lvl>
  </w:abstractNum>
  <w:abstractNum w:abstractNumId="13">
    <w:nsid w:val="DE0A7CE6"/>
    <w:multiLevelType w:val="singleLevel"/>
    <w:tmpl w:val="DE0A7CE6"/>
    <w:lvl w:ilvl="0" w:tentative="0">
      <w:start w:val="1"/>
      <w:numFmt w:val="bullet"/>
      <w:pStyle w:val="10"/>
      <w:lvlText w:val=""/>
      <w:lvlJc w:val="left"/>
      <w:pPr>
        <w:tabs>
          <w:tab w:val="left" w:pos="780"/>
        </w:tabs>
        <w:ind w:left="780" w:hanging="360"/>
      </w:pPr>
      <w:rPr>
        <w:rFonts w:hint="default" w:ascii="Wingdings" w:hAnsi="Wingdings"/>
      </w:rPr>
    </w:lvl>
  </w:abstractNum>
  <w:abstractNum w:abstractNumId="14">
    <w:nsid w:val="E14A1C5F"/>
    <w:multiLevelType w:val="singleLevel"/>
    <w:tmpl w:val="E14A1C5F"/>
    <w:lvl w:ilvl="0" w:tentative="0">
      <w:start w:val="1"/>
      <w:numFmt w:val="decimal"/>
      <w:suff w:val="nothing"/>
      <w:lvlText w:val="（%1）"/>
      <w:lvlJc w:val="left"/>
      <w:pPr>
        <w:tabs>
          <w:tab w:val="left" w:pos="0"/>
        </w:tabs>
        <w:ind w:firstLine="40"/>
      </w:pPr>
      <w:rPr>
        <w:rFonts w:hint="default"/>
        <w:b/>
      </w:rPr>
    </w:lvl>
  </w:abstractNum>
  <w:abstractNum w:abstractNumId="15">
    <w:nsid w:val="E83C4C00"/>
    <w:multiLevelType w:val="singleLevel"/>
    <w:tmpl w:val="E83C4C00"/>
    <w:lvl w:ilvl="0" w:tentative="0">
      <w:start w:val="1"/>
      <w:numFmt w:val="decimal"/>
      <w:suff w:val="nothing"/>
      <w:lvlText w:val="%1）"/>
      <w:lvlJc w:val="left"/>
      <w:pPr>
        <w:tabs>
          <w:tab w:val="left" w:pos="851"/>
        </w:tabs>
        <w:ind w:left="849" w:firstLine="2"/>
      </w:pPr>
      <w:rPr>
        <w:rFonts w:hint="default" w:ascii="Times New Roman" w:hAnsi="Times New Roman" w:eastAsia="宋体" w:cs="宋体"/>
        <w:b/>
      </w:rPr>
    </w:lvl>
  </w:abstractNum>
  <w:abstractNum w:abstractNumId="16">
    <w:nsid w:val="E97FFCFB"/>
    <w:multiLevelType w:val="singleLevel"/>
    <w:tmpl w:val="E97FFCFB"/>
    <w:lvl w:ilvl="0" w:tentative="0">
      <w:start w:val="1"/>
      <w:numFmt w:val="decimal"/>
      <w:suff w:val="nothing"/>
      <w:lvlText w:val="（%1）"/>
      <w:lvlJc w:val="left"/>
      <w:pPr>
        <w:tabs>
          <w:tab w:val="left" w:pos="880"/>
        </w:tabs>
        <w:ind w:firstLine="40"/>
      </w:pPr>
      <w:rPr>
        <w:rFonts w:hint="default"/>
      </w:rPr>
    </w:lvl>
  </w:abstractNum>
  <w:abstractNum w:abstractNumId="17">
    <w:nsid w:val="EEC0CD7A"/>
    <w:multiLevelType w:val="singleLevel"/>
    <w:tmpl w:val="EEC0CD7A"/>
    <w:lvl w:ilvl="0" w:tentative="0">
      <w:start w:val="1"/>
      <w:numFmt w:val="chineseCounting"/>
      <w:suff w:val="nothing"/>
      <w:lvlText w:val="%1、"/>
      <w:lvlJc w:val="left"/>
      <w:pPr>
        <w:ind w:left="0" w:firstLine="420"/>
      </w:pPr>
      <w:rPr>
        <w:rFonts w:hint="eastAsia"/>
        <w:lang w:val="en-US"/>
      </w:rPr>
    </w:lvl>
  </w:abstractNum>
  <w:abstractNum w:abstractNumId="18">
    <w:nsid w:val="07017354"/>
    <w:multiLevelType w:val="multilevel"/>
    <w:tmpl w:val="07017354"/>
    <w:lvl w:ilvl="0" w:tentative="0">
      <w:start w:val="1"/>
      <w:numFmt w:val="decimalEnclosedCircle"/>
      <w:lvlText w:val="%1"/>
      <w:lvlJc w:val="left"/>
      <w:pPr>
        <w:ind w:left="842" w:hanging="360"/>
      </w:pPr>
      <w:rPr>
        <w:rFonts w:hint="default" w:ascii="宋体" w:hAnsi="宋体" w:cs="宋体"/>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9">
    <w:nsid w:val="0F601657"/>
    <w:multiLevelType w:val="singleLevel"/>
    <w:tmpl w:val="0F601657"/>
    <w:lvl w:ilvl="0" w:tentative="0">
      <w:start w:val="1"/>
      <w:numFmt w:val="decimal"/>
      <w:suff w:val="nothing"/>
      <w:lvlText w:val="%1、"/>
      <w:lvlJc w:val="left"/>
      <w:pPr>
        <w:tabs>
          <w:tab w:val="left" w:pos="0"/>
        </w:tabs>
        <w:ind w:firstLine="40"/>
      </w:pPr>
      <w:rPr>
        <w:rFonts w:hint="default"/>
      </w:rPr>
    </w:lvl>
  </w:abstractNum>
  <w:abstractNum w:abstractNumId="20">
    <w:nsid w:val="19760345"/>
    <w:multiLevelType w:val="multilevel"/>
    <w:tmpl w:val="19760345"/>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1C4FA81A"/>
    <w:multiLevelType w:val="singleLevel"/>
    <w:tmpl w:val="1C4FA81A"/>
    <w:lvl w:ilvl="0" w:tentative="0">
      <w:start w:val="1"/>
      <w:numFmt w:val="decimal"/>
      <w:suff w:val="nothing"/>
      <w:lvlText w:val="%1"/>
      <w:lvlJc w:val="left"/>
      <w:pPr>
        <w:tabs>
          <w:tab w:val="left" w:pos="0"/>
        </w:tabs>
      </w:pPr>
      <w:rPr>
        <w:rFonts w:hint="default" w:ascii="Times New Roman" w:hAnsi="Times New Roman" w:eastAsia="宋体" w:cs="Times New Roman"/>
        <w:sz w:val="21"/>
        <w:szCs w:val="21"/>
      </w:rPr>
    </w:lvl>
  </w:abstractNum>
  <w:abstractNum w:abstractNumId="22">
    <w:nsid w:val="2D011066"/>
    <w:multiLevelType w:val="singleLevel"/>
    <w:tmpl w:val="2D011066"/>
    <w:lvl w:ilvl="0" w:tentative="0">
      <w:start w:val="1"/>
      <w:numFmt w:val="decimal"/>
      <w:suff w:val="nothing"/>
      <w:lvlText w:val="（%1）"/>
      <w:lvlJc w:val="left"/>
      <w:pPr>
        <w:tabs>
          <w:tab w:val="left" w:pos="0"/>
        </w:tabs>
        <w:ind w:firstLine="40"/>
      </w:pPr>
      <w:rPr>
        <w:rFonts w:hint="default"/>
        <w:b/>
      </w:rPr>
    </w:lvl>
  </w:abstractNum>
  <w:abstractNum w:abstractNumId="23">
    <w:nsid w:val="2ED41B7C"/>
    <w:multiLevelType w:val="singleLevel"/>
    <w:tmpl w:val="2ED41B7C"/>
    <w:lvl w:ilvl="0" w:tentative="0">
      <w:start w:val="1"/>
      <w:numFmt w:val="decimal"/>
      <w:suff w:val="nothing"/>
      <w:lvlText w:val="%1、"/>
      <w:lvlJc w:val="left"/>
      <w:pPr>
        <w:tabs>
          <w:tab w:val="left" w:pos="0"/>
        </w:tabs>
      </w:pPr>
      <w:rPr>
        <w:rFonts w:hint="default" w:ascii="Times New Roman" w:hAnsi="Times New Roman" w:eastAsia="宋体" w:cs="宋体"/>
        <w:sz w:val="21"/>
        <w:szCs w:val="21"/>
      </w:rPr>
    </w:lvl>
  </w:abstractNum>
  <w:abstractNum w:abstractNumId="24">
    <w:nsid w:val="33486416"/>
    <w:multiLevelType w:val="singleLevel"/>
    <w:tmpl w:val="33486416"/>
    <w:lvl w:ilvl="0" w:tentative="0">
      <w:start w:val="1"/>
      <w:numFmt w:val="chineseCounting"/>
      <w:suff w:val="nothing"/>
      <w:lvlText w:val="%1、"/>
      <w:lvlJc w:val="left"/>
      <w:pPr>
        <w:tabs>
          <w:tab w:val="left" w:pos="0"/>
        </w:tabs>
        <w:ind w:left="-2" w:firstLine="42"/>
      </w:pPr>
      <w:rPr>
        <w:rFonts w:hint="eastAsia" w:ascii="宋体" w:hAnsi="宋体" w:eastAsia="宋体" w:cs="宋体"/>
      </w:rPr>
    </w:lvl>
  </w:abstractNum>
  <w:abstractNum w:abstractNumId="25">
    <w:nsid w:val="3528CAEA"/>
    <w:multiLevelType w:val="singleLevel"/>
    <w:tmpl w:val="3528CAEA"/>
    <w:lvl w:ilvl="0" w:tentative="0">
      <w:start w:val="1"/>
      <w:numFmt w:val="decimal"/>
      <w:suff w:val="nothing"/>
      <w:lvlText w:val="%1）"/>
      <w:lvlJc w:val="left"/>
    </w:lvl>
  </w:abstractNum>
  <w:abstractNum w:abstractNumId="26">
    <w:nsid w:val="375508F4"/>
    <w:multiLevelType w:val="singleLevel"/>
    <w:tmpl w:val="375508F4"/>
    <w:lvl w:ilvl="0" w:tentative="0">
      <w:start w:val="1"/>
      <w:numFmt w:val="decimal"/>
      <w:suff w:val="nothing"/>
      <w:lvlText w:val="%1）"/>
      <w:lvlJc w:val="left"/>
    </w:lvl>
  </w:abstractNum>
  <w:abstractNum w:abstractNumId="27">
    <w:nsid w:val="3B6FB75F"/>
    <w:multiLevelType w:val="singleLevel"/>
    <w:tmpl w:val="3B6FB75F"/>
    <w:lvl w:ilvl="0" w:tentative="0">
      <w:start w:val="1"/>
      <w:numFmt w:val="decimal"/>
      <w:suff w:val="nothing"/>
      <w:lvlText w:val="%1）"/>
      <w:lvlJc w:val="left"/>
      <w:pPr>
        <w:tabs>
          <w:tab w:val="left" w:pos="0"/>
        </w:tabs>
        <w:ind w:firstLine="40"/>
      </w:pPr>
      <w:rPr>
        <w:rFonts w:hint="default" w:ascii="Times New Roman" w:hAnsi="Times New Roman" w:eastAsia="宋体" w:cs="宋体"/>
        <w:szCs w:val="21"/>
      </w:rPr>
    </w:lvl>
  </w:abstractNum>
  <w:abstractNum w:abstractNumId="28">
    <w:nsid w:val="4A5F5469"/>
    <w:multiLevelType w:val="singleLevel"/>
    <w:tmpl w:val="4A5F5469"/>
    <w:lvl w:ilvl="0" w:tentative="0">
      <w:start w:val="1"/>
      <w:numFmt w:val="decimal"/>
      <w:suff w:val="nothing"/>
      <w:lvlText w:val="%1"/>
      <w:lvlJc w:val="left"/>
      <w:pPr>
        <w:tabs>
          <w:tab w:val="left" w:pos="0"/>
        </w:tabs>
      </w:pPr>
      <w:rPr>
        <w:rFonts w:hint="default" w:ascii="Times New Roman" w:hAnsi="Times New Roman" w:eastAsia="宋体" w:cs="Times New Roman"/>
        <w:sz w:val="21"/>
        <w:szCs w:val="21"/>
      </w:rPr>
    </w:lvl>
  </w:abstractNum>
  <w:abstractNum w:abstractNumId="29">
    <w:nsid w:val="4F5528BD"/>
    <w:multiLevelType w:val="singleLevel"/>
    <w:tmpl w:val="4F5528BD"/>
    <w:lvl w:ilvl="0" w:tentative="0">
      <w:start w:val="1"/>
      <w:numFmt w:val="decimal"/>
      <w:suff w:val="nothing"/>
      <w:lvlText w:val="%1"/>
      <w:lvlJc w:val="left"/>
      <w:pPr>
        <w:tabs>
          <w:tab w:val="left" w:pos="0"/>
        </w:tabs>
      </w:pPr>
      <w:rPr>
        <w:rFonts w:hint="default" w:ascii="Times New Roman" w:hAnsi="Times New Roman" w:eastAsia="宋体" w:cs="宋体"/>
        <w:sz w:val="21"/>
        <w:szCs w:val="21"/>
      </w:rPr>
    </w:lvl>
  </w:abstractNum>
  <w:abstractNum w:abstractNumId="30">
    <w:nsid w:val="6319FE93"/>
    <w:multiLevelType w:val="singleLevel"/>
    <w:tmpl w:val="6319FE93"/>
    <w:lvl w:ilvl="0" w:tentative="0">
      <w:start w:val="1"/>
      <w:numFmt w:val="chineseCounting"/>
      <w:suff w:val="nothing"/>
      <w:lvlText w:val="%1、"/>
      <w:lvlJc w:val="left"/>
      <w:pPr>
        <w:tabs>
          <w:tab w:val="left" w:pos="527"/>
        </w:tabs>
        <w:ind w:left="525" w:firstLine="42"/>
      </w:pPr>
      <w:rPr>
        <w:rFonts w:hint="eastAsia" w:ascii="宋体" w:hAnsi="宋体" w:eastAsia="宋体" w:cs="宋体"/>
      </w:rPr>
    </w:lvl>
  </w:abstractNum>
  <w:abstractNum w:abstractNumId="31">
    <w:nsid w:val="68C051AC"/>
    <w:multiLevelType w:val="multilevel"/>
    <w:tmpl w:val="68C051AC"/>
    <w:lvl w:ilvl="0" w:tentative="0">
      <w:start w:val="3"/>
      <w:numFmt w:val="decimal"/>
      <w:lvlText w:val="（%1）"/>
      <w:lvlJc w:val="left"/>
      <w:pPr>
        <w:ind w:left="1202" w:hanging="7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32">
    <w:nsid w:val="6BEBC951"/>
    <w:multiLevelType w:val="singleLevel"/>
    <w:tmpl w:val="6BEBC951"/>
    <w:lvl w:ilvl="0" w:tentative="0">
      <w:start w:val="1"/>
      <w:numFmt w:val="decimal"/>
      <w:suff w:val="nothing"/>
      <w:lvlText w:val="%1、"/>
      <w:lvlJc w:val="left"/>
      <w:pPr>
        <w:tabs>
          <w:tab w:val="left" w:pos="0"/>
        </w:tabs>
        <w:ind w:firstLine="40"/>
      </w:pPr>
      <w:rPr>
        <w:rFonts w:hint="default"/>
        <w:b/>
      </w:rPr>
    </w:lvl>
  </w:abstractNum>
  <w:abstractNum w:abstractNumId="33">
    <w:nsid w:val="6E66BB61"/>
    <w:multiLevelType w:val="singleLevel"/>
    <w:tmpl w:val="6E66BB61"/>
    <w:lvl w:ilvl="0" w:tentative="0">
      <w:start w:val="1"/>
      <w:numFmt w:val="decimal"/>
      <w:suff w:val="nothing"/>
      <w:lvlText w:val="（%1）"/>
      <w:lvlJc w:val="left"/>
    </w:lvl>
  </w:abstractNum>
  <w:abstractNum w:abstractNumId="34">
    <w:nsid w:val="6EE2E3EA"/>
    <w:multiLevelType w:val="singleLevel"/>
    <w:tmpl w:val="6EE2E3EA"/>
    <w:lvl w:ilvl="0" w:tentative="0">
      <w:start w:val="1"/>
      <w:numFmt w:val="decimal"/>
      <w:suff w:val="nothing"/>
      <w:lvlText w:val="（%1）"/>
      <w:lvlJc w:val="left"/>
      <w:pPr>
        <w:tabs>
          <w:tab w:val="left" w:pos="0"/>
        </w:tabs>
        <w:ind w:firstLine="40"/>
      </w:pPr>
      <w:rPr>
        <w:rFonts w:hint="default"/>
      </w:rPr>
    </w:lvl>
  </w:abstractNum>
  <w:abstractNum w:abstractNumId="35">
    <w:nsid w:val="75FBCB70"/>
    <w:multiLevelType w:val="singleLevel"/>
    <w:tmpl w:val="75FBCB70"/>
    <w:lvl w:ilvl="0" w:tentative="0">
      <w:start w:val="1"/>
      <w:numFmt w:val="chineseCounting"/>
      <w:suff w:val="nothing"/>
      <w:lvlText w:val="%1、"/>
      <w:lvlJc w:val="left"/>
      <w:rPr>
        <w:rFonts w:hint="eastAsia"/>
      </w:rPr>
    </w:lvl>
  </w:abstractNum>
  <w:abstractNum w:abstractNumId="36">
    <w:nsid w:val="77F55435"/>
    <w:multiLevelType w:val="multilevel"/>
    <w:tmpl w:val="77F55435"/>
    <w:lvl w:ilvl="0" w:tentative="0">
      <w:start w:val="1"/>
      <w:numFmt w:val="decimal"/>
      <w:lvlText w:val="%1）"/>
      <w:lvlJc w:val="left"/>
      <w:pPr>
        <w:ind w:left="780" w:hanging="360"/>
      </w:pPr>
      <w:rPr>
        <w:rFonts w:hint="default"/>
        <w:color w:val="00000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7">
    <w:nsid w:val="7829CAA2"/>
    <w:multiLevelType w:val="singleLevel"/>
    <w:tmpl w:val="7829CAA2"/>
    <w:lvl w:ilvl="0" w:tentative="0">
      <w:start w:val="1"/>
      <w:numFmt w:val="decimal"/>
      <w:suff w:val="nothing"/>
      <w:lvlText w:val="（%1）"/>
      <w:lvlJc w:val="left"/>
      <w:pPr>
        <w:tabs>
          <w:tab w:val="left" w:pos="0"/>
        </w:tabs>
        <w:ind w:firstLine="40"/>
      </w:pPr>
      <w:rPr>
        <w:rFonts w:hint="default"/>
        <w:b/>
      </w:rPr>
    </w:lvl>
  </w:abstractNum>
  <w:abstractNum w:abstractNumId="38">
    <w:nsid w:val="7A508492"/>
    <w:multiLevelType w:val="singleLevel"/>
    <w:tmpl w:val="7A508492"/>
    <w:lvl w:ilvl="0" w:tentative="0">
      <w:start w:val="1"/>
      <w:numFmt w:val="decimal"/>
      <w:suff w:val="nothing"/>
      <w:lvlText w:val="%1、"/>
      <w:lvlJc w:val="left"/>
      <w:pPr>
        <w:tabs>
          <w:tab w:val="left" w:pos="0"/>
        </w:tabs>
        <w:ind w:firstLine="40"/>
      </w:pPr>
      <w:rPr>
        <w:rFonts w:hint="default"/>
        <w:b/>
      </w:rPr>
    </w:lvl>
  </w:abstractNum>
  <w:abstractNum w:abstractNumId="39">
    <w:nsid w:val="7A7630CE"/>
    <w:multiLevelType w:val="singleLevel"/>
    <w:tmpl w:val="7A7630CE"/>
    <w:lvl w:ilvl="0" w:tentative="0">
      <w:start w:val="1"/>
      <w:numFmt w:val="decimal"/>
      <w:suff w:val="nothing"/>
      <w:lvlText w:val="%1、"/>
      <w:lvlJc w:val="left"/>
      <w:pPr>
        <w:tabs>
          <w:tab w:val="left" w:pos="0"/>
        </w:tabs>
        <w:ind w:left="-2" w:firstLine="42"/>
      </w:pPr>
      <w:rPr>
        <w:rFonts w:hint="default"/>
      </w:rPr>
    </w:lvl>
  </w:abstractNum>
  <w:num w:numId="1">
    <w:abstractNumId w:val="13"/>
  </w:num>
  <w:num w:numId="2">
    <w:abstractNumId w:val="17"/>
  </w:num>
  <w:num w:numId="3">
    <w:abstractNumId w:val="18"/>
  </w:num>
  <w:num w:numId="4">
    <w:abstractNumId w:val="36"/>
  </w:num>
  <w:num w:numId="5">
    <w:abstractNumId w:val="20"/>
  </w:num>
  <w:num w:numId="6">
    <w:abstractNumId w:val="31"/>
  </w:num>
  <w:num w:numId="7">
    <w:abstractNumId w:val="7"/>
  </w:num>
  <w:num w:numId="8">
    <w:abstractNumId w:val="12"/>
  </w:num>
  <w:num w:numId="9">
    <w:abstractNumId w:val="21"/>
  </w:num>
  <w:num w:numId="10">
    <w:abstractNumId w:val="28"/>
  </w:num>
  <w:num w:numId="11">
    <w:abstractNumId w:val="14"/>
  </w:num>
  <w:num w:numId="12">
    <w:abstractNumId w:val="16"/>
  </w:num>
  <w:num w:numId="13">
    <w:abstractNumId w:val="35"/>
  </w:num>
  <w:num w:numId="14">
    <w:abstractNumId w:val="3"/>
  </w:num>
  <w:num w:numId="15">
    <w:abstractNumId w:val="22"/>
  </w:num>
  <w:num w:numId="16">
    <w:abstractNumId w:val="39"/>
  </w:num>
  <w:num w:numId="17">
    <w:abstractNumId w:val="24"/>
  </w:num>
  <w:num w:numId="18">
    <w:abstractNumId w:val="19"/>
  </w:num>
  <w:num w:numId="19">
    <w:abstractNumId w:val="30"/>
  </w:num>
  <w:num w:numId="20">
    <w:abstractNumId w:val="38"/>
  </w:num>
  <w:num w:numId="21">
    <w:abstractNumId w:val="4"/>
  </w:num>
  <w:num w:numId="22">
    <w:abstractNumId w:val="8"/>
  </w:num>
  <w:num w:numId="23">
    <w:abstractNumId w:val="5"/>
  </w:num>
  <w:num w:numId="24">
    <w:abstractNumId w:val="32"/>
  </w:num>
  <w:num w:numId="25">
    <w:abstractNumId w:val="1"/>
  </w:num>
  <w:num w:numId="26">
    <w:abstractNumId w:val="37"/>
  </w:num>
  <w:num w:numId="27">
    <w:abstractNumId w:val="15"/>
  </w:num>
  <w:num w:numId="28">
    <w:abstractNumId w:val="27"/>
  </w:num>
  <w:num w:numId="29">
    <w:abstractNumId w:val="29"/>
  </w:num>
  <w:num w:numId="30">
    <w:abstractNumId w:val="10"/>
  </w:num>
  <w:num w:numId="31">
    <w:abstractNumId w:val="34"/>
  </w:num>
  <w:num w:numId="32">
    <w:abstractNumId w:val="11"/>
  </w:num>
  <w:num w:numId="33">
    <w:abstractNumId w:val="23"/>
  </w:num>
  <w:num w:numId="34">
    <w:abstractNumId w:val="2"/>
  </w:num>
  <w:num w:numId="35">
    <w:abstractNumId w:val="6"/>
  </w:num>
  <w:num w:numId="36">
    <w:abstractNumId w:val="9"/>
  </w:num>
  <w:num w:numId="37">
    <w:abstractNumId w:val="33"/>
  </w:num>
  <w:num w:numId="38">
    <w:abstractNumId w:val="26"/>
  </w:num>
  <w:num w:numId="39">
    <w:abstractNumId w:val="0"/>
  </w:num>
  <w:num w:numId="4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ZjMWM1NDFiZDIxNmE2NjNlODI4OTFjMmFlZjA4NDQifQ=="/>
  </w:docVars>
  <w:rsids>
    <w:rsidRoot w:val="00172A27"/>
    <w:rsid w:val="00004AAA"/>
    <w:rsid w:val="00006E2E"/>
    <w:rsid w:val="00010233"/>
    <w:rsid w:val="0001279E"/>
    <w:rsid w:val="000139D0"/>
    <w:rsid w:val="00013B50"/>
    <w:rsid w:val="00020AB6"/>
    <w:rsid w:val="000221A3"/>
    <w:rsid w:val="0002435B"/>
    <w:rsid w:val="00027328"/>
    <w:rsid w:val="00027FE7"/>
    <w:rsid w:val="00030B5B"/>
    <w:rsid w:val="00036FF3"/>
    <w:rsid w:val="000466FA"/>
    <w:rsid w:val="00046943"/>
    <w:rsid w:val="00046C1B"/>
    <w:rsid w:val="00046F57"/>
    <w:rsid w:val="00047D5D"/>
    <w:rsid w:val="00053FCB"/>
    <w:rsid w:val="00093131"/>
    <w:rsid w:val="000B6A8C"/>
    <w:rsid w:val="000C0430"/>
    <w:rsid w:val="000C6581"/>
    <w:rsid w:val="000C72E8"/>
    <w:rsid w:val="000D0B59"/>
    <w:rsid w:val="000D0D29"/>
    <w:rsid w:val="000D1304"/>
    <w:rsid w:val="000D19E4"/>
    <w:rsid w:val="000D60D3"/>
    <w:rsid w:val="000E059F"/>
    <w:rsid w:val="000E1274"/>
    <w:rsid w:val="000E3A69"/>
    <w:rsid w:val="000E5E65"/>
    <w:rsid w:val="000F62DF"/>
    <w:rsid w:val="000F7E17"/>
    <w:rsid w:val="00100021"/>
    <w:rsid w:val="00105D59"/>
    <w:rsid w:val="0011316E"/>
    <w:rsid w:val="00127A8A"/>
    <w:rsid w:val="00130393"/>
    <w:rsid w:val="001317C4"/>
    <w:rsid w:val="0015047B"/>
    <w:rsid w:val="00155C58"/>
    <w:rsid w:val="00156443"/>
    <w:rsid w:val="00160F0E"/>
    <w:rsid w:val="00164409"/>
    <w:rsid w:val="00167A79"/>
    <w:rsid w:val="0017014F"/>
    <w:rsid w:val="00172A27"/>
    <w:rsid w:val="00185F4D"/>
    <w:rsid w:val="00186FC6"/>
    <w:rsid w:val="001877CD"/>
    <w:rsid w:val="00195EE9"/>
    <w:rsid w:val="001A11D0"/>
    <w:rsid w:val="001A498F"/>
    <w:rsid w:val="001B3154"/>
    <w:rsid w:val="001B4B6B"/>
    <w:rsid w:val="001C0C11"/>
    <w:rsid w:val="001C1632"/>
    <w:rsid w:val="001C7D3F"/>
    <w:rsid w:val="001E594F"/>
    <w:rsid w:val="001F13EB"/>
    <w:rsid w:val="00210E6A"/>
    <w:rsid w:val="00212304"/>
    <w:rsid w:val="00214ABD"/>
    <w:rsid w:val="00216200"/>
    <w:rsid w:val="0022393E"/>
    <w:rsid w:val="002249E5"/>
    <w:rsid w:val="00232264"/>
    <w:rsid w:val="0024334F"/>
    <w:rsid w:val="00251FB2"/>
    <w:rsid w:val="00260AFA"/>
    <w:rsid w:val="00263010"/>
    <w:rsid w:val="00265600"/>
    <w:rsid w:val="00266810"/>
    <w:rsid w:val="002714F6"/>
    <w:rsid w:val="00275006"/>
    <w:rsid w:val="00281FA8"/>
    <w:rsid w:val="00284431"/>
    <w:rsid w:val="00284FA7"/>
    <w:rsid w:val="002865ED"/>
    <w:rsid w:val="00287BA7"/>
    <w:rsid w:val="00296BE3"/>
    <w:rsid w:val="002A1DDF"/>
    <w:rsid w:val="002A2C0C"/>
    <w:rsid w:val="002A34BA"/>
    <w:rsid w:val="002A7567"/>
    <w:rsid w:val="002C01BC"/>
    <w:rsid w:val="002C28BC"/>
    <w:rsid w:val="002D5BB2"/>
    <w:rsid w:val="002F10CB"/>
    <w:rsid w:val="002F1B5D"/>
    <w:rsid w:val="002F4A61"/>
    <w:rsid w:val="00302DE6"/>
    <w:rsid w:val="00307685"/>
    <w:rsid w:val="00316637"/>
    <w:rsid w:val="00316ED0"/>
    <w:rsid w:val="0032012D"/>
    <w:rsid w:val="00322705"/>
    <w:rsid w:val="003227E9"/>
    <w:rsid w:val="00323B57"/>
    <w:rsid w:val="00323BF1"/>
    <w:rsid w:val="00323FFA"/>
    <w:rsid w:val="00334C5F"/>
    <w:rsid w:val="00337670"/>
    <w:rsid w:val="003408D6"/>
    <w:rsid w:val="00350565"/>
    <w:rsid w:val="00376A9C"/>
    <w:rsid w:val="00376C59"/>
    <w:rsid w:val="00381725"/>
    <w:rsid w:val="00384735"/>
    <w:rsid w:val="00391194"/>
    <w:rsid w:val="00392196"/>
    <w:rsid w:val="003927A1"/>
    <w:rsid w:val="00397FC4"/>
    <w:rsid w:val="003A0170"/>
    <w:rsid w:val="003B6CB3"/>
    <w:rsid w:val="003C16E3"/>
    <w:rsid w:val="003C27E6"/>
    <w:rsid w:val="003C72F5"/>
    <w:rsid w:val="003D36C7"/>
    <w:rsid w:val="003D75C0"/>
    <w:rsid w:val="003E5C0B"/>
    <w:rsid w:val="003E67D5"/>
    <w:rsid w:val="003F68EF"/>
    <w:rsid w:val="00402E85"/>
    <w:rsid w:val="0040312D"/>
    <w:rsid w:val="0040716B"/>
    <w:rsid w:val="00410BDD"/>
    <w:rsid w:val="0041340F"/>
    <w:rsid w:val="0041417A"/>
    <w:rsid w:val="00415F71"/>
    <w:rsid w:val="00416CB6"/>
    <w:rsid w:val="00425A09"/>
    <w:rsid w:val="0042607D"/>
    <w:rsid w:val="00426C30"/>
    <w:rsid w:val="00430D5D"/>
    <w:rsid w:val="00446A36"/>
    <w:rsid w:val="0045095B"/>
    <w:rsid w:val="0045696C"/>
    <w:rsid w:val="00472A82"/>
    <w:rsid w:val="00474EAA"/>
    <w:rsid w:val="00475EF2"/>
    <w:rsid w:val="004915E6"/>
    <w:rsid w:val="00493492"/>
    <w:rsid w:val="004B5F41"/>
    <w:rsid w:val="004B7253"/>
    <w:rsid w:val="004C2028"/>
    <w:rsid w:val="004D2969"/>
    <w:rsid w:val="004D42BB"/>
    <w:rsid w:val="004D5713"/>
    <w:rsid w:val="004E5AF6"/>
    <w:rsid w:val="004F385C"/>
    <w:rsid w:val="004F3D81"/>
    <w:rsid w:val="004F40C4"/>
    <w:rsid w:val="0050163A"/>
    <w:rsid w:val="00522250"/>
    <w:rsid w:val="00525334"/>
    <w:rsid w:val="00533A5C"/>
    <w:rsid w:val="00535E98"/>
    <w:rsid w:val="00545D11"/>
    <w:rsid w:val="00546F5F"/>
    <w:rsid w:val="005604D1"/>
    <w:rsid w:val="00563C2C"/>
    <w:rsid w:val="00571ED7"/>
    <w:rsid w:val="00593D39"/>
    <w:rsid w:val="00593FA7"/>
    <w:rsid w:val="005A00AD"/>
    <w:rsid w:val="005A4719"/>
    <w:rsid w:val="005B0E49"/>
    <w:rsid w:val="005B62A2"/>
    <w:rsid w:val="005D0BA4"/>
    <w:rsid w:val="005D1B7D"/>
    <w:rsid w:val="005D2124"/>
    <w:rsid w:val="005D2474"/>
    <w:rsid w:val="005D3C5A"/>
    <w:rsid w:val="005D4FD1"/>
    <w:rsid w:val="005D6AA9"/>
    <w:rsid w:val="005F07A4"/>
    <w:rsid w:val="005F0C16"/>
    <w:rsid w:val="005F3D36"/>
    <w:rsid w:val="005F3FE1"/>
    <w:rsid w:val="005F49B9"/>
    <w:rsid w:val="005F54C0"/>
    <w:rsid w:val="00601C51"/>
    <w:rsid w:val="00607C60"/>
    <w:rsid w:val="00614DA3"/>
    <w:rsid w:val="00625DEB"/>
    <w:rsid w:val="006277FF"/>
    <w:rsid w:val="0063108C"/>
    <w:rsid w:val="00634876"/>
    <w:rsid w:val="00642CFB"/>
    <w:rsid w:val="00643D27"/>
    <w:rsid w:val="00646AF9"/>
    <w:rsid w:val="006470DB"/>
    <w:rsid w:val="006617D2"/>
    <w:rsid w:val="0066233E"/>
    <w:rsid w:val="00665D91"/>
    <w:rsid w:val="00672E55"/>
    <w:rsid w:val="00673F02"/>
    <w:rsid w:val="00677F94"/>
    <w:rsid w:val="00697D23"/>
    <w:rsid w:val="006A2B64"/>
    <w:rsid w:val="006B0173"/>
    <w:rsid w:val="006B1B76"/>
    <w:rsid w:val="006B2B85"/>
    <w:rsid w:val="006B3029"/>
    <w:rsid w:val="006B50DE"/>
    <w:rsid w:val="006B7316"/>
    <w:rsid w:val="006D2958"/>
    <w:rsid w:val="006D6C6E"/>
    <w:rsid w:val="006D7DF3"/>
    <w:rsid w:val="006E219E"/>
    <w:rsid w:val="006E532F"/>
    <w:rsid w:val="0070618A"/>
    <w:rsid w:val="00712CB6"/>
    <w:rsid w:val="00714D53"/>
    <w:rsid w:val="00722A89"/>
    <w:rsid w:val="00722F0B"/>
    <w:rsid w:val="007300C5"/>
    <w:rsid w:val="00732C3E"/>
    <w:rsid w:val="00737915"/>
    <w:rsid w:val="00742D4E"/>
    <w:rsid w:val="00752D6A"/>
    <w:rsid w:val="0075354E"/>
    <w:rsid w:val="00754B36"/>
    <w:rsid w:val="007645BA"/>
    <w:rsid w:val="00773183"/>
    <w:rsid w:val="00774EC5"/>
    <w:rsid w:val="00775157"/>
    <w:rsid w:val="0077715E"/>
    <w:rsid w:val="00781BA6"/>
    <w:rsid w:val="00792F17"/>
    <w:rsid w:val="0079424A"/>
    <w:rsid w:val="007A0625"/>
    <w:rsid w:val="007A48F6"/>
    <w:rsid w:val="007B13A9"/>
    <w:rsid w:val="007B1C41"/>
    <w:rsid w:val="007B762F"/>
    <w:rsid w:val="007C07AE"/>
    <w:rsid w:val="007C0CBC"/>
    <w:rsid w:val="007C4D4F"/>
    <w:rsid w:val="007C7F4B"/>
    <w:rsid w:val="007D0002"/>
    <w:rsid w:val="007D54B6"/>
    <w:rsid w:val="007E40EE"/>
    <w:rsid w:val="007E7338"/>
    <w:rsid w:val="007F2D13"/>
    <w:rsid w:val="007F3ECD"/>
    <w:rsid w:val="0080022E"/>
    <w:rsid w:val="008100AA"/>
    <w:rsid w:val="008144E4"/>
    <w:rsid w:val="0081775A"/>
    <w:rsid w:val="00820CDF"/>
    <w:rsid w:val="008311FF"/>
    <w:rsid w:val="00832E23"/>
    <w:rsid w:val="0083332B"/>
    <w:rsid w:val="00835982"/>
    <w:rsid w:val="00836EE0"/>
    <w:rsid w:val="0083708D"/>
    <w:rsid w:val="00843499"/>
    <w:rsid w:val="00854F4E"/>
    <w:rsid w:val="008577D4"/>
    <w:rsid w:val="008627A9"/>
    <w:rsid w:val="00870775"/>
    <w:rsid w:val="0087294B"/>
    <w:rsid w:val="00874878"/>
    <w:rsid w:val="008900D0"/>
    <w:rsid w:val="008B0238"/>
    <w:rsid w:val="008B60A6"/>
    <w:rsid w:val="008B63D6"/>
    <w:rsid w:val="008B6C79"/>
    <w:rsid w:val="008D1089"/>
    <w:rsid w:val="008E16D2"/>
    <w:rsid w:val="008E3F06"/>
    <w:rsid w:val="008E5141"/>
    <w:rsid w:val="008F1E7D"/>
    <w:rsid w:val="008F2B0A"/>
    <w:rsid w:val="0090043A"/>
    <w:rsid w:val="00905E40"/>
    <w:rsid w:val="00907B8F"/>
    <w:rsid w:val="00912AB4"/>
    <w:rsid w:val="00913DA9"/>
    <w:rsid w:val="00923D32"/>
    <w:rsid w:val="00924574"/>
    <w:rsid w:val="00931A0B"/>
    <w:rsid w:val="0093253B"/>
    <w:rsid w:val="00932889"/>
    <w:rsid w:val="00933DB8"/>
    <w:rsid w:val="0094338B"/>
    <w:rsid w:val="009441F4"/>
    <w:rsid w:val="00944BB9"/>
    <w:rsid w:val="00945485"/>
    <w:rsid w:val="00951511"/>
    <w:rsid w:val="00964165"/>
    <w:rsid w:val="009741BE"/>
    <w:rsid w:val="00976D2A"/>
    <w:rsid w:val="00976D4F"/>
    <w:rsid w:val="00977C67"/>
    <w:rsid w:val="00983607"/>
    <w:rsid w:val="0098437B"/>
    <w:rsid w:val="00985230"/>
    <w:rsid w:val="00990CDC"/>
    <w:rsid w:val="00991835"/>
    <w:rsid w:val="00991B88"/>
    <w:rsid w:val="0099482A"/>
    <w:rsid w:val="009A2746"/>
    <w:rsid w:val="009A2997"/>
    <w:rsid w:val="009A4B30"/>
    <w:rsid w:val="009A6DE7"/>
    <w:rsid w:val="009B2AA1"/>
    <w:rsid w:val="009B543D"/>
    <w:rsid w:val="009C042E"/>
    <w:rsid w:val="009C2044"/>
    <w:rsid w:val="009C3280"/>
    <w:rsid w:val="009D397D"/>
    <w:rsid w:val="009D493A"/>
    <w:rsid w:val="00A01B7C"/>
    <w:rsid w:val="00A05595"/>
    <w:rsid w:val="00A05DF4"/>
    <w:rsid w:val="00A16E1D"/>
    <w:rsid w:val="00A300B2"/>
    <w:rsid w:val="00A36D1A"/>
    <w:rsid w:val="00A373F1"/>
    <w:rsid w:val="00A37FC1"/>
    <w:rsid w:val="00A4087B"/>
    <w:rsid w:val="00A41274"/>
    <w:rsid w:val="00A43B98"/>
    <w:rsid w:val="00A44BC2"/>
    <w:rsid w:val="00A4575E"/>
    <w:rsid w:val="00A46C29"/>
    <w:rsid w:val="00A566EF"/>
    <w:rsid w:val="00A71609"/>
    <w:rsid w:val="00A861C0"/>
    <w:rsid w:val="00A864BF"/>
    <w:rsid w:val="00A8650A"/>
    <w:rsid w:val="00A879F6"/>
    <w:rsid w:val="00A91084"/>
    <w:rsid w:val="00A94AD6"/>
    <w:rsid w:val="00A9567F"/>
    <w:rsid w:val="00AA1B88"/>
    <w:rsid w:val="00AA3309"/>
    <w:rsid w:val="00AA3343"/>
    <w:rsid w:val="00AA5168"/>
    <w:rsid w:val="00AB11DB"/>
    <w:rsid w:val="00AB36A7"/>
    <w:rsid w:val="00AB4D65"/>
    <w:rsid w:val="00AC0CC6"/>
    <w:rsid w:val="00AC29BD"/>
    <w:rsid w:val="00AD10E1"/>
    <w:rsid w:val="00AD5FF6"/>
    <w:rsid w:val="00AE1D7D"/>
    <w:rsid w:val="00AE2DA6"/>
    <w:rsid w:val="00AF4E67"/>
    <w:rsid w:val="00B02531"/>
    <w:rsid w:val="00B02734"/>
    <w:rsid w:val="00B106AA"/>
    <w:rsid w:val="00B15B39"/>
    <w:rsid w:val="00B22AC0"/>
    <w:rsid w:val="00B2548E"/>
    <w:rsid w:val="00B27F7C"/>
    <w:rsid w:val="00B34609"/>
    <w:rsid w:val="00B4615F"/>
    <w:rsid w:val="00B47EE2"/>
    <w:rsid w:val="00B50615"/>
    <w:rsid w:val="00B53147"/>
    <w:rsid w:val="00B556D2"/>
    <w:rsid w:val="00B56C9D"/>
    <w:rsid w:val="00B6371B"/>
    <w:rsid w:val="00B65F44"/>
    <w:rsid w:val="00B7252B"/>
    <w:rsid w:val="00B773DC"/>
    <w:rsid w:val="00B82006"/>
    <w:rsid w:val="00B82A0D"/>
    <w:rsid w:val="00B92321"/>
    <w:rsid w:val="00B934F8"/>
    <w:rsid w:val="00B953EA"/>
    <w:rsid w:val="00B956F1"/>
    <w:rsid w:val="00BA05A4"/>
    <w:rsid w:val="00BA4565"/>
    <w:rsid w:val="00BB1C23"/>
    <w:rsid w:val="00BB45F0"/>
    <w:rsid w:val="00BC2180"/>
    <w:rsid w:val="00BD3775"/>
    <w:rsid w:val="00BD462F"/>
    <w:rsid w:val="00BE2E7D"/>
    <w:rsid w:val="00BF005B"/>
    <w:rsid w:val="00BF163D"/>
    <w:rsid w:val="00BF4744"/>
    <w:rsid w:val="00C15011"/>
    <w:rsid w:val="00C177D6"/>
    <w:rsid w:val="00C30D92"/>
    <w:rsid w:val="00C35CB4"/>
    <w:rsid w:val="00C51602"/>
    <w:rsid w:val="00C52FAF"/>
    <w:rsid w:val="00C61751"/>
    <w:rsid w:val="00C64406"/>
    <w:rsid w:val="00C73461"/>
    <w:rsid w:val="00C7386F"/>
    <w:rsid w:val="00C842AC"/>
    <w:rsid w:val="00C848A9"/>
    <w:rsid w:val="00C87F0B"/>
    <w:rsid w:val="00CA0A6C"/>
    <w:rsid w:val="00CA251C"/>
    <w:rsid w:val="00CA3E05"/>
    <w:rsid w:val="00CA4178"/>
    <w:rsid w:val="00CB311E"/>
    <w:rsid w:val="00CB6B82"/>
    <w:rsid w:val="00CC0A0B"/>
    <w:rsid w:val="00CC5FDD"/>
    <w:rsid w:val="00CC7339"/>
    <w:rsid w:val="00CD1188"/>
    <w:rsid w:val="00CD5993"/>
    <w:rsid w:val="00CE402A"/>
    <w:rsid w:val="00CE52AE"/>
    <w:rsid w:val="00CE54E8"/>
    <w:rsid w:val="00CF17F8"/>
    <w:rsid w:val="00D04494"/>
    <w:rsid w:val="00D21B73"/>
    <w:rsid w:val="00D3558C"/>
    <w:rsid w:val="00D36ED5"/>
    <w:rsid w:val="00D37433"/>
    <w:rsid w:val="00D37C77"/>
    <w:rsid w:val="00D427B3"/>
    <w:rsid w:val="00D452D0"/>
    <w:rsid w:val="00D52825"/>
    <w:rsid w:val="00D52900"/>
    <w:rsid w:val="00D54B5D"/>
    <w:rsid w:val="00D706B8"/>
    <w:rsid w:val="00D876AE"/>
    <w:rsid w:val="00D922AD"/>
    <w:rsid w:val="00D946B9"/>
    <w:rsid w:val="00D957C9"/>
    <w:rsid w:val="00DA23F2"/>
    <w:rsid w:val="00DA7E37"/>
    <w:rsid w:val="00DB2426"/>
    <w:rsid w:val="00DB2D0D"/>
    <w:rsid w:val="00DB505C"/>
    <w:rsid w:val="00DB68AC"/>
    <w:rsid w:val="00DC3583"/>
    <w:rsid w:val="00DC3895"/>
    <w:rsid w:val="00DC6E7D"/>
    <w:rsid w:val="00DD7FB2"/>
    <w:rsid w:val="00DF28F9"/>
    <w:rsid w:val="00DF6368"/>
    <w:rsid w:val="00DF74DA"/>
    <w:rsid w:val="00E012DA"/>
    <w:rsid w:val="00E07166"/>
    <w:rsid w:val="00E13DF3"/>
    <w:rsid w:val="00E15A3F"/>
    <w:rsid w:val="00E22B20"/>
    <w:rsid w:val="00E2785B"/>
    <w:rsid w:val="00E30295"/>
    <w:rsid w:val="00E42AE2"/>
    <w:rsid w:val="00E56BE1"/>
    <w:rsid w:val="00E60C7B"/>
    <w:rsid w:val="00E65F66"/>
    <w:rsid w:val="00E72F85"/>
    <w:rsid w:val="00E73A45"/>
    <w:rsid w:val="00E74A73"/>
    <w:rsid w:val="00E77573"/>
    <w:rsid w:val="00E85725"/>
    <w:rsid w:val="00E86ADC"/>
    <w:rsid w:val="00E8704E"/>
    <w:rsid w:val="00E9526C"/>
    <w:rsid w:val="00E95F61"/>
    <w:rsid w:val="00E9693F"/>
    <w:rsid w:val="00EA53EB"/>
    <w:rsid w:val="00EA64E3"/>
    <w:rsid w:val="00EB1D53"/>
    <w:rsid w:val="00EB5D10"/>
    <w:rsid w:val="00EB69EC"/>
    <w:rsid w:val="00EB7A8D"/>
    <w:rsid w:val="00EC15B1"/>
    <w:rsid w:val="00EC28E2"/>
    <w:rsid w:val="00ED38A8"/>
    <w:rsid w:val="00ED5E73"/>
    <w:rsid w:val="00F06128"/>
    <w:rsid w:val="00F121CA"/>
    <w:rsid w:val="00F14F5C"/>
    <w:rsid w:val="00F17430"/>
    <w:rsid w:val="00F2635B"/>
    <w:rsid w:val="00F30CBC"/>
    <w:rsid w:val="00F3141A"/>
    <w:rsid w:val="00F329FC"/>
    <w:rsid w:val="00F41C36"/>
    <w:rsid w:val="00F62BA7"/>
    <w:rsid w:val="00F62FE1"/>
    <w:rsid w:val="00F64689"/>
    <w:rsid w:val="00F67813"/>
    <w:rsid w:val="00F727AA"/>
    <w:rsid w:val="00F849BD"/>
    <w:rsid w:val="00F85121"/>
    <w:rsid w:val="00F86502"/>
    <w:rsid w:val="00F86ED5"/>
    <w:rsid w:val="00F95E06"/>
    <w:rsid w:val="00F965C5"/>
    <w:rsid w:val="00FA3F08"/>
    <w:rsid w:val="00FA6A65"/>
    <w:rsid w:val="00FA6B38"/>
    <w:rsid w:val="00FB01E2"/>
    <w:rsid w:val="00FB4217"/>
    <w:rsid w:val="00FB61A8"/>
    <w:rsid w:val="00FC18CF"/>
    <w:rsid w:val="00FD605B"/>
    <w:rsid w:val="00FD6CF1"/>
    <w:rsid w:val="00FE7EE1"/>
    <w:rsid w:val="00FF76AB"/>
    <w:rsid w:val="01055601"/>
    <w:rsid w:val="01097438"/>
    <w:rsid w:val="01116DD9"/>
    <w:rsid w:val="012D67F0"/>
    <w:rsid w:val="01E060FB"/>
    <w:rsid w:val="01E82CA9"/>
    <w:rsid w:val="02161979"/>
    <w:rsid w:val="0264620B"/>
    <w:rsid w:val="02723822"/>
    <w:rsid w:val="03252EC7"/>
    <w:rsid w:val="03B24C65"/>
    <w:rsid w:val="045B7496"/>
    <w:rsid w:val="046E7B7D"/>
    <w:rsid w:val="048A2C71"/>
    <w:rsid w:val="04A5599F"/>
    <w:rsid w:val="04F41AD4"/>
    <w:rsid w:val="05394B20"/>
    <w:rsid w:val="055536EA"/>
    <w:rsid w:val="05A10F52"/>
    <w:rsid w:val="05A53065"/>
    <w:rsid w:val="05E920A7"/>
    <w:rsid w:val="06182240"/>
    <w:rsid w:val="06D723B8"/>
    <w:rsid w:val="07204668"/>
    <w:rsid w:val="07322C8A"/>
    <w:rsid w:val="076E3817"/>
    <w:rsid w:val="07D025CD"/>
    <w:rsid w:val="07D205D1"/>
    <w:rsid w:val="07DD533E"/>
    <w:rsid w:val="08075538"/>
    <w:rsid w:val="080F5C2A"/>
    <w:rsid w:val="090F7036"/>
    <w:rsid w:val="09286529"/>
    <w:rsid w:val="093B7E06"/>
    <w:rsid w:val="09742E9C"/>
    <w:rsid w:val="09F13AA6"/>
    <w:rsid w:val="0B546EC7"/>
    <w:rsid w:val="0BB646CD"/>
    <w:rsid w:val="0BBE77F3"/>
    <w:rsid w:val="0BF636EE"/>
    <w:rsid w:val="0C104C1F"/>
    <w:rsid w:val="0C510EBC"/>
    <w:rsid w:val="0D847672"/>
    <w:rsid w:val="0D8D6F4F"/>
    <w:rsid w:val="0D940CC4"/>
    <w:rsid w:val="0E304A60"/>
    <w:rsid w:val="0E336CF3"/>
    <w:rsid w:val="0E843362"/>
    <w:rsid w:val="0E8E6710"/>
    <w:rsid w:val="0EA52DD2"/>
    <w:rsid w:val="0ED6002E"/>
    <w:rsid w:val="0F0830CB"/>
    <w:rsid w:val="0F3D324A"/>
    <w:rsid w:val="0F9C4B91"/>
    <w:rsid w:val="0FDD04CB"/>
    <w:rsid w:val="10192CB1"/>
    <w:rsid w:val="10196639"/>
    <w:rsid w:val="10613A0A"/>
    <w:rsid w:val="107122AD"/>
    <w:rsid w:val="1090718B"/>
    <w:rsid w:val="10B721DD"/>
    <w:rsid w:val="10BC62F2"/>
    <w:rsid w:val="10C40B85"/>
    <w:rsid w:val="110F3211"/>
    <w:rsid w:val="111900DB"/>
    <w:rsid w:val="11697826"/>
    <w:rsid w:val="11D2247A"/>
    <w:rsid w:val="11D25807"/>
    <w:rsid w:val="11E717F3"/>
    <w:rsid w:val="12B361E2"/>
    <w:rsid w:val="12B972A7"/>
    <w:rsid w:val="13DF1D1A"/>
    <w:rsid w:val="14044F98"/>
    <w:rsid w:val="1418484B"/>
    <w:rsid w:val="14C342C9"/>
    <w:rsid w:val="15055240"/>
    <w:rsid w:val="15220C4E"/>
    <w:rsid w:val="15537FE9"/>
    <w:rsid w:val="15971D31"/>
    <w:rsid w:val="15E37D99"/>
    <w:rsid w:val="16D326D7"/>
    <w:rsid w:val="173B3498"/>
    <w:rsid w:val="176850F8"/>
    <w:rsid w:val="178B2901"/>
    <w:rsid w:val="179117F9"/>
    <w:rsid w:val="17BC5E00"/>
    <w:rsid w:val="182879AA"/>
    <w:rsid w:val="187E4038"/>
    <w:rsid w:val="19CD180A"/>
    <w:rsid w:val="1A3858F8"/>
    <w:rsid w:val="1A7840C7"/>
    <w:rsid w:val="1AA20306"/>
    <w:rsid w:val="1B2E0C1E"/>
    <w:rsid w:val="1B3538DA"/>
    <w:rsid w:val="1B68146F"/>
    <w:rsid w:val="1B795B2D"/>
    <w:rsid w:val="1C2C7BF8"/>
    <w:rsid w:val="1C9B44DF"/>
    <w:rsid w:val="1CC442E7"/>
    <w:rsid w:val="1D2D06B9"/>
    <w:rsid w:val="1D936479"/>
    <w:rsid w:val="1DC45A62"/>
    <w:rsid w:val="1DEA114A"/>
    <w:rsid w:val="1E4922D7"/>
    <w:rsid w:val="1E4B6522"/>
    <w:rsid w:val="1EAF3E00"/>
    <w:rsid w:val="1EF22E91"/>
    <w:rsid w:val="1F615B97"/>
    <w:rsid w:val="1F9D049A"/>
    <w:rsid w:val="1FBA77BB"/>
    <w:rsid w:val="2005348F"/>
    <w:rsid w:val="201E1D86"/>
    <w:rsid w:val="20A17A40"/>
    <w:rsid w:val="218A26E1"/>
    <w:rsid w:val="21FC0B54"/>
    <w:rsid w:val="2214657D"/>
    <w:rsid w:val="222B5136"/>
    <w:rsid w:val="22526C45"/>
    <w:rsid w:val="22774617"/>
    <w:rsid w:val="229259F8"/>
    <w:rsid w:val="22F65BCA"/>
    <w:rsid w:val="2353600E"/>
    <w:rsid w:val="237F295E"/>
    <w:rsid w:val="23AE27F2"/>
    <w:rsid w:val="23B51FFD"/>
    <w:rsid w:val="244F1678"/>
    <w:rsid w:val="244F6427"/>
    <w:rsid w:val="24971844"/>
    <w:rsid w:val="24AE1DF2"/>
    <w:rsid w:val="25516924"/>
    <w:rsid w:val="25740777"/>
    <w:rsid w:val="258E25ED"/>
    <w:rsid w:val="25BD28E2"/>
    <w:rsid w:val="269C3C6A"/>
    <w:rsid w:val="26D639BA"/>
    <w:rsid w:val="27556BE9"/>
    <w:rsid w:val="27716A62"/>
    <w:rsid w:val="27843941"/>
    <w:rsid w:val="285331C7"/>
    <w:rsid w:val="286B6DAC"/>
    <w:rsid w:val="288459EB"/>
    <w:rsid w:val="28F159FD"/>
    <w:rsid w:val="295C5EC9"/>
    <w:rsid w:val="29741221"/>
    <w:rsid w:val="29E80F7B"/>
    <w:rsid w:val="29EE23D8"/>
    <w:rsid w:val="2A2963F0"/>
    <w:rsid w:val="2A4D0008"/>
    <w:rsid w:val="2AC60C1B"/>
    <w:rsid w:val="2ACC7E8A"/>
    <w:rsid w:val="2AD355C7"/>
    <w:rsid w:val="2B653518"/>
    <w:rsid w:val="2B9920E3"/>
    <w:rsid w:val="2BA77522"/>
    <w:rsid w:val="2BE52020"/>
    <w:rsid w:val="2C4332A1"/>
    <w:rsid w:val="2CBF7973"/>
    <w:rsid w:val="2DD36FFF"/>
    <w:rsid w:val="2DE83FCE"/>
    <w:rsid w:val="2E144682"/>
    <w:rsid w:val="2E6A3E16"/>
    <w:rsid w:val="2E8F6D9B"/>
    <w:rsid w:val="2EA51BD7"/>
    <w:rsid w:val="2EB224E8"/>
    <w:rsid w:val="2EDB351F"/>
    <w:rsid w:val="2F2370C0"/>
    <w:rsid w:val="2F266D26"/>
    <w:rsid w:val="2F793A1F"/>
    <w:rsid w:val="30280BAE"/>
    <w:rsid w:val="303B0BE5"/>
    <w:rsid w:val="30520A7B"/>
    <w:rsid w:val="307130E0"/>
    <w:rsid w:val="31034401"/>
    <w:rsid w:val="314E383A"/>
    <w:rsid w:val="31513266"/>
    <w:rsid w:val="31706A02"/>
    <w:rsid w:val="31884519"/>
    <w:rsid w:val="31C22370"/>
    <w:rsid w:val="32004FA2"/>
    <w:rsid w:val="32132225"/>
    <w:rsid w:val="32311B85"/>
    <w:rsid w:val="32525762"/>
    <w:rsid w:val="328D4350"/>
    <w:rsid w:val="32D9638B"/>
    <w:rsid w:val="3314526E"/>
    <w:rsid w:val="33164115"/>
    <w:rsid w:val="33264B85"/>
    <w:rsid w:val="336D61D5"/>
    <w:rsid w:val="337B0E24"/>
    <w:rsid w:val="33EA527F"/>
    <w:rsid w:val="3434509F"/>
    <w:rsid w:val="34E7236E"/>
    <w:rsid w:val="34FE2AC5"/>
    <w:rsid w:val="353F69C0"/>
    <w:rsid w:val="358C753F"/>
    <w:rsid w:val="35962BDD"/>
    <w:rsid w:val="364036A4"/>
    <w:rsid w:val="365A3471"/>
    <w:rsid w:val="3723152A"/>
    <w:rsid w:val="372A5881"/>
    <w:rsid w:val="375248DE"/>
    <w:rsid w:val="37672972"/>
    <w:rsid w:val="378C09B2"/>
    <w:rsid w:val="37EF6D5C"/>
    <w:rsid w:val="3819556E"/>
    <w:rsid w:val="38220922"/>
    <w:rsid w:val="3854544D"/>
    <w:rsid w:val="389F5B41"/>
    <w:rsid w:val="392A7EE0"/>
    <w:rsid w:val="39AF59C0"/>
    <w:rsid w:val="39EF28F8"/>
    <w:rsid w:val="3A2E254A"/>
    <w:rsid w:val="3A473C55"/>
    <w:rsid w:val="3A4F657B"/>
    <w:rsid w:val="3A732AD5"/>
    <w:rsid w:val="3BAC249F"/>
    <w:rsid w:val="3C132445"/>
    <w:rsid w:val="3CCC0064"/>
    <w:rsid w:val="3CD60E7B"/>
    <w:rsid w:val="3D057914"/>
    <w:rsid w:val="3DAF6B4B"/>
    <w:rsid w:val="3DFB4064"/>
    <w:rsid w:val="3F591EBA"/>
    <w:rsid w:val="3FB15F9A"/>
    <w:rsid w:val="3FE6335F"/>
    <w:rsid w:val="3FE679A8"/>
    <w:rsid w:val="400F70E0"/>
    <w:rsid w:val="402604EF"/>
    <w:rsid w:val="405C6FA9"/>
    <w:rsid w:val="40785AF7"/>
    <w:rsid w:val="40A72C6E"/>
    <w:rsid w:val="416C1633"/>
    <w:rsid w:val="419E1218"/>
    <w:rsid w:val="41BD239D"/>
    <w:rsid w:val="42214892"/>
    <w:rsid w:val="42C735C8"/>
    <w:rsid w:val="42F2769F"/>
    <w:rsid w:val="43860D47"/>
    <w:rsid w:val="43E12A08"/>
    <w:rsid w:val="44231D0A"/>
    <w:rsid w:val="447A2AD1"/>
    <w:rsid w:val="44D40880"/>
    <w:rsid w:val="44E73BB7"/>
    <w:rsid w:val="469A1CBE"/>
    <w:rsid w:val="469F55C8"/>
    <w:rsid w:val="47370CD6"/>
    <w:rsid w:val="47D2004C"/>
    <w:rsid w:val="47E521F2"/>
    <w:rsid w:val="4806776C"/>
    <w:rsid w:val="481B7365"/>
    <w:rsid w:val="482C65F8"/>
    <w:rsid w:val="48901B99"/>
    <w:rsid w:val="48B91765"/>
    <w:rsid w:val="490911CB"/>
    <w:rsid w:val="49967ABC"/>
    <w:rsid w:val="49CB6F37"/>
    <w:rsid w:val="4A815305"/>
    <w:rsid w:val="4ABC49F4"/>
    <w:rsid w:val="4B935554"/>
    <w:rsid w:val="4BA15CE6"/>
    <w:rsid w:val="4BDC343A"/>
    <w:rsid w:val="4C2F1ACF"/>
    <w:rsid w:val="4C4F4E13"/>
    <w:rsid w:val="4C807C01"/>
    <w:rsid w:val="4CBC0B81"/>
    <w:rsid w:val="4DB21064"/>
    <w:rsid w:val="4F033874"/>
    <w:rsid w:val="4F235A71"/>
    <w:rsid w:val="4FEE380D"/>
    <w:rsid w:val="4FF444F5"/>
    <w:rsid w:val="50506965"/>
    <w:rsid w:val="512B1E74"/>
    <w:rsid w:val="51A72EFC"/>
    <w:rsid w:val="51B92659"/>
    <w:rsid w:val="51CC5C45"/>
    <w:rsid w:val="521D6070"/>
    <w:rsid w:val="52BB6EAF"/>
    <w:rsid w:val="53184E68"/>
    <w:rsid w:val="536410A5"/>
    <w:rsid w:val="53946FE8"/>
    <w:rsid w:val="541564B2"/>
    <w:rsid w:val="54AD4EB1"/>
    <w:rsid w:val="553B5E36"/>
    <w:rsid w:val="564134F2"/>
    <w:rsid w:val="56CC71EF"/>
    <w:rsid w:val="56F521A9"/>
    <w:rsid w:val="57960F30"/>
    <w:rsid w:val="57D6485E"/>
    <w:rsid w:val="580B44F8"/>
    <w:rsid w:val="586025C7"/>
    <w:rsid w:val="586335D8"/>
    <w:rsid w:val="58864BE5"/>
    <w:rsid w:val="58916717"/>
    <w:rsid w:val="58C11A14"/>
    <w:rsid w:val="59666F01"/>
    <w:rsid w:val="59BE1FD4"/>
    <w:rsid w:val="5A3675A5"/>
    <w:rsid w:val="5AE35865"/>
    <w:rsid w:val="5B10566E"/>
    <w:rsid w:val="5B4C2BEE"/>
    <w:rsid w:val="5BA16C2D"/>
    <w:rsid w:val="5BC63DB8"/>
    <w:rsid w:val="5BDB312E"/>
    <w:rsid w:val="5C1967A5"/>
    <w:rsid w:val="5C414CEA"/>
    <w:rsid w:val="5C9F5423"/>
    <w:rsid w:val="5C9F7E83"/>
    <w:rsid w:val="5DCF4855"/>
    <w:rsid w:val="5E104BDC"/>
    <w:rsid w:val="5E191709"/>
    <w:rsid w:val="5E396FD1"/>
    <w:rsid w:val="5E5F029D"/>
    <w:rsid w:val="5EA80422"/>
    <w:rsid w:val="5F0E5263"/>
    <w:rsid w:val="5F304531"/>
    <w:rsid w:val="5F6209AB"/>
    <w:rsid w:val="5FA17EE2"/>
    <w:rsid w:val="5FD043B1"/>
    <w:rsid w:val="60571D50"/>
    <w:rsid w:val="616C42E4"/>
    <w:rsid w:val="61881063"/>
    <w:rsid w:val="6284533C"/>
    <w:rsid w:val="62C13731"/>
    <w:rsid w:val="63854959"/>
    <w:rsid w:val="639B01D1"/>
    <w:rsid w:val="64555B64"/>
    <w:rsid w:val="64C77F26"/>
    <w:rsid w:val="64E831B8"/>
    <w:rsid w:val="64EA0A6D"/>
    <w:rsid w:val="6549634D"/>
    <w:rsid w:val="658F173E"/>
    <w:rsid w:val="65AE0F95"/>
    <w:rsid w:val="65B24454"/>
    <w:rsid w:val="65F63ADC"/>
    <w:rsid w:val="66542790"/>
    <w:rsid w:val="668F5761"/>
    <w:rsid w:val="66B532FD"/>
    <w:rsid w:val="66E173DB"/>
    <w:rsid w:val="67237770"/>
    <w:rsid w:val="675F283D"/>
    <w:rsid w:val="67BD6B66"/>
    <w:rsid w:val="67E40E19"/>
    <w:rsid w:val="67FD4774"/>
    <w:rsid w:val="681547D9"/>
    <w:rsid w:val="68D10B8D"/>
    <w:rsid w:val="68D5270A"/>
    <w:rsid w:val="690C0CC9"/>
    <w:rsid w:val="696D61B3"/>
    <w:rsid w:val="6A3921BE"/>
    <w:rsid w:val="6A3A3886"/>
    <w:rsid w:val="6A4725F3"/>
    <w:rsid w:val="6A883731"/>
    <w:rsid w:val="6ADE5F91"/>
    <w:rsid w:val="6AF43814"/>
    <w:rsid w:val="6AFA4C6F"/>
    <w:rsid w:val="6B1008E4"/>
    <w:rsid w:val="6B7441D2"/>
    <w:rsid w:val="6BDC57CB"/>
    <w:rsid w:val="6C284C12"/>
    <w:rsid w:val="6CCC23A2"/>
    <w:rsid w:val="6D0503EB"/>
    <w:rsid w:val="6D1B2608"/>
    <w:rsid w:val="6D1B471E"/>
    <w:rsid w:val="6D462B68"/>
    <w:rsid w:val="6D8030F6"/>
    <w:rsid w:val="6D850E01"/>
    <w:rsid w:val="6DB407E3"/>
    <w:rsid w:val="6DB9343E"/>
    <w:rsid w:val="6DBE57F4"/>
    <w:rsid w:val="6E21381F"/>
    <w:rsid w:val="6E2213E2"/>
    <w:rsid w:val="6E2B3733"/>
    <w:rsid w:val="6E985C4F"/>
    <w:rsid w:val="6EBC3C07"/>
    <w:rsid w:val="6ED77224"/>
    <w:rsid w:val="6F055A8E"/>
    <w:rsid w:val="6F2156D3"/>
    <w:rsid w:val="6F9764EB"/>
    <w:rsid w:val="6FB21EFB"/>
    <w:rsid w:val="6FCE3283"/>
    <w:rsid w:val="6FD16BE5"/>
    <w:rsid w:val="6FF4616F"/>
    <w:rsid w:val="70445285"/>
    <w:rsid w:val="70967FE7"/>
    <w:rsid w:val="70DA7B74"/>
    <w:rsid w:val="70E70001"/>
    <w:rsid w:val="72376466"/>
    <w:rsid w:val="72B66A47"/>
    <w:rsid w:val="72D63BE6"/>
    <w:rsid w:val="72E36177"/>
    <w:rsid w:val="72F17930"/>
    <w:rsid w:val="73462F99"/>
    <w:rsid w:val="73996B44"/>
    <w:rsid w:val="73A155A6"/>
    <w:rsid w:val="73A8345D"/>
    <w:rsid w:val="73A8431B"/>
    <w:rsid w:val="74277F1D"/>
    <w:rsid w:val="745B73AC"/>
    <w:rsid w:val="74BE681F"/>
    <w:rsid w:val="74F76A9E"/>
    <w:rsid w:val="74FD2437"/>
    <w:rsid w:val="750472D8"/>
    <w:rsid w:val="7525304F"/>
    <w:rsid w:val="75545652"/>
    <w:rsid w:val="755D6BFE"/>
    <w:rsid w:val="756B4AC1"/>
    <w:rsid w:val="7573279A"/>
    <w:rsid w:val="75F17420"/>
    <w:rsid w:val="76047582"/>
    <w:rsid w:val="776B32CB"/>
    <w:rsid w:val="77715FF5"/>
    <w:rsid w:val="77854281"/>
    <w:rsid w:val="7802599F"/>
    <w:rsid w:val="7807089E"/>
    <w:rsid w:val="780B32D4"/>
    <w:rsid w:val="78601F66"/>
    <w:rsid w:val="78614062"/>
    <w:rsid w:val="78713DC0"/>
    <w:rsid w:val="78E41FA4"/>
    <w:rsid w:val="793074A6"/>
    <w:rsid w:val="796F7C88"/>
    <w:rsid w:val="79753E40"/>
    <w:rsid w:val="79806CB3"/>
    <w:rsid w:val="79B52084"/>
    <w:rsid w:val="7A5216BB"/>
    <w:rsid w:val="7ACD1335"/>
    <w:rsid w:val="7B41189D"/>
    <w:rsid w:val="7C1D16C9"/>
    <w:rsid w:val="7C330F84"/>
    <w:rsid w:val="7C363040"/>
    <w:rsid w:val="7C4F069D"/>
    <w:rsid w:val="7C65397C"/>
    <w:rsid w:val="7D0F4807"/>
    <w:rsid w:val="7D4071CA"/>
    <w:rsid w:val="7D7034CF"/>
    <w:rsid w:val="7E500422"/>
    <w:rsid w:val="7F38179C"/>
    <w:rsid w:val="7F6F4558"/>
    <w:rsid w:val="7FBD5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6">
    <w:name w:val="heading 8"/>
    <w:basedOn w:val="1"/>
    <w:next w:val="1"/>
    <w:link w:val="68"/>
    <w:qFormat/>
    <w:uiPriority w:val="0"/>
    <w:pPr>
      <w:keepNext/>
      <w:keepLines/>
      <w:spacing w:before="240" w:after="64" w:line="320" w:lineRule="auto"/>
      <w:outlineLvl w:val="7"/>
    </w:pPr>
    <w:rPr>
      <w:rFonts w:ascii="Cambria" w:hAnsi="Cambria"/>
      <w:sz w:val="24"/>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link w:val="74"/>
    <w:qFormat/>
    <w:uiPriority w:val="0"/>
    <w:pPr>
      <w:autoSpaceDE w:val="0"/>
      <w:autoSpaceDN w:val="0"/>
    </w:pPr>
    <w:rPr>
      <w:rFonts w:ascii="Times New Roman" w:hAnsi="Times New Roman"/>
      <w:color w:val="000000"/>
    </w:rPr>
  </w:style>
  <w:style w:type="paragraph" w:customStyle="1" w:styleId="3">
    <w:name w:val="纯文本1"/>
    <w:basedOn w:val="1"/>
    <w:qFormat/>
    <w:uiPriority w:val="0"/>
    <w:pPr>
      <w:adjustRightInd w:val="0"/>
      <w:jc w:val="center"/>
      <w:textAlignment w:val="baseline"/>
    </w:pPr>
    <w:rPr>
      <w:rFonts w:ascii="宋体" w:hAnsi="Courier New"/>
    </w:rPr>
  </w:style>
  <w:style w:type="paragraph" w:styleId="4">
    <w:name w:val="List 3"/>
    <w:basedOn w:val="1"/>
    <w:next w:val="1"/>
    <w:qFormat/>
    <w:uiPriority w:val="0"/>
    <w:pPr>
      <w:ind w:left="100" w:leftChars="400" w:hanging="200" w:hangingChars="200"/>
    </w:pPr>
  </w:style>
  <w:style w:type="paragraph" w:styleId="7">
    <w:name w:val="E-mail Signature"/>
    <w:basedOn w:val="1"/>
    <w:next w:val="8"/>
    <w:qFormat/>
    <w:uiPriority w:val="0"/>
    <w:pPr>
      <w:spacing w:line="460" w:lineRule="exact"/>
      <w:ind w:firstLine="200"/>
    </w:pPr>
  </w:style>
  <w:style w:type="paragraph" w:customStyle="1" w:styleId="8">
    <w:name w:val="文章"/>
    <w:basedOn w:val="1"/>
    <w:next w:val="9"/>
    <w:qFormat/>
    <w:uiPriority w:val="0"/>
    <w:pPr>
      <w:widowControl/>
      <w:ind w:firstLine="480"/>
      <w:jc w:val="center"/>
    </w:pPr>
    <w:rPr>
      <w:sz w:val="26"/>
    </w:rPr>
  </w:style>
  <w:style w:type="paragraph" w:styleId="9">
    <w:name w:val="List"/>
    <w:basedOn w:val="1"/>
    <w:next w:val="10"/>
    <w:qFormat/>
    <w:uiPriority w:val="0"/>
    <w:pPr>
      <w:ind w:left="200" w:hanging="200" w:hangingChars="200"/>
    </w:pPr>
  </w:style>
  <w:style w:type="paragraph" w:styleId="10">
    <w:name w:val="List Bullet 2"/>
    <w:basedOn w:val="1"/>
    <w:next w:val="11"/>
    <w:qFormat/>
    <w:uiPriority w:val="0"/>
    <w:pPr>
      <w:numPr>
        <w:ilvl w:val="0"/>
        <w:numId w:val="1"/>
      </w:numPr>
    </w:pPr>
  </w:style>
  <w:style w:type="paragraph" w:customStyle="1" w:styleId="11">
    <w:name w:val="xl70"/>
    <w:basedOn w:val="1"/>
    <w:next w:val="12"/>
    <w:qFormat/>
    <w:uiPriority w:val="0"/>
    <w:pPr>
      <w:widowControl/>
      <w:spacing w:before="280" w:after="280"/>
    </w:pPr>
    <w:rPr>
      <w:rFonts w:ascii="宋体"/>
    </w:rPr>
  </w:style>
  <w:style w:type="paragraph" w:customStyle="1" w:styleId="12">
    <w:name w:val="正文缩进1"/>
    <w:basedOn w:val="1"/>
    <w:next w:val="13"/>
    <w:qFormat/>
    <w:uiPriority w:val="0"/>
    <w:pPr>
      <w:ind w:firstLine="420"/>
    </w:pPr>
    <w:rPr>
      <w:rFonts w:ascii="宋体"/>
      <w:sz w:val="28"/>
    </w:rPr>
  </w:style>
  <w:style w:type="paragraph" w:customStyle="1" w:styleId="13">
    <w:name w:val="td1"/>
    <w:basedOn w:val="1"/>
    <w:next w:val="1"/>
    <w:qFormat/>
    <w:uiPriority w:val="0"/>
    <w:pPr>
      <w:widowControl/>
      <w:spacing w:before="280" w:after="280" w:line="300" w:lineRule="atLeast"/>
      <w:ind w:firstLine="200"/>
    </w:pPr>
    <w:rPr>
      <w:color w:val="000000"/>
      <w:sz w:val="18"/>
    </w:rPr>
  </w:style>
  <w:style w:type="paragraph" w:styleId="14">
    <w:name w:val="Normal Indent"/>
    <w:basedOn w:val="1"/>
    <w:next w:val="1"/>
    <w:link w:val="101"/>
    <w:qFormat/>
    <w:uiPriority w:val="0"/>
    <w:pPr>
      <w:ind w:firstLine="420" w:firstLineChars="200"/>
    </w:pPr>
    <w:rPr>
      <w:sz w:val="24"/>
    </w:rPr>
  </w:style>
  <w:style w:type="paragraph" w:styleId="15">
    <w:name w:val="caption"/>
    <w:basedOn w:val="1"/>
    <w:next w:val="1"/>
    <w:semiHidden/>
    <w:unhideWhenUsed/>
    <w:qFormat/>
    <w:uiPriority w:val="0"/>
    <w:rPr>
      <w:rFonts w:ascii="Arial" w:hAnsi="Arial" w:eastAsia="黑体"/>
      <w:sz w:val="20"/>
    </w:rPr>
  </w:style>
  <w:style w:type="paragraph" w:styleId="16">
    <w:name w:val="annotation text"/>
    <w:basedOn w:val="1"/>
    <w:link w:val="52"/>
    <w:qFormat/>
    <w:uiPriority w:val="0"/>
    <w:pPr>
      <w:jc w:val="left"/>
    </w:pPr>
  </w:style>
  <w:style w:type="paragraph" w:styleId="17">
    <w:name w:val="Body Text"/>
    <w:basedOn w:val="1"/>
    <w:qFormat/>
    <w:uiPriority w:val="0"/>
    <w:pPr>
      <w:widowControl/>
      <w:snapToGrid w:val="0"/>
      <w:spacing w:before="60" w:after="160" w:line="259" w:lineRule="auto"/>
      <w:ind w:right="113"/>
    </w:pPr>
    <w:rPr>
      <w:kern w:val="0"/>
      <w:sz w:val="18"/>
      <w:szCs w:val="20"/>
    </w:rPr>
  </w:style>
  <w:style w:type="paragraph" w:styleId="18">
    <w:name w:val="Body Text Indent"/>
    <w:basedOn w:val="1"/>
    <w:link w:val="91"/>
    <w:qFormat/>
    <w:uiPriority w:val="0"/>
    <w:pPr>
      <w:spacing w:after="120"/>
      <w:ind w:left="420" w:leftChars="200"/>
    </w:pPr>
    <w:rPr>
      <w:kern w:val="0"/>
      <w:sz w:val="24"/>
      <w:szCs w:val="20"/>
    </w:rPr>
  </w:style>
  <w:style w:type="paragraph" w:styleId="19">
    <w:name w:val="Plain Text"/>
    <w:basedOn w:val="1"/>
    <w:link w:val="92"/>
    <w:qFormat/>
    <w:uiPriority w:val="0"/>
    <w:rPr>
      <w:rFonts w:ascii="宋体" w:hAnsi="Courier New"/>
    </w:rPr>
  </w:style>
  <w:style w:type="paragraph" w:styleId="20">
    <w:name w:val="Balloon Text"/>
    <w:basedOn w:val="1"/>
    <w:qFormat/>
    <w:uiPriority w:val="0"/>
    <w:rPr>
      <w:sz w:val="18"/>
      <w:szCs w:val="18"/>
    </w:rPr>
  </w:style>
  <w:style w:type="paragraph" w:styleId="21">
    <w:name w:val="footer"/>
    <w:basedOn w:val="1"/>
    <w:next w:val="1"/>
    <w:link w:val="58"/>
    <w:qFormat/>
    <w:uiPriority w:val="99"/>
    <w:pPr>
      <w:tabs>
        <w:tab w:val="center" w:pos="4153"/>
        <w:tab w:val="right" w:pos="8306"/>
      </w:tabs>
      <w:snapToGrid w:val="0"/>
      <w:jc w:val="left"/>
    </w:pPr>
    <w:rPr>
      <w:sz w:val="18"/>
    </w:rPr>
  </w:style>
  <w:style w:type="paragraph" w:styleId="2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3">
    <w:name w:val="Body Text Indent 3"/>
    <w:basedOn w:val="1"/>
    <w:link w:val="98"/>
    <w:qFormat/>
    <w:uiPriority w:val="0"/>
    <w:pPr>
      <w:spacing w:after="120"/>
      <w:ind w:left="420" w:leftChars="200"/>
    </w:pPr>
    <w:rPr>
      <w:sz w:val="16"/>
      <w:szCs w:val="16"/>
    </w:rPr>
  </w:style>
  <w:style w:type="paragraph" w:styleId="24">
    <w:name w:val="toc 2"/>
    <w:basedOn w:val="1"/>
    <w:next w:val="1"/>
    <w:qFormat/>
    <w:uiPriority w:val="0"/>
    <w:pPr>
      <w:adjustRightInd w:val="0"/>
      <w:spacing w:line="312" w:lineRule="atLeast"/>
      <w:ind w:left="420" w:leftChars="200"/>
      <w:textAlignment w:val="baseline"/>
    </w:pPr>
    <w:rPr>
      <w:kern w:val="0"/>
      <w:szCs w:val="20"/>
    </w:rPr>
  </w:style>
  <w:style w:type="paragraph" w:styleId="25">
    <w:name w:val="Normal (Web)"/>
    <w:basedOn w:val="1"/>
    <w:link w:val="72"/>
    <w:qFormat/>
    <w:uiPriority w:val="99"/>
    <w:pPr>
      <w:widowControl/>
      <w:spacing w:before="100" w:beforeAutospacing="1" w:after="100" w:afterAutospacing="1"/>
      <w:jc w:val="left"/>
    </w:pPr>
    <w:rPr>
      <w:rFonts w:ascii="宋体" w:hAnsi="宋体"/>
      <w:kern w:val="0"/>
      <w:sz w:val="24"/>
      <w:szCs w:val="20"/>
    </w:rPr>
  </w:style>
  <w:style w:type="paragraph" w:styleId="26">
    <w:name w:val="annotation subject"/>
    <w:basedOn w:val="16"/>
    <w:next w:val="16"/>
    <w:link w:val="55"/>
    <w:qFormat/>
    <w:uiPriority w:val="0"/>
    <w:rPr>
      <w:b/>
      <w:bCs/>
    </w:rPr>
  </w:style>
  <w:style w:type="paragraph" w:styleId="27">
    <w:name w:val="Body Text First Indent"/>
    <w:basedOn w:val="17"/>
    <w:qFormat/>
    <w:uiPriority w:val="0"/>
    <w:pPr>
      <w:spacing w:after="120"/>
      <w:ind w:firstLine="420" w:firstLineChars="100"/>
    </w:pPr>
    <w:rPr>
      <w:sz w:val="21"/>
    </w:rPr>
  </w:style>
  <w:style w:type="paragraph" w:styleId="28">
    <w:name w:val="Body Text First Indent 2"/>
    <w:basedOn w:val="18"/>
    <w:qFormat/>
    <w:uiPriority w:val="0"/>
    <w:pPr>
      <w:ind w:firstLine="420" w:firstLineChars="200"/>
    </w:pPr>
  </w:style>
  <w:style w:type="table" w:styleId="30">
    <w:name w:val="Table Grid"/>
    <w:basedOn w:val="2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basedOn w:val="31"/>
    <w:qFormat/>
    <w:uiPriority w:val="22"/>
    <w:rPr>
      <w:b/>
      <w:bCs/>
    </w:rPr>
  </w:style>
  <w:style w:type="character" w:styleId="33">
    <w:name w:val="page number"/>
    <w:qFormat/>
    <w:uiPriority w:val="0"/>
  </w:style>
  <w:style w:type="character" w:styleId="34">
    <w:name w:val="Emphasis"/>
    <w:basedOn w:val="31"/>
    <w:qFormat/>
    <w:uiPriority w:val="20"/>
    <w:rPr>
      <w:i/>
      <w:iCs/>
    </w:rPr>
  </w:style>
  <w:style w:type="character" w:styleId="35">
    <w:name w:val="Hyperlink"/>
    <w:unhideWhenUsed/>
    <w:qFormat/>
    <w:uiPriority w:val="99"/>
    <w:rPr>
      <w:color w:val="333333"/>
      <w:u w:val="none"/>
    </w:rPr>
  </w:style>
  <w:style w:type="character" w:styleId="36">
    <w:name w:val="annotation reference"/>
    <w:qFormat/>
    <w:uiPriority w:val="99"/>
    <w:rPr>
      <w:sz w:val="21"/>
    </w:rPr>
  </w:style>
  <w:style w:type="paragraph" w:customStyle="1" w:styleId="37">
    <w:name w:val="样式35"/>
    <w:basedOn w:val="38"/>
    <w:next w:val="39"/>
    <w:qFormat/>
    <w:uiPriority w:val="0"/>
    <w:pPr>
      <w:spacing w:before="15" w:line="312" w:lineRule="auto"/>
      <w:ind w:firstLine="567"/>
    </w:pPr>
    <w:rPr>
      <w:rFonts w:ascii="宋体" w:hAnsi="宋体"/>
      <w:sz w:val="21"/>
    </w:rPr>
  </w:style>
  <w:style w:type="paragraph" w:customStyle="1" w:styleId="38">
    <w:name w:val="表 内容"/>
    <w:basedOn w:val="1"/>
    <w:qFormat/>
    <w:uiPriority w:val="0"/>
    <w:pPr>
      <w:adjustRightInd w:val="0"/>
      <w:snapToGrid w:val="0"/>
      <w:spacing w:beforeLines="15"/>
      <w:jc w:val="center"/>
    </w:pPr>
    <w:rPr>
      <w:kern w:val="0"/>
      <w:sz w:val="20"/>
      <w:szCs w:val="21"/>
    </w:rPr>
  </w:style>
  <w:style w:type="paragraph" w:customStyle="1" w:styleId="39">
    <w:name w:val="font6"/>
    <w:basedOn w:val="1"/>
    <w:next w:val="24"/>
    <w:link w:val="96"/>
    <w:qFormat/>
    <w:uiPriority w:val="0"/>
    <w:pPr>
      <w:widowControl/>
      <w:spacing w:line="360" w:lineRule="auto"/>
      <w:ind w:firstLine="964" w:firstLineChars="200"/>
      <w:jc w:val="left"/>
    </w:pPr>
  </w:style>
  <w:style w:type="paragraph" w:customStyle="1" w:styleId="40">
    <w:name w:val="Body Text 22"/>
    <w:basedOn w:val="1"/>
    <w:qFormat/>
    <w:uiPriority w:val="0"/>
    <w:pPr>
      <w:adjustRightInd w:val="0"/>
      <w:spacing w:line="440" w:lineRule="atLeast"/>
      <w:ind w:firstLine="480"/>
    </w:pPr>
    <w:rPr>
      <w:rFonts w:eastAsia="仿宋_GB2312"/>
      <w:sz w:val="24"/>
      <w:szCs w:val="20"/>
    </w:rPr>
  </w:style>
  <w:style w:type="paragraph" w:customStyle="1" w:styleId="41">
    <w:name w:val="p0"/>
    <w:basedOn w:val="1"/>
    <w:qFormat/>
    <w:uiPriority w:val="0"/>
    <w:pPr>
      <w:widowControl/>
    </w:pPr>
    <w:rPr>
      <w:rFonts w:ascii="Calibri" w:hAnsi="Calibri"/>
      <w:kern w:val="0"/>
      <w:szCs w:val="21"/>
    </w:rPr>
  </w:style>
  <w:style w:type="paragraph" w:customStyle="1" w:styleId="42">
    <w:name w:val="图表文字"/>
    <w:basedOn w:val="1"/>
    <w:qFormat/>
    <w:uiPriority w:val="0"/>
    <w:pPr>
      <w:spacing w:line="320" w:lineRule="exact"/>
      <w:jc w:val="center"/>
    </w:pPr>
    <w:rPr>
      <w:bCs/>
      <w:spacing w:val="-2"/>
      <w:kern w:val="0"/>
      <w:sz w:val="24"/>
    </w:rPr>
  </w:style>
  <w:style w:type="paragraph" w:customStyle="1" w:styleId="43">
    <w:name w:val="正文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44">
    <w:name w:val="正文内容"/>
    <w:basedOn w:val="1"/>
    <w:qFormat/>
    <w:uiPriority w:val="0"/>
    <w:pPr>
      <w:ind w:firstLine="200" w:firstLineChars="200"/>
    </w:pPr>
    <w:rPr>
      <w:kern w:val="0"/>
      <w:sz w:val="24"/>
    </w:rPr>
  </w:style>
  <w:style w:type="paragraph" w:styleId="45">
    <w:name w:val="No Spacing"/>
    <w:link w:val="77"/>
    <w:qFormat/>
    <w:uiPriority w:val="99"/>
    <w:pPr>
      <w:widowControl w:val="0"/>
      <w:jc w:val="center"/>
    </w:pPr>
    <w:rPr>
      <w:rFonts w:ascii="Times New Roman" w:hAnsi="Times New Roman" w:eastAsia="宋体" w:cs="Times New Roman"/>
      <w:kern w:val="2"/>
      <w:sz w:val="21"/>
      <w:szCs w:val="24"/>
      <w:lang w:val="en-US" w:eastAsia="zh-CN" w:bidi="ar-SA"/>
    </w:rPr>
  </w:style>
  <w:style w:type="paragraph" w:customStyle="1" w:styleId="46">
    <w:name w:val="正文文本缩进1"/>
    <w:basedOn w:val="1"/>
    <w:qFormat/>
    <w:uiPriority w:val="0"/>
    <w:pPr>
      <w:spacing w:line="300" w:lineRule="auto"/>
      <w:ind w:firstLine="454"/>
    </w:pPr>
  </w:style>
  <w:style w:type="paragraph" w:customStyle="1" w:styleId="47">
    <w:name w:val="表标题"/>
    <w:basedOn w:val="1"/>
    <w:next w:val="44"/>
    <w:link w:val="73"/>
    <w:qFormat/>
    <w:uiPriority w:val="0"/>
    <w:pPr>
      <w:spacing w:line="360" w:lineRule="auto"/>
      <w:jc w:val="center"/>
      <w:textAlignment w:val="baseline"/>
    </w:pPr>
    <w:rPr>
      <w:b/>
      <w:kern w:val="0"/>
      <w:szCs w:val="20"/>
    </w:rPr>
  </w:style>
  <w:style w:type="paragraph" w:customStyle="1" w:styleId="48">
    <w:name w:val="表格"/>
    <w:basedOn w:val="1"/>
    <w:next w:val="1"/>
    <w:qFormat/>
    <w:uiPriority w:val="0"/>
    <w:pPr>
      <w:adjustRightInd w:val="0"/>
      <w:snapToGrid w:val="0"/>
      <w:jc w:val="center"/>
    </w:pPr>
    <w:rPr>
      <w:kern w:val="0"/>
      <w:szCs w:val="20"/>
    </w:rPr>
  </w:style>
  <w:style w:type="paragraph" w:customStyle="1" w:styleId="49">
    <w:name w:val="正文1"/>
    <w:basedOn w:val="1"/>
    <w:qFormat/>
    <w:uiPriority w:val="0"/>
    <w:pPr>
      <w:widowControl/>
    </w:pPr>
    <w:rPr>
      <w:szCs w:val="21"/>
    </w:rPr>
  </w:style>
  <w:style w:type="paragraph" w:customStyle="1" w:styleId="50">
    <w:name w:val="表格格式"/>
    <w:basedOn w:val="1"/>
    <w:qFormat/>
    <w:uiPriority w:val="0"/>
    <w:pPr>
      <w:jc w:val="center"/>
    </w:pPr>
    <w:rPr>
      <w:rFonts w:hAnsi="宋体"/>
      <w:szCs w:val="21"/>
    </w:rPr>
  </w:style>
  <w:style w:type="paragraph" w:customStyle="1" w:styleId="51">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2">
    <w:name w:val="批注文字 字符"/>
    <w:link w:val="16"/>
    <w:qFormat/>
    <w:uiPriority w:val="0"/>
    <w:rPr>
      <w:kern w:val="2"/>
      <w:sz w:val="21"/>
      <w:szCs w:val="24"/>
    </w:rPr>
  </w:style>
  <w:style w:type="character" w:customStyle="1" w:styleId="53">
    <w:name w:val="fontstyle21"/>
    <w:basedOn w:val="31"/>
    <w:qFormat/>
    <w:uiPriority w:val="0"/>
    <w:rPr>
      <w:rFonts w:ascii="宋体" w:hAnsi="宋体" w:eastAsia="宋体" w:cs="宋体"/>
      <w:color w:val="000000"/>
      <w:sz w:val="24"/>
      <w:szCs w:val="24"/>
    </w:rPr>
  </w:style>
  <w:style w:type="character" w:customStyle="1" w:styleId="54">
    <w:name w:val="copyright1"/>
    <w:qFormat/>
    <w:uiPriority w:val="0"/>
    <w:rPr>
      <w:rFonts w:hint="default"/>
      <w:color w:val="000000"/>
    </w:rPr>
  </w:style>
  <w:style w:type="character" w:customStyle="1" w:styleId="55">
    <w:name w:val="批注主题 字符"/>
    <w:link w:val="26"/>
    <w:qFormat/>
    <w:uiPriority w:val="0"/>
    <w:rPr>
      <w:b/>
      <w:bCs/>
      <w:kern w:val="2"/>
      <w:sz w:val="21"/>
      <w:szCs w:val="24"/>
    </w:rPr>
  </w:style>
  <w:style w:type="character" w:customStyle="1" w:styleId="56">
    <w:name w:val="fontstyle01"/>
    <w:basedOn w:val="31"/>
    <w:qFormat/>
    <w:uiPriority w:val="0"/>
    <w:rPr>
      <w:rFonts w:ascii="宋体" w:hAnsi="宋体" w:eastAsia="宋体" w:cs="宋体"/>
      <w:color w:val="000000"/>
      <w:sz w:val="22"/>
      <w:szCs w:val="22"/>
    </w:rPr>
  </w:style>
  <w:style w:type="character" w:customStyle="1" w:styleId="57">
    <w:name w:val="NormalCharacter"/>
    <w:qFormat/>
    <w:uiPriority w:val="0"/>
    <w:rPr>
      <w:kern w:val="2"/>
      <w:sz w:val="21"/>
      <w:szCs w:val="24"/>
      <w:lang w:val="en-US" w:eastAsia="zh-CN" w:bidi="ar-SA"/>
    </w:rPr>
  </w:style>
  <w:style w:type="character" w:customStyle="1" w:styleId="58">
    <w:name w:val="页脚 字符"/>
    <w:link w:val="21"/>
    <w:qFormat/>
    <w:uiPriority w:val="0"/>
    <w:rPr>
      <w:kern w:val="2"/>
      <w:sz w:val="18"/>
      <w:szCs w:val="24"/>
    </w:rPr>
  </w:style>
  <w:style w:type="character" w:customStyle="1" w:styleId="59">
    <w:name w:val="fontstyle11"/>
    <w:basedOn w:val="31"/>
    <w:qFormat/>
    <w:uiPriority w:val="0"/>
    <w:rPr>
      <w:rFonts w:ascii="TimesNewRomanPSMT" w:hAnsi="TimesNewRomanPSMT" w:eastAsia="TimesNewRomanPSMT" w:cs="TimesNewRomanPSMT"/>
      <w:color w:val="000000"/>
      <w:sz w:val="24"/>
      <w:szCs w:val="24"/>
    </w:rPr>
  </w:style>
  <w:style w:type="paragraph" w:customStyle="1" w:styleId="60">
    <w:name w:val="表格文字"/>
    <w:basedOn w:val="1"/>
    <w:qFormat/>
    <w:uiPriority w:val="0"/>
    <w:pPr>
      <w:adjustRightInd w:val="0"/>
      <w:snapToGrid w:val="0"/>
      <w:jc w:val="center"/>
      <w:textAlignment w:val="center"/>
    </w:pPr>
    <w:rPr>
      <w:kern w:val="0"/>
      <w:sz w:val="20"/>
      <w:szCs w:val="18"/>
    </w:rPr>
  </w:style>
  <w:style w:type="paragraph" w:customStyle="1" w:styleId="61">
    <w:name w:val="表名"/>
    <w:basedOn w:val="1"/>
    <w:qFormat/>
    <w:uiPriority w:val="0"/>
    <w:pPr>
      <w:adjustRightInd w:val="0"/>
      <w:spacing w:before="120" w:after="120" w:line="400" w:lineRule="atLeast"/>
      <w:jc w:val="center"/>
      <w:textAlignment w:val="baseline"/>
    </w:pPr>
    <w:rPr>
      <w:b/>
      <w:bCs/>
      <w:kern w:val="0"/>
      <w:sz w:val="24"/>
      <w:szCs w:val="20"/>
    </w:rPr>
  </w:style>
  <w:style w:type="paragraph" w:customStyle="1" w:styleId="62">
    <w:name w:val="表内容"/>
    <w:basedOn w:val="1"/>
    <w:next w:val="44"/>
    <w:qFormat/>
    <w:uiPriority w:val="0"/>
    <w:pPr>
      <w:jc w:val="center"/>
    </w:pPr>
    <w:rPr>
      <w:kern w:val="0"/>
      <w:szCs w:val="20"/>
    </w:rPr>
  </w:style>
  <w:style w:type="paragraph" w:customStyle="1" w:styleId="63">
    <w:name w:val="表格 32"/>
    <w:basedOn w:val="1"/>
    <w:qFormat/>
    <w:uiPriority w:val="0"/>
    <w:pPr>
      <w:autoSpaceDE w:val="0"/>
      <w:autoSpaceDN w:val="0"/>
      <w:jc w:val="center"/>
      <w:textAlignment w:val="baseline"/>
    </w:pPr>
    <w:rPr>
      <w:rFonts w:ascii="宋体" w:hAnsi="Impact"/>
      <w:kern w:val="24"/>
    </w:rPr>
  </w:style>
  <w:style w:type="paragraph" w:customStyle="1" w:styleId="64">
    <w:name w:val="Table Paragraph"/>
    <w:basedOn w:val="1"/>
    <w:qFormat/>
    <w:uiPriority w:val="1"/>
    <w:rPr>
      <w:rFonts w:ascii="宋体" w:hAnsi="宋体" w:cs="宋体"/>
      <w:lang w:val="zh-CN" w:bidi="zh-CN"/>
    </w:rPr>
  </w:style>
  <w:style w:type="paragraph" w:customStyle="1" w:styleId="65">
    <w:name w:val="列出段落1"/>
    <w:basedOn w:val="1"/>
    <w:qFormat/>
    <w:uiPriority w:val="34"/>
    <w:pPr>
      <w:ind w:firstLine="420" w:firstLineChars="200"/>
    </w:pPr>
    <w:rPr>
      <w:szCs w:val="22"/>
    </w:rPr>
  </w:style>
  <w:style w:type="character" w:customStyle="1" w:styleId="66">
    <w:name w:val="fontstyle31"/>
    <w:basedOn w:val="31"/>
    <w:qFormat/>
    <w:uiPriority w:val="0"/>
    <w:rPr>
      <w:rFonts w:ascii="TimesNewRomanPSMT" w:hAnsi="TimesNewRomanPSMT" w:eastAsia="TimesNewRomanPSMT" w:cs="TimesNewRomanPSMT"/>
      <w:color w:val="000000"/>
      <w:sz w:val="32"/>
      <w:szCs w:val="32"/>
    </w:rPr>
  </w:style>
  <w:style w:type="paragraph" w:styleId="67">
    <w:name w:val="List Paragraph"/>
    <w:basedOn w:val="1"/>
    <w:qFormat/>
    <w:uiPriority w:val="99"/>
    <w:pPr>
      <w:ind w:firstLine="420" w:firstLineChars="200"/>
    </w:pPr>
  </w:style>
  <w:style w:type="character" w:customStyle="1" w:styleId="68">
    <w:name w:val="标题 8 字符"/>
    <w:basedOn w:val="31"/>
    <w:link w:val="6"/>
    <w:qFormat/>
    <w:uiPriority w:val="0"/>
    <w:rPr>
      <w:rFonts w:ascii="Cambria" w:hAnsi="Cambria"/>
      <w:kern w:val="2"/>
      <w:sz w:val="24"/>
      <w:szCs w:val="24"/>
    </w:rPr>
  </w:style>
  <w:style w:type="character" w:customStyle="1" w:styleId="69">
    <w:name w:val="WLT表格内容 字符"/>
    <w:link w:val="70"/>
    <w:qFormat/>
    <w:uiPriority w:val="0"/>
    <w:rPr>
      <w:kern w:val="2"/>
      <w:sz w:val="21"/>
      <w:szCs w:val="21"/>
      <w:lang w:val="zh-CN"/>
    </w:rPr>
  </w:style>
  <w:style w:type="paragraph" w:customStyle="1" w:styleId="70">
    <w:name w:val="WLT表格内容"/>
    <w:basedOn w:val="1"/>
    <w:link w:val="69"/>
    <w:qFormat/>
    <w:uiPriority w:val="0"/>
    <w:pPr>
      <w:jc w:val="center"/>
    </w:pPr>
    <w:rPr>
      <w:szCs w:val="21"/>
      <w:lang w:val="zh-CN"/>
    </w:rPr>
  </w:style>
  <w:style w:type="character" w:customStyle="1" w:styleId="71">
    <w:name w:val="批注文字 字符2"/>
    <w:qFormat/>
    <w:locked/>
    <w:uiPriority w:val="0"/>
    <w:rPr>
      <w:rFonts w:ascii="Times New Roman" w:hAnsi="Times New Roman" w:eastAsia="宋体"/>
      <w:sz w:val="24"/>
    </w:rPr>
  </w:style>
  <w:style w:type="character" w:customStyle="1" w:styleId="72">
    <w:name w:val="普通(网站) 字符"/>
    <w:link w:val="25"/>
    <w:qFormat/>
    <w:locked/>
    <w:uiPriority w:val="0"/>
    <w:rPr>
      <w:rFonts w:ascii="宋体" w:hAnsi="宋体"/>
      <w:sz w:val="24"/>
    </w:rPr>
  </w:style>
  <w:style w:type="character" w:customStyle="1" w:styleId="73">
    <w:name w:val="表标题 Char"/>
    <w:link w:val="47"/>
    <w:qFormat/>
    <w:uiPriority w:val="0"/>
    <w:rPr>
      <w:b/>
      <w:sz w:val="21"/>
    </w:rPr>
  </w:style>
  <w:style w:type="character" w:customStyle="1" w:styleId="74">
    <w:name w:val="Default Char"/>
    <w:link w:val="2"/>
    <w:qFormat/>
    <w:uiPriority w:val="0"/>
    <w:rPr>
      <w:color w:val="000000"/>
      <w:kern w:val="2"/>
      <w:sz w:val="21"/>
      <w:szCs w:val="24"/>
    </w:rPr>
  </w:style>
  <w:style w:type="character" w:customStyle="1" w:styleId="75">
    <w:name w:val="样式 首行缩进:  2 字符1 Char"/>
    <w:link w:val="76"/>
    <w:qFormat/>
    <w:uiPriority w:val="0"/>
    <w:rPr>
      <w:rFonts w:cs="宋体"/>
      <w:kern w:val="2"/>
      <w:sz w:val="28"/>
      <w:szCs w:val="24"/>
    </w:rPr>
  </w:style>
  <w:style w:type="paragraph" w:customStyle="1" w:styleId="76">
    <w:name w:val="样式 首行缩进:  2 字符1"/>
    <w:basedOn w:val="1"/>
    <w:link w:val="75"/>
    <w:qFormat/>
    <w:uiPriority w:val="0"/>
    <w:pPr>
      <w:spacing w:line="360" w:lineRule="auto"/>
      <w:ind w:firstLine="560" w:firstLineChars="200"/>
    </w:pPr>
    <w:rPr>
      <w:rFonts w:cs="宋体"/>
      <w:sz w:val="28"/>
    </w:rPr>
  </w:style>
  <w:style w:type="character" w:customStyle="1" w:styleId="77">
    <w:name w:val="无间隔 字符"/>
    <w:link w:val="45"/>
    <w:qFormat/>
    <w:uiPriority w:val="1"/>
    <w:rPr>
      <w:kern w:val="2"/>
      <w:sz w:val="21"/>
      <w:szCs w:val="24"/>
    </w:rPr>
  </w:style>
  <w:style w:type="character" w:customStyle="1" w:styleId="78">
    <w:name w:val="font31"/>
    <w:qFormat/>
    <w:uiPriority w:val="0"/>
    <w:rPr>
      <w:rFonts w:hint="default" w:ascii="Times New Roman" w:hAnsi="Times New Roman" w:cs="Times New Roman"/>
      <w:color w:val="000000"/>
      <w:sz w:val="21"/>
      <w:szCs w:val="21"/>
      <w:u w:val="none"/>
    </w:rPr>
  </w:style>
  <w:style w:type="character" w:customStyle="1" w:styleId="79">
    <w:name w:val="font61"/>
    <w:qFormat/>
    <w:uiPriority w:val="0"/>
    <w:rPr>
      <w:rFonts w:hint="eastAsia" w:ascii="宋体" w:hAnsi="宋体" w:eastAsia="宋体"/>
      <w:b/>
      <w:bCs/>
      <w:color w:val="000000"/>
      <w:sz w:val="20"/>
      <w:szCs w:val="20"/>
      <w:u w:val="none"/>
    </w:rPr>
  </w:style>
  <w:style w:type="character" w:customStyle="1" w:styleId="80">
    <w:name w:val="font11"/>
    <w:qFormat/>
    <w:uiPriority w:val="0"/>
    <w:rPr>
      <w:rFonts w:hint="default" w:ascii="Times New Roman" w:hAnsi="Times New Roman" w:cs="Times New Roman"/>
      <w:color w:val="000000"/>
      <w:sz w:val="21"/>
      <w:szCs w:val="21"/>
      <w:u w:val="none"/>
    </w:rPr>
  </w:style>
  <w:style w:type="character" w:customStyle="1" w:styleId="81">
    <w:name w:val="font41"/>
    <w:qFormat/>
    <w:uiPriority w:val="0"/>
    <w:rPr>
      <w:rFonts w:hint="eastAsia" w:ascii="宋体" w:hAnsi="宋体" w:eastAsia="宋体" w:cs="宋体"/>
      <w:color w:val="000000"/>
      <w:sz w:val="20"/>
      <w:szCs w:val="20"/>
      <w:u w:val="none"/>
    </w:rPr>
  </w:style>
  <w:style w:type="character" w:customStyle="1" w:styleId="82">
    <w:name w:val="font51"/>
    <w:qFormat/>
    <w:uiPriority w:val="0"/>
    <w:rPr>
      <w:rFonts w:hint="default" w:ascii="Times New Roman" w:hAnsi="Times New Roman" w:cs="Times New Roman"/>
      <w:color w:val="000000"/>
      <w:sz w:val="20"/>
      <w:szCs w:val="20"/>
      <w:u w:val="none"/>
    </w:rPr>
  </w:style>
  <w:style w:type="character" w:customStyle="1" w:styleId="83">
    <w:name w:val="font71"/>
    <w:qFormat/>
    <w:uiPriority w:val="0"/>
    <w:rPr>
      <w:rFonts w:hint="eastAsia" w:ascii="宋体" w:hAnsi="宋体" w:eastAsia="宋体" w:cs="宋体"/>
      <w:color w:val="000000"/>
      <w:sz w:val="18"/>
      <w:szCs w:val="18"/>
      <w:u w:val="none"/>
    </w:rPr>
  </w:style>
  <w:style w:type="paragraph" w:customStyle="1" w:styleId="84">
    <w:name w:val="正文 首行缩进:  2 字符"/>
    <w:basedOn w:val="1"/>
    <w:qFormat/>
    <w:uiPriority w:val="0"/>
    <w:pPr>
      <w:suppressAutoHyphens/>
      <w:ind w:firstLine="579" w:firstLineChars="200"/>
    </w:pPr>
    <w:rPr>
      <w:rFonts w:cs="宋体"/>
      <w:kern w:val="1"/>
      <w:lang w:eastAsia="ar-SA"/>
    </w:rPr>
  </w:style>
  <w:style w:type="paragraph" w:customStyle="1" w:styleId="85">
    <w:name w:val="修订1"/>
    <w:hidden/>
    <w:semiHidden/>
    <w:uiPriority w:val="99"/>
    <w:rPr>
      <w:rFonts w:ascii="Times New Roman" w:hAnsi="Times New Roman" w:eastAsia="宋体" w:cs="Times New Roman"/>
      <w:kern w:val="2"/>
      <w:sz w:val="21"/>
      <w:szCs w:val="24"/>
      <w:lang w:val="en-US" w:eastAsia="zh-CN" w:bidi="ar-SA"/>
    </w:rPr>
  </w:style>
  <w:style w:type="character" w:customStyle="1" w:styleId="86">
    <w:name w:val="！正文 Char Char"/>
    <w:link w:val="87"/>
    <w:qFormat/>
    <w:uiPriority w:val="0"/>
    <w:rPr>
      <w:kern w:val="2"/>
      <w:sz w:val="24"/>
      <w:szCs w:val="22"/>
    </w:rPr>
  </w:style>
  <w:style w:type="paragraph" w:customStyle="1" w:styleId="87">
    <w:name w:val="！正文"/>
    <w:basedOn w:val="1"/>
    <w:link w:val="86"/>
    <w:qFormat/>
    <w:uiPriority w:val="0"/>
    <w:pPr>
      <w:spacing w:line="520" w:lineRule="exact"/>
      <w:ind w:firstLine="200" w:firstLineChars="200"/>
    </w:pPr>
    <w:rPr>
      <w:sz w:val="24"/>
      <w:szCs w:val="22"/>
    </w:rPr>
  </w:style>
  <w:style w:type="character" w:customStyle="1" w:styleId="88">
    <w:name w:val="页脚 字符1"/>
    <w:qFormat/>
    <w:locked/>
    <w:uiPriority w:val="99"/>
    <w:rPr>
      <w:sz w:val="18"/>
    </w:rPr>
  </w:style>
  <w:style w:type="paragraph" w:customStyle="1" w:styleId="89">
    <w:name w:val="1表格字体"/>
    <w:basedOn w:val="1"/>
    <w:qFormat/>
    <w:uiPriority w:val="0"/>
    <w:pPr>
      <w:spacing w:line="264" w:lineRule="auto"/>
      <w:jc w:val="center"/>
    </w:pPr>
  </w:style>
  <w:style w:type="paragraph" w:customStyle="1" w:styleId="90">
    <w:name w:val="正文文本缩进 31"/>
    <w:basedOn w:val="1"/>
    <w:qFormat/>
    <w:uiPriority w:val="0"/>
    <w:pPr>
      <w:adjustRightInd w:val="0"/>
      <w:spacing w:line="360" w:lineRule="auto"/>
      <w:ind w:firstLine="567"/>
    </w:pPr>
    <w:rPr>
      <w:sz w:val="24"/>
      <w:szCs w:val="20"/>
    </w:rPr>
  </w:style>
  <w:style w:type="character" w:customStyle="1" w:styleId="91">
    <w:name w:val="正文文本缩进 字符"/>
    <w:link w:val="18"/>
    <w:locked/>
    <w:uiPriority w:val="0"/>
    <w:rPr>
      <w:sz w:val="24"/>
    </w:rPr>
  </w:style>
  <w:style w:type="character" w:customStyle="1" w:styleId="92">
    <w:name w:val="纯文本 字符"/>
    <w:link w:val="19"/>
    <w:qFormat/>
    <w:uiPriority w:val="0"/>
    <w:rPr>
      <w:rFonts w:ascii="宋体" w:hAnsi="Courier New"/>
      <w:kern w:val="2"/>
      <w:sz w:val="21"/>
      <w:szCs w:val="24"/>
    </w:rPr>
  </w:style>
  <w:style w:type="character" w:customStyle="1" w:styleId="93">
    <w:name w:val="普通(网站) 字符1"/>
    <w:locked/>
    <w:uiPriority w:val="0"/>
    <w:rPr>
      <w:rFonts w:ascii="宋体" w:hAnsi="宋体" w:eastAsia="宋体"/>
      <w:sz w:val="24"/>
    </w:rPr>
  </w:style>
  <w:style w:type="paragraph" w:customStyle="1" w:styleId="94">
    <w:name w:val="普通(网站)1"/>
    <w:basedOn w:val="1"/>
    <w:qFormat/>
    <w:uiPriority w:val="0"/>
    <w:pPr>
      <w:widowControl/>
      <w:spacing w:before="100" w:beforeAutospacing="1" w:after="100" w:afterAutospacing="1"/>
      <w:jc w:val="left"/>
    </w:pPr>
    <w:rPr>
      <w:rFonts w:hint="eastAsia" w:ascii="宋体" w:hAnsi="宋体"/>
      <w:sz w:val="24"/>
      <w:szCs w:val="20"/>
    </w:rPr>
  </w:style>
  <w:style w:type="character" w:customStyle="1" w:styleId="95">
    <w:name w:val="页脚 字符2"/>
    <w:qFormat/>
    <w:locked/>
    <w:uiPriority w:val="99"/>
    <w:rPr>
      <w:sz w:val="18"/>
    </w:rPr>
  </w:style>
  <w:style w:type="character" w:customStyle="1" w:styleId="96">
    <w:name w:val="font6 Char"/>
    <w:link w:val="39"/>
    <w:uiPriority w:val="0"/>
    <w:rPr>
      <w:kern w:val="2"/>
      <w:sz w:val="21"/>
      <w:szCs w:val="24"/>
    </w:rPr>
  </w:style>
  <w:style w:type="character" w:customStyle="1" w:styleId="97">
    <w:name w:val="批注文字 Char"/>
    <w:qFormat/>
    <w:locked/>
    <w:uiPriority w:val="0"/>
    <w:rPr>
      <w:rFonts w:ascii="Times New Roman" w:hAnsi="Times New Roman" w:eastAsia="宋体"/>
      <w:sz w:val="24"/>
    </w:rPr>
  </w:style>
  <w:style w:type="character" w:customStyle="1" w:styleId="98">
    <w:name w:val="正文文本缩进 3 字符"/>
    <w:basedOn w:val="31"/>
    <w:link w:val="23"/>
    <w:qFormat/>
    <w:uiPriority w:val="0"/>
    <w:rPr>
      <w:kern w:val="2"/>
      <w:sz w:val="16"/>
      <w:szCs w:val="16"/>
    </w:rPr>
  </w:style>
  <w:style w:type="paragraph" w:customStyle="1" w:styleId="99">
    <w:name w:val="正文文本缩进 32"/>
    <w:basedOn w:val="1"/>
    <w:qFormat/>
    <w:uiPriority w:val="0"/>
    <w:pPr>
      <w:spacing w:line="360" w:lineRule="auto"/>
      <w:ind w:firstLine="567"/>
    </w:pPr>
    <w:rPr>
      <w:sz w:val="24"/>
      <w:szCs w:val="20"/>
    </w:rPr>
  </w:style>
  <w:style w:type="character" w:customStyle="1" w:styleId="100">
    <w:name w:val="批注文字 字符3"/>
    <w:qFormat/>
    <w:locked/>
    <w:uiPriority w:val="0"/>
    <w:rPr>
      <w:rFonts w:ascii="Times New Roman" w:hAnsi="Times New Roman" w:eastAsia="宋体"/>
      <w:sz w:val="24"/>
    </w:rPr>
  </w:style>
  <w:style w:type="character" w:customStyle="1" w:styleId="101">
    <w:name w:val="正文缩进 字符"/>
    <w:link w:val="14"/>
    <w:qFormat/>
    <w:locked/>
    <w:uiPriority w:val="0"/>
    <w:rPr>
      <w:kern w:val="2"/>
      <w:sz w:val="24"/>
      <w:szCs w:val="24"/>
    </w:rPr>
  </w:style>
  <w:style w:type="paragraph" w:customStyle="1" w:styleId="102">
    <w:name w:val="图标标题"/>
    <w:basedOn w:val="1"/>
    <w:qFormat/>
    <w:uiPriority w:val="0"/>
    <w:pPr>
      <w:adjustRightInd w:val="0"/>
      <w:spacing w:line="360" w:lineRule="auto"/>
      <w:ind w:firstLine="200" w:firstLineChars="200"/>
      <w:jc w:val="center"/>
    </w:pPr>
    <w:rPr>
      <w:rFonts w:ascii="Calibri" w:hAnsi="Calibri" w:cs="黑体"/>
      <w:b/>
      <w:sz w:val="24"/>
      <w:szCs w:val="22"/>
    </w:rPr>
  </w:style>
  <w:style w:type="paragraph" w:customStyle="1" w:styleId="103">
    <w:name w:val="表内字（陈）"/>
    <w:basedOn w:val="1"/>
    <w:qFormat/>
    <w:uiPriority w:val="0"/>
    <w:pPr>
      <w:widowControl/>
      <w:spacing w:line="300" w:lineRule="exact"/>
      <w:jc w:val="center"/>
    </w:pPr>
    <w:rPr>
      <w:bCs/>
      <w:kern w:val="0"/>
      <w:szCs w:val="20"/>
    </w:rPr>
  </w:style>
  <w:style w:type="paragraph" w:customStyle="1" w:styleId="104">
    <w:name w:val="正文 03"/>
    <w:basedOn w:val="1"/>
    <w:qFormat/>
    <w:uiPriority w:val="0"/>
    <w:pPr>
      <w:autoSpaceDE w:val="0"/>
      <w:autoSpaceDN w:val="0"/>
      <w:adjustRightInd w:val="0"/>
    </w:pPr>
    <w:rPr>
      <w:rFonts w:eastAsia="楷体_GB2312"/>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10.wmf"/><Relationship Id="rId32" Type="http://schemas.openxmlformats.org/officeDocument/2006/relationships/oleObject" Target="embeddings/oleObject8.bin"/><Relationship Id="rId31" Type="http://schemas.openxmlformats.org/officeDocument/2006/relationships/image" Target="media/image9.wmf"/><Relationship Id="rId30" Type="http://schemas.openxmlformats.org/officeDocument/2006/relationships/oleObject" Target="embeddings/oleObject7.bin"/><Relationship Id="rId3" Type="http://schemas.openxmlformats.org/officeDocument/2006/relationships/footer" Target="footer1.xml"/><Relationship Id="rId29" Type="http://schemas.openxmlformats.org/officeDocument/2006/relationships/image" Target="media/image8.wmf"/><Relationship Id="rId28" Type="http://schemas.openxmlformats.org/officeDocument/2006/relationships/oleObject" Target="embeddings/oleObject6.bin"/><Relationship Id="rId27" Type="http://schemas.openxmlformats.org/officeDocument/2006/relationships/image" Target="media/image7.wmf"/><Relationship Id="rId26" Type="http://schemas.openxmlformats.org/officeDocument/2006/relationships/oleObject" Target="embeddings/oleObject5.bin"/><Relationship Id="rId25" Type="http://schemas.openxmlformats.org/officeDocument/2006/relationships/image" Target="media/image6.png"/><Relationship Id="rId24" Type="http://schemas.openxmlformats.org/officeDocument/2006/relationships/image" Target="media/image5.png"/><Relationship Id="rId23" Type="http://schemas.openxmlformats.org/officeDocument/2006/relationships/image" Target="media/image4.emf"/><Relationship Id="rId22" Type="http://schemas.openxmlformats.org/officeDocument/2006/relationships/oleObject" Target="embeddings/oleObject4.bin"/><Relationship Id="rId21" Type="http://schemas.openxmlformats.org/officeDocument/2006/relationships/image" Target="media/image3.e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2.emf"/><Relationship Id="rId18" Type="http://schemas.openxmlformats.org/officeDocument/2006/relationships/oleObject" Target="embeddings/oleObject2.bin"/><Relationship Id="rId17" Type="http://schemas.openxmlformats.org/officeDocument/2006/relationships/image" Target="media/image1.emf"/><Relationship Id="rId16" Type="http://schemas.openxmlformats.org/officeDocument/2006/relationships/oleObject" Target="embeddings/oleObject1.bin"/><Relationship Id="rId15" Type="http://schemas.openxmlformats.org/officeDocument/2006/relationships/theme" Target="theme/theme1.xml"/><Relationship Id="rId14" Type="http://schemas.openxmlformats.org/officeDocument/2006/relationships/footer" Target="footer2.xml"/><Relationship Id="rId13" Type="http://schemas.openxmlformats.org/officeDocument/2006/relationships/header" Target="header10.xml"/><Relationship Id="rId12" Type="http://schemas.openxmlformats.org/officeDocument/2006/relationships/header" Target="header9.xml"/><Relationship Id="rId11" Type="http://schemas.openxmlformats.org/officeDocument/2006/relationships/header" Target="header8.xml"/><Relationship Id="rId10" Type="http://schemas.openxmlformats.org/officeDocument/2006/relationships/header" Target="head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w="9525">
          <a:noFill/>
        </a:ln>
      </a:spPr>
      <a:bodyPr upright="1"/>
      <a:lst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99</Pages>
  <Words>41682</Words>
  <Characters>48078</Characters>
  <Lines>391</Lines>
  <Paragraphs>110</Paragraphs>
  <TotalTime>10</TotalTime>
  <ScaleCrop>false</ScaleCrop>
  <LinksUpToDate>false</LinksUpToDate>
  <CharactersWithSpaces>48627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2022-10-11T04:49:00Z</dcterms:created>
  <dc:creator>Administrator</dc:creator>
  <cp:lastModifiedBy>叶靖</cp:lastModifiedBy>
  <cp:lastPrinted>2022-11-29T09:07:00Z</cp:lastPrinted>
  <dcterms:modified xsi:type="dcterms:W3CDTF">2022-12-05T01:10:10Z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827552D8C36C4D7A85B1478EEF290B37</vt:lpwstr>
  </property>
</Properties>
</file>