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cs="仿宋_GB2312"/>
          <w:color w:val="000000" w:themeColor="text1"/>
          <w:sz w:val="36"/>
          <w:szCs w:val="36"/>
          <w14:textFill>
            <w14:solidFill>
              <w14:schemeClr w14:val="tx1"/>
            </w14:solidFill>
          </w14:textFill>
        </w:rPr>
      </w:pPr>
    </w:p>
    <w:p>
      <w:pPr>
        <w:jc w:val="center"/>
        <w:rPr>
          <w:rFonts w:cs="仿宋_GB2312"/>
          <w:color w:val="000000" w:themeColor="text1"/>
          <w:sz w:val="36"/>
          <w:szCs w:val="36"/>
          <w14:textFill>
            <w14:solidFill>
              <w14:schemeClr w14:val="tx1"/>
            </w14:solidFill>
          </w14:textFill>
        </w:rPr>
      </w:pPr>
    </w:p>
    <w:p>
      <w:pPr>
        <w:jc w:val="center"/>
        <w:rPr>
          <w:rFonts w:cs="仿宋_GB2312"/>
          <w:color w:val="000000" w:themeColor="text1"/>
          <w:sz w:val="36"/>
          <w:szCs w:val="36"/>
          <w14:textFill>
            <w14:solidFill>
              <w14:schemeClr w14:val="tx1"/>
            </w14:solidFill>
          </w14:textFill>
        </w:rPr>
      </w:pPr>
    </w:p>
    <w:p>
      <w:pPr>
        <w:jc w:val="center"/>
        <w:rPr>
          <w:rFonts w:cs="仿宋_GB2312"/>
          <w:color w:val="000000" w:themeColor="text1"/>
          <w:sz w:val="36"/>
          <w:szCs w:val="36"/>
          <w14:textFill>
            <w14:solidFill>
              <w14:schemeClr w14:val="tx1"/>
            </w14:solidFill>
          </w14:textFill>
        </w:rPr>
      </w:pPr>
    </w:p>
    <w:p>
      <w:pPr>
        <w:jc w:val="center"/>
        <w:rPr>
          <w:rFonts w:cs="仿宋_GB2312"/>
          <w:color w:val="000000" w:themeColor="text1"/>
          <w:sz w:val="36"/>
          <w:szCs w:val="36"/>
          <w14:textFill>
            <w14:solidFill>
              <w14:schemeClr w14:val="tx1"/>
            </w14:solidFill>
          </w14:textFill>
        </w:rPr>
      </w:pPr>
    </w:p>
    <w:p>
      <w:pPr>
        <w:adjustRightInd w:val="0"/>
        <w:snapToGrid w:val="0"/>
        <w:jc w:val="center"/>
        <w:outlineLvl w:val="0"/>
        <w:rPr>
          <w:bCs/>
          <w:color w:val="000000" w:themeColor="text1"/>
          <w:sz w:val="72"/>
          <w:szCs w:val="72"/>
          <w14:textFill>
            <w14:solidFill>
              <w14:schemeClr w14:val="tx1"/>
            </w14:solidFill>
          </w14:textFill>
        </w:rPr>
      </w:pPr>
      <w:r>
        <w:rPr>
          <w:rFonts w:hint="eastAsia"/>
          <w:bCs/>
          <w:color w:val="000000" w:themeColor="text1"/>
          <w:sz w:val="72"/>
          <w:szCs w:val="72"/>
          <w14:textFill>
            <w14:solidFill>
              <w14:schemeClr w14:val="tx1"/>
            </w14:solidFill>
          </w14:textFill>
        </w:rPr>
        <w:t>建设项目环境影响报告表</w:t>
      </w:r>
    </w:p>
    <w:p>
      <w:pPr>
        <w:adjustRightInd w:val="0"/>
        <w:snapToGrid w:val="0"/>
        <w:spacing w:before="192" w:beforeLines="80"/>
        <w:jc w:val="center"/>
        <w:rPr>
          <w:bCs/>
          <w:color w:val="000000" w:themeColor="text1"/>
          <w:sz w:val="48"/>
          <w:szCs w:val="48"/>
          <w14:textFill>
            <w14:solidFill>
              <w14:schemeClr w14:val="tx1"/>
            </w14:solidFill>
          </w14:textFill>
        </w:rPr>
      </w:pPr>
      <w:r>
        <w:rPr>
          <w:rFonts w:hint="eastAsia"/>
          <w:bCs/>
          <w:color w:val="000000" w:themeColor="text1"/>
          <w:sz w:val="48"/>
          <w:szCs w:val="48"/>
          <w14:textFill>
            <w14:solidFill>
              <w14:schemeClr w14:val="tx1"/>
            </w14:solidFill>
          </w14:textFill>
        </w:rPr>
        <w:t>（污染影响类）</w:t>
      </w:r>
    </w:p>
    <w:p>
      <w:pPr>
        <w:spacing w:line="360" w:lineRule="auto"/>
        <w:jc w:val="center"/>
        <w:rPr>
          <w:color w:val="000000" w:themeColor="text1"/>
          <w14:textFill>
            <w14:solidFill>
              <w14:schemeClr w14:val="tx1"/>
            </w14:solidFill>
          </w14:textFill>
        </w:rPr>
      </w:pPr>
    </w:p>
    <w:p>
      <w:pPr>
        <w:spacing w:line="360" w:lineRule="auto"/>
        <w:jc w:val="center"/>
        <w:rPr>
          <w:color w:val="000000" w:themeColor="text1"/>
          <w14:textFill>
            <w14:solidFill>
              <w14:schemeClr w14:val="tx1"/>
            </w14:solidFill>
          </w14:textFill>
        </w:rPr>
      </w:pPr>
    </w:p>
    <w:p>
      <w:pPr>
        <w:jc w:val="center"/>
        <w:rPr>
          <w:color w:val="000000" w:themeColor="text1"/>
          <w:sz w:val="44"/>
          <w:szCs w:val="44"/>
          <w14:textFill>
            <w14:solidFill>
              <w14:schemeClr w14:val="tx1"/>
            </w14:solidFill>
          </w14:textFill>
        </w:rPr>
      </w:pPr>
    </w:p>
    <w:p>
      <w:pPr>
        <w:pStyle w:val="106"/>
        <w:jc w:val="center"/>
      </w:pPr>
    </w:p>
    <w:p>
      <w:pPr>
        <w:jc w:val="center"/>
        <w:rPr>
          <w:color w:val="000000" w:themeColor="text1"/>
          <w:sz w:val="44"/>
          <w:szCs w:val="44"/>
          <w14:textFill>
            <w14:solidFill>
              <w14:schemeClr w14:val="tx1"/>
            </w14:solidFill>
          </w14:textFill>
        </w:rPr>
      </w:pPr>
    </w:p>
    <w:p>
      <w:pPr>
        <w:jc w:val="center"/>
        <w:rPr>
          <w:color w:val="000000" w:themeColor="text1"/>
          <w:sz w:val="44"/>
          <w:szCs w:val="44"/>
          <w14:textFill>
            <w14:solidFill>
              <w14:schemeClr w14:val="tx1"/>
            </w14:solidFill>
          </w14:textFill>
        </w:rPr>
      </w:pPr>
    </w:p>
    <w:p>
      <w:pPr>
        <w:jc w:val="center"/>
        <w:rPr>
          <w:color w:val="000000" w:themeColor="text1"/>
          <w:sz w:val="44"/>
          <w:szCs w:val="44"/>
          <w14:textFill>
            <w14:solidFill>
              <w14:schemeClr w14:val="tx1"/>
            </w14:solidFill>
          </w14:textFill>
        </w:rPr>
      </w:pPr>
    </w:p>
    <w:p>
      <w:pPr>
        <w:adjustRightInd w:val="0"/>
        <w:snapToGrid w:val="0"/>
        <w:spacing w:line="288" w:lineRule="auto"/>
        <w:ind w:left="2810" w:leftChars="500" w:hanging="1760" w:hangingChars="550"/>
        <w:rPr>
          <w:sz w:val="32"/>
          <w:szCs w:val="36"/>
          <w:u w:val="single"/>
        </w:rPr>
      </w:pPr>
      <w:r>
        <w:rPr>
          <w:rFonts w:hint="eastAsia"/>
          <w:color w:val="000000" w:themeColor="text1"/>
          <w:sz w:val="32"/>
          <w:szCs w:val="36"/>
          <w14:textFill>
            <w14:solidFill>
              <w14:schemeClr w14:val="tx1"/>
            </w14:solidFill>
          </w14:textFill>
        </w:rPr>
        <w:t>项目名称：</w:t>
      </w:r>
      <w:r>
        <w:rPr>
          <w:rFonts w:hint="eastAsia"/>
          <w:color w:val="000000" w:themeColor="text1"/>
          <w:sz w:val="32"/>
          <w:szCs w:val="32"/>
          <w:u w:val="single"/>
          <w14:textFill>
            <w14:solidFill>
              <w14:schemeClr w14:val="tx1"/>
            </w14:solidFill>
          </w14:textFill>
        </w:rPr>
        <w:t>中茂新材料(惠州)有限公司</w:t>
      </w:r>
      <w:r>
        <w:rPr>
          <w:rFonts w:hint="eastAsia"/>
          <w:color w:val="000000" w:themeColor="text1"/>
          <w:sz w:val="32"/>
          <w:szCs w:val="32"/>
          <w:u w:val="single"/>
          <w:lang w:val="en-US" w:eastAsia="zh-CN"/>
          <w14:textFill>
            <w14:solidFill>
              <w14:schemeClr w14:val="tx1"/>
            </w14:solidFill>
          </w14:textFill>
        </w:rPr>
        <w:t>建设</w:t>
      </w:r>
      <w:r>
        <w:rPr>
          <w:rFonts w:hint="eastAsia"/>
          <w:color w:val="000000" w:themeColor="text1"/>
          <w:sz w:val="32"/>
          <w:szCs w:val="32"/>
          <w:u w:val="single"/>
          <w14:textFill>
            <w14:solidFill>
              <w14:schemeClr w14:val="tx1"/>
            </w14:solidFill>
          </w14:textFill>
        </w:rPr>
        <w:t>项目</w:t>
      </w:r>
      <w:r>
        <w:rPr>
          <w:rFonts w:hint="eastAsia"/>
          <w:sz w:val="32"/>
          <w:szCs w:val="32"/>
          <w:u w:val="single"/>
        </w:rPr>
        <w:t xml:space="preserve"> </w:t>
      </w:r>
    </w:p>
    <w:p>
      <w:pPr>
        <w:adjustRightInd w:val="0"/>
        <w:snapToGrid w:val="0"/>
        <w:spacing w:line="288" w:lineRule="auto"/>
        <w:ind w:firstLine="1040"/>
        <w:rPr>
          <w:color w:val="000000" w:themeColor="text1"/>
          <w:sz w:val="32"/>
          <w:szCs w:val="36"/>
          <w:u w:val="single"/>
          <w14:textFill>
            <w14:solidFill>
              <w14:schemeClr w14:val="tx1"/>
            </w14:solidFill>
          </w14:textFill>
        </w:rPr>
      </w:pPr>
      <w:r>
        <w:rPr>
          <w:rFonts w:hint="eastAsia"/>
          <w:color w:val="000000" w:themeColor="text1"/>
          <w:sz w:val="32"/>
          <w:szCs w:val="36"/>
          <w14:textFill>
            <w14:solidFill>
              <w14:schemeClr w14:val="tx1"/>
            </w14:solidFill>
          </w14:textFill>
        </w:rPr>
        <w:t>建设单位（盖章）：</w:t>
      </w:r>
      <w:r>
        <w:rPr>
          <w:rFonts w:hint="eastAsia"/>
          <w:color w:val="000000" w:themeColor="text1"/>
          <w:sz w:val="32"/>
          <w:szCs w:val="32"/>
          <w:u w:val="single"/>
          <w14:textFill>
            <w14:solidFill>
              <w14:schemeClr w14:val="tx1"/>
            </w14:solidFill>
          </w14:textFill>
        </w:rPr>
        <w:t>中茂新材料（惠州）有限公司</w:t>
      </w:r>
    </w:p>
    <w:p>
      <w:pPr>
        <w:adjustRightInd w:val="0"/>
        <w:snapToGrid w:val="0"/>
        <w:spacing w:line="288" w:lineRule="auto"/>
        <w:ind w:firstLine="1040"/>
        <w:rPr>
          <w:color w:val="000000" w:themeColor="text1"/>
          <w:sz w:val="32"/>
          <w:szCs w:val="36"/>
          <w:u w:val="single"/>
          <w14:textFill>
            <w14:solidFill>
              <w14:schemeClr w14:val="tx1"/>
            </w14:solidFill>
          </w14:textFill>
        </w:rPr>
      </w:pPr>
      <w:r>
        <w:rPr>
          <w:rFonts w:hint="eastAsia"/>
          <w:color w:val="000000" w:themeColor="text1"/>
          <w:sz w:val="32"/>
          <w:szCs w:val="36"/>
          <w14:textFill>
            <w14:solidFill>
              <w14:schemeClr w14:val="tx1"/>
            </w14:solidFill>
          </w14:textFill>
        </w:rPr>
        <w:t>编制日期：</w:t>
      </w:r>
      <w:r>
        <w:rPr>
          <w:rFonts w:hint="eastAsia"/>
          <w:color w:val="000000" w:themeColor="text1"/>
          <w:sz w:val="32"/>
          <w:szCs w:val="36"/>
          <w:u w:val="single"/>
          <w14:textFill>
            <w14:solidFill>
              <w14:schemeClr w14:val="tx1"/>
            </w14:solidFill>
          </w14:textFill>
        </w:rPr>
        <w:t xml:space="preserve"> </w:t>
      </w:r>
      <w:r>
        <w:rPr>
          <w:color w:val="000000" w:themeColor="text1"/>
          <w:sz w:val="32"/>
          <w:szCs w:val="36"/>
          <w:u w:val="single"/>
          <w14:textFill>
            <w14:solidFill>
              <w14:schemeClr w14:val="tx1"/>
            </w14:solidFill>
          </w14:textFill>
        </w:rPr>
        <w:t xml:space="preserve">      </w:t>
      </w:r>
      <w:r>
        <w:rPr>
          <w:rFonts w:hint="eastAsia"/>
          <w:color w:val="000000" w:themeColor="text1"/>
          <w:sz w:val="32"/>
          <w:szCs w:val="36"/>
          <w:u w:val="single"/>
          <w14:textFill>
            <w14:solidFill>
              <w14:schemeClr w14:val="tx1"/>
            </w14:solidFill>
          </w14:textFill>
        </w:rPr>
        <w:t>2022</w:t>
      </w:r>
      <w:r>
        <w:rPr>
          <w:rFonts w:hint="eastAsia"/>
          <w:sz w:val="32"/>
          <w:szCs w:val="36"/>
          <w:u w:val="single"/>
        </w:rPr>
        <w:t>年</w:t>
      </w:r>
      <w:r>
        <w:rPr>
          <w:rFonts w:hint="eastAsia"/>
          <w:color w:val="auto"/>
          <w:sz w:val="32"/>
          <w:szCs w:val="36"/>
          <w:u w:val="single"/>
        </w:rPr>
        <w:t>11月</w:t>
      </w:r>
      <w:r>
        <w:rPr>
          <w:color w:val="auto"/>
          <w:sz w:val="32"/>
          <w:szCs w:val="36"/>
          <w:u w:val="single"/>
        </w:rPr>
        <w:t xml:space="preserve"> </w:t>
      </w:r>
      <w:r>
        <w:rPr>
          <w:color w:val="000000" w:themeColor="text1"/>
          <w:sz w:val="32"/>
          <w:szCs w:val="36"/>
          <w:u w:val="single"/>
          <w14:textFill>
            <w14:solidFill>
              <w14:schemeClr w14:val="tx1"/>
            </w14:solidFill>
          </w14:textFill>
        </w:rPr>
        <w:t xml:space="preserve">       </w:t>
      </w:r>
      <w:r>
        <w:rPr>
          <w:rFonts w:hint="eastAsia"/>
          <w:color w:val="000000" w:themeColor="text1"/>
          <w:sz w:val="32"/>
          <w:szCs w:val="36"/>
          <w:u w:val="single"/>
          <w14:textFill>
            <w14:solidFill>
              <w14:schemeClr w14:val="tx1"/>
            </w14:solidFill>
          </w14:textFill>
        </w:rPr>
        <w:t xml:space="preserve"> </w:t>
      </w:r>
    </w:p>
    <w:p>
      <w:pPr>
        <w:adjustRightInd w:val="0"/>
        <w:snapToGrid w:val="0"/>
        <w:spacing w:line="288" w:lineRule="auto"/>
        <w:jc w:val="center"/>
        <w:rPr>
          <w:color w:val="000000" w:themeColor="text1"/>
          <w:sz w:val="36"/>
          <w:szCs w:val="36"/>
          <w:u w:val="single"/>
          <w14:textFill>
            <w14:solidFill>
              <w14:schemeClr w14:val="tx1"/>
            </w14:solidFill>
          </w14:textFill>
        </w:rPr>
      </w:pPr>
      <w:bookmarkStart w:id="0" w:name="_Hlk57884087"/>
    </w:p>
    <w:p>
      <w:pPr>
        <w:adjustRightInd w:val="0"/>
        <w:snapToGrid w:val="0"/>
        <w:spacing w:line="288" w:lineRule="auto"/>
        <w:jc w:val="center"/>
        <w:rPr>
          <w:color w:val="000000" w:themeColor="text1"/>
          <w:sz w:val="36"/>
          <w:szCs w:val="36"/>
          <w14:textFill>
            <w14:solidFill>
              <w14:schemeClr w14:val="tx1"/>
            </w14:solidFill>
          </w14:textFill>
        </w:rPr>
      </w:pPr>
    </w:p>
    <w:p>
      <w:pPr>
        <w:adjustRightInd w:val="0"/>
        <w:snapToGrid w:val="0"/>
        <w:spacing w:line="288" w:lineRule="auto"/>
        <w:jc w:val="center"/>
        <w:rPr>
          <w:color w:val="000000" w:themeColor="text1"/>
          <w:sz w:val="36"/>
          <w:szCs w:val="36"/>
          <w14:textFill>
            <w14:solidFill>
              <w14:schemeClr w14:val="tx1"/>
            </w14:solidFill>
          </w14:textFill>
        </w:rPr>
      </w:pPr>
    </w:p>
    <w:p>
      <w:pPr>
        <w:adjustRightInd w:val="0"/>
        <w:snapToGrid w:val="0"/>
        <w:spacing w:line="288" w:lineRule="auto"/>
        <w:jc w:val="center"/>
        <w:rPr>
          <w:color w:val="000000" w:themeColor="text1"/>
          <w:sz w:val="36"/>
          <w:szCs w:val="36"/>
          <w14:textFill>
            <w14:solidFill>
              <w14:schemeClr w14:val="tx1"/>
            </w14:solidFill>
          </w14:textFill>
        </w:rPr>
      </w:pPr>
    </w:p>
    <w:p>
      <w:pPr>
        <w:adjustRightInd w:val="0"/>
        <w:snapToGrid w:val="0"/>
        <w:spacing w:line="288" w:lineRule="auto"/>
        <w:jc w:val="center"/>
        <w:rPr>
          <w:color w:val="000000" w:themeColor="text1"/>
          <w:sz w:val="36"/>
          <w:szCs w:val="36"/>
          <w14:textFill>
            <w14:solidFill>
              <w14:schemeClr w14:val="tx1"/>
            </w14:solidFill>
          </w14:textFill>
        </w:rPr>
      </w:pPr>
    </w:p>
    <w:bookmarkEnd w:id="0"/>
    <w:p>
      <w:pPr>
        <w:adjustRightInd w:val="0"/>
        <w:snapToGrid w:val="0"/>
        <w:spacing w:line="288" w:lineRule="auto"/>
        <w:jc w:val="center"/>
        <w:rPr>
          <w:color w:val="000000" w:themeColor="text1"/>
          <w:sz w:val="36"/>
          <w:szCs w:val="36"/>
          <w14:textFill>
            <w14:solidFill>
              <w14:schemeClr w14:val="tx1"/>
            </w14:solidFill>
          </w14:textFill>
        </w:rPr>
        <w:sectPr>
          <w:headerReference r:id="rId3" w:type="default"/>
          <w:footerReference r:id="rId4" w:type="default"/>
          <w:footerReference r:id="rId5" w:type="even"/>
          <w:pgSz w:w="11906" w:h="16838"/>
          <w:pgMar w:top="1701" w:right="1531" w:bottom="1701" w:left="1531" w:header="851" w:footer="1077" w:gutter="0"/>
          <w:pgBorders>
            <w:top w:val="none" w:sz="0" w:space="0"/>
            <w:left w:val="none" w:sz="0" w:space="0"/>
            <w:bottom w:val="none" w:sz="0" w:space="0"/>
            <w:right w:val="none" w:sz="0" w:space="0"/>
          </w:pgBorders>
          <w:pgNumType w:start="1"/>
          <w:cols w:space="720" w:num="1"/>
          <w:docGrid w:linePitch="312" w:charSpace="0"/>
        </w:sectPr>
      </w:pPr>
      <w:r>
        <w:rPr>
          <w:rFonts w:hint="eastAsia"/>
          <w:color w:val="000000" w:themeColor="text1"/>
          <w:sz w:val="36"/>
          <w:szCs w:val="36"/>
          <w14:textFill>
            <w14:solidFill>
              <w14:schemeClr w14:val="tx1"/>
            </w14:solidFill>
          </w14:textFill>
        </w:rPr>
        <w:t>中华人民共和国生态环境部制</w:t>
      </w:r>
    </w:p>
    <w:p>
      <w:pPr>
        <w:pStyle w:val="85"/>
        <w:jc w:val="center"/>
        <w:outlineLvl w:val="0"/>
        <w:rPr>
          <w:rFonts w:ascii="Times New Roman" w:hAnsi="Times New Roman"/>
          <w:snapToGrid w:val="0"/>
          <w:color w:val="000000" w:themeColor="text1"/>
          <w:sz w:val="30"/>
          <w:szCs w:val="30"/>
          <w14:textFill>
            <w14:solidFill>
              <w14:schemeClr w14:val="tx1"/>
            </w14:solidFill>
          </w14:textFill>
        </w:rPr>
      </w:pPr>
      <w:r>
        <w:rPr>
          <w:rFonts w:hint="eastAsia" w:ascii="Times New Roman" w:hAnsi="Times New Roman"/>
          <w:snapToGrid w:val="0"/>
          <w:color w:val="000000" w:themeColor="text1"/>
          <w:sz w:val="30"/>
          <w:szCs w:val="30"/>
          <w14:textFill>
            <w14:solidFill>
              <w14:schemeClr w14:val="tx1"/>
            </w14:solidFill>
          </w14:textFill>
        </w:rPr>
        <w:t>一、建设项目基本情况</w:t>
      </w:r>
    </w:p>
    <w:tbl>
      <w:tblPr>
        <w:tblStyle w:val="92"/>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0" w:type="dxa"/>
          <w:bottom w:w="0" w:type="dxa"/>
          <w:right w:w="0" w:type="dxa"/>
        </w:tblCellMar>
      </w:tblPr>
      <w:tblGrid>
        <w:gridCol w:w="1389"/>
        <w:gridCol w:w="2561"/>
        <w:gridCol w:w="2196"/>
        <w:gridCol w:w="3626"/>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389" w:type="dxa"/>
            <w:tcMar>
              <w:top w:w="16" w:type="dxa"/>
              <w:left w:w="16" w:type="dxa"/>
              <w:right w:w="16" w:type="dxa"/>
            </w:tcMar>
            <w:vAlign w:val="center"/>
          </w:tcPr>
          <w:p>
            <w:pPr>
              <w:adjustRightInd w:val="0"/>
              <w:snapToGrid w:val="0"/>
              <w:jc w:val="center"/>
            </w:pPr>
            <w:r>
              <w:t>建设项目名称</w:t>
            </w:r>
          </w:p>
        </w:tc>
        <w:tc>
          <w:tcPr>
            <w:tcW w:w="8383" w:type="dxa"/>
            <w:gridSpan w:val="3"/>
            <w:vAlign w:val="center"/>
          </w:tcPr>
          <w:p>
            <w:pPr>
              <w:adjustRightInd w:val="0"/>
              <w:snapToGrid w:val="0"/>
              <w:jc w:val="center"/>
            </w:pPr>
            <w:r>
              <w:rPr>
                <w:rFonts w:hint="eastAsia"/>
              </w:rPr>
              <w:t>中茂新材料</w:t>
            </w:r>
            <w:r>
              <w:rPr>
                <w:rFonts w:hint="eastAsia"/>
                <w:lang w:eastAsia="zh-CN"/>
              </w:rPr>
              <w:t>（</w:t>
            </w:r>
            <w:r>
              <w:rPr>
                <w:rFonts w:hint="eastAsia"/>
              </w:rPr>
              <w:t>惠州</w:t>
            </w:r>
            <w:r>
              <w:rPr>
                <w:rFonts w:hint="eastAsia"/>
                <w:lang w:eastAsia="zh-CN"/>
              </w:rPr>
              <w:t>）</w:t>
            </w:r>
            <w:r>
              <w:rPr>
                <w:rFonts w:hint="eastAsia"/>
              </w:rPr>
              <w:t>有限公司</w:t>
            </w:r>
            <w:r>
              <w:rPr>
                <w:rFonts w:hint="eastAsia"/>
                <w:lang w:val="en-US" w:eastAsia="zh-CN"/>
              </w:rPr>
              <w:t>建设</w:t>
            </w:r>
            <w:r>
              <w:rPr>
                <w:rFonts w:hint="eastAsia"/>
              </w:rPr>
              <w:t>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389" w:type="dxa"/>
            <w:tcMar>
              <w:top w:w="16" w:type="dxa"/>
              <w:left w:w="16" w:type="dxa"/>
              <w:right w:w="16" w:type="dxa"/>
            </w:tcMar>
            <w:vAlign w:val="center"/>
          </w:tcPr>
          <w:p>
            <w:pPr>
              <w:adjustRightInd w:val="0"/>
              <w:snapToGrid w:val="0"/>
              <w:jc w:val="center"/>
            </w:pPr>
            <w:r>
              <w:t>项目代码</w:t>
            </w:r>
          </w:p>
        </w:tc>
        <w:tc>
          <w:tcPr>
            <w:tcW w:w="8383" w:type="dxa"/>
            <w:gridSpan w:val="3"/>
            <w:vAlign w:val="center"/>
          </w:tcPr>
          <w:p>
            <w:pPr>
              <w:adjustRightInd w:val="0"/>
              <w:snapToGrid w:val="0"/>
              <w:jc w:val="cente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389" w:type="dxa"/>
            <w:tcMar>
              <w:top w:w="16" w:type="dxa"/>
              <w:left w:w="16" w:type="dxa"/>
              <w:right w:w="16" w:type="dxa"/>
            </w:tcMar>
            <w:vAlign w:val="center"/>
          </w:tcPr>
          <w:p>
            <w:pPr>
              <w:adjustRightInd w:val="0"/>
              <w:snapToGrid w:val="0"/>
              <w:jc w:val="center"/>
            </w:pPr>
            <w:r>
              <w:t>建设单位联系人</w:t>
            </w:r>
          </w:p>
        </w:tc>
        <w:tc>
          <w:tcPr>
            <w:tcW w:w="2561" w:type="dxa"/>
            <w:vAlign w:val="center"/>
          </w:tcPr>
          <w:p>
            <w:pPr>
              <w:adjustRightInd w:val="0"/>
              <w:snapToGrid w:val="0"/>
              <w:jc w:val="center"/>
            </w:pPr>
          </w:p>
        </w:tc>
        <w:tc>
          <w:tcPr>
            <w:tcW w:w="2196" w:type="dxa"/>
            <w:vAlign w:val="center"/>
          </w:tcPr>
          <w:p>
            <w:pPr>
              <w:adjustRightInd w:val="0"/>
              <w:snapToGrid w:val="0"/>
              <w:jc w:val="center"/>
            </w:pPr>
            <w:r>
              <w:t>联系方式</w:t>
            </w:r>
          </w:p>
        </w:tc>
        <w:tc>
          <w:tcPr>
            <w:tcW w:w="3626" w:type="dxa"/>
            <w:vAlign w:val="center"/>
          </w:tcPr>
          <w:p>
            <w:pPr>
              <w:adjustRightInd w:val="0"/>
              <w:snapToGrid w:val="0"/>
              <w:jc w:val="cente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389" w:type="dxa"/>
            <w:tcMar>
              <w:top w:w="16" w:type="dxa"/>
              <w:left w:w="16" w:type="dxa"/>
              <w:right w:w="16" w:type="dxa"/>
            </w:tcMar>
            <w:vAlign w:val="center"/>
          </w:tcPr>
          <w:p>
            <w:pPr>
              <w:adjustRightInd w:val="0"/>
              <w:snapToGrid w:val="0"/>
              <w:jc w:val="center"/>
            </w:pPr>
            <w:r>
              <w:t>建设地点</w:t>
            </w:r>
          </w:p>
        </w:tc>
        <w:tc>
          <w:tcPr>
            <w:tcW w:w="8383" w:type="dxa"/>
            <w:gridSpan w:val="3"/>
            <w:vAlign w:val="center"/>
          </w:tcPr>
          <w:p>
            <w:pPr>
              <w:adjustRightInd w:val="0"/>
              <w:snapToGrid w:val="0"/>
              <w:jc w:val="center"/>
            </w:pPr>
            <w:r>
              <w:rPr>
                <w:u w:val="single"/>
              </w:rPr>
              <w:t>广东</w:t>
            </w:r>
            <w:r>
              <w:t>省</w:t>
            </w:r>
            <w:r>
              <w:rPr>
                <w:u w:val="single"/>
              </w:rPr>
              <w:t>惠州</w:t>
            </w:r>
            <w:r>
              <w:t>市</w:t>
            </w:r>
            <w:r>
              <w:rPr>
                <w:u w:val="single"/>
              </w:rPr>
              <w:t>博罗</w:t>
            </w:r>
            <w:r>
              <w:t>县</w:t>
            </w:r>
            <w:r>
              <w:rPr>
                <w:rFonts w:hint="eastAsia"/>
                <w:u w:val="single"/>
              </w:rPr>
              <w:t>杨侨镇大坑办事处桔子路武高段（土名）</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389" w:type="dxa"/>
            <w:tcMar>
              <w:top w:w="16" w:type="dxa"/>
              <w:left w:w="16" w:type="dxa"/>
              <w:right w:w="16" w:type="dxa"/>
            </w:tcMar>
            <w:vAlign w:val="center"/>
          </w:tcPr>
          <w:p>
            <w:pPr>
              <w:adjustRightInd w:val="0"/>
              <w:snapToGrid w:val="0"/>
              <w:jc w:val="center"/>
            </w:pPr>
            <w:r>
              <w:t>地理坐标</w:t>
            </w:r>
          </w:p>
        </w:tc>
        <w:tc>
          <w:tcPr>
            <w:tcW w:w="8383" w:type="dxa"/>
            <w:gridSpan w:val="3"/>
            <w:vAlign w:val="center"/>
          </w:tcPr>
          <w:p>
            <w:pPr>
              <w:jc w:val="center"/>
            </w:pPr>
            <w:r>
              <w:t>（东经</w:t>
            </w:r>
            <w:r>
              <w:rPr>
                <w:u w:val="single"/>
              </w:rPr>
              <w:t xml:space="preserve"> 11</w:t>
            </w:r>
            <w:r>
              <w:rPr>
                <w:rFonts w:hint="eastAsia"/>
                <w:u w:val="single"/>
              </w:rPr>
              <w:t>4</w:t>
            </w:r>
            <w:r>
              <w:rPr>
                <w:u w:val="single"/>
              </w:rPr>
              <w:t xml:space="preserve"> </w:t>
            </w:r>
            <w:r>
              <w:t>度</w:t>
            </w:r>
            <w:r>
              <w:rPr>
                <w:u w:val="single"/>
              </w:rPr>
              <w:t xml:space="preserve"> </w:t>
            </w:r>
            <w:r>
              <w:rPr>
                <w:rFonts w:hint="eastAsia"/>
                <w:u w:val="single"/>
              </w:rPr>
              <w:t>29</w:t>
            </w:r>
            <w:r>
              <w:rPr>
                <w:u w:val="single"/>
              </w:rPr>
              <w:t xml:space="preserve"> </w:t>
            </w:r>
            <w:r>
              <w:t>分</w:t>
            </w:r>
            <w:r>
              <w:rPr>
                <w:u w:val="single"/>
              </w:rPr>
              <w:t xml:space="preserve"> </w:t>
            </w:r>
            <w:r>
              <w:rPr>
                <w:rFonts w:hint="eastAsia"/>
                <w:u w:val="single"/>
              </w:rPr>
              <w:t>17.916</w:t>
            </w:r>
            <w:r>
              <w:rPr>
                <w:u w:val="single"/>
              </w:rPr>
              <w:t xml:space="preserve"> </w:t>
            </w:r>
            <w:r>
              <w:t>秒，北纬</w:t>
            </w:r>
            <w:r>
              <w:rPr>
                <w:u w:val="single"/>
              </w:rPr>
              <w:t xml:space="preserve"> 23 </w:t>
            </w:r>
            <w:r>
              <w:t>度</w:t>
            </w:r>
            <w:r>
              <w:rPr>
                <w:u w:val="single"/>
              </w:rPr>
              <w:t xml:space="preserve"> </w:t>
            </w:r>
            <w:r>
              <w:rPr>
                <w:rFonts w:hint="eastAsia"/>
                <w:u w:val="single"/>
              </w:rPr>
              <w:t>26</w:t>
            </w:r>
            <w:r>
              <w:rPr>
                <w:u w:val="single"/>
              </w:rPr>
              <w:t xml:space="preserve"> </w:t>
            </w:r>
            <w:r>
              <w:t>分</w:t>
            </w:r>
            <w:r>
              <w:rPr>
                <w:u w:val="single"/>
              </w:rPr>
              <w:t xml:space="preserve"> </w:t>
            </w:r>
            <w:r>
              <w:rPr>
                <w:rFonts w:hint="eastAsia"/>
                <w:u w:val="single"/>
              </w:rPr>
              <w:t>29.508</w:t>
            </w:r>
            <w:r>
              <w:rPr>
                <w:u w:val="single"/>
              </w:rPr>
              <w:t xml:space="preserve"> </w:t>
            </w:r>
            <w:r>
              <w:t>秒）</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1" w:hRule="atLeast"/>
          <w:jc w:val="center"/>
        </w:trPr>
        <w:tc>
          <w:tcPr>
            <w:tcW w:w="1389" w:type="dxa"/>
            <w:tcMar>
              <w:top w:w="16" w:type="dxa"/>
              <w:left w:w="16" w:type="dxa"/>
              <w:right w:w="16" w:type="dxa"/>
            </w:tcMar>
            <w:vAlign w:val="center"/>
          </w:tcPr>
          <w:p>
            <w:pPr>
              <w:adjustRightInd w:val="0"/>
              <w:snapToGrid w:val="0"/>
              <w:jc w:val="center"/>
            </w:pPr>
            <w:r>
              <w:t>国民经济</w:t>
            </w:r>
          </w:p>
          <w:p>
            <w:pPr>
              <w:adjustRightInd w:val="0"/>
              <w:snapToGrid w:val="0"/>
              <w:jc w:val="center"/>
            </w:pPr>
            <w:r>
              <w:t>行业类别</w:t>
            </w:r>
          </w:p>
        </w:tc>
        <w:tc>
          <w:tcPr>
            <w:tcW w:w="2561" w:type="dxa"/>
            <w:vAlign w:val="center"/>
          </w:tcPr>
          <w:p>
            <w:pPr>
              <w:adjustRightInd w:val="0"/>
              <w:snapToGrid w:val="0"/>
              <w:jc w:val="center"/>
            </w:pPr>
            <w:r>
              <w:t>C</w:t>
            </w:r>
            <w:r>
              <w:rPr>
                <w:rFonts w:hint="eastAsia"/>
              </w:rPr>
              <w:t>2913橡胶零件制造</w:t>
            </w:r>
          </w:p>
        </w:tc>
        <w:tc>
          <w:tcPr>
            <w:tcW w:w="2196" w:type="dxa"/>
            <w:vAlign w:val="center"/>
          </w:tcPr>
          <w:p>
            <w:pPr>
              <w:adjustRightInd w:val="0"/>
              <w:snapToGrid w:val="0"/>
              <w:jc w:val="center"/>
            </w:pPr>
            <w:bookmarkStart w:id="1" w:name="_Hlk49843745"/>
            <w:r>
              <w:t>建设项目</w:t>
            </w:r>
          </w:p>
          <w:p>
            <w:pPr>
              <w:adjustRightInd w:val="0"/>
              <w:snapToGrid w:val="0"/>
              <w:jc w:val="center"/>
            </w:pPr>
            <w:r>
              <w:t>行业类别</w:t>
            </w:r>
            <w:bookmarkEnd w:id="1"/>
          </w:p>
        </w:tc>
        <w:tc>
          <w:tcPr>
            <w:tcW w:w="3626" w:type="dxa"/>
            <w:vAlign w:val="center"/>
          </w:tcPr>
          <w:p>
            <w:pPr>
              <w:adjustRightInd w:val="0"/>
              <w:snapToGrid w:val="0"/>
            </w:pPr>
            <w:r>
              <w:rPr>
                <w:rFonts w:hint="eastAsia"/>
              </w:rPr>
              <w:t>29橡胶和塑料制品业291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219" w:hRule="atLeast"/>
          <w:jc w:val="center"/>
        </w:trPr>
        <w:tc>
          <w:tcPr>
            <w:tcW w:w="1389" w:type="dxa"/>
            <w:tcMar>
              <w:top w:w="16" w:type="dxa"/>
              <w:left w:w="16" w:type="dxa"/>
              <w:right w:w="16" w:type="dxa"/>
            </w:tcMar>
            <w:vAlign w:val="center"/>
          </w:tcPr>
          <w:p>
            <w:pPr>
              <w:adjustRightInd w:val="0"/>
              <w:snapToGrid w:val="0"/>
              <w:jc w:val="center"/>
            </w:pPr>
            <w:r>
              <w:t>建设性质</w:t>
            </w:r>
          </w:p>
        </w:tc>
        <w:tc>
          <w:tcPr>
            <w:tcW w:w="2561" w:type="dxa"/>
            <w:vAlign w:val="center"/>
          </w:tcPr>
          <w:p>
            <w:pPr>
              <w:jc w:val="left"/>
            </w:pPr>
            <w:r>
              <w:rPr/>
              <w:sym w:font="Wingdings 2" w:char="0052"/>
            </w:r>
            <w:r>
              <w:t>新建（迁建）</w:t>
            </w:r>
          </w:p>
          <w:p>
            <w:pPr>
              <w:jc w:val="left"/>
            </w:pPr>
            <w:r>
              <w:rPr/>
              <w:sym w:font="Wingdings 2" w:char="00A3"/>
            </w:r>
            <w:r>
              <w:t>改建</w:t>
            </w:r>
          </w:p>
          <w:p>
            <w:pPr>
              <w:jc w:val="left"/>
            </w:pPr>
            <w:r>
              <w:rPr/>
              <w:sym w:font="Wingdings 2" w:char="00A3"/>
            </w:r>
            <w:r>
              <w:t>扩建</w:t>
            </w:r>
          </w:p>
          <w:p>
            <w:pPr>
              <w:jc w:val="left"/>
            </w:pPr>
            <w:r>
              <w:rPr/>
              <w:sym w:font="Wingdings 2" w:char="00A3"/>
            </w:r>
            <w:r>
              <w:t>技术改造</w:t>
            </w:r>
          </w:p>
        </w:tc>
        <w:tc>
          <w:tcPr>
            <w:tcW w:w="2196" w:type="dxa"/>
            <w:vAlign w:val="center"/>
          </w:tcPr>
          <w:p>
            <w:pPr>
              <w:adjustRightInd w:val="0"/>
              <w:snapToGrid w:val="0"/>
              <w:jc w:val="center"/>
            </w:pPr>
            <w:r>
              <w:t>建设项目</w:t>
            </w:r>
          </w:p>
          <w:p>
            <w:pPr>
              <w:adjustRightInd w:val="0"/>
              <w:snapToGrid w:val="0"/>
              <w:jc w:val="center"/>
            </w:pPr>
            <w:r>
              <w:t>申报情形</w:t>
            </w:r>
          </w:p>
        </w:tc>
        <w:tc>
          <w:tcPr>
            <w:tcW w:w="3626" w:type="dxa"/>
            <w:vAlign w:val="center"/>
          </w:tcPr>
          <w:p>
            <w:pPr>
              <w:jc w:val="left"/>
            </w:pPr>
            <w:r>
              <w:rPr/>
              <w:sym w:font="Wingdings 2" w:char="0052"/>
            </w:r>
            <w:r>
              <w:t xml:space="preserve">首次申报项目             </w:t>
            </w:r>
          </w:p>
          <w:p>
            <w:pPr>
              <w:jc w:val="left"/>
            </w:pPr>
            <w:r>
              <w:rPr/>
              <w:sym w:font="Wingdings 2" w:char="00A3"/>
            </w:r>
            <w:r>
              <w:t>不予批准后再次申报项目</w:t>
            </w:r>
          </w:p>
          <w:p>
            <w:pPr>
              <w:jc w:val="left"/>
            </w:pPr>
            <w:r>
              <w:rPr/>
              <w:sym w:font="Wingdings 2" w:char="00A3"/>
            </w:r>
            <w:r>
              <w:t xml:space="preserve">超五年重新审核项目     </w:t>
            </w:r>
          </w:p>
          <w:p>
            <w:pPr>
              <w:jc w:val="left"/>
            </w:pPr>
            <w:r>
              <w:rPr/>
              <w:sym w:font="Wingdings 2" w:char="00A3"/>
            </w:r>
            <w:r>
              <w:t>重大变动重新报批项目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851" w:hRule="atLeast"/>
          <w:jc w:val="center"/>
        </w:trPr>
        <w:tc>
          <w:tcPr>
            <w:tcW w:w="1389" w:type="dxa"/>
            <w:tcMar>
              <w:top w:w="16" w:type="dxa"/>
              <w:left w:w="16" w:type="dxa"/>
              <w:right w:w="16" w:type="dxa"/>
            </w:tcMar>
            <w:vAlign w:val="center"/>
          </w:tcPr>
          <w:p>
            <w:pPr>
              <w:adjustRightInd w:val="0"/>
              <w:snapToGrid w:val="0"/>
              <w:jc w:val="center"/>
            </w:pPr>
            <w:r>
              <w:t>项目审批（核准/</w:t>
            </w:r>
          </w:p>
          <w:p>
            <w:pPr>
              <w:adjustRightInd w:val="0"/>
              <w:snapToGrid w:val="0"/>
              <w:jc w:val="center"/>
            </w:pPr>
            <w:r>
              <w:t>备案）部门（选填）</w:t>
            </w:r>
          </w:p>
        </w:tc>
        <w:tc>
          <w:tcPr>
            <w:tcW w:w="2561" w:type="dxa"/>
            <w:vAlign w:val="center"/>
          </w:tcPr>
          <w:p>
            <w:pPr>
              <w:adjustRightInd w:val="0"/>
              <w:snapToGrid w:val="0"/>
              <w:jc w:val="center"/>
            </w:pPr>
            <w:r>
              <w:t>/</w:t>
            </w:r>
          </w:p>
        </w:tc>
        <w:tc>
          <w:tcPr>
            <w:tcW w:w="2196" w:type="dxa"/>
            <w:vAlign w:val="center"/>
          </w:tcPr>
          <w:p>
            <w:pPr>
              <w:adjustRightInd w:val="0"/>
              <w:snapToGrid w:val="0"/>
              <w:jc w:val="center"/>
            </w:pPr>
            <w:r>
              <w:t>项目审批（核准/</w:t>
            </w:r>
          </w:p>
          <w:p>
            <w:pPr>
              <w:adjustRightInd w:val="0"/>
              <w:snapToGrid w:val="0"/>
              <w:jc w:val="center"/>
            </w:pPr>
            <w:r>
              <w:t>备案）文号（选填）</w:t>
            </w:r>
          </w:p>
        </w:tc>
        <w:tc>
          <w:tcPr>
            <w:tcW w:w="3626" w:type="dxa"/>
            <w:vAlign w:val="center"/>
          </w:tcPr>
          <w:p>
            <w:pPr>
              <w:adjustRightInd w:val="0"/>
              <w:snapToGrid w:val="0"/>
              <w:jc w:val="center"/>
            </w:pPr>
            <w: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389" w:type="dxa"/>
            <w:tcMar>
              <w:top w:w="16" w:type="dxa"/>
              <w:left w:w="16" w:type="dxa"/>
              <w:right w:w="16" w:type="dxa"/>
            </w:tcMar>
            <w:vAlign w:val="center"/>
          </w:tcPr>
          <w:p>
            <w:pPr>
              <w:adjustRightInd w:val="0"/>
              <w:snapToGrid w:val="0"/>
              <w:jc w:val="center"/>
            </w:pPr>
            <w:r>
              <w:t>总投资（万元）</w:t>
            </w:r>
          </w:p>
        </w:tc>
        <w:tc>
          <w:tcPr>
            <w:tcW w:w="2561" w:type="dxa"/>
            <w:vAlign w:val="center"/>
          </w:tcPr>
          <w:p>
            <w:pPr>
              <w:adjustRightInd w:val="0"/>
              <w:snapToGrid w:val="0"/>
              <w:jc w:val="center"/>
              <w:rPr>
                <w:color w:val="FF0000"/>
              </w:rPr>
            </w:pPr>
            <w:r>
              <w:rPr>
                <w:rFonts w:hint="eastAsia"/>
              </w:rPr>
              <w:t>18000</w:t>
            </w:r>
          </w:p>
        </w:tc>
        <w:tc>
          <w:tcPr>
            <w:tcW w:w="2196" w:type="dxa"/>
            <w:tcMar>
              <w:top w:w="16" w:type="dxa"/>
              <w:left w:w="16" w:type="dxa"/>
              <w:right w:w="16" w:type="dxa"/>
            </w:tcMar>
            <w:vAlign w:val="center"/>
          </w:tcPr>
          <w:p>
            <w:pPr>
              <w:adjustRightInd w:val="0"/>
              <w:snapToGrid w:val="0"/>
              <w:jc w:val="center"/>
            </w:pPr>
            <w:r>
              <w:t>环保投资（万元）</w:t>
            </w:r>
          </w:p>
        </w:tc>
        <w:tc>
          <w:tcPr>
            <w:tcW w:w="3626" w:type="dxa"/>
            <w:vAlign w:val="center"/>
          </w:tcPr>
          <w:p>
            <w:pPr>
              <w:adjustRightInd w:val="0"/>
              <w:snapToGrid w:val="0"/>
              <w:jc w:val="center"/>
            </w:pPr>
            <w:r>
              <w:rPr>
                <w:rFonts w:hint="eastAsia"/>
              </w:rPr>
              <w:t>160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389" w:type="dxa"/>
            <w:tcMar>
              <w:top w:w="16" w:type="dxa"/>
              <w:left w:w="16" w:type="dxa"/>
              <w:right w:w="16" w:type="dxa"/>
            </w:tcMar>
            <w:vAlign w:val="center"/>
          </w:tcPr>
          <w:p>
            <w:pPr>
              <w:adjustRightInd w:val="0"/>
              <w:snapToGrid w:val="0"/>
              <w:jc w:val="center"/>
            </w:pPr>
            <w:r>
              <w:t>环保投资占比（%）</w:t>
            </w:r>
          </w:p>
        </w:tc>
        <w:tc>
          <w:tcPr>
            <w:tcW w:w="2561" w:type="dxa"/>
            <w:vAlign w:val="center"/>
          </w:tcPr>
          <w:p>
            <w:pPr>
              <w:adjustRightInd w:val="0"/>
              <w:snapToGrid w:val="0"/>
              <w:jc w:val="center"/>
              <w:rPr>
                <w:color w:val="FF0000"/>
              </w:rPr>
            </w:pPr>
            <w:r>
              <w:rPr>
                <w:rFonts w:hint="eastAsia"/>
                <w:color w:val="auto"/>
              </w:rPr>
              <w:t>0.89</w:t>
            </w:r>
          </w:p>
        </w:tc>
        <w:tc>
          <w:tcPr>
            <w:tcW w:w="2196" w:type="dxa"/>
            <w:tcMar>
              <w:top w:w="16" w:type="dxa"/>
              <w:left w:w="16" w:type="dxa"/>
              <w:right w:w="16" w:type="dxa"/>
            </w:tcMar>
            <w:vAlign w:val="center"/>
          </w:tcPr>
          <w:p>
            <w:pPr>
              <w:adjustRightInd w:val="0"/>
              <w:snapToGrid w:val="0"/>
              <w:jc w:val="center"/>
            </w:pPr>
            <w:r>
              <w:t>施工工期</w:t>
            </w:r>
          </w:p>
        </w:tc>
        <w:tc>
          <w:tcPr>
            <w:tcW w:w="3626" w:type="dxa"/>
            <w:vAlign w:val="center"/>
          </w:tcPr>
          <w:p>
            <w:pPr>
              <w:adjustRightInd w:val="0"/>
              <w:snapToGrid w:val="0"/>
              <w:jc w:val="center"/>
            </w:pPr>
            <w: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697" w:hRule="atLeast"/>
          <w:jc w:val="center"/>
        </w:trPr>
        <w:tc>
          <w:tcPr>
            <w:tcW w:w="1389" w:type="dxa"/>
            <w:tcMar>
              <w:top w:w="16" w:type="dxa"/>
              <w:left w:w="16" w:type="dxa"/>
              <w:right w:w="16" w:type="dxa"/>
            </w:tcMar>
            <w:vAlign w:val="center"/>
          </w:tcPr>
          <w:p>
            <w:pPr>
              <w:adjustRightInd w:val="0"/>
              <w:snapToGrid w:val="0"/>
              <w:jc w:val="center"/>
            </w:pPr>
            <w:r>
              <w:t>是否开工建设</w:t>
            </w:r>
          </w:p>
        </w:tc>
        <w:tc>
          <w:tcPr>
            <w:tcW w:w="2561" w:type="dxa"/>
            <w:vAlign w:val="center"/>
          </w:tcPr>
          <w:p>
            <w:pPr>
              <w:adjustRightInd w:val="0"/>
              <w:snapToGrid w:val="0"/>
            </w:pPr>
            <w:r>
              <w:rPr>
                <w:shd w:val="clear" w:color="auto" w:fill="FFFFFF"/>
              </w:rPr>
              <w:t>√</w:t>
            </w:r>
            <w:r>
              <w:t>否</w:t>
            </w:r>
          </w:p>
          <w:p>
            <w:pPr>
              <w:adjustRightInd w:val="0"/>
              <w:snapToGrid w:val="0"/>
            </w:pPr>
            <w:r>
              <w:rPr/>
              <w:sym w:font="Wingdings 2" w:char="00A3"/>
            </w:r>
            <w:r>
              <w:t>是：</w:t>
            </w:r>
            <w:r>
              <w:rPr>
                <w:u w:val="single"/>
              </w:rPr>
              <w:t xml:space="preserve">             </w:t>
            </w:r>
          </w:p>
        </w:tc>
        <w:tc>
          <w:tcPr>
            <w:tcW w:w="2196" w:type="dxa"/>
            <w:tcMar>
              <w:top w:w="16" w:type="dxa"/>
              <w:left w:w="16" w:type="dxa"/>
              <w:right w:w="16" w:type="dxa"/>
            </w:tcMar>
            <w:vAlign w:val="center"/>
          </w:tcPr>
          <w:p>
            <w:pPr>
              <w:adjustRightInd w:val="0"/>
              <w:snapToGrid w:val="0"/>
              <w:jc w:val="center"/>
              <w:rPr>
                <w:spacing w:val="-6"/>
              </w:rPr>
            </w:pPr>
            <w:r>
              <w:rPr>
                <w:spacing w:val="-6"/>
              </w:rPr>
              <w:t>用地（用海）</w:t>
            </w:r>
          </w:p>
          <w:p>
            <w:pPr>
              <w:adjustRightInd w:val="0"/>
              <w:snapToGrid w:val="0"/>
              <w:jc w:val="center"/>
            </w:pPr>
            <w:r>
              <w:rPr>
                <w:spacing w:val="-6"/>
              </w:rPr>
              <w:t>面积（m</w:t>
            </w:r>
            <w:r>
              <w:rPr>
                <w:spacing w:val="-6"/>
                <w:vertAlign w:val="superscript"/>
              </w:rPr>
              <w:t>2</w:t>
            </w:r>
            <w:r>
              <w:rPr>
                <w:spacing w:val="-6"/>
              </w:rPr>
              <w:t>）</w:t>
            </w:r>
          </w:p>
        </w:tc>
        <w:tc>
          <w:tcPr>
            <w:tcW w:w="3626" w:type="dxa"/>
            <w:vAlign w:val="center"/>
          </w:tcPr>
          <w:p>
            <w:pPr>
              <w:adjustRightInd w:val="0"/>
              <w:snapToGrid w:val="0"/>
              <w:jc w:val="center"/>
            </w:pPr>
            <w:r>
              <w:rPr>
                <w:rFonts w:hint="eastAsia"/>
              </w:rPr>
              <w:t>20000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46" w:hRule="atLeast"/>
          <w:jc w:val="center"/>
        </w:trPr>
        <w:tc>
          <w:tcPr>
            <w:tcW w:w="1389" w:type="dxa"/>
            <w:vAlign w:val="center"/>
          </w:tcPr>
          <w:p>
            <w:pPr>
              <w:autoSpaceDE w:val="0"/>
              <w:autoSpaceDN w:val="0"/>
              <w:adjustRightInd w:val="0"/>
              <w:snapToGrid w:val="0"/>
              <w:jc w:val="center"/>
            </w:pPr>
            <w:r>
              <w:t>专项评价设置情况</w:t>
            </w:r>
          </w:p>
        </w:tc>
        <w:tc>
          <w:tcPr>
            <w:tcW w:w="8383" w:type="dxa"/>
            <w:gridSpan w:val="3"/>
            <w:vAlign w:val="center"/>
          </w:tcPr>
          <w:p>
            <w:pPr>
              <w:autoSpaceDE w:val="0"/>
              <w:autoSpaceDN w:val="0"/>
              <w:adjustRightInd w:val="0"/>
              <w:snapToGrid w:val="0"/>
              <w:jc w:val="center"/>
            </w:pPr>
            <w:r>
              <w:rPr>
                <w:rFonts w:hint="eastAsia"/>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77" w:hRule="atLeast"/>
          <w:jc w:val="center"/>
        </w:trPr>
        <w:tc>
          <w:tcPr>
            <w:tcW w:w="1389" w:type="dxa"/>
            <w:vAlign w:val="center"/>
          </w:tcPr>
          <w:p>
            <w:pPr>
              <w:autoSpaceDE w:val="0"/>
              <w:autoSpaceDN w:val="0"/>
              <w:adjustRightInd w:val="0"/>
              <w:snapToGrid w:val="0"/>
              <w:jc w:val="center"/>
            </w:pPr>
            <w:r>
              <w:t>规划情况</w:t>
            </w:r>
          </w:p>
        </w:tc>
        <w:tc>
          <w:tcPr>
            <w:tcW w:w="8383" w:type="dxa"/>
            <w:gridSpan w:val="3"/>
            <w:vAlign w:val="center"/>
          </w:tcPr>
          <w:p>
            <w:pPr>
              <w:autoSpaceDE w:val="0"/>
              <w:autoSpaceDN w:val="0"/>
              <w:adjustRightInd w:val="0"/>
              <w:snapToGrid w:val="0"/>
              <w:jc w:val="center"/>
            </w:pPr>
            <w:r>
              <w:rPr>
                <w:szCs w:val="21"/>
              </w:rPr>
              <w:t>规划名称：《广东博罗县产业转移工业园区总体规划（2018-2035年）》</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40" w:hRule="atLeast"/>
          <w:jc w:val="center"/>
        </w:trPr>
        <w:tc>
          <w:tcPr>
            <w:tcW w:w="1389" w:type="dxa"/>
            <w:vAlign w:val="center"/>
          </w:tcPr>
          <w:p>
            <w:pPr>
              <w:adjustRightInd w:val="0"/>
              <w:snapToGrid w:val="0"/>
              <w:jc w:val="center"/>
            </w:pPr>
            <w:r>
              <w:t>规划环境影响评价情况</w:t>
            </w:r>
          </w:p>
        </w:tc>
        <w:tc>
          <w:tcPr>
            <w:tcW w:w="8383" w:type="dxa"/>
            <w:gridSpan w:val="3"/>
            <w:vAlign w:val="center"/>
          </w:tcPr>
          <w:p>
            <w:pPr>
              <w:autoSpaceDE w:val="0"/>
              <w:autoSpaceDN w:val="0"/>
              <w:adjustRightInd w:val="0"/>
              <w:snapToGrid w:val="0"/>
              <w:ind w:firstLine="420" w:firstLineChars="200"/>
              <w:jc w:val="left"/>
              <w:rPr>
                <w:szCs w:val="21"/>
              </w:rPr>
            </w:pPr>
            <w:r>
              <w:rPr>
                <w:szCs w:val="21"/>
              </w:rPr>
              <w:t>环境影响评价文件名称：《广东博罗县产业转移工业园区总体规划环境影响报告书》</w:t>
            </w:r>
          </w:p>
          <w:p>
            <w:pPr>
              <w:pStyle w:val="106"/>
              <w:ind w:firstLine="420" w:firstLineChars="200"/>
              <w:rPr>
                <w:rFonts w:ascii="Times New Roman" w:hAnsi="Times New Roman" w:cs="Times New Roman"/>
                <w:sz w:val="21"/>
                <w:szCs w:val="21"/>
              </w:rPr>
            </w:pPr>
            <w:r>
              <w:rPr>
                <w:rFonts w:ascii="Times New Roman" w:hAnsi="Times New Roman" w:cs="Times New Roman"/>
                <w:sz w:val="21"/>
                <w:szCs w:val="21"/>
              </w:rPr>
              <w:t>审查机关：广东省生态环境厅</w:t>
            </w:r>
          </w:p>
          <w:p>
            <w:pPr>
              <w:autoSpaceDE w:val="0"/>
              <w:autoSpaceDN w:val="0"/>
              <w:adjustRightInd w:val="0"/>
              <w:snapToGrid w:val="0"/>
              <w:ind w:firstLine="420" w:firstLineChars="200"/>
              <w:jc w:val="left"/>
            </w:pPr>
            <w:r>
              <w:rPr>
                <w:szCs w:val="21"/>
              </w:rPr>
              <w:t>审查意见及文号：《广东省生态环境厅关于印发&lt;广东博罗县产业转移工业园区总体规划环境影响报告书审查意见&gt;的函》，粤环审〔2021〕84号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081" w:hRule="atLeast"/>
          <w:jc w:val="center"/>
        </w:trPr>
        <w:tc>
          <w:tcPr>
            <w:tcW w:w="1389" w:type="dxa"/>
            <w:vAlign w:val="center"/>
          </w:tcPr>
          <w:p>
            <w:pPr>
              <w:autoSpaceDE w:val="0"/>
              <w:autoSpaceDN w:val="0"/>
              <w:adjustRightInd w:val="0"/>
              <w:snapToGrid w:val="0"/>
              <w:jc w:val="center"/>
            </w:pPr>
            <w:r>
              <w:t>规划及规划环境影响评价符合性分析</w:t>
            </w:r>
          </w:p>
        </w:tc>
        <w:tc>
          <w:tcPr>
            <w:tcW w:w="8383" w:type="dxa"/>
            <w:gridSpan w:val="3"/>
            <w:vAlign w:val="center"/>
          </w:tcPr>
          <w:p>
            <w:pPr>
              <w:autoSpaceDE w:val="0"/>
              <w:autoSpaceDN w:val="0"/>
              <w:adjustRightInd w:val="0"/>
              <w:snapToGrid w:val="0"/>
              <w:spacing w:line="360" w:lineRule="auto"/>
              <w:ind w:firstLine="422" w:firstLineChars="200"/>
              <w:rPr>
                <w:b/>
                <w:bCs/>
                <w:szCs w:val="21"/>
              </w:rPr>
            </w:pPr>
            <w:r>
              <w:rPr>
                <w:b/>
                <w:bCs/>
                <w:szCs w:val="21"/>
              </w:rPr>
              <w:t>1、与《广东博罗县产业转移工业园区总体规划（2018-2035年）》</w:t>
            </w:r>
            <w:r>
              <w:rPr>
                <w:rFonts w:hint="eastAsia"/>
                <w:b/>
                <w:bCs/>
                <w:szCs w:val="21"/>
              </w:rPr>
              <w:t>相符</w:t>
            </w:r>
            <w:r>
              <w:rPr>
                <w:b/>
                <w:bCs/>
                <w:szCs w:val="21"/>
              </w:rPr>
              <w:t>性分析</w:t>
            </w:r>
          </w:p>
          <w:p>
            <w:pPr>
              <w:pStyle w:val="106"/>
              <w:spacing w:line="360" w:lineRule="auto"/>
              <w:ind w:firstLine="420" w:firstLineChars="200"/>
              <w:jc w:val="both"/>
              <w:textAlignment w:val="baseline"/>
              <w:rPr>
                <w:rFonts w:ascii="Times New Roman" w:hAnsi="Times New Roman" w:cs="Times New Roman"/>
                <w:b/>
                <w:bCs/>
                <w:sz w:val="21"/>
                <w:szCs w:val="21"/>
              </w:rPr>
            </w:pPr>
            <w:r>
              <w:rPr>
                <w:rFonts w:ascii="Times New Roman" w:hAnsi="Times New Roman" w:cs="Times New Roman"/>
                <w:sz w:val="21"/>
                <w:szCs w:val="21"/>
              </w:rPr>
              <w:t>项目与《广东博罗县产业转移工业园区总体规划（2018-2035年）》相符性分析如下表所示。</w:t>
            </w:r>
          </w:p>
          <w:p>
            <w:pPr>
              <w:pStyle w:val="106"/>
              <w:jc w:val="center"/>
              <w:rPr>
                <w:rFonts w:ascii="Times New Roman" w:hAnsi="Times New Roman" w:cs="Times New Roman"/>
                <w:b/>
                <w:bCs/>
                <w:sz w:val="21"/>
                <w:szCs w:val="18"/>
              </w:rPr>
            </w:pPr>
            <w:r>
              <w:rPr>
                <w:rFonts w:ascii="Times New Roman" w:hAnsi="Times New Roman" w:cs="Times New Roman"/>
                <w:b/>
                <w:bCs/>
                <w:sz w:val="21"/>
                <w:szCs w:val="21"/>
              </w:rPr>
              <w:t>表1</w:t>
            </w:r>
            <w:r>
              <w:rPr>
                <w:rFonts w:hint="eastAsia" w:ascii="Times New Roman" w:hAnsi="Times New Roman" w:cs="Times New Roman"/>
                <w:b/>
                <w:bCs/>
                <w:sz w:val="21"/>
                <w:szCs w:val="21"/>
              </w:rPr>
              <w:t>-1</w:t>
            </w:r>
            <w:r>
              <w:rPr>
                <w:rFonts w:ascii="Times New Roman" w:hAnsi="Times New Roman" w:cs="Times New Roman"/>
                <w:b/>
                <w:bCs/>
                <w:sz w:val="21"/>
                <w:szCs w:val="21"/>
              </w:rPr>
              <w:t xml:space="preserve"> </w:t>
            </w:r>
            <w:r>
              <w:rPr>
                <w:rFonts w:ascii="Times New Roman" w:hAnsi="Times New Roman" w:cs="Times New Roman"/>
                <w:b/>
                <w:bCs/>
                <w:sz w:val="21"/>
                <w:szCs w:val="18"/>
              </w:rPr>
              <w:t>与《广东博罗县产业转移工业园区总体规划（2018-2035年）》</w:t>
            </w:r>
            <w:r>
              <w:rPr>
                <w:rFonts w:hint="eastAsia" w:ascii="Times New Roman" w:hAnsi="Times New Roman" w:cs="Times New Roman"/>
                <w:b/>
                <w:bCs/>
                <w:sz w:val="21"/>
                <w:szCs w:val="18"/>
              </w:rPr>
              <w:t>相符</w:t>
            </w:r>
            <w:r>
              <w:rPr>
                <w:rFonts w:ascii="Times New Roman" w:hAnsi="Times New Roman" w:cs="Times New Roman"/>
                <w:b/>
                <w:bCs/>
                <w:sz w:val="21"/>
                <w:szCs w:val="18"/>
              </w:rPr>
              <w:t>性分析</w:t>
            </w:r>
          </w:p>
          <w:tbl>
            <w:tblPr>
              <w:tblStyle w:val="92"/>
              <w:tblW w:w="503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656"/>
              <w:gridCol w:w="3618"/>
              <w:gridCol w:w="9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23" w:type="pct"/>
                  <w:vAlign w:val="center"/>
                </w:tcPr>
                <w:p>
                  <w:pPr>
                    <w:adjustRightInd w:val="0"/>
                    <w:snapToGrid w:val="0"/>
                    <w:jc w:val="center"/>
                    <w:rPr>
                      <w:b/>
                      <w:bCs/>
                      <w:color w:val="000000"/>
                      <w:sz w:val="18"/>
                      <w:szCs w:val="18"/>
                    </w:rPr>
                  </w:pPr>
                  <w:r>
                    <w:rPr>
                      <w:b/>
                      <w:bCs/>
                      <w:color w:val="000000"/>
                      <w:sz w:val="18"/>
                      <w:szCs w:val="18"/>
                    </w:rPr>
                    <w:t>《广东博罗县产业转移工业园区总体规划（2018-2035年）》规划要求</w:t>
                  </w:r>
                </w:p>
              </w:tc>
              <w:tc>
                <w:tcPr>
                  <w:tcW w:w="2200" w:type="pct"/>
                  <w:vAlign w:val="center"/>
                </w:tcPr>
                <w:p>
                  <w:pPr>
                    <w:adjustRightInd w:val="0"/>
                    <w:snapToGrid w:val="0"/>
                    <w:jc w:val="center"/>
                    <w:rPr>
                      <w:b/>
                      <w:bCs/>
                      <w:color w:val="000000"/>
                      <w:sz w:val="18"/>
                      <w:szCs w:val="18"/>
                    </w:rPr>
                  </w:pPr>
                  <w:r>
                    <w:rPr>
                      <w:b/>
                      <w:bCs/>
                      <w:color w:val="000000"/>
                      <w:sz w:val="18"/>
                      <w:szCs w:val="18"/>
                    </w:rPr>
                    <w:t>本项目情况</w:t>
                  </w:r>
                </w:p>
              </w:tc>
              <w:tc>
                <w:tcPr>
                  <w:tcW w:w="576" w:type="pct"/>
                  <w:vAlign w:val="center"/>
                </w:tcPr>
                <w:p>
                  <w:pPr>
                    <w:adjustRightInd w:val="0"/>
                    <w:snapToGrid w:val="0"/>
                    <w:jc w:val="center"/>
                    <w:rPr>
                      <w:b/>
                      <w:bCs/>
                      <w:color w:val="000000"/>
                      <w:sz w:val="18"/>
                      <w:szCs w:val="18"/>
                    </w:rPr>
                  </w:pPr>
                  <w:r>
                    <w:rPr>
                      <w:rFonts w:hint="eastAsia"/>
                      <w:b/>
                      <w:bCs/>
                      <w:color w:val="000000"/>
                      <w:sz w:val="18"/>
                      <w:szCs w:val="18"/>
                    </w:rPr>
                    <w:t>符合性结论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23" w:type="pct"/>
                  <w:vAlign w:val="center"/>
                </w:tcPr>
                <w:p>
                  <w:pPr>
                    <w:rPr>
                      <w:color w:val="000000"/>
                      <w:sz w:val="18"/>
                      <w:szCs w:val="18"/>
                    </w:rPr>
                  </w:pPr>
                  <w:r>
                    <w:rPr>
                      <w:color w:val="000000"/>
                      <w:sz w:val="18"/>
                      <w:szCs w:val="18"/>
                    </w:rPr>
                    <w:t>广东博罗县产业转移工业园区在实施过程中，应严格执行项目准入制度，引入的项目需符合《产业结构调整指导目录（2019年版）》、《市场准入负面清单（2020年版）》、《关于严格限制东江流域水污染项目建设进一步做好东江水质保护工作的通知》（粤府函〔2011〕339号）及其补充通知（粤府函〔2013〕231号）、《广东省水污染防治条例》等中的相关要求。</w:t>
                  </w:r>
                </w:p>
                <w:p>
                  <w:pPr>
                    <w:rPr>
                      <w:bCs/>
                      <w:color w:val="000000"/>
                      <w:sz w:val="18"/>
                      <w:szCs w:val="18"/>
                    </w:rPr>
                  </w:pPr>
                  <w:r>
                    <w:rPr>
                      <w:color w:val="000000"/>
                      <w:sz w:val="18"/>
                      <w:szCs w:val="18"/>
                    </w:rPr>
                    <w:t>允许与主导产业相配套的低污染、低能耗的行业入区。规划实施过程中应严格按园区产业定位选择入园项目。</w:t>
                  </w:r>
                </w:p>
              </w:tc>
              <w:tc>
                <w:tcPr>
                  <w:tcW w:w="2200" w:type="pct"/>
                  <w:vAlign w:val="center"/>
                </w:tcPr>
                <w:p>
                  <w:pPr>
                    <w:adjustRightInd w:val="0"/>
                    <w:snapToGrid w:val="0"/>
                    <w:rPr>
                      <w:color w:val="000000"/>
                      <w:sz w:val="18"/>
                      <w:szCs w:val="18"/>
                    </w:rPr>
                  </w:pPr>
                  <w:r>
                    <w:rPr>
                      <w:sz w:val="18"/>
                      <w:szCs w:val="18"/>
                    </w:rPr>
                    <w:t>项目属于</w:t>
                  </w:r>
                  <w:r>
                    <w:rPr>
                      <w:rFonts w:hint="eastAsia"/>
                      <w:sz w:val="18"/>
                      <w:szCs w:val="18"/>
                    </w:rPr>
                    <w:t>C2913橡胶零件制造</w:t>
                  </w:r>
                  <w:r>
                    <w:rPr>
                      <w:sz w:val="18"/>
                      <w:szCs w:val="18"/>
                    </w:rPr>
                    <w:t>，不属于《产业结构调整指导目录</w:t>
                  </w:r>
                  <w:r>
                    <w:rPr>
                      <w:rFonts w:hint="eastAsia"/>
                      <w:sz w:val="18"/>
                      <w:szCs w:val="18"/>
                    </w:rPr>
                    <w:t>（</w:t>
                  </w:r>
                  <w:r>
                    <w:rPr>
                      <w:sz w:val="18"/>
                      <w:szCs w:val="18"/>
                    </w:rPr>
                    <w:t>2019年版</w:t>
                  </w:r>
                  <w:r>
                    <w:rPr>
                      <w:rFonts w:hint="eastAsia"/>
                      <w:sz w:val="18"/>
                      <w:szCs w:val="18"/>
                    </w:rPr>
                    <w:t>）</w:t>
                  </w:r>
                  <w:r>
                    <w:rPr>
                      <w:sz w:val="18"/>
                      <w:szCs w:val="18"/>
                    </w:rPr>
                    <w:t>》</w:t>
                  </w:r>
                  <w:r>
                    <w:rPr>
                      <w:rFonts w:hint="eastAsia"/>
                      <w:sz w:val="18"/>
                      <w:szCs w:val="18"/>
                    </w:rPr>
                    <w:t>以及《国家发展改革委关于修改&lt;产业结构调整指导目录（2019年本）&gt;的决定》</w:t>
                  </w:r>
                  <w:r>
                    <w:rPr>
                      <w:sz w:val="18"/>
                      <w:szCs w:val="18"/>
                    </w:rPr>
                    <w:t>中限制类、淘汰类和《市场准入负面清单（202</w:t>
                  </w:r>
                  <w:r>
                    <w:rPr>
                      <w:rFonts w:hint="eastAsia"/>
                      <w:sz w:val="18"/>
                      <w:szCs w:val="18"/>
                    </w:rPr>
                    <w:t>2</w:t>
                  </w:r>
                  <w:r>
                    <w:rPr>
                      <w:sz w:val="18"/>
                      <w:szCs w:val="18"/>
                    </w:rPr>
                    <w:t>年版）》中的禁止准入类项目，属于允许类。</w:t>
                  </w:r>
                  <w:r>
                    <w:rPr>
                      <w:rFonts w:hint="eastAsia"/>
                      <w:sz w:val="18"/>
                      <w:szCs w:val="18"/>
                    </w:rPr>
                    <w:t>项目符合</w:t>
                  </w:r>
                  <w:r>
                    <w:rPr>
                      <w:sz w:val="18"/>
                      <w:szCs w:val="18"/>
                    </w:rPr>
                    <w:t>《关于严格限制东江流域水污染项目建设进一步做好东江水质保护工作的通知》（粤府函〔2011〕339号）及其补充通知（粤府函〔2013〕231号）、《广东省水污染防治条例》等</w:t>
                  </w:r>
                  <w:r>
                    <w:rPr>
                      <w:rFonts w:hint="eastAsia"/>
                      <w:sz w:val="18"/>
                      <w:szCs w:val="18"/>
                    </w:rPr>
                    <w:t>相关文件</w:t>
                  </w:r>
                  <w:r>
                    <w:rPr>
                      <w:sz w:val="18"/>
                      <w:szCs w:val="18"/>
                    </w:rPr>
                    <w:t>要求</w:t>
                  </w:r>
                  <w:r>
                    <w:rPr>
                      <w:rFonts w:hint="eastAsia"/>
                      <w:sz w:val="18"/>
                      <w:szCs w:val="18"/>
                    </w:rPr>
                    <w:t>。</w:t>
                  </w:r>
                  <w:r>
                    <w:rPr>
                      <w:sz w:val="18"/>
                      <w:szCs w:val="18"/>
                    </w:rPr>
                    <w:t>因此，该项目符合国家和地方的有关产业政策规定。项目符合入园要求</w:t>
                  </w:r>
                  <w:r>
                    <w:rPr>
                      <w:rFonts w:hint="eastAsia"/>
                      <w:sz w:val="18"/>
                      <w:szCs w:val="18"/>
                    </w:rPr>
                    <w:t>。</w:t>
                  </w:r>
                </w:p>
              </w:tc>
              <w:tc>
                <w:tcPr>
                  <w:tcW w:w="576" w:type="pct"/>
                  <w:vAlign w:val="center"/>
                </w:tcPr>
                <w:p>
                  <w:pPr>
                    <w:tabs>
                      <w:tab w:val="left" w:pos="2220"/>
                      <w:tab w:val="center" w:pos="4952"/>
                    </w:tabs>
                    <w:adjustRightInd w:val="0"/>
                    <w:snapToGrid w:val="0"/>
                    <w:jc w:val="center"/>
                    <w:rPr>
                      <w:color w:val="000000"/>
                      <w:sz w:val="18"/>
                      <w:szCs w:val="18"/>
                    </w:rPr>
                  </w:pPr>
                  <w:r>
                    <w:rPr>
                      <w:rFonts w:hint="eastAsia"/>
                      <w:color w:val="000000"/>
                      <w:sz w:val="18"/>
                      <w:szCs w:val="18"/>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23" w:type="pct"/>
                  <w:vAlign w:val="center"/>
                </w:tcPr>
                <w:p>
                  <w:pPr>
                    <w:rPr>
                      <w:color w:val="000000"/>
                      <w:sz w:val="18"/>
                      <w:szCs w:val="18"/>
                    </w:rPr>
                  </w:pPr>
                  <w:r>
                    <w:rPr>
                      <w:color w:val="000000"/>
                      <w:sz w:val="18"/>
                      <w:szCs w:val="18"/>
                    </w:rPr>
                    <w:t>禁止在居民区和学校、医院、疗养院、养老院等敏感区周边新建、改扩建涉及高健康风险、有毒有害气体（H</w:t>
                  </w:r>
                  <w:r>
                    <w:rPr>
                      <w:color w:val="000000"/>
                      <w:sz w:val="18"/>
                      <w:szCs w:val="18"/>
                      <w:vertAlign w:val="subscript"/>
                    </w:rPr>
                    <w:t>2</w:t>
                  </w:r>
                  <w:r>
                    <w:rPr>
                      <w:color w:val="000000"/>
                      <w:sz w:val="18"/>
                      <w:szCs w:val="18"/>
                    </w:rPr>
                    <w:t>S、二噁英等）排放项目（城市民生工程建设除外）</w:t>
                  </w:r>
                  <w:r>
                    <w:rPr>
                      <w:rFonts w:hint="eastAsia"/>
                      <w:color w:val="000000"/>
                      <w:sz w:val="18"/>
                      <w:szCs w:val="18"/>
                    </w:rPr>
                    <w:t>。</w:t>
                  </w:r>
                </w:p>
              </w:tc>
              <w:tc>
                <w:tcPr>
                  <w:tcW w:w="2200" w:type="pct"/>
                  <w:vAlign w:val="center"/>
                </w:tcPr>
                <w:p>
                  <w:pPr>
                    <w:adjustRightInd w:val="0"/>
                    <w:snapToGrid w:val="0"/>
                    <w:rPr>
                      <w:color w:val="000000"/>
                      <w:sz w:val="18"/>
                      <w:szCs w:val="18"/>
                    </w:rPr>
                  </w:pPr>
                  <w:r>
                    <w:rPr>
                      <w:sz w:val="18"/>
                      <w:szCs w:val="18"/>
                    </w:rPr>
                    <w:t>项目不涉及高健康风险、有毒有害气体排放</w:t>
                  </w:r>
                  <w:r>
                    <w:rPr>
                      <w:rFonts w:hint="eastAsia"/>
                      <w:sz w:val="18"/>
                      <w:szCs w:val="18"/>
                    </w:rPr>
                    <w:t>。</w:t>
                  </w:r>
                </w:p>
              </w:tc>
              <w:tc>
                <w:tcPr>
                  <w:tcW w:w="576" w:type="pct"/>
                  <w:vAlign w:val="center"/>
                </w:tcPr>
                <w:p>
                  <w:pPr>
                    <w:tabs>
                      <w:tab w:val="left" w:pos="2220"/>
                      <w:tab w:val="center" w:pos="4952"/>
                    </w:tabs>
                    <w:adjustRightInd w:val="0"/>
                    <w:snapToGrid w:val="0"/>
                    <w:jc w:val="center"/>
                    <w:rPr>
                      <w:color w:val="000000"/>
                      <w:sz w:val="18"/>
                      <w:szCs w:val="18"/>
                    </w:rPr>
                  </w:pPr>
                  <w:r>
                    <w:rPr>
                      <w:rFonts w:hint="eastAsia"/>
                      <w:color w:val="000000"/>
                      <w:sz w:val="18"/>
                      <w:szCs w:val="18"/>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23" w:type="pct"/>
                  <w:vAlign w:val="center"/>
                </w:tcPr>
                <w:p>
                  <w:pPr>
                    <w:rPr>
                      <w:color w:val="000000"/>
                      <w:sz w:val="18"/>
                      <w:szCs w:val="18"/>
                    </w:rPr>
                  </w:pPr>
                  <w:r>
                    <w:rPr>
                      <w:color w:val="000000"/>
                      <w:sz w:val="18"/>
                      <w:szCs w:val="18"/>
                    </w:rPr>
                    <w:t>严格控制水污染严重地区高耗水、高污染行业发展</w:t>
                  </w:r>
                  <w:r>
                    <w:rPr>
                      <w:rFonts w:hint="eastAsia"/>
                      <w:color w:val="000000"/>
                      <w:sz w:val="18"/>
                      <w:szCs w:val="18"/>
                    </w:rPr>
                    <w:t>。</w:t>
                  </w:r>
                </w:p>
              </w:tc>
              <w:tc>
                <w:tcPr>
                  <w:tcW w:w="2200" w:type="pct"/>
                  <w:vAlign w:val="center"/>
                </w:tcPr>
                <w:p>
                  <w:pPr>
                    <w:adjustRightInd w:val="0"/>
                    <w:snapToGrid w:val="0"/>
                    <w:rPr>
                      <w:color w:val="000000"/>
                      <w:sz w:val="18"/>
                      <w:szCs w:val="18"/>
                    </w:rPr>
                  </w:pPr>
                  <w:r>
                    <w:rPr>
                      <w:sz w:val="18"/>
                      <w:szCs w:val="18"/>
                    </w:rPr>
                    <w:t>项目不涉及</w:t>
                  </w:r>
                  <w:r>
                    <w:rPr>
                      <w:rFonts w:hint="eastAsia"/>
                      <w:sz w:val="18"/>
                      <w:szCs w:val="18"/>
                    </w:rPr>
                    <w:t>生产废水</w:t>
                  </w:r>
                  <w:r>
                    <w:rPr>
                      <w:sz w:val="18"/>
                      <w:szCs w:val="18"/>
                    </w:rPr>
                    <w:t>排放</w:t>
                  </w:r>
                  <w:r>
                    <w:rPr>
                      <w:rFonts w:hint="eastAsia"/>
                      <w:sz w:val="18"/>
                      <w:szCs w:val="18"/>
                    </w:rPr>
                    <w:t>，生活污水经三级化粪池预处理后经市政管网纳入杨侨镇生活污水处理厂进行处理，不属于</w:t>
                  </w:r>
                  <w:r>
                    <w:rPr>
                      <w:sz w:val="18"/>
                      <w:szCs w:val="18"/>
                    </w:rPr>
                    <w:t>高耗水、高污染行业</w:t>
                  </w:r>
                  <w:r>
                    <w:rPr>
                      <w:rFonts w:hint="eastAsia"/>
                      <w:sz w:val="18"/>
                      <w:szCs w:val="18"/>
                    </w:rPr>
                    <w:t>。</w:t>
                  </w:r>
                </w:p>
              </w:tc>
              <w:tc>
                <w:tcPr>
                  <w:tcW w:w="576" w:type="pct"/>
                  <w:vAlign w:val="center"/>
                </w:tcPr>
                <w:p>
                  <w:pPr>
                    <w:adjustRightInd w:val="0"/>
                    <w:snapToGrid w:val="0"/>
                    <w:jc w:val="center"/>
                    <w:rPr>
                      <w:bCs/>
                      <w:color w:val="000000"/>
                      <w:kern w:val="2"/>
                      <w:sz w:val="18"/>
                      <w:szCs w:val="18"/>
                    </w:rPr>
                  </w:pPr>
                  <w:r>
                    <w:rPr>
                      <w:rFonts w:hint="eastAsia"/>
                      <w:color w:val="000000"/>
                      <w:sz w:val="18"/>
                      <w:szCs w:val="18"/>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23" w:type="pct"/>
                  <w:vAlign w:val="center"/>
                </w:tcPr>
                <w:p>
                  <w:pPr>
                    <w:rPr>
                      <w:color w:val="000000"/>
                      <w:sz w:val="18"/>
                      <w:szCs w:val="18"/>
                    </w:rPr>
                  </w:pPr>
                  <w:r>
                    <w:rPr>
                      <w:color w:val="000000"/>
                      <w:sz w:val="18"/>
                      <w:szCs w:val="18"/>
                    </w:rPr>
                    <w:t>入园企业不得引入电镀（含专业电镀和配</w:t>
                  </w:r>
                </w:p>
                <w:p>
                  <w:pPr>
                    <w:rPr>
                      <w:color w:val="000000"/>
                      <w:sz w:val="18"/>
                      <w:szCs w:val="18"/>
                    </w:rPr>
                  </w:pPr>
                  <w:r>
                    <w:rPr>
                      <w:color w:val="000000"/>
                      <w:sz w:val="18"/>
                      <w:szCs w:val="18"/>
                    </w:rPr>
                    <w:t>套电镀）、制浆造纸、印染、制革等重污染项目，不得引入直接向外环境水体排放含汞、砷、镉、铅、六价铬等一类污染物或持久性有机污染物的项目，严格控制电氧化、化工和含脱脂、陶化、磷化、表</w:t>
                  </w:r>
                </w:p>
                <w:p>
                  <w:pPr>
                    <w:rPr>
                      <w:color w:val="000000"/>
                      <w:sz w:val="18"/>
                      <w:szCs w:val="18"/>
                    </w:rPr>
                  </w:pPr>
                  <w:r>
                    <w:rPr>
                      <w:color w:val="000000"/>
                      <w:sz w:val="18"/>
                      <w:szCs w:val="18"/>
                    </w:rPr>
                    <w:t>面处理工艺以及其他新增超标或超总量污染物的项目</w:t>
                  </w:r>
                  <w:r>
                    <w:rPr>
                      <w:rFonts w:hint="eastAsia"/>
                      <w:color w:val="000000"/>
                      <w:sz w:val="18"/>
                      <w:szCs w:val="18"/>
                    </w:rPr>
                    <w:t>。</w:t>
                  </w:r>
                </w:p>
              </w:tc>
              <w:tc>
                <w:tcPr>
                  <w:tcW w:w="2200" w:type="pct"/>
                  <w:vAlign w:val="center"/>
                </w:tcPr>
                <w:p>
                  <w:pPr>
                    <w:adjustRightInd w:val="0"/>
                    <w:snapToGrid w:val="0"/>
                    <w:rPr>
                      <w:color w:val="000000"/>
                      <w:sz w:val="18"/>
                      <w:szCs w:val="18"/>
                    </w:rPr>
                  </w:pPr>
                  <w:r>
                    <w:rPr>
                      <w:sz w:val="18"/>
                      <w:szCs w:val="18"/>
                    </w:rPr>
                    <w:t>项目属于</w:t>
                  </w:r>
                  <w:r>
                    <w:rPr>
                      <w:rFonts w:hint="eastAsia"/>
                      <w:sz w:val="18"/>
                      <w:szCs w:val="18"/>
                    </w:rPr>
                    <w:t>C2913橡胶零件制造，不属于</w:t>
                  </w:r>
                  <w:r>
                    <w:rPr>
                      <w:sz w:val="18"/>
                      <w:szCs w:val="18"/>
                    </w:rPr>
                    <w:t>电镀、制浆造纸、印染、制革等重污染项目</w:t>
                  </w:r>
                  <w:r>
                    <w:rPr>
                      <w:rFonts w:hint="eastAsia"/>
                      <w:sz w:val="18"/>
                      <w:szCs w:val="18"/>
                    </w:rPr>
                    <w:t>、不属于电氧化、化工和含脱脂、陶化、磷化、表面处理工艺以及其他新增超标或超总量污染物的项目。</w:t>
                  </w:r>
                  <w:r>
                    <w:rPr>
                      <w:sz w:val="18"/>
                      <w:szCs w:val="18"/>
                    </w:rPr>
                    <w:t>项目不涉及</w:t>
                  </w:r>
                  <w:r>
                    <w:rPr>
                      <w:rFonts w:hint="eastAsia"/>
                      <w:sz w:val="18"/>
                      <w:szCs w:val="18"/>
                    </w:rPr>
                    <w:t>生产废水</w:t>
                  </w:r>
                  <w:r>
                    <w:rPr>
                      <w:sz w:val="18"/>
                      <w:szCs w:val="18"/>
                    </w:rPr>
                    <w:t>排放</w:t>
                  </w:r>
                  <w:r>
                    <w:rPr>
                      <w:rFonts w:hint="eastAsia"/>
                      <w:sz w:val="18"/>
                      <w:szCs w:val="18"/>
                    </w:rPr>
                    <w:t>，生活污水经三级化粪池预处理后经市政管网纳入杨侨镇生活污水处理厂进行处理，不涉及</w:t>
                  </w:r>
                  <w:r>
                    <w:rPr>
                      <w:sz w:val="18"/>
                      <w:szCs w:val="18"/>
                    </w:rPr>
                    <w:t>一类污染物或持久性有机污染物</w:t>
                  </w:r>
                  <w:r>
                    <w:rPr>
                      <w:rFonts w:hint="eastAsia"/>
                      <w:sz w:val="18"/>
                      <w:szCs w:val="18"/>
                    </w:rPr>
                    <w:t>排放。</w:t>
                  </w:r>
                </w:p>
              </w:tc>
              <w:tc>
                <w:tcPr>
                  <w:tcW w:w="576" w:type="pct"/>
                  <w:vAlign w:val="center"/>
                </w:tcPr>
                <w:p>
                  <w:pPr>
                    <w:adjustRightInd w:val="0"/>
                    <w:snapToGrid w:val="0"/>
                    <w:jc w:val="center"/>
                    <w:rPr>
                      <w:color w:val="000000"/>
                      <w:kern w:val="2"/>
                      <w:sz w:val="18"/>
                      <w:szCs w:val="18"/>
                    </w:rPr>
                  </w:pPr>
                  <w:r>
                    <w:rPr>
                      <w:rFonts w:hint="eastAsia"/>
                      <w:color w:val="000000"/>
                      <w:sz w:val="18"/>
                      <w:szCs w:val="18"/>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23" w:type="pct"/>
                  <w:vAlign w:val="center"/>
                </w:tcPr>
                <w:p>
                  <w:pPr>
                    <w:rPr>
                      <w:color w:val="000000"/>
                      <w:sz w:val="18"/>
                      <w:szCs w:val="18"/>
                    </w:rPr>
                  </w:pPr>
                  <w:r>
                    <w:rPr>
                      <w:color w:val="000000"/>
                      <w:sz w:val="18"/>
                      <w:szCs w:val="18"/>
                    </w:rPr>
                    <w:t>禁止新建、扩建国家规划外的钢铁、原油加工、乙烯生产、造纸、水泥、平板玻璃、除特种陶瓷以外的陶瓷、有色金属冶炼的大气重污染项目。禁止新建生产和使用高VOCs含量溶剂型涂料、油墨、胶粘剂、清洗剂等项目（共性工厂除外）</w:t>
                  </w:r>
                  <w:r>
                    <w:rPr>
                      <w:rFonts w:hint="eastAsia"/>
                      <w:color w:val="000000"/>
                      <w:sz w:val="18"/>
                      <w:szCs w:val="18"/>
                    </w:rPr>
                    <w:t>。</w:t>
                  </w:r>
                </w:p>
              </w:tc>
              <w:tc>
                <w:tcPr>
                  <w:tcW w:w="2200" w:type="pct"/>
                  <w:vAlign w:val="center"/>
                </w:tcPr>
                <w:p>
                  <w:pPr>
                    <w:adjustRightInd w:val="0"/>
                    <w:snapToGrid w:val="0"/>
                    <w:rPr>
                      <w:color w:val="000000"/>
                      <w:sz w:val="18"/>
                      <w:szCs w:val="18"/>
                    </w:rPr>
                  </w:pPr>
                  <w:r>
                    <w:rPr>
                      <w:sz w:val="18"/>
                      <w:szCs w:val="18"/>
                    </w:rPr>
                    <w:t>项目属于</w:t>
                  </w:r>
                  <w:r>
                    <w:rPr>
                      <w:rFonts w:hint="eastAsia"/>
                      <w:sz w:val="18"/>
                      <w:szCs w:val="18"/>
                    </w:rPr>
                    <w:t>C2913橡胶零件制造，不属于</w:t>
                  </w:r>
                  <w:r>
                    <w:rPr>
                      <w:sz w:val="18"/>
                      <w:szCs w:val="18"/>
                    </w:rPr>
                    <w:t>钢铁、原油加工、乙烯生产、造纸、水泥、平板玻璃、除特种陶瓷以外的陶瓷、有色金属冶炼的大气重污染项目</w:t>
                  </w:r>
                  <w:r>
                    <w:rPr>
                      <w:rFonts w:hint="eastAsia"/>
                      <w:sz w:val="18"/>
                      <w:szCs w:val="18"/>
                    </w:rPr>
                    <w:t>。生产过程不使用</w:t>
                  </w:r>
                  <w:r>
                    <w:rPr>
                      <w:sz w:val="18"/>
                      <w:szCs w:val="18"/>
                    </w:rPr>
                    <w:t>涂料、油墨、胶粘剂、清洗剂等</w:t>
                  </w:r>
                  <w:r>
                    <w:rPr>
                      <w:rFonts w:hint="eastAsia"/>
                      <w:sz w:val="18"/>
                      <w:szCs w:val="18"/>
                    </w:rPr>
                    <w:t>等含VOCs的原辅材料。</w:t>
                  </w:r>
                </w:p>
              </w:tc>
              <w:tc>
                <w:tcPr>
                  <w:tcW w:w="576" w:type="pct"/>
                  <w:vAlign w:val="center"/>
                </w:tcPr>
                <w:p>
                  <w:pPr>
                    <w:adjustRightInd w:val="0"/>
                    <w:snapToGrid w:val="0"/>
                    <w:jc w:val="center"/>
                    <w:rPr>
                      <w:color w:val="000000"/>
                      <w:kern w:val="2"/>
                      <w:sz w:val="18"/>
                      <w:szCs w:val="18"/>
                    </w:rPr>
                  </w:pPr>
                  <w:r>
                    <w:rPr>
                      <w:rFonts w:hint="eastAsia"/>
                      <w:color w:val="000000"/>
                      <w:sz w:val="18"/>
                      <w:szCs w:val="18"/>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23" w:type="pct"/>
                  <w:vAlign w:val="center"/>
                </w:tcPr>
                <w:p>
                  <w:pPr>
                    <w:rPr>
                      <w:color w:val="000000"/>
                      <w:sz w:val="18"/>
                      <w:szCs w:val="18"/>
                    </w:rPr>
                  </w:pPr>
                  <w:r>
                    <w:rPr>
                      <w:color w:val="000000"/>
                      <w:sz w:val="18"/>
                      <w:szCs w:val="18"/>
                    </w:rPr>
                    <w:t>严禁淘汰类、禁止类项目入园。</w:t>
                  </w:r>
                </w:p>
              </w:tc>
              <w:tc>
                <w:tcPr>
                  <w:tcW w:w="2200" w:type="pct"/>
                  <w:vAlign w:val="center"/>
                </w:tcPr>
                <w:p>
                  <w:pPr>
                    <w:adjustRightInd w:val="0"/>
                    <w:snapToGrid w:val="0"/>
                    <w:rPr>
                      <w:color w:val="000000"/>
                      <w:sz w:val="18"/>
                      <w:szCs w:val="18"/>
                    </w:rPr>
                  </w:pPr>
                  <w:r>
                    <w:rPr>
                      <w:sz w:val="18"/>
                      <w:szCs w:val="18"/>
                    </w:rPr>
                    <w:t>项目属于</w:t>
                  </w:r>
                  <w:r>
                    <w:rPr>
                      <w:rFonts w:hint="eastAsia"/>
                      <w:sz w:val="18"/>
                      <w:szCs w:val="18"/>
                    </w:rPr>
                    <w:t>C2913橡胶零件制造</w:t>
                  </w:r>
                  <w:r>
                    <w:rPr>
                      <w:sz w:val="18"/>
                      <w:szCs w:val="18"/>
                    </w:rPr>
                    <w:t>，不属于《产业结构调整指导目录</w:t>
                  </w:r>
                  <w:r>
                    <w:rPr>
                      <w:rFonts w:hint="eastAsia"/>
                      <w:sz w:val="18"/>
                      <w:szCs w:val="18"/>
                    </w:rPr>
                    <w:t>（</w:t>
                  </w:r>
                  <w:r>
                    <w:rPr>
                      <w:sz w:val="18"/>
                      <w:szCs w:val="18"/>
                    </w:rPr>
                    <w:t>2019年版</w:t>
                  </w:r>
                  <w:r>
                    <w:rPr>
                      <w:rFonts w:hint="eastAsia"/>
                      <w:sz w:val="18"/>
                      <w:szCs w:val="18"/>
                    </w:rPr>
                    <w:t>）</w:t>
                  </w:r>
                  <w:r>
                    <w:rPr>
                      <w:sz w:val="18"/>
                      <w:szCs w:val="18"/>
                    </w:rPr>
                    <w:t>》</w:t>
                  </w:r>
                  <w:r>
                    <w:rPr>
                      <w:rFonts w:hint="eastAsia"/>
                      <w:sz w:val="18"/>
                      <w:szCs w:val="18"/>
                    </w:rPr>
                    <w:t>以及《国家发展改革委关于修改&lt;产业结构调整指导目录（2019年本）&gt;的决定》</w:t>
                  </w:r>
                  <w:r>
                    <w:rPr>
                      <w:sz w:val="18"/>
                      <w:szCs w:val="18"/>
                    </w:rPr>
                    <w:t>中限制类、淘汰类和《市场准入负面清单（202</w:t>
                  </w:r>
                  <w:r>
                    <w:rPr>
                      <w:rFonts w:hint="eastAsia"/>
                      <w:sz w:val="18"/>
                      <w:szCs w:val="18"/>
                    </w:rPr>
                    <w:t>2</w:t>
                  </w:r>
                  <w:r>
                    <w:rPr>
                      <w:sz w:val="18"/>
                      <w:szCs w:val="18"/>
                    </w:rPr>
                    <w:t>年版）》中的禁止准入类项目</w:t>
                  </w:r>
                  <w:r>
                    <w:rPr>
                      <w:rFonts w:hint="eastAsia"/>
                      <w:sz w:val="18"/>
                      <w:szCs w:val="18"/>
                    </w:rPr>
                    <w:t>。</w:t>
                  </w:r>
                </w:p>
              </w:tc>
              <w:tc>
                <w:tcPr>
                  <w:tcW w:w="576" w:type="pct"/>
                  <w:vAlign w:val="center"/>
                </w:tcPr>
                <w:p>
                  <w:pPr>
                    <w:adjustRightInd w:val="0"/>
                    <w:snapToGrid w:val="0"/>
                    <w:jc w:val="center"/>
                    <w:rPr>
                      <w:bCs/>
                      <w:color w:val="000000"/>
                      <w:kern w:val="2"/>
                      <w:sz w:val="18"/>
                      <w:szCs w:val="18"/>
                    </w:rPr>
                  </w:pPr>
                  <w:r>
                    <w:rPr>
                      <w:rFonts w:hint="eastAsia"/>
                      <w:color w:val="000000"/>
                      <w:sz w:val="18"/>
                      <w:szCs w:val="18"/>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23" w:type="pct"/>
                  <w:vAlign w:val="center"/>
                </w:tcPr>
                <w:p>
                  <w:pPr>
                    <w:adjustRightInd w:val="0"/>
                    <w:snapToGrid w:val="0"/>
                    <w:rPr>
                      <w:bCs/>
                      <w:color w:val="000000"/>
                      <w:sz w:val="18"/>
                      <w:szCs w:val="18"/>
                    </w:rPr>
                  </w:pPr>
                  <w:r>
                    <w:rPr>
                      <w:color w:val="000000"/>
                      <w:sz w:val="18"/>
                      <w:szCs w:val="18"/>
                    </w:rPr>
                    <w:t>区域内新建高耗能项目单位产品（产值）能耗须达到国际先进水平，采用最佳可行污染控制技术</w:t>
                  </w:r>
                  <w:r>
                    <w:rPr>
                      <w:rFonts w:hint="eastAsia"/>
                      <w:color w:val="000000"/>
                      <w:sz w:val="18"/>
                      <w:szCs w:val="18"/>
                    </w:rPr>
                    <w:t>。</w:t>
                  </w:r>
                </w:p>
              </w:tc>
              <w:tc>
                <w:tcPr>
                  <w:tcW w:w="2200" w:type="pct"/>
                  <w:vAlign w:val="center"/>
                </w:tcPr>
                <w:p>
                  <w:pPr>
                    <w:adjustRightInd w:val="0"/>
                    <w:snapToGrid w:val="0"/>
                    <w:rPr>
                      <w:bCs/>
                      <w:color w:val="000000"/>
                      <w:sz w:val="18"/>
                      <w:szCs w:val="18"/>
                    </w:rPr>
                  </w:pPr>
                  <w:r>
                    <w:rPr>
                      <w:bCs/>
                      <w:color w:val="000000"/>
                      <w:sz w:val="18"/>
                      <w:szCs w:val="18"/>
                    </w:rPr>
                    <w:t>项目采用电能能源，不属于高耗能项目。污染防治措施属于可行技术</w:t>
                  </w:r>
                  <w:r>
                    <w:rPr>
                      <w:rFonts w:hint="eastAsia"/>
                      <w:bCs/>
                      <w:color w:val="000000"/>
                      <w:sz w:val="18"/>
                      <w:szCs w:val="18"/>
                    </w:rPr>
                    <w:t>。</w:t>
                  </w:r>
                </w:p>
              </w:tc>
              <w:tc>
                <w:tcPr>
                  <w:tcW w:w="576" w:type="pct"/>
                  <w:vAlign w:val="center"/>
                </w:tcPr>
                <w:p>
                  <w:pPr>
                    <w:adjustRightInd w:val="0"/>
                    <w:snapToGrid w:val="0"/>
                    <w:jc w:val="center"/>
                    <w:rPr>
                      <w:color w:val="000000"/>
                      <w:kern w:val="2"/>
                      <w:sz w:val="18"/>
                      <w:szCs w:val="18"/>
                    </w:rPr>
                  </w:pPr>
                  <w:r>
                    <w:rPr>
                      <w:rFonts w:hint="eastAsia"/>
                      <w:color w:val="000000"/>
                      <w:sz w:val="18"/>
                      <w:szCs w:val="18"/>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23" w:type="pct"/>
                  <w:vAlign w:val="center"/>
                </w:tcPr>
                <w:p>
                  <w:pPr>
                    <w:adjustRightInd w:val="0"/>
                    <w:snapToGrid w:val="0"/>
                    <w:rPr>
                      <w:bCs/>
                      <w:color w:val="000000"/>
                      <w:sz w:val="18"/>
                      <w:szCs w:val="18"/>
                    </w:rPr>
                  </w:pPr>
                  <w:r>
                    <w:rPr>
                      <w:color w:val="000000"/>
                      <w:sz w:val="18"/>
                      <w:szCs w:val="18"/>
                    </w:rPr>
                    <w:t>不符合</w:t>
                  </w:r>
                  <w:r>
                    <w:rPr>
                      <w:rFonts w:hint="eastAsia"/>
                      <w:color w:val="000000"/>
                      <w:sz w:val="18"/>
                      <w:szCs w:val="18"/>
                    </w:rPr>
                    <w:t>“</w:t>
                  </w:r>
                  <w:r>
                    <w:rPr>
                      <w:color w:val="000000"/>
                      <w:sz w:val="18"/>
                      <w:szCs w:val="18"/>
                    </w:rPr>
                    <w:t>生态保护红线、环境质量底线、资源利用上线</w:t>
                  </w:r>
                  <w:r>
                    <w:rPr>
                      <w:rFonts w:hint="eastAsia"/>
                      <w:color w:val="000000"/>
                      <w:sz w:val="18"/>
                      <w:szCs w:val="18"/>
                    </w:rPr>
                    <w:t>”</w:t>
                  </w:r>
                  <w:r>
                    <w:rPr>
                      <w:color w:val="000000"/>
                      <w:sz w:val="18"/>
                      <w:szCs w:val="18"/>
                    </w:rPr>
                    <w:t>要求的项目，严禁引入园区。</w:t>
                  </w:r>
                </w:p>
              </w:tc>
              <w:tc>
                <w:tcPr>
                  <w:tcW w:w="2200" w:type="pct"/>
                  <w:vAlign w:val="center"/>
                </w:tcPr>
                <w:p>
                  <w:pPr>
                    <w:adjustRightInd w:val="0"/>
                    <w:snapToGrid w:val="0"/>
                    <w:rPr>
                      <w:bCs/>
                      <w:color w:val="000000"/>
                      <w:sz w:val="18"/>
                      <w:szCs w:val="18"/>
                      <w:lang w:bidi="ar"/>
                    </w:rPr>
                  </w:pPr>
                  <w:r>
                    <w:rPr>
                      <w:bCs/>
                      <w:color w:val="000000"/>
                      <w:sz w:val="18"/>
                      <w:szCs w:val="18"/>
                      <w:lang w:bidi="ar"/>
                    </w:rPr>
                    <w:t>项目符合</w:t>
                  </w:r>
                  <w:r>
                    <w:rPr>
                      <w:rFonts w:hint="eastAsia"/>
                      <w:color w:val="000000"/>
                      <w:sz w:val="18"/>
                      <w:szCs w:val="18"/>
                    </w:rPr>
                    <w:t>“</w:t>
                  </w:r>
                  <w:r>
                    <w:rPr>
                      <w:color w:val="000000"/>
                      <w:sz w:val="18"/>
                      <w:szCs w:val="18"/>
                    </w:rPr>
                    <w:t>生态保护红线、环境质量底线、资源利用上线</w:t>
                  </w:r>
                  <w:r>
                    <w:rPr>
                      <w:rFonts w:hint="eastAsia"/>
                      <w:color w:val="000000"/>
                      <w:sz w:val="18"/>
                      <w:szCs w:val="18"/>
                    </w:rPr>
                    <w:t>”</w:t>
                  </w:r>
                  <w:r>
                    <w:rPr>
                      <w:color w:val="000000"/>
                      <w:sz w:val="18"/>
                      <w:szCs w:val="18"/>
                    </w:rPr>
                    <w:t>要求</w:t>
                  </w:r>
                  <w:r>
                    <w:rPr>
                      <w:rFonts w:hint="eastAsia"/>
                      <w:color w:val="000000"/>
                      <w:sz w:val="18"/>
                      <w:szCs w:val="18"/>
                    </w:rPr>
                    <w:t>。</w:t>
                  </w:r>
                </w:p>
              </w:tc>
              <w:tc>
                <w:tcPr>
                  <w:tcW w:w="576" w:type="pct"/>
                  <w:vAlign w:val="center"/>
                </w:tcPr>
                <w:p>
                  <w:pPr>
                    <w:adjustRightInd w:val="0"/>
                    <w:snapToGrid w:val="0"/>
                    <w:jc w:val="center"/>
                    <w:rPr>
                      <w:color w:val="000000"/>
                      <w:sz w:val="18"/>
                      <w:szCs w:val="18"/>
                    </w:rPr>
                  </w:pPr>
                  <w:r>
                    <w:rPr>
                      <w:rFonts w:hint="eastAsia"/>
                      <w:color w:val="000000"/>
                      <w:sz w:val="18"/>
                      <w:szCs w:val="18"/>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23" w:type="pct"/>
                  <w:vAlign w:val="center"/>
                </w:tcPr>
                <w:p>
                  <w:pPr>
                    <w:adjustRightInd w:val="0"/>
                    <w:snapToGrid w:val="0"/>
                    <w:rPr>
                      <w:color w:val="000000"/>
                      <w:sz w:val="18"/>
                      <w:szCs w:val="18"/>
                    </w:rPr>
                  </w:pPr>
                  <w:r>
                    <w:rPr>
                      <w:color w:val="000000"/>
                      <w:sz w:val="18"/>
                      <w:szCs w:val="18"/>
                    </w:rPr>
                    <w:t>禁止新建、改扩建项目使用高污染燃料。</w:t>
                  </w:r>
                </w:p>
              </w:tc>
              <w:tc>
                <w:tcPr>
                  <w:tcW w:w="2200" w:type="pct"/>
                  <w:vAlign w:val="center"/>
                </w:tcPr>
                <w:p>
                  <w:pPr>
                    <w:adjustRightInd w:val="0"/>
                    <w:snapToGrid w:val="0"/>
                    <w:rPr>
                      <w:bCs/>
                      <w:color w:val="000000"/>
                      <w:sz w:val="18"/>
                      <w:szCs w:val="18"/>
                      <w:lang w:bidi="ar"/>
                    </w:rPr>
                  </w:pPr>
                  <w:r>
                    <w:rPr>
                      <w:bCs/>
                      <w:color w:val="000000"/>
                      <w:sz w:val="18"/>
                      <w:szCs w:val="18"/>
                      <w:lang w:bidi="ar"/>
                    </w:rPr>
                    <w:t>项目能耗为电能</w:t>
                  </w:r>
                  <w:r>
                    <w:rPr>
                      <w:rFonts w:hint="eastAsia"/>
                      <w:bCs/>
                      <w:color w:val="000000"/>
                      <w:sz w:val="18"/>
                      <w:szCs w:val="18"/>
                      <w:lang w:bidi="ar"/>
                    </w:rPr>
                    <w:t>，不涉及</w:t>
                  </w:r>
                  <w:r>
                    <w:rPr>
                      <w:bCs/>
                      <w:color w:val="000000"/>
                      <w:sz w:val="18"/>
                      <w:szCs w:val="18"/>
                      <w:lang w:bidi="ar"/>
                    </w:rPr>
                    <w:t>高污染燃料</w:t>
                  </w:r>
                  <w:r>
                    <w:rPr>
                      <w:rFonts w:hint="eastAsia"/>
                      <w:bCs/>
                      <w:color w:val="000000"/>
                      <w:sz w:val="18"/>
                      <w:szCs w:val="18"/>
                      <w:lang w:bidi="ar"/>
                    </w:rPr>
                    <w:t>的</w:t>
                  </w:r>
                  <w:r>
                    <w:rPr>
                      <w:bCs/>
                      <w:color w:val="000000"/>
                      <w:sz w:val="18"/>
                      <w:szCs w:val="18"/>
                      <w:lang w:bidi="ar"/>
                    </w:rPr>
                    <w:t>使用</w:t>
                  </w:r>
                  <w:r>
                    <w:rPr>
                      <w:rFonts w:hint="eastAsia"/>
                      <w:bCs/>
                      <w:color w:val="000000"/>
                      <w:sz w:val="18"/>
                      <w:szCs w:val="18"/>
                      <w:lang w:bidi="ar"/>
                    </w:rPr>
                    <w:t>。</w:t>
                  </w:r>
                </w:p>
              </w:tc>
              <w:tc>
                <w:tcPr>
                  <w:tcW w:w="576" w:type="pct"/>
                  <w:vAlign w:val="center"/>
                </w:tcPr>
                <w:p>
                  <w:pPr>
                    <w:adjustRightInd w:val="0"/>
                    <w:snapToGrid w:val="0"/>
                    <w:jc w:val="center"/>
                    <w:rPr>
                      <w:color w:val="000000"/>
                      <w:sz w:val="18"/>
                      <w:szCs w:val="18"/>
                    </w:rPr>
                  </w:pPr>
                  <w:r>
                    <w:rPr>
                      <w:rFonts w:hint="eastAsia"/>
                      <w:color w:val="000000"/>
                      <w:sz w:val="18"/>
                      <w:szCs w:val="18"/>
                    </w:rPr>
                    <w:t>符合</w:t>
                  </w:r>
                </w:p>
              </w:tc>
            </w:tr>
          </w:tbl>
          <w:p/>
          <w:p>
            <w:pPr>
              <w:autoSpaceDE w:val="0"/>
              <w:autoSpaceDN w:val="0"/>
              <w:adjustRightInd w:val="0"/>
              <w:snapToGrid w:val="0"/>
              <w:spacing w:line="360" w:lineRule="auto"/>
              <w:ind w:firstLine="422" w:firstLineChars="200"/>
              <w:rPr>
                <w:b/>
                <w:bCs/>
                <w:szCs w:val="21"/>
              </w:rPr>
            </w:pPr>
            <w:r>
              <w:rPr>
                <w:b/>
                <w:bCs/>
                <w:szCs w:val="21"/>
              </w:rPr>
              <w:t>2、与《广东博罗县产业转移工业园区总体规划环境影响报告书》</w:t>
            </w:r>
            <w:r>
              <w:rPr>
                <w:rFonts w:hint="eastAsia"/>
                <w:b/>
                <w:bCs/>
                <w:szCs w:val="21"/>
              </w:rPr>
              <w:t>相符性</w:t>
            </w:r>
            <w:r>
              <w:rPr>
                <w:b/>
                <w:bCs/>
                <w:szCs w:val="21"/>
              </w:rPr>
              <w:t>分析</w:t>
            </w:r>
          </w:p>
          <w:p>
            <w:pPr>
              <w:autoSpaceDE w:val="0"/>
              <w:autoSpaceDN w:val="0"/>
              <w:adjustRightInd w:val="0"/>
              <w:snapToGrid w:val="0"/>
              <w:spacing w:line="360" w:lineRule="auto"/>
              <w:ind w:firstLine="420" w:firstLineChars="200"/>
              <w:rPr>
                <w:b/>
                <w:bCs/>
                <w:szCs w:val="21"/>
              </w:rPr>
            </w:pPr>
            <w:r>
              <w:rPr>
                <w:szCs w:val="21"/>
              </w:rPr>
              <w:t>项目与《广东博罗县产业转移工业园区总体规划环境影响报告书》相符性分析如下表所示。</w:t>
            </w:r>
          </w:p>
          <w:p>
            <w:pPr>
              <w:pStyle w:val="106"/>
              <w:jc w:val="center"/>
              <w:rPr>
                <w:rFonts w:ascii="Times New Roman" w:hAnsi="Times New Roman" w:cs="Times New Roman"/>
                <w:b/>
                <w:bCs/>
                <w:sz w:val="21"/>
                <w:szCs w:val="18"/>
              </w:rPr>
            </w:pPr>
            <w:r>
              <w:rPr>
                <w:rFonts w:ascii="Times New Roman" w:hAnsi="Times New Roman" w:cs="Times New Roman"/>
                <w:b/>
                <w:bCs/>
                <w:sz w:val="21"/>
                <w:szCs w:val="21"/>
              </w:rPr>
              <w:t>表</w:t>
            </w:r>
            <w:r>
              <w:rPr>
                <w:rFonts w:hint="eastAsia" w:ascii="Times New Roman" w:hAnsi="Times New Roman" w:cs="Times New Roman"/>
                <w:b/>
                <w:bCs/>
                <w:sz w:val="21"/>
                <w:szCs w:val="21"/>
              </w:rPr>
              <w:t>1-</w:t>
            </w:r>
            <w:r>
              <w:rPr>
                <w:rFonts w:ascii="Times New Roman" w:hAnsi="Times New Roman" w:cs="Times New Roman"/>
                <w:b/>
                <w:bCs/>
                <w:sz w:val="21"/>
                <w:szCs w:val="21"/>
              </w:rPr>
              <w:t xml:space="preserve">2 </w:t>
            </w:r>
            <w:r>
              <w:rPr>
                <w:rFonts w:ascii="Times New Roman" w:hAnsi="Times New Roman" w:cs="Times New Roman"/>
                <w:b/>
                <w:bCs/>
                <w:sz w:val="21"/>
                <w:szCs w:val="18"/>
              </w:rPr>
              <w:t>与《广东博罗县产业转移工业园区总体规划环境影响报告书》</w:t>
            </w:r>
            <w:r>
              <w:rPr>
                <w:rFonts w:hint="eastAsia" w:ascii="Times New Roman" w:hAnsi="Times New Roman" w:cs="Times New Roman"/>
                <w:b/>
                <w:bCs/>
                <w:sz w:val="21"/>
                <w:szCs w:val="18"/>
              </w:rPr>
              <w:t>相符</w:t>
            </w:r>
            <w:r>
              <w:rPr>
                <w:rFonts w:ascii="Times New Roman" w:hAnsi="Times New Roman" w:cs="Times New Roman"/>
                <w:b/>
                <w:bCs/>
                <w:sz w:val="21"/>
                <w:szCs w:val="18"/>
              </w:rPr>
              <w:t>性分析</w:t>
            </w:r>
          </w:p>
          <w:tbl>
            <w:tblPr>
              <w:tblStyle w:val="92"/>
              <w:tblW w:w="793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077"/>
              <w:gridCol w:w="3059"/>
              <w:gridCol w:w="8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68" w:type="pct"/>
                  <w:vAlign w:val="center"/>
                </w:tcPr>
                <w:p>
                  <w:pPr>
                    <w:adjustRightInd w:val="0"/>
                    <w:snapToGrid w:val="0"/>
                    <w:jc w:val="center"/>
                    <w:rPr>
                      <w:b/>
                      <w:bCs/>
                      <w:color w:val="000000"/>
                      <w:sz w:val="18"/>
                      <w:szCs w:val="18"/>
                    </w:rPr>
                  </w:pPr>
                  <w:r>
                    <w:rPr>
                      <w:b/>
                      <w:bCs/>
                      <w:color w:val="000000"/>
                      <w:sz w:val="18"/>
                      <w:szCs w:val="18"/>
                    </w:rPr>
                    <w:t>《广东博罗县产业转移工业园区总体规划环境影响报告书》要求</w:t>
                  </w:r>
                </w:p>
              </w:tc>
              <w:tc>
                <w:tcPr>
                  <w:tcW w:w="1927" w:type="pct"/>
                  <w:vAlign w:val="center"/>
                </w:tcPr>
                <w:p>
                  <w:pPr>
                    <w:adjustRightInd w:val="0"/>
                    <w:snapToGrid w:val="0"/>
                    <w:jc w:val="center"/>
                    <w:rPr>
                      <w:b/>
                      <w:bCs/>
                      <w:color w:val="000000"/>
                      <w:sz w:val="18"/>
                      <w:szCs w:val="18"/>
                    </w:rPr>
                  </w:pPr>
                  <w:r>
                    <w:rPr>
                      <w:b/>
                      <w:bCs/>
                      <w:color w:val="000000"/>
                      <w:sz w:val="18"/>
                      <w:szCs w:val="18"/>
                    </w:rPr>
                    <w:t>本项目情况</w:t>
                  </w:r>
                </w:p>
              </w:tc>
              <w:tc>
                <w:tcPr>
                  <w:tcW w:w="800" w:type="dxa"/>
                  <w:vAlign w:val="center"/>
                </w:tcPr>
                <w:p>
                  <w:pPr>
                    <w:adjustRightInd w:val="0"/>
                    <w:snapToGrid w:val="0"/>
                    <w:jc w:val="center"/>
                    <w:rPr>
                      <w:b/>
                      <w:bCs/>
                      <w:color w:val="000000"/>
                      <w:sz w:val="18"/>
                      <w:szCs w:val="18"/>
                    </w:rPr>
                  </w:pPr>
                  <w:r>
                    <w:rPr>
                      <w:rFonts w:hint="eastAsia"/>
                      <w:b/>
                      <w:bCs/>
                      <w:color w:val="000000"/>
                      <w:sz w:val="18"/>
                      <w:szCs w:val="18"/>
                    </w:rPr>
                    <w:t>符合性结论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68" w:type="pct"/>
                  <w:vAlign w:val="center"/>
                </w:tcPr>
                <w:p>
                  <w:pPr>
                    <w:adjustRightInd w:val="0"/>
                    <w:snapToGrid w:val="0"/>
                    <w:rPr>
                      <w:bCs/>
                      <w:color w:val="000000"/>
                      <w:sz w:val="18"/>
                      <w:szCs w:val="18"/>
                    </w:rPr>
                  </w:pPr>
                  <w:r>
                    <w:rPr>
                      <w:sz w:val="18"/>
                      <w:szCs w:val="18"/>
                    </w:rPr>
                    <w:t>入园项目应符合有关法律、法规、规章以及《关于严格限制东江流域水污染项目建设进一步做好东江水质保护工作的通知》（粤府函〔2011〕339号）等文件要求，符合国家、省产业政策和园区产业定位，符合省、市</w:t>
                  </w:r>
                  <w:r>
                    <w:rPr>
                      <w:rFonts w:hint="eastAsia"/>
                      <w:sz w:val="18"/>
                      <w:szCs w:val="18"/>
                    </w:rPr>
                    <w:t>“</w:t>
                  </w:r>
                  <w:r>
                    <w:rPr>
                      <w:sz w:val="18"/>
                      <w:szCs w:val="18"/>
                    </w:rPr>
                    <w:t>三线一单</w:t>
                  </w:r>
                  <w:r>
                    <w:rPr>
                      <w:rFonts w:hint="eastAsia"/>
                      <w:sz w:val="18"/>
                      <w:szCs w:val="18"/>
                    </w:rPr>
                    <w:t>”</w:t>
                  </w:r>
                  <w:r>
                    <w:rPr>
                      <w:sz w:val="18"/>
                      <w:szCs w:val="18"/>
                    </w:rPr>
                    <w:t>生态环境分区管控要求，优先引进无污染或轻污染的项目，不得引入含有电镀、印染工艺的，以及制浆造纸、制革等重污染项目，不得引入排放含汞、砷、镉、铅、六价铬等一类污染物或持久性有机污染物的项目</w:t>
                  </w:r>
                  <w:r>
                    <w:rPr>
                      <w:rFonts w:hint="eastAsia"/>
                      <w:sz w:val="18"/>
                      <w:szCs w:val="18"/>
                    </w:rPr>
                    <w:t>。</w:t>
                  </w:r>
                </w:p>
              </w:tc>
              <w:tc>
                <w:tcPr>
                  <w:tcW w:w="1927" w:type="pct"/>
                  <w:vAlign w:val="center"/>
                </w:tcPr>
                <w:p>
                  <w:pPr>
                    <w:adjustRightInd w:val="0"/>
                    <w:snapToGrid w:val="0"/>
                    <w:rPr>
                      <w:color w:val="auto"/>
                      <w:sz w:val="18"/>
                      <w:szCs w:val="18"/>
                    </w:rPr>
                  </w:pPr>
                  <w:r>
                    <w:rPr>
                      <w:color w:val="auto"/>
                      <w:sz w:val="18"/>
                      <w:szCs w:val="18"/>
                    </w:rPr>
                    <w:t>本项目属于</w:t>
                  </w:r>
                  <w:r>
                    <w:rPr>
                      <w:rFonts w:hint="eastAsia"/>
                      <w:color w:val="auto"/>
                      <w:sz w:val="18"/>
                      <w:szCs w:val="18"/>
                    </w:rPr>
                    <w:t>C2913橡胶零件制造</w:t>
                  </w:r>
                  <w:r>
                    <w:rPr>
                      <w:color w:val="auto"/>
                      <w:sz w:val="18"/>
                      <w:szCs w:val="18"/>
                    </w:rPr>
                    <w:t>，不属于《产业结构调整指导目录</w:t>
                  </w:r>
                  <w:r>
                    <w:rPr>
                      <w:rFonts w:hint="eastAsia"/>
                      <w:color w:val="auto"/>
                      <w:sz w:val="18"/>
                      <w:szCs w:val="18"/>
                    </w:rPr>
                    <w:t>（</w:t>
                  </w:r>
                  <w:r>
                    <w:rPr>
                      <w:color w:val="auto"/>
                      <w:sz w:val="18"/>
                      <w:szCs w:val="18"/>
                    </w:rPr>
                    <w:t>2019年版</w:t>
                  </w:r>
                  <w:r>
                    <w:rPr>
                      <w:rFonts w:hint="eastAsia"/>
                      <w:color w:val="auto"/>
                      <w:sz w:val="18"/>
                      <w:szCs w:val="18"/>
                    </w:rPr>
                    <w:t>）</w:t>
                  </w:r>
                  <w:r>
                    <w:rPr>
                      <w:color w:val="auto"/>
                      <w:sz w:val="18"/>
                      <w:szCs w:val="18"/>
                    </w:rPr>
                    <w:t>》</w:t>
                  </w:r>
                  <w:r>
                    <w:rPr>
                      <w:rFonts w:hint="eastAsia"/>
                      <w:color w:val="auto"/>
                      <w:sz w:val="18"/>
                      <w:szCs w:val="18"/>
                    </w:rPr>
                    <w:t>以及《国家发展改革委关于修改&lt;产业结构调整指导目录（2019年本）&gt;的决定》</w:t>
                  </w:r>
                  <w:r>
                    <w:rPr>
                      <w:color w:val="auto"/>
                      <w:sz w:val="18"/>
                      <w:szCs w:val="18"/>
                    </w:rPr>
                    <w:t>中限制类、淘汰类和《市场准入负面清单（202</w:t>
                  </w:r>
                  <w:r>
                    <w:rPr>
                      <w:rFonts w:hint="eastAsia"/>
                      <w:color w:val="auto"/>
                      <w:sz w:val="18"/>
                      <w:szCs w:val="18"/>
                    </w:rPr>
                    <w:t>2</w:t>
                  </w:r>
                  <w:r>
                    <w:rPr>
                      <w:color w:val="auto"/>
                      <w:sz w:val="18"/>
                      <w:szCs w:val="18"/>
                    </w:rPr>
                    <w:t>年版）》中的禁止准入类项目，属于允许类</w:t>
                  </w:r>
                  <w:r>
                    <w:rPr>
                      <w:rFonts w:hint="eastAsia"/>
                      <w:color w:val="auto"/>
                      <w:sz w:val="18"/>
                      <w:szCs w:val="18"/>
                    </w:rPr>
                    <w:t>，</w:t>
                  </w:r>
                  <w:r>
                    <w:rPr>
                      <w:color w:val="auto"/>
                      <w:sz w:val="18"/>
                      <w:szCs w:val="18"/>
                    </w:rPr>
                    <w:t>符合国家和地方的有关产业政策规定</w:t>
                  </w:r>
                  <w:r>
                    <w:rPr>
                      <w:rFonts w:hint="eastAsia"/>
                      <w:color w:val="auto"/>
                      <w:sz w:val="18"/>
                      <w:szCs w:val="18"/>
                    </w:rPr>
                    <w:t>以及</w:t>
                  </w:r>
                  <w:r>
                    <w:rPr>
                      <w:color w:val="auto"/>
                      <w:sz w:val="18"/>
                      <w:szCs w:val="18"/>
                    </w:rPr>
                    <w:t>省、市</w:t>
                  </w:r>
                  <w:r>
                    <w:rPr>
                      <w:rFonts w:hint="eastAsia"/>
                      <w:color w:val="auto"/>
                      <w:sz w:val="18"/>
                      <w:szCs w:val="18"/>
                    </w:rPr>
                    <w:t>“</w:t>
                  </w:r>
                  <w:r>
                    <w:rPr>
                      <w:color w:val="auto"/>
                      <w:sz w:val="18"/>
                      <w:szCs w:val="18"/>
                    </w:rPr>
                    <w:t>三线一单</w:t>
                  </w:r>
                  <w:r>
                    <w:rPr>
                      <w:rFonts w:hint="eastAsia"/>
                      <w:color w:val="auto"/>
                      <w:sz w:val="18"/>
                      <w:szCs w:val="18"/>
                    </w:rPr>
                    <w:t>”</w:t>
                  </w:r>
                  <w:r>
                    <w:rPr>
                      <w:color w:val="auto"/>
                      <w:sz w:val="18"/>
                      <w:szCs w:val="18"/>
                    </w:rPr>
                    <w:t>生态环境分区管控要求。项目不涉及电镀、印染工艺，</w:t>
                  </w:r>
                  <w:r>
                    <w:rPr>
                      <w:rFonts w:hint="eastAsia"/>
                      <w:color w:val="auto"/>
                      <w:sz w:val="18"/>
                      <w:szCs w:val="18"/>
                    </w:rPr>
                    <w:t>不属于</w:t>
                  </w:r>
                  <w:r>
                    <w:rPr>
                      <w:color w:val="auto"/>
                      <w:sz w:val="18"/>
                      <w:szCs w:val="18"/>
                    </w:rPr>
                    <w:t>制浆造纸、制革等重污染项目，</w:t>
                  </w:r>
                  <w:r>
                    <w:rPr>
                      <w:rFonts w:hint="eastAsia"/>
                      <w:color w:val="auto"/>
                      <w:sz w:val="18"/>
                      <w:szCs w:val="18"/>
                    </w:rPr>
                    <w:t>不涉及</w:t>
                  </w:r>
                  <w:r>
                    <w:rPr>
                      <w:color w:val="auto"/>
                      <w:sz w:val="18"/>
                      <w:szCs w:val="18"/>
                    </w:rPr>
                    <w:t>含汞、砷、镉、铅、六价铬等一类污染物或持久性有机污染物</w:t>
                  </w:r>
                  <w:r>
                    <w:rPr>
                      <w:rFonts w:hint="eastAsia"/>
                      <w:color w:val="auto"/>
                      <w:sz w:val="18"/>
                      <w:szCs w:val="18"/>
                    </w:rPr>
                    <w:t>的排放。</w:t>
                  </w:r>
                </w:p>
              </w:tc>
              <w:tc>
                <w:tcPr>
                  <w:tcW w:w="800" w:type="dxa"/>
                  <w:vAlign w:val="center"/>
                </w:tcPr>
                <w:p>
                  <w:pPr>
                    <w:tabs>
                      <w:tab w:val="left" w:pos="2220"/>
                      <w:tab w:val="center" w:pos="4952"/>
                    </w:tabs>
                    <w:adjustRightInd w:val="0"/>
                    <w:snapToGrid w:val="0"/>
                    <w:jc w:val="center"/>
                    <w:rPr>
                      <w:color w:val="000000"/>
                      <w:sz w:val="18"/>
                      <w:szCs w:val="18"/>
                    </w:rPr>
                  </w:pPr>
                  <w:r>
                    <w:rPr>
                      <w:rFonts w:hint="eastAsia"/>
                      <w:color w:val="000000"/>
                      <w:sz w:val="18"/>
                      <w:szCs w:val="18"/>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68" w:type="pct"/>
                  <w:vAlign w:val="center"/>
                </w:tcPr>
                <w:p>
                  <w:pPr>
                    <w:adjustRightInd w:val="0"/>
                    <w:snapToGrid w:val="0"/>
                    <w:rPr>
                      <w:sz w:val="18"/>
                      <w:szCs w:val="18"/>
                    </w:rPr>
                  </w:pPr>
                  <w:r>
                    <w:rPr>
                      <w:sz w:val="18"/>
                      <w:szCs w:val="18"/>
                    </w:rPr>
                    <w:t>入园工业企业和园区内、外的居民点、学校、医院等环境敏感点之间需根据项目环境影响评价的结论合理设置环境防护距离，必要时在工业企业与环境敏感点之间设置防护绿地。严格落实防护距离内的建设要求，不得规划建设集中居住区、学校、医院等环境敏感点。</w:t>
                  </w:r>
                </w:p>
              </w:tc>
              <w:tc>
                <w:tcPr>
                  <w:tcW w:w="1927" w:type="pct"/>
                  <w:vAlign w:val="center"/>
                </w:tcPr>
                <w:p>
                  <w:pPr>
                    <w:adjustRightInd w:val="0"/>
                    <w:snapToGrid w:val="0"/>
                    <w:rPr>
                      <w:color w:val="auto"/>
                      <w:sz w:val="18"/>
                      <w:szCs w:val="18"/>
                    </w:rPr>
                  </w:pPr>
                  <w:r>
                    <w:rPr>
                      <w:color w:val="auto"/>
                      <w:sz w:val="18"/>
                      <w:szCs w:val="18"/>
                    </w:rPr>
                    <w:t>项目厂界距离最近敏感点</w:t>
                  </w:r>
                  <w:r>
                    <w:rPr>
                      <w:rFonts w:hint="eastAsia"/>
                      <w:color w:val="auto"/>
                      <w:sz w:val="18"/>
                      <w:szCs w:val="18"/>
                    </w:rPr>
                    <w:t>（长征村）</w:t>
                  </w:r>
                  <w:r>
                    <w:rPr>
                      <w:color w:val="auto"/>
                      <w:sz w:val="18"/>
                      <w:szCs w:val="18"/>
                    </w:rPr>
                    <w:t>约</w:t>
                  </w:r>
                  <w:r>
                    <w:rPr>
                      <w:rFonts w:hint="eastAsia"/>
                      <w:color w:val="auto"/>
                      <w:sz w:val="18"/>
                      <w:szCs w:val="18"/>
                    </w:rPr>
                    <w:t>243</w:t>
                  </w:r>
                  <w:r>
                    <w:rPr>
                      <w:color w:val="auto"/>
                      <w:sz w:val="18"/>
                      <w:szCs w:val="18"/>
                    </w:rPr>
                    <w:t>m。项目设立了50m卫生防护距离</w:t>
                  </w:r>
                  <w:r>
                    <w:rPr>
                      <w:rFonts w:hint="eastAsia"/>
                      <w:color w:val="auto"/>
                      <w:sz w:val="18"/>
                      <w:szCs w:val="18"/>
                    </w:rPr>
                    <w:t>，卫生防护距离内无</w:t>
                  </w:r>
                  <w:r>
                    <w:rPr>
                      <w:color w:val="auto"/>
                      <w:sz w:val="18"/>
                      <w:szCs w:val="18"/>
                    </w:rPr>
                    <w:t>居民点、学校、医院等环境敏感点</w:t>
                  </w:r>
                  <w:r>
                    <w:rPr>
                      <w:rFonts w:hint="eastAsia"/>
                      <w:color w:val="auto"/>
                      <w:sz w:val="18"/>
                      <w:szCs w:val="18"/>
                    </w:rPr>
                    <w:t>。</w:t>
                  </w:r>
                </w:p>
              </w:tc>
              <w:tc>
                <w:tcPr>
                  <w:tcW w:w="504" w:type="pct"/>
                  <w:vAlign w:val="center"/>
                </w:tcPr>
                <w:p>
                  <w:pPr>
                    <w:tabs>
                      <w:tab w:val="left" w:pos="2220"/>
                      <w:tab w:val="center" w:pos="4952"/>
                    </w:tabs>
                    <w:adjustRightInd w:val="0"/>
                    <w:snapToGrid w:val="0"/>
                    <w:jc w:val="center"/>
                    <w:rPr>
                      <w:color w:val="000000"/>
                      <w:sz w:val="18"/>
                      <w:szCs w:val="18"/>
                    </w:rPr>
                  </w:pPr>
                  <w:r>
                    <w:rPr>
                      <w:rFonts w:hint="eastAsia"/>
                      <w:color w:val="000000"/>
                      <w:sz w:val="18"/>
                      <w:szCs w:val="18"/>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68" w:type="pct"/>
                  <w:vAlign w:val="center"/>
                </w:tcPr>
                <w:p>
                  <w:pPr>
                    <w:adjustRightInd w:val="0"/>
                    <w:snapToGrid w:val="0"/>
                    <w:rPr>
                      <w:bCs/>
                      <w:color w:val="000000"/>
                      <w:sz w:val="18"/>
                      <w:szCs w:val="18"/>
                    </w:rPr>
                  </w:pPr>
                  <w:r>
                    <w:rPr>
                      <w:sz w:val="18"/>
                      <w:szCs w:val="18"/>
                    </w:rPr>
                    <w:t>园区企业应使用天然气、电能等清洁能源，并按照《重点行业挥发性有机物综合治理方案》（环大气〔2019〕53号）、《工业炉窑大气污染综合治理方案》（环大气〔2019〕56号）等的要求，采取有效的废气收集、处理措施，减少废气排放量，确保大气污染物达标排放，并避免恶臭污染影响。</w:t>
                  </w:r>
                </w:p>
              </w:tc>
              <w:tc>
                <w:tcPr>
                  <w:tcW w:w="1927" w:type="pct"/>
                  <w:vAlign w:val="center"/>
                </w:tcPr>
                <w:p>
                  <w:pPr>
                    <w:adjustRightInd w:val="0"/>
                    <w:snapToGrid w:val="0"/>
                    <w:rPr>
                      <w:bCs/>
                      <w:color w:val="FF0000"/>
                      <w:sz w:val="18"/>
                      <w:szCs w:val="18"/>
                    </w:rPr>
                  </w:pPr>
                  <w:r>
                    <w:rPr>
                      <w:bCs/>
                      <w:sz w:val="18"/>
                      <w:szCs w:val="18"/>
                    </w:rPr>
                    <w:t>项目采用电能能源，</w:t>
                  </w:r>
                  <w:r>
                    <w:rPr>
                      <w:rFonts w:hint="eastAsia"/>
                      <w:bCs/>
                      <w:sz w:val="18"/>
                      <w:szCs w:val="18"/>
                    </w:rPr>
                    <w:t>粉（烟）</w:t>
                  </w:r>
                  <w:r>
                    <w:rPr>
                      <w:bCs/>
                      <w:sz w:val="18"/>
                      <w:szCs w:val="18"/>
                    </w:rPr>
                    <w:t>废气经</w:t>
                  </w:r>
                  <w:r>
                    <w:rPr>
                      <w:rFonts w:hint="eastAsia"/>
                      <w:bCs/>
                      <w:sz w:val="18"/>
                      <w:szCs w:val="18"/>
                    </w:rPr>
                    <w:t>袋式除尘器处理后经15米高排气筒（DA001）排放，有机废气收集后经两级活性炭吸附装置处理后经2根15米高排气筒（DA002、DA003）排放，废气均</w:t>
                  </w:r>
                  <w:r>
                    <w:rPr>
                      <w:bCs/>
                      <w:sz w:val="18"/>
                      <w:szCs w:val="18"/>
                    </w:rPr>
                    <w:t>采取有效措施处理后达标排放。</w:t>
                  </w:r>
                </w:p>
              </w:tc>
              <w:tc>
                <w:tcPr>
                  <w:tcW w:w="504" w:type="pct"/>
                  <w:vAlign w:val="center"/>
                </w:tcPr>
                <w:p>
                  <w:pPr>
                    <w:adjustRightInd w:val="0"/>
                    <w:snapToGrid w:val="0"/>
                    <w:jc w:val="center"/>
                    <w:rPr>
                      <w:bCs/>
                      <w:color w:val="000000"/>
                      <w:sz w:val="18"/>
                      <w:szCs w:val="18"/>
                    </w:rPr>
                  </w:pPr>
                  <w:r>
                    <w:rPr>
                      <w:rFonts w:hint="eastAsia"/>
                      <w:color w:val="000000"/>
                      <w:sz w:val="18"/>
                      <w:szCs w:val="18"/>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68" w:type="pct"/>
                  <w:vAlign w:val="center"/>
                </w:tcPr>
                <w:p>
                  <w:pPr>
                    <w:adjustRightInd w:val="0"/>
                    <w:snapToGrid w:val="0"/>
                    <w:rPr>
                      <w:bCs/>
                      <w:color w:val="000000"/>
                      <w:sz w:val="18"/>
                      <w:szCs w:val="18"/>
                    </w:rPr>
                  </w:pPr>
                  <w:r>
                    <w:rPr>
                      <w:sz w:val="18"/>
                      <w:szCs w:val="18"/>
                    </w:rPr>
                    <w:t>按照分类收集和综合利用的原则，落实固体废物分类收集、综合利用和处理处置等措施，防止造成二次污染。一般工业固体废物应立足于回收利用，不能利用的应按有关要求进行处置。危险废物的污染防治须严格执行国家和省对危险废物管理的有关规定，送有资质的单位处理处置。</w:t>
                  </w:r>
                </w:p>
              </w:tc>
              <w:tc>
                <w:tcPr>
                  <w:tcW w:w="1927" w:type="pct"/>
                  <w:vAlign w:val="center"/>
                </w:tcPr>
                <w:p>
                  <w:pPr>
                    <w:adjustRightInd w:val="0"/>
                    <w:snapToGrid w:val="0"/>
                    <w:rPr>
                      <w:bCs/>
                      <w:color w:val="FF0000"/>
                      <w:sz w:val="18"/>
                      <w:szCs w:val="18"/>
                      <w:lang w:bidi="ar"/>
                    </w:rPr>
                  </w:pPr>
                  <w:r>
                    <w:rPr>
                      <w:bCs/>
                      <w:sz w:val="18"/>
                      <w:szCs w:val="18"/>
                      <w:lang w:bidi="ar"/>
                    </w:rPr>
                    <w:t>项目固废分类收集分类处置，</w:t>
                  </w:r>
                  <w:r>
                    <w:rPr>
                      <w:rFonts w:hint="eastAsia"/>
                      <w:sz w:val="18"/>
                      <w:szCs w:val="18"/>
                    </w:rPr>
                    <w:t>一般固废分类收集后交由专业回收单位处理，危险废物分类收集后委托有资质单位处置，生活垃圾统一由环卫部门清运处理。</w:t>
                  </w:r>
                </w:p>
              </w:tc>
              <w:tc>
                <w:tcPr>
                  <w:tcW w:w="504" w:type="pct"/>
                  <w:vAlign w:val="center"/>
                </w:tcPr>
                <w:p>
                  <w:pPr>
                    <w:adjustRightInd w:val="0"/>
                    <w:snapToGrid w:val="0"/>
                    <w:jc w:val="center"/>
                    <w:rPr>
                      <w:color w:val="000000"/>
                      <w:sz w:val="18"/>
                      <w:szCs w:val="18"/>
                    </w:rPr>
                  </w:pPr>
                  <w:r>
                    <w:rPr>
                      <w:rFonts w:hint="eastAsia"/>
                      <w:color w:val="000000"/>
                      <w:sz w:val="18"/>
                      <w:szCs w:val="18"/>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68" w:type="pct"/>
                  <w:vAlign w:val="center"/>
                </w:tcPr>
                <w:p>
                  <w:pPr>
                    <w:adjustRightInd w:val="0"/>
                    <w:snapToGrid w:val="0"/>
                    <w:rPr>
                      <w:sz w:val="18"/>
                      <w:szCs w:val="18"/>
                    </w:rPr>
                  </w:pPr>
                  <w:r>
                    <w:rPr>
                      <w:sz w:val="18"/>
                      <w:szCs w:val="18"/>
                    </w:rPr>
                    <w:t>完善园区环境风险事故防范和应急预案，建立健全企业、园区和区域三级事故应急体系，落实有效的事故风险防范和应急措施，有效防范污染事故发生，避免因发生事故对周围环境造成污染，确保环境安全。</w:t>
                  </w:r>
                </w:p>
              </w:tc>
              <w:tc>
                <w:tcPr>
                  <w:tcW w:w="1927" w:type="pct"/>
                  <w:vAlign w:val="center"/>
                </w:tcPr>
                <w:p>
                  <w:pPr>
                    <w:adjustRightInd w:val="0"/>
                    <w:snapToGrid w:val="0"/>
                    <w:rPr>
                      <w:bCs/>
                      <w:color w:val="FF0000"/>
                      <w:sz w:val="18"/>
                      <w:szCs w:val="18"/>
                      <w:lang w:bidi="ar"/>
                    </w:rPr>
                  </w:pPr>
                  <w:r>
                    <w:rPr>
                      <w:bCs/>
                      <w:sz w:val="18"/>
                      <w:szCs w:val="18"/>
                      <w:lang w:bidi="ar"/>
                    </w:rPr>
                    <w:t>项目采取事故风险防范和应急措施，避免污染事故对周边环境造成影响。</w:t>
                  </w:r>
                </w:p>
              </w:tc>
              <w:tc>
                <w:tcPr>
                  <w:tcW w:w="504" w:type="pct"/>
                  <w:vAlign w:val="center"/>
                </w:tcPr>
                <w:p>
                  <w:pPr>
                    <w:adjustRightInd w:val="0"/>
                    <w:snapToGrid w:val="0"/>
                    <w:jc w:val="center"/>
                    <w:rPr>
                      <w:color w:val="000000"/>
                      <w:sz w:val="18"/>
                      <w:szCs w:val="18"/>
                    </w:rPr>
                  </w:pPr>
                  <w:r>
                    <w:rPr>
                      <w:rFonts w:hint="eastAsia"/>
                      <w:color w:val="000000"/>
                      <w:sz w:val="18"/>
                      <w:szCs w:val="18"/>
                    </w:rPr>
                    <w:t>符合</w:t>
                  </w:r>
                </w:p>
              </w:tc>
            </w:tr>
          </w:tbl>
          <w:p>
            <w:pPr>
              <w:pStyle w:val="106"/>
              <w:rPr>
                <w:rFonts w:ascii="Times New Roman" w:hAnsi="Times New Roman" w:cs="Times New Roman"/>
              </w:rPr>
            </w:pPr>
          </w:p>
          <w:p>
            <w:pPr>
              <w:autoSpaceDE w:val="0"/>
              <w:autoSpaceDN w:val="0"/>
              <w:adjustRightInd w:val="0"/>
              <w:snapToGrid w:val="0"/>
              <w:spacing w:line="360" w:lineRule="auto"/>
              <w:ind w:firstLine="422" w:firstLineChars="200"/>
              <w:rPr>
                <w:b/>
                <w:bCs/>
                <w:szCs w:val="21"/>
              </w:rPr>
            </w:pPr>
            <w:r>
              <w:rPr>
                <w:rFonts w:hint="eastAsia"/>
                <w:b/>
                <w:bCs/>
              </w:rPr>
              <w:t>3、</w:t>
            </w:r>
            <w:r>
              <w:rPr>
                <w:b/>
                <w:bCs/>
                <w:szCs w:val="21"/>
              </w:rPr>
              <w:t>与《广东省生态环境厅关于印发&lt;广东博罗县产业转移工业园区总体规划环境影响报告书审查意见&gt;的函》（粤环审〔2021〕84号）</w:t>
            </w:r>
            <w:r>
              <w:rPr>
                <w:rFonts w:hint="eastAsia"/>
                <w:b/>
                <w:bCs/>
                <w:szCs w:val="21"/>
              </w:rPr>
              <w:t>相符性</w:t>
            </w:r>
            <w:r>
              <w:rPr>
                <w:b/>
                <w:bCs/>
                <w:szCs w:val="21"/>
              </w:rPr>
              <w:t>分析</w:t>
            </w:r>
          </w:p>
          <w:p>
            <w:pPr>
              <w:spacing w:line="360" w:lineRule="auto"/>
              <w:ind w:firstLine="420" w:firstLineChars="200"/>
            </w:pPr>
            <w:r>
              <w:rPr>
                <w:szCs w:val="21"/>
              </w:rPr>
              <w:t>项目与《广东省生态环境厅关于印发&lt;广东博罗县产业转移工业园区总体规划环境影响报告书审查意见&gt;的函》</w:t>
            </w:r>
            <w:r>
              <w:rPr>
                <w:rFonts w:hint="eastAsia"/>
                <w:szCs w:val="21"/>
              </w:rPr>
              <w:t>（</w:t>
            </w:r>
            <w:r>
              <w:rPr>
                <w:szCs w:val="21"/>
              </w:rPr>
              <w:t>粤环审〔2021〕84号</w:t>
            </w:r>
            <w:r>
              <w:rPr>
                <w:rFonts w:hint="eastAsia"/>
                <w:szCs w:val="21"/>
              </w:rPr>
              <w:t>）</w:t>
            </w:r>
            <w:r>
              <w:rPr>
                <w:szCs w:val="21"/>
              </w:rPr>
              <w:t>相符性分析如下表所示。</w:t>
            </w:r>
          </w:p>
          <w:p>
            <w:pPr>
              <w:pStyle w:val="106"/>
              <w:jc w:val="center"/>
              <w:rPr>
                <w:rFonts w:ascii="Times New Roman" w:hAnsi="Times New Roman" w:cs="Times New Roman"/>
                <w:b/>
                <w:bCs/>
                <w:sz w:val="21"/>
                <w:szCs w:val="18"/>
              </w:rPr>
            </w:pPr>
            <w:r>
              <w:rPr>
                <w:rFonts w:ascii="Times New Roman" w:hAnsi="Times New Roman" w:cs="Times New Roman"/>
                <w:b/>
                <w:bCs/>
                <w:sz w:val="21"/>
                <w:szCs w:val="21"/>
              </w:rPr>
              <w:t>表</w:t>
            </w:r>
            <w:r>
              <w:rPr>
                <w:rFonts w:hint="eastAsia" w:ascii="Times New Roman" w:hAnsi="Times New Roman" w:cs="Times New Roman"/>
                <w:b/>
                <w:bCs/>
                <w:sz w:val="21"/>
                <w:szCs w:val="21"/>
              </w:rPr>
              <w:t>1-3</w:t>
            </w:r>
            <w:r>
              <w:rPr>
                <w:rFonts w:ascii="Times New Roman" w:hAnsi="Times New Roman" w:cs="Times New Roman"/>
                <w:b/>
                <w:bCs/>
                <w:sz w:val="21"/>
                <w:szCs w:val="21"/>
              </w:rPr>
              <w:t xml:space="preserve"> </w:t>
            </w:r>
            <w:r>
              <w:rPr>
                <w:rFonts w:ascii="Times New Roman" w:hAnsi="Times New Roman" w:cs="Times New Roman"/>
                <w:b/>
                <w:bCs/>
                <w:sz w:val="21"/>
                <w:szCs w:val="18"/>
              </w:rPr>
              <w:t>与</w:t>
            </w:r>
            <w:r>
              <w:rPr>
                <w:rFonts w:hint="eastAsia" w:ascii="Times New Roman" w:hAnsi="Times New Roman" w:cs="Times New Roman"/>
                <w:b/>
                <w:bCs/>
                <w:sz w:val="21"/>
                <w:szCs w:val="18"/>
              </w:rPr>
              <w:t>粤环审〔2021〕84号文件相符</w:t>
            </w:r>
            <w:r>
              <w:rPr>
                <w:rFonts w:ascii="Times New Roman" w:hAnsi="Times New Roman" w:cs="Times New Roman"/>
                <w:b/>
                <w:bCs/>
                <w:sz w:val="21"/>
                <w:szCs w:val="18"/>
              </w:rPr>
              <w:t>性分析</w:t>
            </w:r>
          </w:p>
          <w:tbl>
            <w:tblPr>
              <w:tblStyle w:val="9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904"/>
              <w:gridCol w:w="2429"/>
              <w:gridCol w:w="8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006" w:type="pct"/>
                  <w:vAlign w:val="center"/>
                </w:tcPr>
                <w:p>
                  <w:pPr>
                    <w:adjustRightInd w:val="0"/>
                    <w:snapToGrid w:val="0"/>
                    <w:jc w:val="center"/>
                    <w:rPr>
                      <w:b/>
                      <w:bCs/>
                      <w:color w:val="000000"/>
                      <w:sz w:val="18"/>
                      <w:szCs w:val="18"/>
                    </w:rPr>
                  </w:pPr>
                  <w:r>
                    <w:rPr>
                      <w:b/>
                      <w:bCs/>
                      <w:color w:val="000000"/>
                      <w:sz w:val="18"/>
                      <w:szCs w:val="18"/>
                    </w:rPr>
                    <w:t>粤环审〔2021〕84号</w:t>
                  </w:r>
                  <w:r>
                    <w:rPr>
                      <w:rFonts w:hint="eastAsia"/>
                      <w:b/>
                      <w:bCs/>
                      <w:color w:val="000000"/>
                      <w:sz w:val="18"/>
                      <w:szCs w:val="18"/>
                    </w:rPr>
                    <w:t>文件</w:t>
                  </w:r>
                  <w:r>
                    <w:rPr>
                      <w:b/>
                      <w:bCs/>
                      <w:color w:val="000000"/>
                      <w:sz w:val="18"/>
                      <w:szCs w:val="18"/>
                    </w:rPr>
                    <w:t>要求</w:t>
                  </w:r>
                </w:p>
              </w:tc>
              <w:tc>
                <w:tcPr>
                  <w:tcW w:w="1489" w:type="pct"/>
                  <w:vAlign w:val="center"/>
                </w:tcPr>
                <w:p>
                  <w:pPr>
                    <w:adjustRightInd w:val="0"/>
                    <w:snapToGrid w:val="0"/>
                    <w:jc w:val="center"/>
                    <w:rPr>
                      <w:b/>
                      <w:bCs/>
                      <w:color w:val="000000"/>
                      <w:sz w:val="18"/>
                      <w:szCs w:val="18"/>
                    </w:rPr>
                  </w:pPr>
                  <w:r>
                    <w:rPr>
                      <w:b/>
                      <w:bCs/>
                      <w:color w:val="000000"/>
                      <w:sz w:val="18"/>
                      <w:szCs w:val="18"/>
                    </w:rPr>
                    <w:t>本项目情况</w:t>
                  </w:r>
                </w:p>
              </w:tc>
              <w:tc>
                <w:tcPr>
                  <w:tcW w:w="800" w:type="dxa"/>
                  <w:vAlign w:val="center"/>
                </w:tcPr>
                <w:p>
                  <w:pPr>
                    <w:adjustRightInd w:val="0"/>
                    <w:snapToGrid w:val="0"/>
                    <w:jc w:val="center"/>
                    <w:rPr>
                      <w:b/>
                      <w:bCs/>
                      <w:color w:val="000000"/>
                      <w:sz w:val="18"/>
                      <w:szCs w:val="18"/>
                    </w:rPr>
                  </w:pPr>
                  <w:r>
                    <w:rPr>
                      <w:rFonts w:hint="eastAsia"/>
                      <w:b/>
                      <w:bCs/>
                      <w:color w:val="000000"/>
                      <w:sz w:val="18"/>
                      <w:szCs w:val="18"/>
                    </w:rPr>
                    <w:t>符合性结论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006" w:type="pct"/>
                  <w:vAlign w:val="center"/>
                </w:tcPr>
                <w:p>
                  <w:pPr>
                    <w:adjustRightInd w:val="0"/>
                    <w:snapToGrid w:val="0"/>
                    <w:rPr>
                      <w:bCs/>
                      <w:color w:val="000000"/>
                      <w:sz w:val="18"/>
                      <w:szCs w:val="18"/>
                    </w:rPr>
                  </w:pPr>
                  <w:r>
                    <w:rPr>
                      <w:rFonts w:hint="eastAsia"/>
                      <w:bCs/>
                      <w:color w:val="000000"/>
                      <w:sz w:val="18"/>
                      <w:szCs w:val="18"/>
                    </w:rPr>
                    <w:t>（一）鉴于区域水环境较为敏感，建议园区结合区域水环境质量及污染防治措施落实情况，并根据污水处理设施实际处理能力合理控制开发时序。加快推进园区配套1#、2#污水处理厂建设，建成前园区不得新增生产废水排放；配合做好流域水环境整治工作，推动南蛇沥、公庄河、石湾镇中心排渠、紧水河等流域环境功能恢复和水质持续改善，石湾镇中心排渠水质整治达到《地表水环境质量标准》(GB 3838—2002）IV类标准前，区块四、五、六不得排放生产废水。园区区块一生产废水、生活污水排入配套的1#污水处理厂处理达标后排放，区块二、三生产废水、生活污水排入配套的2#污水处理厂处理达标后排放，区块四、五、六生产废水和生活污水依托石湾镇大牛垒污水处理厂集中处理。1#、2#污水处理厂排放尾水中COD、BOD</w:t>
                  </w:r>
                  <w:r>
                    <w:rPr>
                      <w:rFonts w:hint="eastAsia"/>
                      <w:bCs/>
                      <w:color w:val="000000"/>
                      <w:sz w:val="18"/>
                      <w:szCs w:val="18"/>
                      <w:vertAlign w:val="subscript"/>
                    </w:rPr>
                    <w:t>5</w:t>
                  </w:r>
                  <w:r>
                    <w:rPr>
                      <w:rFonts w:hint="eastAsia"/>
                      <w:bCs/>
                      <w:color w:val="000000"/>
                      <w:sz w:val="18"/>
                      <w:szCs w:val="18"/>
                    </w:rPr>
                    <w:t>、氨氮、总磷执行《地表水环境质量标准》（GB 3838-2002）V类标准，其余指标执行《城镇污水处理厂污染物排放标准》（GB18918-2002）一级A标准和广东省《水污染物排放限值》（DB44/26-2001）第二时段一级标准较严者。石湾镇大牛垒污水处理厂排放尾水中氨氮、总磷执行《地表水环境质量标准》（GB 3838-2002）V类标准，其余指标执行《城镇污水处理厂污染物排放标准》（GB 18918-2002）一级A标准和广东省《水污染物排放限值》（DB44/26-2001）第二时段一级标准较严者。园区应严格控制废水排放量，生产废水、生活污水排放量近期分别控制在4065、9747吨/日以内，远期分别控制在6828、13375吨/日以内。</w:t>
                  </w:r>
                </w:p>
              </w:tc>
              <w:tc>
                <w:tcPr>
                  <w:tcW w:w="1489" w:type="pct"/>
                  <w:vAlign w:val="center"/>
                </w:tcPr>
                <w:p>
                  <w:pPr>
                    <w:adjustRightInd w:val="0"/>
                    <w:snapToGrid w:val="0"/>
                    <w:rPr>
                      <w:color w:val="FF0000"/>
                      <w:sz w:val="18"/>
                      <w:szCs w:val="18"/>
                    </w:rPr>
                  </w:pPr>
                  <w:r>
                    <w:rPr>
                      <w:rFonts w:hint="eastAsia"/>
                      <w:sz w:val="18"/>
                      <w:szCs w:val="18"/>
                    </w:rPr>
                    <w:t>项目无生产废水排放，外排污水主要为员工的生活污水，项目所在地属于博罗县杨侨镇生活污水处理厂的集污范围之内。项目生活污水经三级化粪池预处理后纳入市政污水管网，排入博罗县杨侨镇生活污水处理厂进行深度处理，尾水达到《城镇污水处理厂污染物排放标准》（GB18918-2002）中的一级A标准以及广东省《水污染物排放限值》（DB44/26-2001）第二时段一级标准中的较严值后排入南蛇沥，再汇入公庄河，最后进入东江。</w:t>
                  </w:r>
                </w:p>
              </w:tc>
              <w:tc>
                <w:tcPr>
                  <w:tcW w:w="800" w:type="dxa"/>
                  <w:vAlign w:val="center"/>
                </w:tcPr>
                <w:p>
                  <w:pPr>
                    <w:tabs>
                      <w:tab w:val="left" w:pos="2220"/>
                      <w:tab w:val="center" w:pos="4952"/>
                    </w:tabs>
                    <w:adjustRightInd w:val="0"/>
                    <w:snapToGrid w:val="0"/>
                    <w:jc w:val="center"/>
                    <w:rPr>
                      <w:color w:val="000000"/>
                      <w:sz w:val="18"/>
                      <w:szCs w:val="18"/>
                    </w:rPr>
                  </w:pPr>
                  <w:r>
                    <w:rPr>
                      <w:rFonts w:hint="eastAsia"/>
                      <w:color w:val="000000"/>
                      <w:sz w:val="18"/>
                      <w:szCs w:val="18"/>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006" w:type="pct"/>
                  <w:vAlign w:val="center"/>
                </w:tcPr>
                <w:p>
                  <w:pPr>
                    <w:adjustRightInd w:val="0"/>
                    <w:snapToGrid w:val="0"/>
                    <w:rPr>
                      <w:sz w:val="18"/>
                      <w:szCs w:val="18"/>
                    </w:rPr>
                  </w:pPr>
                  <w:r>
                    <w:rPr>
                      <w:sz w:val="18"/>
                      <w:szCs w:val="18"/>
                    </w:rPr>
                    <w:t>（二）进一步优化产业园用地规划。入园工业企业和园区内、外的居民点、学校、医院等环境敏感点之间需根据建设项目环境影响评价结论合理设置环境防护距离，必要时在工业企业与环境敏感点之间设置防护绿地。严格落实防护距离内的建设要求，不得规划建设集中居住区、学校、医院等环境敏感点。</w:t>
                  </w:r>
                </w:p>
              </w:tc>
              <w:tc>
                <w:tcPr>
                  <w:tcW w:w="1489" w:type="pct"/>
                  <w:vAlign w:val="center"/>
                </w:tcPr>
                <w:p>
                  <w:pPr>
                    <w:adjustRightInd w:val="0"/>
                    <w:snapToGrid w:val="0"/>
                    <w:rPr>
                      <w:color w:val="FF0000"/>
                      <w:sz w:val="18"/>
                      <w:szCs w:val="18"/>
                    </w:rPr>
                  </w:pPr>
                  <w:r>
                    <w:rPr>
                      <w:color w:val="auto"/>
                      <w:sz w:val="18"/>
                      <w:szCs w:val="18"/>
                    </w:rPr>
                    <w:t>项目厂界距离最近敏感点</w:t>
                  </w:r>
                  <w:r>
                    <w:rPr>
                      <w:rFonts w:hint="eastAsia"/>
                      <w:color w:val="auto"/>
                      <w:sz w:val="18"/>
                      <w:szCs w:val="18"/>
                    </w:rPr>
                    <w:t>（长征村）</w:t>
                  </w:r>
                  <w:r>
                    <w:rPr>
                      <w:color w:val="auto"/>
                      <w:sz w:val="18"/>
                      <w:szCs w:val="18"/>
                    </w:rPr>
                    <w:t>约</w:t>
                  </w:r>
                  <w:r>
                    <w:rPr>
                      <w:rFonts w:hint="eastAsia"/>
                      <w:color w:val="auto"/>
                      <w:sz w:val="18"/>
                      <w:szCs w:val="18"/>
                    </w:rPr>
                    <w:t>243</w:t>
                  </w:r>
                  <w:r>
                    <w:rPr>
                      <w:color w:val="auto"/>
                      <w:sz w:val="18"/>
                      <w:szCs w:val="18"/>
                    </w:rPr>
                    <w:t>m。项目设立了50m卫生防护距离</w:t>
                  </w:r>
                  <w:r>
                    <w:rPr>
                      <w:rFonts w:hint="eastAsia"/>
                      <w:color w:val="auto"/>
                      <w:sz w:val="18"/>
                      <w:szCs w:val="18"/>
                    </w:rPr>
                    <w:t>，卫生防护距离内无</w:t>
                  </w:r>
                  <w:r>
                    <w:rPr>
                      <w:color w:val="auto"/>
                      <w:sz w:val="18"/>
                      <w:szCs w:val="18"/>
                    </w:rPr>
                    <w:t>居民点、学校、医院等环境敏</w:t>
                  </w:r>
                  <w:r>
                    <w:rPr>
                      <w:sz w:val="18"/>
                      <w:szCs w:val="18"/>
                    </w:rPr>
                    <w:t>感点</w:t>
                  </w:r>
                  <w:r>
                    <w:rPr>
                      <w:rFonts w:hint="eastAsia"/>
                      <w:sz w:val="18"/>
                      <w:szCs w:val="18"/>
                    </w:rPr>
                    <w:t>。</w:t>
                  </w:r>
                </w:p>
              </w:tc>
              <w:tc>
                <w:tcPr>
                  <w:tcW w:w="800" w:type="dxa"/>
                  <w:vAlign w:val="center"/>
                </w:tcPr>
                <w:p>
                  <w:pPr>
                    <w:tabs>
                      <w:tab w:val="left" w:pos="2220"/>
                      <w:tab w:val="center" w:pos="4952"/>
                    </w:tabs>
                    <w:adjustRightInd w:val="0"/>
                    <w:snapToGrid w:val="0"/>
                    <w:jc w:val="center"/>
                    <w:rPr>
                      <w:color w:val="000000"/>
                      <w:kern w:val="2"/>
                      <w:sz w:val="18"/>
                      <w:szCs w:val="18"/>
                    </w:rPr>
                  </w:pPr>
                  <w:r>
                    <w:rPr>
                      <w:rFonts w:hint="eastAsia"/>
                      <w:color w:val="000000"/>
                      <w:sz w:val="18"/>
                      <w:szCs w:val="18"/>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006" w:type="pct"/>
                  <w:vAlign w:val="center"/>
                </w:tcPr>
                <w:p>
                  <w:pPr>
                    <w:adjustRightInd w:val="0"/>
                    <w:snapToGrid w:val="0"/>
                    <w:rPr>
                      <w:sz w:val="18"/>
                      <w:szCs w:val="18"/>
                    </w:rPr>
                  </w:pPr>
                  <w:r>
                    <w:rPr>
                      <w:rFonts w:hint="eastAsia"/>
                      <w:sz w:val="18"/>
                      <w:szCs w:val="18"/>
                    </w:rPr>
                    <w:t>（</w:t>
                  </w:r>
                  <w:r>
                    <w:rPr>
                      <w:sz w:val="18"/>
                      <w:szCs w:val="18"/>
                    </w:rPr>
                    <w:t>三</w:t>
                  </w:r>
                  <w:r>
                    <w:rPr>
                      <w:rFonts w:hint="eastAsia"/>
                      <w:sz w:val="18"/>
                      <w:szCs w:val="18"/>
                    </w:rPr>
                    <w:t>）</w:t>
                  </w:r>
                  <w:r>
                    <w:rPr>
                      <w:sz w:val="18"/>
                      <w:szCs w:val="18"/>
                    </w:rPr>
                    <w:t>严格执行报告书建议的生态环境准入清单。入园项目应符合有关法律、法规、规章的规定，符合国家、省产业政策和园区产业定位，符合省、市</w:t>
                  </w:r>
                  <w:r>
                    <w:rPr>
                      <w:rFonts w:hint="eastAsia"/>
                      <w:sz w:val="18"/>
                      <w:szCs w:val="18"/>
                    </w:rPr>
                    <w:t>“</w:t>
                  </w:r>
                  <w:r>
                    <w:rPr>
                      <w:sz w:val="18"/>
                      <w:szCs w:val="18"/>
                    </w:rPr>
                    <w:t>三线一单</w:t>
                  </w:r>
                  <w:r>
                    <w:rPr>
                      <w:rFonts w:hint="eastAsia"/>
                      <w:sz w:val="18"/>
                      <w:szCs w:val="18"/>
                    </w:rPr>
                    <w:t>”</w:t>
                  </w:r>
                  <w:r>
                    <w:rPr>
                      <w:sz w:val="18"/>
                      <w:szCs w:val="18"/>
                    </w:rPr>
                    <w:t>生态环境分区管控要求，符合《关于严格限制东江流域水污染项目建设进一步做好东江水质保护工作的通知》</w:t>
                  </w:r>
                  <w:r>
                    <w:rPr>
                      <w:rFonts w:hint="eastAsia"/>
                      <w:sz w:val="18"/>
                      <w:szCs w:val="18"/>
                    </w:rPr>
                    <w:t>（</w:t>
                  </w:r>
                  <w:r>
                    <w:rPr>
                      <w:sz w:val="18"/>
                      <w:szCs w:val="18"/>
                    </w:rPr>
                    <w:t>粤府函〔2011〕339号</w:t>
                  </w:r>
                  <w:r>
                    <w:rPr>
                      <w:rFonts w:hint="eastAsia"/>
                      <w:sz w:val="18"/>
                      <w:szCs w:val="18"/>
                    </w:rPr>
                    <w:t>）</w:t>
                  </w:r>
                  <w:r>
                    <w:rPr>
                      <w:sz w:val="18"/>
                      <w:szCs w:val="18"/>
                    </w:rPr>
                    <w:t>等省、市关于东江流域水质保护的相关要求，优先引进无污染或轻污染的项目，不得引入含有电镀、印染工艺的，以及制浆造纸、制革等重污染项目，不得引入排放含汞、砷、镉、铅、六价铬等一类污染物或持久性有机污染物的项目。</w:t>
                  </w:r>
                </w:p>
              </w:tc>
              <w:tc>
                <w:tcPr>
                  <w:tcW w:w="1489" w:type="pct"/>
                  <w:vAlign w:val="center"/>
                </w:tcPr>
                <w:p>
                  <w:pPr>
                    <w:adjustRightInd w:val="0"/>
                    <w:snapToGrid w:val="0"/>
                    <w:rPr>
                      <w:color w:val="FF0000"/>
                      <w:sz w:val="18"/>
                      <w:szCs w:val="18"/>
                    </w:rPr>
                  </w:pPr>
                  <w:r>
                    <w:rPr>
                      <w:sz w:val="18"/>
                      <w:szCs w:val="18"/>
                    </w:rPr>
                    <w:t>本项目属于</w:t>
                  </w:r>
                  <w:r>
                    <w:rPr>
                      <w:rFonts w:hint="eastAsia"/>
                      <w:sz w:val="18"/>
                      <w:szCs w:val="18"/>
                    </w:rPr>
                    <w:t>C2913橡胶零件制造</w:t>
                  </w:r>
                  <w:r>
                    <w:rPr>
                      <w:sz w:val="18"/>
                      <w:szCs w:val="18"/>
                    </w:rPr>
                    <w:t>，不属于《产业结构调整指导目录</w:t>
                  </w:r>
                  <w:r>
                    <w:rPr>
                      <w:rFonts w:hint="eastAsia"/>
                      <w:sz w:val="18"/>
                      <w:szCs w:val="18"/>
                    </w:rPr>
                    <w:t>（</w:t>
                  </w:r>
                  <w:r>
                    <w:rPr>
                      <w:sz w:val="18"/>
                      <w:szCs w:val="18"/>
                    </w:rPr>
                    <w:t>2019年版</w:t>
                  </w:r>
                  <w:r>
                    <w:rPr>
                      <w:rFonts w:hint="eastAsia"/>
                      <w:sz w:val="18"/>
                      <w:szCs w:val="18"/>
                    </w:rPr>
                    <w:t>）</w:t>
                  </w:r>
                  <w:r>
                    <w:rPr>
                      <w:sz w:val="18"/>
                      <w:szCs w:val="18"/>
                    </w:rPr>
                    <w:t>》</w:t>
                  </w:r>
                  <w:r>
                    <w:rPr>
                      <w:rFonts w:hint="eastAsia"/>
                      <w:sz w:val="18"/>
                      <w:szCs w:val="18"/>
                    </w:rPr>
                    <w:t>以及《国家发展改革委关于修改&lt;产业结构调整指导目录（2019年本）&gt;的决定》</w:t>
                  </w:r>
                  <w:r>
                    <w:rPr>
                      <w:sz w:val="18"/>
                      <w:szCs w:val="18"/>
                    </w:rPr>
                    <w:t>中限制类、淘汰类和《市场准入负面清单（202</w:t>
                  </w:r>
                  <w:r>
                    <w:rPr>
                      <w:rFonts w:hint="eastAsia"/>
                      <w:sz w:val="18"/>
                      <w:szCs w:val="18"/>
                    </w:rPr>
                    <w:t>2</w:t>
                  </w:r>
                  <w:r>
                    <w:rPr>
                      <w:sz w:val="18"/>
                      <w:szCs w:val="18"/>
                    </w:rPr>
                    <w:t>年版）》中的禁止准入类项目，属于允许类</w:t>
                  </w:r>
                  <w:r>
                    <w:rPr>
                      <w:rFonts w:hint="eastAsia"/>
                      <w:sz w:val="18"/>
                      <w:szCs w:val="18"/>
                    </w:rPr>
                    <w:t>，</w:t>
                  </w:r>
                  <w:r>
                    <w:rPr>
                      <w:sz w:val="18"/>
                      <w:szCs w:val="18"/>
                    </w:rPr>
                    <w:t>符合国家和地方的有关产业政策规定</w:t>
                  </w:r>
                  <w:r>
                    <w:rPr>
                      <w:rFonts w:hint="eastAsia"/>
                      <w:sz w:val="18"/>
                      <w:szCs w:val="18"/>
                    </w:rPr>
                    <w:t>以及</w:t>
                  </w:r>
                  <w:r>
                    <w:rPr>
                      <w:sz w:val="18"/>
                      <w:szCs w:val="18"/>
                    </w:rPr>
                    <w:t>省、市</w:t>
                  </w:r>
                  <w:r>
                    <w:rPr>
                      <w:rFonts w:hint="eastAsia"/>
                      <w:sz w:val="18"/>
                      <w:szCs w:val="18"/>
                    </w:rPr>
                    <w:t>“</w:t>
                  </w:r>
                  <w:r>
                    <w:rPr>
                      <w:sz w:val="18"/>
                      <w:szCs w:val="18"/>
                    </w:rPr>
                    <w:t>三线一单</w:t>
                  </w:r>
                  <w:r>
                    <w:rPr>
                      <w:rFonts w:hint="eastAsia"/>
                      <w:sz w:val="18"/>
                      <w:szCs w:val="18"/>
                    </w:rPr>
                    <w:t>”</w:t>
                  </w:r>
                  <w:r>
                    <w:rPr>
                      <w:sz w:val="18"/>
                      <w:szCs w:val="18"/>
                    </w:rPr>
                    <w:t>生态环境分区管控要求。项目不涉及电镀、印染工艺，</w:t>
                  </w:r>
                  <w:r>
                    <w:rPr>
                      <w:rFonts w:hint="eastAsia"/>
                      <w:sz w:val="18"/>
                      <w:szCs w:val="18"/>
                    </w:rPr>
                    <w:t>不属于</w:t>
                  </w:r>
                  <w:r>
                    <w:rPr>
                      <w:sz w:val="18"/>
                      <w:szCs w:val="18"/>
                    </w:rPr>
                    <w:t>制浆造纸、制革等重污染项目，</w:t>
                  </w:r>
                  <w:r>
                    <w:rPr>
                      <w:rFonts w:hint="eastAsia"/>
                      <w:sz w:val="18"/>
                      <w:szCs w:val="18"/>
                    </w:rPr>
                    <w:t>不涉及</w:t>
                  </w:r>
                  <w:r>
                    <w:rPr>
                      <w:sz w:val="18"/>
                      <w:szCs w:val="18"/>
                    </w:rPr>
                    <w:t>含汞、砷、镉、铅、六价铬等一类污染物或持久性有机污染物</w:t>
                  </w:r>
                  <w:r>
                    <w:rPr>
                      <w:rFonts w:hint="eastAsia"/>
                      <w:sz w:val="18"/>
                      <w:szCs w:val="18"/>
                    </w:rPr>
                    <w:t>的排放。</w:t>
                  </w:r>
                </w:p>
              </w:tc>
              <w:tc>
                <w:tcPr>
                  <w:tcW w:w="800" w:type="dxa"/>
                  <w:vAlign w:val="center"/>
                </w:tcPr>
                <w:p>
                  <w:pPr>
                    <w:adjustRightInd w:val="0"/>
                    <w:snapToGrid w:val="0"/>
                    <w:jc w:val="center"/>
                    <w:rPr>
                      <w:bCs/>
                      <w:color w:val="000000"/>
                      <w:kern w:val="2"/>
                      <w:sz w:val="18"/>
                      <w:szCs w:val="18"/>
                    </w:rPr>
                  </w:pPr>
                  <w:r>
                    <w:rPr>
                      <w:rFonts w:hint="eastAsia"/>
                      <w:color w:val="000000"/>
                      <w:sz w:val="18"/>
                      <w:szCs w:val="18"/>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006" w:type="pct"/>
                  <w:vAlign w:val="center"/>
                </w:tcPr>
                <w:p>
                  <w:pPr>
                    <w:adjustRightInd w:val="0"/>
                    <w:snapToGrid w:val="0"/>
                    <w:rPr>
                      <w:sz w:val="18"/>
                      <w:szCs w:val="18"/>
                    </w:rPr>
                  </w:pPr>
                  <w:r>
                    <w:rPr>
                      <w:sz w:val="18"/>
                      <w:szCs w:val="18"/>
                    </w:rPr>
                    <w:t>（四）园区企业应使用天然气、电能等清洁能源，并按照《重点行业挥发性有机物综合治理方案》</w:t>
                  </w:r>
                  <w:r>
                    <w:rPr>
                      <w:rFonts w:hint="eastAsia"/>
                      <w:sz w:val="18"/>
                      <w:szCs w:val="18"/>
                    </w:rPr>
                    <w:t>（</w:t>
                  </w:r>
                  <w:r>
                    <w:rPr>
                      <w:sz w:val="18"/>
                      <w:szCs w:val="18"/>
                    </w:rPr>
                    <w:t>环大气〔201</w:t>
                  </w:r>
                  <w:r>
                    <w:rPr>
                      <w:rFonts w:hint="eastAsia"/>
                      <w:sz w:val="18"/>
                      <w:szCs w:val="18"/>
                    </w:rPr>
                    <w:t>9</w:t>
                  </w:r>
                  <w:r>
                    <w:rPr>
                      <w:sz w:val="18"/>
                      <w:szCs w:val="18"/>
                    </w:rPr>
                    <w:t>〕53号</w:t>
                  </w:r>
                  <w:r>
                    <w:rPr>
                      <w:rFonts w:hint="eastAsia"/>
                      <w:sz w:val="18"/>
                      <w:szCs w:val="18"/>
                    </w:rPr>
                    <w:t>）</w:t>
                  </w:r>
                  <w:r>
                    <w:rPr>
                      <w:sz w:val="18"/>
                      <w:szCs w:val="18"/>
                    </w:rPr>
                    <w:t>、《工业炉窑大气污染综合治理方</w:t>
                  </w:r>
                </w:p>
                <w:p>
                  <w:pPr>
                    <w:adjustRightInd w:val="0"/>
                    <w:snapToGrid w:val="0"/>
                    <w:rPr>
                      <w:sz w:val="18"/>
                      <w:szCs w:val="18"/>
                    </w:rPr>
                  </w:pPr>
                  <w:r>
                    <w:rPr>
                      <w:sz w:val="18"/>
                      <w:szCs w:val="18"/>
                    </w:rPr>
                    <w:t>案》</w:t>
                  </w:r>
                  <w:r>
                    <w:rPr>
                      <w:rFonts w:hint="eastAsia"/>
                      <w:sz w:val="18"/>
                      <w:szCs w:val="18"/>
                    </w:rPr>
                    <w:t>（</w:t>
                  </w:r>
                  <w:r>
                    <w:rPr>
                      <w:sz w:val="18"/>
                      <w:szCs w:val="18"/>
                    </w:rPr>
                    <w:t>环大气〔201</w:t>
                  </w:r>
                  <w:r>
                    <w:rPr>
                      <w:rFonts w:hint="eastAsia"/>
                      <w:sz w:val="18"/>
                      <w:szCs w:val="18"/>
                    </w:rPr>
                    <w:t>9</w:t>
                  </w:r>
                  <w:r>
                    <w:rPr>
                      <w:sz w:val="18"/>
                      <w:szCs w:val="18"/>
                    </w:rPr>
                    <w:t>〕56号</w:t>
                  </w:r>
                  <w:r>
                    <w:rPr>
                      <w:rFonts w:hint="eastAsia"/>
                      <w:sz w:val="18"/>
                      <w:szCs w:val="18"/>
                    </w:rPr>
                    <w:t>）</w:t>
                  </w:r>
                  <w:r>
                    <w:rPr>
                      <w:sz w:val="18"/>
                      <w:szCs w:val="18"/>
                    </w:rPr>
                    <w:t>等的要求，采取有效的废气收集、处理措施，减少废气排放量，确保大气污染物达标排放，并避免恶臭污染影响。结合VOCs总量减排工作要求，压减VOCs排放量。落实国家和省、市有关碳减排要求，推动园区碳减排工作。</w:t>
                  </w:r>
                </w:p>
              </w:tc>
              <w:tc>
                <w:tcPr>
                  <w:tcW w:w="1489" w:type="pct"/>
                  <w:vAlign w:val="center"/>
                </w:tcPr>
                <w:p>
                  <w:pPr>
                    <w:adjustRightInd w:val="0"/>
                    <w:snapToGrid w:val="0"/>
                    <w:rPr>
                      <w:color w:val="FF0000"/>
                      <w:sz w:val="18"/>
                      <w:szCs w:val="18"/>
                    </w:rPr>
                  </w:pPr>
                  <w:r>
                    <w:rPr>
                      <w:bCs/>
                      <w:sz w:val="18"/>
                      <w:szCs w:val="18"/>
                    </w:rPr>
                    <w:t>项目采用电能能源，</w:t>
                  </w:r>
                  <w:r>
                    <w:rPr>
                      <w:rFonts w:hint="eastAsia"/>
                      <w:bCs/>
                      <w:sz w:val="18"/>
                      <w:szCs w:val="18"/>
                    </w:rPr>
                    <w:t>粉（烟）尘</w:t>
                  </w:r>
                  <w:r>
                    <w:rPr>
                      <w:bCs/>
                      <w:sz w:val="18"/>
                      <w:szCs w:val="18"/>
                    </w:rPr>
                    <w:t>废气经</w:t>
                  </w:r>
                  <w:r>
                    <w:rPr>
                      <w:rFonts w:hint="eastAsia"/>
                      <w:bCs/>
                      <w:sz w:val="18"/>
                      <w:szCs w:val="18"/>
                    </w:rPr>
                    <w:t>袋式除尘器处理后经15米高排气筒（DA001）排放，有机废气收集后经两级活性炭吸附装置处理后经2根15米高排气筒（DA002、DA003）排放，废气均</w:t>
                  </w:r>
                  <w:r>
                    <w:rPr>
                      <w:bCs/>
                      <w:sz w:val="18"/>
                      <w:szCs w:val="18"/>
                    </w:rPr>
                    <w:t>采取有效措施处理后达标排放。</w:t>
                  </w:r>
                </w:p>
              </w:tc>
              <w:tc>
                <w:tcPr>
                  <w:tcW w:w="800" w:type="dxa"/>
                  <w:vAlign w:val="center"/>
                </w:tcPr>
                <w:p>
                  <w:pPr>
                    <w:adjustRightInd w:val="0"/>
                    <w:snapToGrid w:val="0"/>
                    <w:jc w:val="center"/>
                    <w:rPr>
                      <w:color w:val="000000"/>
                      <w:kern w:val="2"/>
                      <w:sz w:val="18"/>
                      <w:szCs w:val="18"/>
                    </w:rPr>
                  </w:pPr>
                  <w:r>
                    <w:rPr>
                      <w:rFonts w:hint="eastAsia"/>
                      <w:color w:val="000000"/>
                      <w:sz w:val="18"/>
                      <w:szCs w:val="18"/>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006" w:type="pct"/>
                  <w:vAlign w:val="center"/>
                </w:tcPr>
                <w:p>
                  <w:pPr>
                    <w:adjustRightInd w:val="0"/>
                    <w:snapToGrid w:val="0"/>
                    <w:rPr>
                      <w:sz w:val="18"/>
                      <w:szCs w:val="18"/>
                    </w:rPr>
                  </w:pPr>
                  <w:r>
                    <w:rPr>
                      <w:rFonts w:hint="eastAsia"/>
                      <w:sz w:val="18"/>
                      <w:szCs w:val="18"/>
                    </w:rPr>
                    <w:t>（</w:t>
                  </w:r>
                  <w:r>
                    <w:rPr>
                      <w:sz w:val="18"/>
                      <w:szCs w:val="18"/>
                    </w:rPr>
                    <w:t>五）按照分类收集和综合利用的原则，落实固体废物分类收集、综合利用和处理处置等措施，防止造成二次污染。一般工业固体废物应立足于回收利用</w:t>
                  </w:r>
                  <w:r>
                    <w:rPr>
                      <w:rFonts w:hint="eastAsia"/>
                      <w:sz w:val="18"/>
                      <w:szCs w:val="18"/>
                    </w:rPr>
                    <w:t>，</w:t>
                  </w:r>
                  <w:r>
                    <w:rPr>
                      <w:sz w:val="18"/>
                      <w:szCs w:val="18"/>
                    </w:rPr>
                    <w:t>不能利用的应按有关要求进行处置。危险废物的污染防治须严格执行国家和省对危险废物管理的有关规定，送有资质的单位处理处置。</w:t>
                  </w:r>
                </w:p>
              </w:tc>
              <w:tc>
                <w:tcPr>
                  <w:tcW w:w="1489" w:type="pct"/>
                  <w:vAlign w:val="center"/>
                </w:tcPr>
                <w:p>
                  <w:pPr>
                    <w:adjustRightInd w:val="0"/>
                    <w:snapToGrid w:val="0"/>
                    <w:rPr>
                      <w:sz w:val="18"/>
                      <w:szCs w:val="18"/>
                    </w:rPr>
                  </w:pPr>
                  <w:r>
                    <w:rPr>
                      <w:rFonts w:hint="eastAsia"/>
                      <w:sz w:val="18"/>
                      <w:szCs w:val="18"/>
                    </w:rPr>
                    <w:t>项目一般固废分类收集后交由专业回收单位处理，危险废物分类收集后委托有资质单位处置，生活垃圾统一由环卫部门清运处理。</w:t>
                  </w:r>
                </w:p>
              </w:tc>
              <w:tc>
                <w:tcPr>
                  <w:tcW w:w="800" w:type="dxa"/>
                  <w:vAlign w:val="center"/>
                </w:tcPr>
                <w:p>
                  <w:pPr>
                    <w:adjustRightInd w:val="0"/>
                    <w:snapToGrid w:val="0"/>
                    <w:jc w:val="center"/>
                    <w:rPr>
                      <w:color w:val="000000"/>
                      <w:kern w:val="2"/>
                      <w:sz w:val="18"/>
                      <w:szCs w:val="18"/>
                    </w:rPr>
                  </w:pPr>
                  <w:r>
                    <w:rPr>
                      <w:rFonts w:hint="eastAsia"/>
                      <w:color w:val="000000"/>
                      <w:sz w:val="18"/>
                      <w:szCs w:val="18"/>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006" w:type="pct"/>
                  <w:vAlign w:val="center"/>
                </w:tcPr>
                <w:p>
                  <w:pPr>
                    <w:adjustRightInd w:val="0"/>
                    <w:snapToGrid w:val="0"/>
                    <w:rPr>
                      <w:sz w:val="18"/>
                      <w:szCs w:val="18"/>
                    </w:rPr>
                  </w:pPr>
                  <w:r>
                    <w:rPr>
                      <w:rFonts w:hint="eastAsia"/>
                      <w:sz w:val="18"/>
                      <w:szCs w:val="18"/>
                    </w:rPr>
                    <w:t>（</w:t>
                  </w:r>
                  <w:r>
                    <w:rPr>
                      <w:sz w:val="18"/>
                      <w:szCs w:val="18"/>
                    </w:rPr>
                    <w:t>六）完善园区环境风险事故防范和应急预案，建立健全企业、园区和区域三级事故应急体系，落实有效的事故风险防范和应急措施，有效防范污染事故发生，避免因发生事故对周围环境造成污染，确保环境安全。</w:t>
                  </w:r>
                </w:p>
              </w:tc>
              <w:tc>
                <w:tcPr>
                  <w:tcW w:w="1489" w:type="pct"/>
                  <w:vAlign w:val="center"/>
                </w:tcPr>
                <w:p>
                  <w:pPr>
                    <w:adjustRightInd w:val="0"/>
                    <w:snapToGrid w:val="0"/>
                    <w:rPr>
                      <w:color w:val="FF0000"/>
                      <w:sz w:val="18"/>
                      <w:szCs w:val="18"/>
                    </w:rPr>
                  </w:pPr>
                  <w:r>
                    <w:rPr>
                      <w:sz w:val="18"/>
                      <w:szCs w:val="18"/>
                    </w:rPr>
                    <w:t>项目拟配套有效的风险防范措施</w:t>
                  </w:r>
                  <w:r>
                    <w:rPr>
                      <w:rFonts w:hint="eastAsia"/>
                      <w:sz w:val="18"/>
                      <w:szCs w:val="18"/>
                    </w:rPr>
                    <w:t>和事故应急措施，防止环境突发事件污染环境</w:t>
                  </w:r>
                  <w:r>
                    <w:rPr>
                      <w:sz w:val="18"/>
                      <w:szCs w:val="18"/>
                    </w:rPr>
                    <w:t>。</w:t>
                  </w:r>
                </w:p>
              </w:tc>
              <w:tc>
                <w:tcPr>
                  <w:tcW w:w="800" w:type="dxa"/>
                  <w:vAlign w:val="center"/>
                </w:tcPr>
                <w:p>
                  <w:pPr>
                    <w:adjustRightInd w:val="0"/>
                    <w:snapToGrid w:val="0"/>
                    <w:jc w:val="center"/>
                    <w:rPr>
                      <w:color w:val="000000"/>
                      <w:kern w:val="2"/>
                      <w:sz w:val="18"/>
                      <w:szCs w:val="18"/>
                    </w:rPr>
                  </w:pPr>
                  <w:r>
                    <w:rPr>
                      <w:rFonts w:hint="eastAsia"/>
                      <w:color w:val="000000"/>
                      <w:sz w:val="18"/>
                      <w:szCs w:val="18"/>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006" w:type="pct"/>
                  <w:vAlign w:val="center"/>
                </w:tcPr>
                <w:p>
                  <w:pPr>
                    <w:adjustRightInd w:val="0"/>
                    <w:snapToGrid w:val="0"/>
                    <w:rPr>
                      <w:sz w:val="18"/>
                      <w:szCs w:val="18"/>
                    </w:rPr>
                  </w:pPr>
                  <w:r>
                    <w:rPr>
                      <w:rFonts w:hint="eastAsia"/>
                      <w:sz w:val="18"/>
                      <w:szCs w:val="18"/>
                    </w:rPr>
                    <w:t>（</w:t>
                  </w:r>
                  <w:r>
                    <w:rPr>
                      <w:sz w:val="18"/>
                      <w:szCs w:val="18"/>
                    </w:rPr>
                    <w:t>七）按照《关于进一步加强产业园区规划环境影响评价工作的意见》</w:t>
                  </w:r>
                  <w:r>
                    <w:rPr>
                      <w:rFonts w:hint="eastAsia"/>
                      <w:sz w:val="18"/>
                      <w:szCs w:val="18"/>
                    </w:rPr>
                    <w:t>（</w:t>
                  </w:r>
                  <w:r>
                    <w:rPr>
                      <w:sz w:val="18"/>
                      <w:szCs w:val="18"/>
                    </w:rPr>
                    <w:t>环环评〔20</w:t>
                  </w:r>
                  <w:r>
                    <w:rPr>
                      <w:rFonts w:hint="eastAsia"/>
                      <w:sz w:val="18"/>
                      <w:szCs w:val="18"/>
                    </w:rPr>
                    <w:t>20</w:t>
                  </w:r>
                  <w:r>
                    <w:rPr>
                      <w:sz w:val="18"/>
                      <w:szCs w:val="18"/>
                    </w:rPr>
                    <w:t>〕65号)、《广东省人民政府办公厅印发关于深化我省环境影响评价制</w:t>
                  </w:r>
                </w:p>
                <w:p>
                  <w:pPr>
                    <w:adjustRightInd w:val="0"/>
                    <w:snapToGrid w:val="0"/>
                    <w:rPr>
                      <w:sz w:val="18"/>
                      <w:szCs w:val="18"/>
                    </w:rPr>
                  </w:pPr>
                  <w:r>
                    <w:rPr>
                      <w:sz w:val="18"/>
                      <w:szCs w:val="18"/>
                    </w:rPr>
                    <w:t>度改革指导意见的通知</w:t>
                  </w:r>
                  <w:r>
                    <w:rPr>
                      <w:rFonts w:hint="eastAsia"/>
                      <w:sz w:val="18"/>
                      <w:szCs w:val="18"/>
                    </w:rPr>
                    <w:t>》（</w:t>
                  </w:r>
                  <w:r>
                    <w:rPr>
                      <w:sz w:val="18"/>
                      <w:szCs w:val="18"/>
                    </w:rPr>
                    <w:t>粤办函〔20</w:t>
                  </w:r>
                  <w:r>
                    <w:rPr>
                      <w:rFonts w:hint="eastAsia"/>
                      <w:sz w:val="18"/>
                      <w:szCs w:val="18"/>
                    </w:rPr>
                    <w:t>20</w:t>
                  </w:r>
                  <w:r>
                    <w:rPr>
                      <w:sz w:val="18"/>
                      <w:szCs w:val="18"/>
                    </w:rPr>
                    <w:t>〕44号</w:t>
                  </w:r>
                  <w:r>
                    <w:rPr>
                      <w:rFonts w:hint="eastAsia"/>
                      <w:sz w:val="18"/>
                      <w:szCs w:val="18"/>
                    </w:rPr>
                    <w:t>）</w:t>
                  </w:r>
                  <w:r>
                    <w:rPr>
                      <w:sz w:val="18"/>
                      <w:szCs w:val="18"/>
                    </w:rPr>
                    <w:t>、《广东省生态环境厅关于做好建设项目环评制度改革举措落实工作的通知》</w:t>
                  </w:r>
                  <w:r>
                    <w:rPr>
                      <w:rFonts w:hint="eastAsia"/>
                      <w:sz w:val="18"/>
                      <w:szCs w:val="18"/>
                    </w:rPr>
                    <w:t>（</w:t>
                  </w:r>
                  <w:r>
                    <w:rPr>
                      <w:sz w:val="18"/>
                      <w:szCs w:val="18"/>
                    </w:rPr>
                    <w:t>粤环函〔20</w:t>
                  </w:r>
                  <w:r>
                    <w:rPr>
                      <w:rFonts w:hint="eastAsia"/>
                      <w:sz w:val="18"/>
                      <w:szCs w:val="18"/>
                    </w:rPr>
                    <w:t>20</w:t>
                  </w:r>
                  <w:r>
                    <w:rPr>
                      <w:sz w:val="18"/>
                      <w:szCs w:val="18"/>
                    </w:rPr>
                    <w:t>〕302号</w:t>
                  </w:r>
                  <w:r>
                    <w:rPr>
                      <w:rFonts w:hint="eastAsia"/>
                      <w:sz w:val="18"/>
                      <w:szCs w:val="18"/>
                    </w:rPr>
                    <w:t>）</w:t>
                  </w:r>
                  <w:r>
                    <w:rPr>
                      <w:sz w:val="18"/>
                      <w:szCs w:val="18"/>
                    </w:rPr>
                    <w:t>和《广东省生态环境厅关于进一步做好产业园区规划环境影响评价工作的通知》</w:t>
                  </w:r>
                  <w:r>
                    <w:rPr>
                      <w:rFonts w:hint="eastAsia"/>
                      <w:sz w:val="18"/>
                      <w:szCs w:val="18"/>
                    </w:rPr>
                    <w:t>（</w:t>
                  </w:r>
                  <w:r>
                    <w:rPr>
                      <w:sz w:val="18"/>
                      <w:szCs w:val="18"/>
                    </w:rPr>
                    <w:t>粤环函〔20</w:t>
                  </w:r>
                  <w:r>
                    <w:rPr>
                      <w:rFonts w:hint="eastAsia"/>
                      <w:sz w:val="18"/>
                      <w:szCs w:val="18"/>
                    </w:rPr>
                    <w:t>21</w:t>
                  </w:r>
                  <w:r>
                    <w:rPr>
                      <w:sz w:val="18"/>
                      <w:szCs w:val="18"/>
                    </w:rPr>
                    <w:t>〕64号</w:t>
                  </w:r>
                  <w:r>
                    <w:rPr>
                      <w:rFonts w:hint="eastAsia"/>
                      <w:sz w:val="18"/>
                      <w:szCs w:val="18"/>
                    </w:rPr>
                    <w:t>）</w:t>
                  </w:r>
                  <w:r>
                    <w:rPr>
                      <w:sz w:val="18"/>
                      <w:szCs w:val="18"/>
                    </w:rPr>
                    <w:t>的要求，结合常规环境质量监测情况，按环境要素每年对区域环境质量进行统一监测和评价，梳理区域主要污染源和污染物排放清单，以及环境风险防范应急等情况，编制年度环境管理状况评估报告，并通过官方网站、服务窗口等方式公开、共享，接受社会监督。规划在实施过程中，发生重大调整或修编时应重新或补充进行环境影响评价。</w:t>
                  </w:r>
                </w:p>
              </w:tc>
              <w:tc>
                <w:tcPr>
                  <w:tcW w:w="1489" w:type="pct"/>
                  <w:vAlign w:val="center"/>
                </w:tcPr>
                <w:p>
                  <w:pPr>
                    <w:adjustRightInd w:val="0"/>
                    <w:snapToGrid w:val="0"/>
                    <w:rPr>
                      <w:color w:val="FF0000"/>
                      <w:sz w:val="18"/>
                      <w:szCs w:val="18"/>
                    </w:rPr>
                  </w:pPr>
                  <w:r>
                    <w:rPr>
                      <w:sz w:val="18"/>
                      <w:szCs w:val="18"/>
                    </w:rPr>
                    <w:t>根据《</w:t>
                  </w:r>
                  <w:r>
                    <w:rPr>
                      <w:rFonts w:hint="eastAsia"/>
                      <w:sz w:val="18"/>
                      <w:szCs w:val="18"/>
                    </w:rPr>
                    <w:t>排</w:t>
                  </w:r>
                  <w:r>
                    <w:rPr>
                      <w:sz w:val="18"/>
                      <w:szCs w:val="18"/>
                    </w:rPr>
                    <w:t xml:space="preserve">污单位自行监测技术指南 </w:t>
                  </w:r>
                  <w:r>
                    <w:rPr>
                      <w:rFonts w:hint="eastAsia"/>
                      <w:sz w:val="18"/>
                      <w:szCs w:val="18"/>
                    </w:rPr>
                    <w:t>橡胶和塑料制品</w:t>
                  </w:r>
                  <w:r>
                    <w:rPr>
                      <w:sz w:val="18"/>
                      <w:szCs w:val="18"/>
                    </w:rPr>
                    <w:t>》（HJ1</w:t>
                  </w:r>
                  <w:r>
                    <w:rPr>
                      <w:rFonts w:hint="eastAsia"/>
                      <w:sz w:val="18"/>
                      <w:szCs w:val="18"/>
                    </w:rPr>
                    <w:t>207</w:t>
                  </w:r>
                  <w:r>
                    <w:rPr>
                      <w:sz w:val="18"/>
                      <w:szCs w:val="18"/>
                    </w:rPr>
                    <w:t>-202</w:t>
                  </w:r>
                  <w:r>
                    <w:rPr>
                      <w:rFonts w:hint="eastAsia"/>
                      <w:sz w:val="18"/>
                      <w:szCs w:val="18"/>
                    </w:rPr>
                    <w:t>1</w:t>
                  </w:r>
                  <w:r>
                    <w:rPr>
                      <w:sz w:val="18"/>
                      <w:szCs w:val="18"/>
                    </w:rPr>
                    <w:t>）</w:t>
                  </w:r>
                  <w:r>
                    <w:rPr>
                      <w:rFonts w:hint="eastAsia"/>
                      <w:sz w:val="18"/>
                      <w:szCs w:val="18"/>
                    </w:rPr>
                    <w:t>、</w:t>
                  </w:r>
                  <w:r>
                    <w:rPr>
                      <w:sz w:val="18"/>
                      <w:szCs w:val="18"/>
                    </w:rPr>
                    <w:t>《排污单位自行监测技术指南</w:t>
                  </w:r>
                  <w:r>
                    <w:rPr>
                      <w:rFonts w:hint="eastAsia"/>
                      <w:sz w:val="18"/>
                      <w:szCs w:val="18"/>
                    </w:rPr>
                    <w:t xml:space="preserve"> </w:t>
                  </w:r>
                  <w:r>
                    <w:rPr>
                      <w:sz w:val="18"/>
                      <w:szCs w:val="18"/>
                    </w:rPr>
                    <w:t>总则》（HJ</w:t>
                  </w:r>
                  <w:r>
                    <w:rPr>
                      <w:rFonts w:hint="eastAsia"/>
                      <w:sz w:val="18"/>
                      <w:szCs w:val="18"/>
                    </w:rPr>
                    <w:t xml:space="preserve"> </w:t>
                  </w:r>
                  <w:r>
                    <w:rPr>
                      <w:sz w:val="18"/>
                      <w:szCs w:val="18"/>
                    </w:rPr>
                    <w:t>819-2017）相关规定，企业按照最新的监测方案开展监测，其中</w:t>
                  </w:r>
                  <w:r>
                    <w:rPr>
                      <w:rFonts w:hint="eastAsia"/>
                      <w:sz w:val="18"/>
                      <w:szCs w:val="18"/>
                    </w:rPr>
                    <w:t>颗粒物、非甲烷总烃</w:t>
                  </w:r>
                  <w:r>
                    <w:rPr>
                      <w:sz w:val="18"/>
                      <w:szCs w:val="18"/>
                    </w:rPr>
                    <w:t>的监测频次</w:t>
                  </w:r>
                  <w:r>
                    <w:rPr>
                      <w:rFonts w:hint="eastAsia"/>
                      <w:sz w:val="18"/>
                      <w:szCs w:val="18"/>
                    </w:rPr>
                    <w:t>均为</w:t>
                  </w:r>
                  <w:r>
                    <w:rPr>
                      <w:sz w:val="18"/>
                      <w:szCs w:val="18"/>
                    </w:rPr>
                    <w:t>每年1次。</w:t>
                  </w:r>
                </w:p>
              </w:tc>
              <w:tc>
                <w:tcPr>
                  <w:tcW w:w="800" w:type="dxa"/>
                  <w:vAlign w:val="center"/>
                </w:tcPr>
                <w:p>
                  <w:pPr>
                    <w:tabs>
                      <w:tab w:val="left" w:pos="2220"/>
                      <w:tab w:val="center" w:pos="4952"/>
                    </w:tabs>
                    <w:adjustRightInd w:val="0"/>
                    <w:snapToGrid w:val="0"/>
                    <w:jc w:val="center"/>
                    <w:rPr>
                      <w:color w:val="000000"/>
                      <w:kern w:val="2"/>
                      <w:sz w:val="18"/>
                      <w:szCs w:val="18"/>
                    </w:rPr>
                  </w:pPr>
                  <w:r>
                    <w:rPr>
                      <w:rFonts w:hint="eastAsia"/>
                      <w:color w:val="000000"/>
                      <w:sz w:val="18"/>
                      <w:szCs w:val="18"/>
                    </w:rPr>
                    <w:t>符合</w:t>
                  </w:r>
                </w:p>
              </w:tc>
            </w:tr>
          </w:tbl>
          <w:p>
            <w:pPr>
              <w:autoSpaceDE w:val="0"/>
              <w:autoSpaceDN w:val="0"/>
              <w:adjustRightInd w:val="0"/>
              <w:snapToGrid w:val="0"/>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09" w:hRule="atLeast"/>
          <w:jc w:val="center"/>
        </w:trPr>
        <w:tc>
          <w:tcPr>
            <w:tcW w:w="1389" w:type="dxa"/>
            <w:vAlign w:val="center"/>
          </w:tcPr>
          <w:p>
            <w:pPr>
              <w:autoSpaceDE w:val="0"/>
              <w:autoSpaceDN w:val="0"/>
              <w:adjustRightInd w:val="0"/>
              <w:snapToGrid w:val="0"/>
              <w:jc w:val="center"/>
            </w:pPr>
            <w:r>
              <w:t>其他符合性分析</w:t>
            </w:r>
          </w:p>
        </w:tc>
        <w:tc>
          <w:tcPr>
            <w:tcW w:w="8383" w:type="dxa"/>
            <w:gridSpan w:val="3"/>
            <w:vAlign w:val="center"/>
          </w:tcPr>
          <w:p>
            <w:pPr>
              <w:widowControl/>
              <w:adjustRightInd w:val="0"/>
              <w:snapToGrid w:val="0"/>
              <w:spacing w:line="360" w:lineRule="auto"/>
              <w:ind w:firstLine="479" w:firstLineChars="227"/>
              <w:rPr>
                <w:b/>
                <w:bCs/>
              </w:rPr>
            </w:pPr>
            <w:r>
              <w:rPr>
                <w:b/>
              </w:rPr>
              <w:t>1、</w:t>
            </w:r>
            <w:r>
              <w:rPr>
                <w:rFonts w:hint="eastAsia"/>
                <w:b/>
                <w:bCs/>
              </w:rPr>
              <w:t>“三线一单”</w:t>
            </w:r>
            <w:r>
              <w:rPr>
                <w:b/>
                <w:bCs/>
              </w:rPr>
              <w:t>相符性分析</w:t>
            </w:r>
          </w:p>
          <w:p>
            <w:pPr>
              <w:pStyle w:val="108"/>
              <w:spacing w:line="360" w:lineRule="auto"/>
              <w:ind w:firstLine="420"/>
              <w:rPr>
                <w:rFonts w:cs="Times New Roman"/>
                <w:lang w:eastAsia="zh-CN"/>
              </w:rPr>
            </w:pPr>
            <w:r>
              <w:rPr>
                <w:rFonts w:cs="Times New Roman"/>
                <w:lang w:eastAsia="zh-CN"/>
              </w:rPr>
              <w:t>本项目位于广东省</w:t>
            </w:r>
            <w:r>
              <w:rPr>
                <w:rFonts w:cs="Times New Roman"/>
              </w:rPr>
              <w:t>惠州市博罗县</w:t>
            </w:r>
            <w:r>
              <w:rPr>
                <w:rFonts w:hint="eastAsia" w:cs="Times New Roman"/>
                <w:lang w:eastAsia="zh-CN"/>
              </w:rPr>
              <w:t>杨侨镇大坑办事处桔子路武高段（土名）</w:t>
            </w:r>
            <w:r>
              <w:rPr>
                <w:rFonts w:cs="Times New Roman"/>
                <w:lang w:eastAsia="zh-CN"/>
              </w:rPr>
              <w:t>，所在地属于重点管控单元，环境管控单元编码ZH4413222000</w:t>
            </w:r>
            <w:r>
              <w:rPr>
                <w:rFonts w:hint="eastAsia" w:cs="Times New Roman"/>
                <w:lang w:eastAsia="zh-CN"/>
              </w:rPr>
              <w:t>6</w:t>
            </w:r>
            <w:r>
              <w:rPr>
                <w:rFonts w:cs="Times New Roman"/>
                <w:lang w:eastAsia="zh-CN"/>
              </w:rPr>
              <w:t>，环境管控单元名称为</w:t>
            </w:r>
            <w:r>
              <w:rPr>
                <w:rFonts w:hint="eastAsia" w:cs="Times New Roman"/>
                <w:lang w:eastAsia="zh-CN"/>
              </w:rPr>
              <w:t>博罗产业转移工业园（博东片区）</w:t>
            </w:r>
            <w:r>
              <w:rPr>
                <w:rFonts w:cs="Times New Roman"/>
                <w:lang w:eastAsia="zh-CN"/>
              </w:rPr>
              <w:t>，项目与相应的管控要求</w:t>
            </w:r>
            <w:r>
              <w:rPr>
                <w:rFonts w:cs="Times New Roman"/>
              </w:rPr>
              <w:t>相符性分析见下表。</w:t>
            </w:r>
          </w:p>
          <w:p>
            <w:pPr>
              <w:adjustRightInd w:val="0"/>
              <w:snapToGrid w:val="0"/>
              <w:spacing w:line="360" w:lineRule="auto"/>
              <w:jc w:val="center"/>
              <w:rPr>
                <w:b/>
              </w:rPr>
            </w:pPr>
            <w:r>
              <w:rPr>
                <w:b/>
              </w:rPr>
              <w:t>表1-</w:t>
            </w:r>
            <w:r>
              <w:rPr>
                <w:rFonts w:hint="eastAsia"/>
                <w:b/>
              </w:rPr>
              <w:t>4</w:t>
            </w:r>
            <w:r>
              <w:rPr>
                <w:b/>
              </w:rPr>
              <w:t xml:space="preserve"> 与《</w:t>
            </w:r>
            <w:r>
              <w:rPr>
                <w:b/>
                <w:bCs/>
              </w:rPr>
              <w:t>博罗县分类环境管控单元及环境准入负面清单</w:t>
            </w:r>
            <w:r>
              <w:rPr>
                <w:b/>
              </w:rPr>
              <w:t>》相符性分析一览表</w:t>
            </w:r>
          </w:p>
          <w:tbl>
            <w:tblPr>
              <w:tblStyle w:val="9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00"/>
              <w:gridCol w:w="4540"/>
              <w:gridCol w:w="2414"/>
              <w:gridCol w:w="6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51" w:type="pct"/>
                  <w:gridSpan w:val="2"/>
                  <w:vAlign w:val="center"/>
                </w:tcPr>
                <w:p>
                  <w:pPr>
                    <w:jc w:val="center"/>
                    <w:rPr>
                      <w:b/>
                      <w:bCs/>
                      <w:sz w:val="18"/>
                      <w:szCs w:val="18"/>
                    </w:rPr>
                  </w:pPr>
                  <w:r>
                    <w:rPr>
                      <w:b/>
                      <w:bCs/>
                      <w:sz w:val="18"/>
                      <w:szCs w:val="18"/>
                    </w:rPr>
                    <w:t>管控要求</w:t>
                  </w:r>
                </w:p>
              </w:tc>
              <w:tc>
                <w:tcPr>
                  <w:tcW w:w="1480" w:type="pct"/>
                  <w:vAlign w:val="center"/>
                </w:tcPr>
                <w:p>
                  <w:pPr>
                    <w:jc w:val="center"/>
                    <w:rPr>
                      <w:b/>
                      <w:bCs/>
                      <w:sz w:val="18"/>
                      <w:szCs w:val="18"/>
                    </w:rPr>
                  </w:pPr>
                  <w:r>
                    <w:rPr>
                      <w:b/>
                      <w:bCs/>
                      <w:sz w:val="18"/>
                      <w:szCs w:val="18"/>
                    </w:rPr>
                    <w:t>本项目情况</w:t>
                  </w:r>
                </w:p>
              </w:tc>
              <w:tc>
                <w:tcPr>
                  <w:tcW w:w="368" w:type="pct"/>
                  <w:vAlign w:val="center"/>
                </w:tcPr>
                <w:p>
                  <w:pPr>
                    <w:jc w:val="center"/>
                    <w:rPr>
                      <w:b/>
                      <w:bCs/>
                      <w:sz w:val="18"/>
                      <w:szCs w:val="18"/>
                    </w:rPr>
                  </w:pPr>
                  <w:r>
                    <w:rPr>
                      <w:b/>
                      <w:bCs/>
                      <w:sz w:val="18"/>
                      <w:szCs w:val="18"/>
                      <w:lang w:bidi="ar"/>
                    </w:rPr>
                    <w:t>符合性结论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00" w:type="pct"/>
                  <w:gridSpan w:val="4"/>
                  <w:vAlign w:val="center"/>
                </w:tcPr>
                <w:p>
                  <w:pPr>
                    <w:jc w:val="center"/>
                    <w:rPr>
                      <w:sz w:val="18"/>
                      <w:szCs w:val="18"/>
                    </w:rPr>
                  </w:pPr>
                  <w:r>
                    <w:rPr>
                      <w:b/>
                      <w:bCs/>
                    </w:rPr>
                    <w:t>一、生态保护红线相符性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51" w:type="pct"/>
                  <w:gridSpan w:val="2"/>
                  <w:vAlign w:val="center"/>
                </w:tcPr>
                <w:p>
                  <w:pPr>
                    <w:ind w:firstLine="361" w:firstLineChars="200"/>
                    <w:jc w:val="left"/>
                    <w:rPr>
                      <w:b/>
                      <w:bCs/>
                      <w:sz w:val="18"/>
                      <w:szCs w:val="18"/>
                    </w:rPr>
                  </w:pPr>
                  <w:r>
                    <w:rPr>
                      <w:b/>
                      <w:bCs/>
                      <w:sz w:val="18"/>
                      <w:szCs w:val="18"/>
                    </w:rPr>
                    <w:t>生态空间管控要求：</w:t>
                  </w:r>
                </w:p>
                <w:p>
                  <w:pPr>
                    <w:ind w:firstLine="360" w:firstLineChars="200"/>
                    <w:jc w:val="left"/>
                    <w:rPr>
                      <w:sz w:val="18"/>
                      <w:szCs w:val="18"/>
                    </w:rPr>
                  </w:pPr>
                  <w:r>
                    <w:rPr>
                      <w:sz w:val="18"/>
                      <w:szCs w:val="18"/>
                    </w:rPr>
                    <w:t>（1）生态保护红线</w:t>
                  </w:r>
                </w:p>
                <w:p>
                  <w:pPr>
                    <w:ind w:firstLine="360" w:firstLineChars="200"/>
                    <w:rPr>
                      <w:sz w:val="18"/>
                      <w:szCs w:val="18"/>
                    </w:rPr>
                  </w:pPr>
                  <w:r>
                    <w:rPr>
                      <w:sz w:val="18"/>
                      <w:szCs w:val="18"/>
                    </w:rPr>
                    <w:t>生态保护红线根据《关于在国</w:t>
                  </w:r>
                  <w:r>
                    <w:rPr>
                      <w:b w:val="0"/>
                      <w:bCs w:val="0"/>
                      <w:color w:val="auto"/>
                      <w:sz w:val="18"/>
                      <w:szCs w:val="18"/>
                    </w:rPr>
                    <w:t>土空间规划中统筹划定落实三条控制线的指导意见》中的相关要求进行管控，自然保护地核心保护区原则上禁止人为活动，其他区域严格禁止开发性、生产性建设活动，在符合现行法律法规前提下，除国家重大战略项目外，仅允许对生态功能不造成破坏的有限人为活动，包括零星的原住民在不扩大现有建设用地和耕地规模</w:t>
                  </w:r>
                  <w:r>
                    <w:rPr>
                      <w:sz w:val="18"/>
                      <w:szCs w:val="18"/>
                    </w:rPr>
                    <w:t>前提下，修缮生产生活设施，保留生活必需的少量种植、放牧、捕捞、养殖；因国家重大能源资源安全需要开展的战略性能源资源勘查，公益性自然资源调查和地质勘查；自然资源、生态环境监测和执法包括水文水资源监测及涉水违法事件的查处等，灾害防治和应急抢险活动；经依法批准进行的非破坏性科学研究观测、标本采集；经依法批准的考古调查发掘和文物保护活动；不破坏生态功能的适度参观旅游和相关的必要公共设施建设；必须且无法避让、符合县级以上国土空间规划的线性基础设施建设、防洪和供水设施建设与运行维护；重要生态修复工程。</w:t>
                  </w:r>
                </w:p>
                <w:p>
                  <w:pPr>
                    <w:ind w:firstLine="360" w:firstLineChars="200"/>
                    <w:jc w:val="left"/>
                    <w:rPr>
                      <w:sz w:val="18"/>
                      <w:szCs w:val="18"/>
                    </w:rPr>
                  </w:pPr>
                  <w:r>
                    <w:rPr>
                      <w:sz w:val="18"/>
                      <w:szCs w:val="18"/>
                    </w:rPr>
                    <w:t>（2）一般生态空间管控要求</w:t>
                  </w:r>
                </w:p>
                <w:p>
                  <w:pPr>
                    <w:rPr>
                      <w:sz w:val="18"/>
                      <w:szCs w:val="18"/>
                    </w:rPr>
                  </w:pPr>
                  <w:r>
                    <w:rPr>
                      <w:sz w:val="18"/>
                      <w:szCs w:val="18"/>
                    </w:rPr>
                    <w:t>一般生态空间根据《广东省“三线一单”生态环境分区管控方案》进行管控，一般生态空间内可开展生态保护红线内允许的活动，在不影响主导生态功能的前提下，还可开展国家和省规定不纳入环评管理的项目建设，以及生态旅游、畜禽养殖、基础设施建设、村庄建设等人为活动。</w:t>
                  </w:r>
                </w:p>
              </w:tc>
              <w:tc>
                <w:tcPr>
                  <w:tcW w:w="1480" w:type="pct"/>
                  <w:vAlign w:val="center"/>
                </w:tcPr>
                <w:p>
                  <w:pPr>
                    <w:rPr>
                      <w:sz w:val="18"/>
                      <w:szCs w:val="18"/>
                    </w:rPr>
                  </w:pPr>
                  <w:r>
                    <w:rPr>
                      <w:sz w:val="18"/>
                      <w:szCs w:val="18"/>
                    </w:rPr>
                    <w:t>本项目位于惠州市博罗县</w:t>
                  </w:r>
                  <w:r>
                    <w:rPr>
                      <w:rFonts w:hint="eastAsia"/>
                      <w:sz w:val="18"/>
                      <w:szCs w:val="18"/>
                    </w:rPr>
                    <w:t>杨侨镇大坑办事处桔子路武高段（土名）</w:t>
                  </w:r>
                  <w:r>
                    <w:rPr>
                      <w:sz w:val="18"/>
                      <w:szCs w:val="18"/>
                    </w:rPr>
                    <w:t>，根据《博罗县生态空间最终划定情况图》以及《博罗县三线一单生态环境分区管控研究报告》表3.3-2，本项目不位于生态保护红线和一般生态空间内，属于生态空间一般管控区。</w:t>
                  </w:r>
                </w:p>
              </w:tc>
              <w:tc>
                <w:tcPr>
                  <w:tcW w:w="368" w:type="pct"/>
                  <w:vAlign w:val="center"/>
                </w:tcPr>
                <w:p>
                  <w:pPr>
                    <w:jc w:val="center"/>
                    <w:rPr>
                      <w:sz w:val="18"/>
                      <w:szCs w:val="18"/>
                    </w:rPr>
                  </w:pPr>
                  <w:r>
                    <w:rPr>
                      <w:sz w:val="18"/>
                      <w:szCs w:val="18"/>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00" w:type="pct"/>
                  <w:gridSpan w:val="4"/>
                  <w:vAlign w:val="center"/>
                </w:tcPr>
                <w:p>
                  <w:pPr>
                    <w:jc w:val="center"/>
                    <w:rPr>
                      <w:sz w:val="18"/>
                      <w:szCs w:val="18"/>
                    </w:rPr>
                  </w:pPr>
                  <w:r>
                    <w:rPr>
                      <w:b/>
                      <w:bCs/>
                    </w:rPr>
                    <w:t>二、环境质量底线相符性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68" w:type="pct"/>
                  <w:vAlign w:val="center"/>
                </w:tcPr>
                <w:p>
                  <w:pPr>
                    <w:jc w:val="center"/>
                    <w:rPr>
                      <w:sz w:val="18"/>
                      <w:szCs w:val="18"/>
                    </w:rPr>
                  </w:pPr>
                  <w:r>
                    <w:rPr>
                      <w:sz w:val="18"/>
                      <w:szCs w:val="18"/>
                    </w:rPr>
                    <w:t>水环境质量底线</w:t>
                  </w:r>
                </w:p>
              </w:tc>
              <w:tc>
                <w:tcPr>
                  <w:tcW w:w="2783" w:type="pct"/>
                  <w:vAlign w:val="center"/>
                </w:tcPr>
                <w:p>
                  <w:pPr>
                    <w:ind w:firstLine="361" w:firstLineChars="200"/>
                    <w:rPr>
                      <w:b/>
                      <w:bCs/>
                      <w:sz w:val="18"/>
                      <w:szCs w:val="18"/>
                    </w:rPr>
                  </w:pPr>
                  <w:r>
                    <w:rPr>
                      <w:b/>
                      <w:bCs/>
                      <w:sz w:val="18"/>
                      <w:szCs w:val="18"/>
                    </w:rPr>
                    <w:t>水环境管控分区管控要求</w:t>
                  </w:r>
                </w:p>
                <w:p>
                  <w:pPr>
                    <w:ind w:firstLine="360" w:firstLineChars="200"/>
                    <w:rPr>
                      <w:sz w:val="18"/>
                      <w:szCs w:val="18"/>
                    </w:rPr>
                  </w:pPr>
                  <w:r>
                    <w:rPr>
                      <w:sz w:val="18"/>
                      <w:szCs w:val="18"/>
                    </w:rPr>
                    <w:t>加强涉水项目环境准入管理。在东江流域内，除国家产业政策规定的禁止项目外，还禁止新建农药、铬盐、钛白粉生产项目，禁止新建稀土分离、炼砒、炼铍、纸浆制造、氰化法提炼产品、开采和冶炼放射性矿产及其他严重污染水环境的项目；严格控制新建造纸、制革、味精、电镀、漂染、印染、炼油、发酵酿造、非放射性矿产冶炼以及使用含汞、砷、镉、铬、铅为原料的项目。禁止在东江水系岸边和水上拆船。禁止在东江干流和一级支流两岸最高水位线水平外延五百米范围内新建废弃物堆放场和处理场。饮用水水源保护区全面加强水源涵养，强化源头控制，禁止新建排污口，严格防范水源污染风险，切实保障饮用水安全，一级保护区内禁止新建、改建、扩建与供水设施和保护水源无关的建设项目；二级保护区内禁止新建、改建、扩建排放污染物的建设项目。饮用水水源准保护区内禁止新建、扩建对水体污染严重的建设项目。</w:t>
                  </w:r>
                </w:p>
              </w:tc>
              <w:tc>
                <w:tcPr>
                  <w:tcW w:w="1480" w:type="pct"/>
                  <w:vAlign w:val="center"/>
                </w:tcPr>
                <w:p>
                  <w:r>
                    <w:rPr>
                      <w:sz w:val="18"/>
                      <w:szCs w:val="18"/>
                    </w:rPr>
                    <w:t>根据《博罗县水环境质量底线管控分区划定情况图》、广东省“三线一单”平台以及《博罗县三线一单生态环境分区管控研究报告》表4.8-2，项目不位于水环境优先保护区、水环境生活污染重点管控区、水环境工业污染重点管控区内，属于水环境一般管控区。项目不涉及饮用水水源保护区。</w:t>
                  </w:r>
                </w:p>
              </w:tc>
              <w:tc>
                <w:tcPr>
                  <w:tcW w:w="368" w:type="pct"/>
                  <w:vAlign w:val="center"/>
                </w:tcPr>
                <w:p>
                  <w:pPr>
                    <w:jc w:val="center"/>
                    <w:rPr>
                      <w:sz w:val="18"/>
                      <w:szCs w:val="18"/>
                    </w:rPr>
                  </w:pPr>
                  <w:r>
                    <w:rPr>
                      <w:sz w:val="18"/>
                      <w:szCs w:val="18"/>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68" w:type="pct"/>
                  <w:vAlign w:val="center"/>
                </w:tcPr>
                <w:p>
                  <w:pPr>
                    <w:jc w:val="center"/>
                    <w:rPr>
                      <w:sz w:val="18"/>
                      <w:szCs w:val="18"/>
                    </w:rPr>
                  </w:pPr>
                  <w:r>
                    <w:rPr>
                      <w:sz w:val="18"/>
                      <w:szCs w:val="18"/>
                    </w:rPr>
                    <w:t>大气环境质量底线</w:t>
                  </w:r>
                </w:p>
              </w:tc>
              <w:tc>
                <w:tcPr>
                  <w:tcW w:w="2783" w:type="pct"/>
                  <w:vAlign w:val="center"/>
                </w:tcPr>
                <w:p>
                  <w:pPr>
                    <w:ind w:firstLine="361" w:firstLineChars="200"/>
                    <w:rPr>
                      <w:b/>
                      <w:bCs/>
                      <w:sz w:val="18"/>
                      <w:szCs w:val="18"/>
                    </w:rPr>
                  </w:pPr>
                  <w:r>
                    <w:rPr>
                      <w:b/>
                      <w:bCs/>
                      <w:sz w:val="18"/>
                      <w:szCs w:val="18"/>
                    </w:rPr>
                    <w:t>大气环境管控要求</w:t>
                  </w:r>
                </w:p>
                <w:p>
                  <w:pPr>
                    <w:ind w:firstLine="360" w:firstLineChars="200"/>
                  </w:pPr>
                  <w:r>
                    <w:rPr>
                      <w:sz w:val="18"/>
                      <w:szCs w:val="18"/>
                    </w:rPr>
                    <w:t>加强涉气项目环境准入管理。环境空气质量一类功能区实施严格保护，禁止新建、扩建大气污染物排放工业项目（国家和省规定不纳入环评管理的项目除外）。禁止新建、扩建燃煤燃油的火电机组（含企业自备电站），推进现有服役期满及落后老旧的燃煤火电机组有序退出；原则上不再新建燃煤锅炉，逐步淘汰生物质锅炉、集中供热管网覆盖区域内的分散供热锅炉，逐步推动高污染燃料禁燃区全覆盖。禁止新建、扩建水泥、平板玻璃、化学制浆、生皮制革以及国家规划外的钢铁、原油加工等项目。严格限制新建生产和使用高挥发性有机物原辅材料的项目。</w:t>
                  </w:r>
                </w:p>
              </w:tc>
              <w:tc>
                <w:tcPr>
                  <w:tcW w:w="1480" w:type="pct"/>
                  <w:vAlign w:val="center"/>
                </w:tcPr>
                <w:p>
                  <w:pPr>
                    <w:rPr>
                      <w:sz w:val="18"/>
                      <w:szCs w:val="18"/>
                    </w:rPr>
                  </w:pPr>
                  <w:r>
                    <w:rPr>
                      <w:sz w:val="18"/>
                      <w:szCs w:val="18"/>
                    </w:rPr>
                    <w:t>根据《博罗县大气环境质量底线管控分区划定情况图》、《博罗县环境空气质量功能区划图》以及《博罗县三线一单生态环境分区管控研究报告》表5.4-2，本项目所在区域属于大气环境高排放重点管控区，不属于环境空气质量一类功能区，项目属于</w:t>
                  </w:r>
                  <w:r>
                    <w:rPr>
                      <w:rFonts w:hint="eastAsia"/>
                      <w:sz w:val="18"/>
                      <w:szCs w:val="18"/>
                    </w:rPr>
                    <w:t>橡胶零件制造</w:t>
                  </w:r>
                  <w:r>
                    <w:rPr>
                      <w:sz w:val="18"/>
                      <w:szCs w:val="18"/>
                    </w:rPr>
                    <w:t>，</w:t>
                  </w:r>
                  <w:r>
                    <w:rPr>
                      <w:rFonts w:hint="eastAsia"/>
                      <w:sz w:val="18"/>
                      <w:szCs w:val="18"/>
                    </w:rPr>
                    <w:t>采用电能生产，不属于</w:t>
                  </w:r>
                  <w:r>
                    <w:rPr>
                      <w:sz w:val="18"/>
                      <w:szCs w:val="18"/>
                    </w:rPr>
                    <w:t>水泥、平板玻璃、化学制浆、生皮制革以及国家规划外的钢铁、原油加工等项目</w:t>
                  </w:r>
                  <w:r>
                    <w:rPr>
                      <w:rFonts w:hint="eastAsia"/>
                      <w:sz w:val="18"/>
                      <w:szCs w:val="18"/>
                    </w:rPr>
                    <w:t>，项目</w:t>
                  </w:r>
                  <w:r>
                    <w:rPr>
                      <w:sz w:val="18"/>
                      <w:szCs w:val="18"/>
                    </w:rPr>
                    <w:t>不</w:t>
                  </w:r>
                  <w:r>
                    <w:rPr>
                      <w:rFonts w:hint="eastAsia"/>
                      <w:sz w:val="18"/>
                      <w:szCs w:val="18"/>
                    </w:rPr>
                    <w:t>新建锅炉，不使用</w:t>
                  </w:r>
                  <w:r>
                    <w:rPr>
                      <w:sz w:val="18"/>
                      <w:szCs w:val="18"/>
                    </w:rPr>
                    <w:t>高挥发性有机物原辅材料。</w:t>
                  </w:r>
                </w:p>
              </w:tc>
              <w:tc>
                <w:tcPr>
                  <w:tcW w:w="368" w:type="pct"/>
                  <w:vAlign w:val="center"/>
                </w:tcPr>
                <w:p>
                  <w:pPr>
                    <w:jc w:val="center"/>
                    <w:rPr>
                      <w:sz w:val="18"/>
                      <w:szCs w:val="18"/>
                    </w:rPr>
                  </w:pPr>
                  <w:r>
                    <w:rPr>
                      <w:sz w:val="18"/>
                      <w:szCs w:val="18"/>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68" w:type="pct"/>
                  <w:vAlign w:val="center"/>
                </w:tcPr>
                <w:p>
                  <w:pPr>
                    <w:jc w:val="center"/>
                    <w:rPr>
                      <w:sz w:val="18"/>
                      <w:szCs w:val="18"/>
                    </w:rPr>
                  </w:pPr>
                  <w:r>
                    <w:rPr>
                      <w:sz w:val="18"/>
                      <w:szCs w:val="18"/>
                    </w:rPr>
                    <w:t>土壤环境安全利用底线</w:t>
                  </w:r>
                </w:p>
              </w:tc>
              <w:tc>
                <w:tcPr>
                  <w:tcW w:w="2783" w:type="pct"/>
                  <w:vAlign w:val="center"/>
                </w:tcPr>
                <w:p>
                  <w:pPr>
                    <w:ind w:firstLine="361" w:firstLineChars="200"/>
                    <w:rPr>
                      <w:sz w:val="18"/>
                      <w:szCs w:val="18"/>
                    </w:rPr>
                  </w:pPr>
                  <w:r>
                    <w:rPr>
                      <w:b/>
                      <w:bCs/>
                      <w:sz w:val="18"/>
                      <w:szCs w:val="18"/>
                    </w:rPr>
                    <w:t>严格控制新增重金属污染物排放。</w:t>
                  </w:r>
                  <w:r>
                    <w:rPr>
                      <w:sz w:val="18"/>
                      <w:szCs w:val="18"/>
                    </w:rPr>
                    <w:t>继续严格实施重金属污染防治分区防控策略，禁止在重点防控区内新建、改建、扩建增加重金属污染物排放总量的建设项目。重金属污染防控非重点区新建、改扩建重金属排放项目，应落实重金属总量替代与削减要求，严格控制重点行业发展规模。强化涉重金属污染行业建设项目环评审批管理，严格执行环保“三同时”制度。</w:t>
                  </w:r>
                </w:p>
                <w:p>
                  <w:pPr>
                    <w:ind w:firstLine="361" w:firstLineChars="200"/>
                    <w:rPr>
                      <w:sz w:val="18"/>
                      <w:szCs w:val="18"/>
                    </w:rPr>
                  </w:pPr>
                  <w:r>
                    <w:rPr>
                      <w:b/>
                      <w:bCs/>
                      <w:sz w:val="18"/>
                      <w:szCs w:val="18"/>
                    </w:rPr>
                    <w:t>强化土壤环境风险管控。</w:t>
                  </w:r>
                  <w:r>
                    <w:rPr>
                      <w:sz w:val="18"/>
                      <w:szCs w:val="18"/>
                    </w:rPr>
                    <w:t>实施农用地分类管理，保障农产品质量安全。严格控制在优先保护类耕地集中区域新建涉环境污染重点行业企业、污水处理厂、垃圾填埋场、垃圾焚烧厂及污染处理处置设施等公用设施。强化建设用地风险管控，防范人居环境风险。规范受污染建设用地再开发。</w:t>
                  </w:r>
                </w:p>
                <w:p>
                  <w:pPr>
                    <w:ind w:firstLine="361" w:firstLineChars="200"/>
                    <w:rPr>
                      <w:sz w:val="18"/>
                      <w:szCs w:val="18"/>
                    </w:rPr>
                  </w:pPr>
                  <w:r>
                    <w:rPr>
                      <w:b/>
                      <w:bCs/>
                      <w:sz w:val="18"/>
                      <w:szCs w:val="18"/>
                    </w:rPr>
                    <w:t>强化重金属风险管控。</w:t>
                  </w:r>
                  <w:r>
                    <w:rPr>
                      <w:sz w:val="18"/>
                      <w:szCs w:val="18"/>
                    </w:rPr>
                    <w:t>加强涉重金属污染源环境风险管控。强化涉重危险废物安全处理处置。加强污染地块风险管控，建立污染地块清单，实施污染地块分类管理，强化污染场地开发利用环境管理。</w:t>
                  </w:r>
                </w:p>
              </w:tc>
              <w:tc>
                <w:tcPr>
                  <w:tcW w:w="1480" w:type="pct"/>
                  <w:vAlign w:val="center"/>
                </w:tcPr>
                <w:p>
                  <w:pPr>
                    <w:rPr>
                      <w:sz w:val="18"/>
                      <w:szCs w:val="18"/>
                    </w:rPr>
                  </w:pPr>
                  <w:r>
                    <w:rPr>
                      <w:sz w:val="18"/>
                      <w:szCs w:val="18"/>
                    </w:rPr>
                    <w:t>根据《博罗县建设用地土壤管控分区划定情况图》以及《博罗县三线一单生态环境分区管控研究报告》6.1.2、6.1.3，本项目不位于建设用地污染风险重点管控区内，属于土壤环境一般管控区。本项目不涉及重金属，不位于优先保护类耕地集中区域。</w:t>
                  </w:r>
                </w:p>
              </w:tc>
              <w:tc>
                <w:tcPr>
                  <w:tcW w:w="368" w:type="pct"/>
                  <w:vAlign w:val="center"/>
                </w:tcPr>
                <w:p>
                  <w:pPr>
                    <w:jc w:val="center"/>
                    <w:rPr>
                      <w:sz w:val="18"/>
                      <w:szCs w:val="18"/>
                    </w:rPr>
                  </w:pPr>
                  <w:r>
                    <w:rPr>
                      <w:sz w:val="18"/>
                      <w:szCs w:val="18"/>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00" w:type="pct"/>
                  <w:gridSpan w:val="4"/>
                  <w:vAlign w:val="center"/>
                </w:tcPr>
                <w:p>
                  <w:pPr>
                    <w:jc w:val="center"/>
                    <w:rPr>
                      <w:sz w:val="18"/>
                      <w:szCs w:val="18"/>
                    </w:rPr>
                  </w:pPr>
                  <w:r>
                    <w:rPr>
                      <w:b/>
                      <w:bCs/>
                    </w:rPr>
                    <w:t>三、资源利用上线相符性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00" w:type="pct"/>
                  <w:gridSpan w:val="4"/>
                  <w:vAlign w:val="center"/>
                </w:tcPr>
                <w:p>
                  <w:pPr>
                    <w:ind w:firstLine="360" w:firstLineChars="200"/>
                    <w:rPr>
                      <w:sz w:val="18"/>
                      <w:szCs w:val="18"/>
                    </w:rPr>
                  </w:pPr>
                  <w:r>
                    <w:rPr>
                      <w:sz w:val="18"/>
                      <w:szCs w:val="18"/>
                    </w:rPr>
                    <w:t>根据《博罗县资源利用上线——土地资源优先保护区划定情况图》，本项目不位于土地资源优先保护区内；</w:t>
                  </w:r>
                </w:p>
                <w:p>
                  <w:pPr>
                    <w:ind w:firstLine="360" w:firstLineChars="200"/>
                    <w:rPr>
                      <w:sz w:val="18"/>
                      <w:szCs w:val="18"/>
                    </w:rPr>
                  </w:pPr>
                  <w:r>
                    <w:rPr>
                      <w:sz w:val="18"/>
                      <w:szCs w:val="18"/>
                    </w:rPr>
                    <w:t>根据《博罗县资源利用上线——矿产资源开发敏感区划定情况图》，本项目不位于博罗县矿产资源开发敏感区内；</w:t>
                  </w:r>
                </w:p>
                <w:p>
                  <w:pPr>
                    <w:ind w:firstLine="360" w:firstLineChars="200"/>
                    <w:jc w:val="left"/>
                    <w:rPr>
                      <w:sz w:val="18"/>
                      <w:szCs w:val="18"/>
                    </w:rPr>
                  </w:pPr>
                  <w:r>
                    <w:rPr>
                      <w:sz w:val="18"/>
                      <w:szCs w:val="18"/>
                    </w:rPr>
                    <w:t>根据《博罗县资源利用上线——高污染燃料禁燃区划定情况图》，本项目不位于博罗县高污染燃料禁燃区内。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00" w:type="pct"/>
                  <w:gridSpan w:val="4"/>
                  <w:vAlign w:val="center"/>
                </w:tcPr>
                <w:p>
                  <w:pPr>
                    <w:jc w:val="center"/>
                    <w:rPr>
                      <w:sz w:val="18"/>
                      <w:szCs w:val="18"/>
                    </w:rPr>
                  </w:pPr>
                  <w:r>
                    <w:rPr>
                      <w:b/>
                      <w:bCs/>
                    </w:rPr>
                    <w:t>四、环境准入清单相符性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68" w:type="pct"/>
                  <w:vAlign w:val="center"/>
                </w:tcPr>
                <w:p>
                  <w:pPr>
                    <w:jc w:val="center"/>
                    <w:rPr>
                      <w:sz w:val="18"/>
                      <w:szCs w:val="18"/>
                    </w:rPr>
                  </w:pPr>
                  <w:r>
                    <w:rPr>
                      <w:sz w:val="18"/>
                      <w:szCs w:val="18"/>
                    </w:rPr>
                    <w:t>区域布局管控</w:t>
                  </w:r>
                </w:p>
              </w:tc>
              <w:tc>
                <w:tcPr>
                  <w:tcW w:w="2783" w:type="pct"/>
                  <w:vAlign w:val="center"/>
                </w:tcPr>
                <w:p>
                  <w:pPr>
                    <w:rPr>
                      <w:sz w:val="18"/>
                      <w:szCs w:val="18"/>
                    </w:rPr>
                  </w:pPr>
                  <w:r>
                    <w:rPr>
                      <w:sz w:val="18"/>
                      <w:szCs w:val="18"/>
                    </w:rPr>
                    <w:t>1-1.【产业/鼓励引导类】饮用水水源保护区外的区域，重点发展电子信息、智能家电、先进材料等产业。</w:t>
                  </w:r>
                </w:p>
                <w:p>
                  <w:pPr>
                    <w:rPr>
                      <w:sz w:val="18"/>
                      <w:szCs w:val="18"/>
                    </w:rPr>
                  </w:pPr>
                  <w:r>
                    <w:rPr>
                      <w:sz w:val="18"/>
                      <w:szCs w:val="18"/>
                    </w:rPr>
                    <w:t>1-2.【产业/禁止类】除国家产业政策规定的禁止项目外，还禁止新建农药、铬盐、钛白粉生产项目，禁止新建稀土分离、炼砒、炼铍、纸浆制造、氰化法提炼产品、开采和冶炼放射性矿产及其他严重污染水环境的项目；严格控制新建造纸、制革、味精、电镀、漂染、印染、炼油、发酵酿造、非放射性矿产冶炼以及使用含汞、砷、镉、铬、铅为原料的项目。禁止在东江水系岸边和水上拆船。</w:t>
                  </w:r>
                </w:p>
                <w:p>
                  <w:pPr>
                    <w:rPr>
                      <w:sz w:val="18"/>
                      <w:szCs w:val="18"/>
                    </w:rPr>
                  </w:pPr>
                  <w:r>
                    <w:rPr>
                      <w:sz w:val="18"/>
                      <w:szCs w:val="18"/>
                    </w:rPr>
                    <w:t>1-3.【产业/限制类】严格限制化工、包装印刷、工业涂装等高VOCs 排放建设项目。</w:t>
                  </w:r>
                </w:p>
                <w:p>
                  <w:pPr>
                    <w:rPr>
                      <w:sz w:val="18"/>
                      <w:szCs w:val="18"/>
                    </w:rPr>
                  </w:pPr>
                  <w:r>
                    <w:rPr>
                      <w:sz w:val="18"/>
                      <w:szCs w:val="18"/>
                    </w:rPr>
                    <w:t>1-4.【生态/限制类】一般生态空间内可开展生态保护红线内允许的活动，在不影响主导生态功能的前提下，还可开展国家和省规定不纳入环评管理的项目建设，以及生态旅游、基础设施建设、村庄建设等人为活动。</w:t>
                  </w:r>
                </w:p>
                <w:p>
                  <w:pPr>
                    <w:rPr>
                      <w:sz w:val="18"/>
                      <w:szCs w:val="18"/>
                    </w:rPr>
                  </w:pPr>
                  <w:r>
                    <w:rPr>
                      <w:sz w:val="18"/>
                      <w:szCs w:val="18"/>
                    </w:rPr>
                    <w:t>1-5.【水/禁止类】饮用水水源保护区涉及园洲镇东江饮用水水源保护区，饮用水水源保护区按照《广东省水污染防治条例》“第五章饮用水水源保护和流域特别规定”进行管理。一级保护区内禁止新建、改建、扩建与供水设施和保护水源无关的建设项目；已建成的与供水设施和保护水源无关的建设项目须拆除或者关闭。二级保护区内禁止新建、改建、扩建排放污染物的建设项目；已建成的排放污染物的建设项目须责令拆除或者关闭；不排放污染物的建设项目，除与供水设施和保护水源有关的外，应当尽量避让饮用水水源二级保护区；经组织论证确实无法避让的，应当依法严格审批。</w:t>
                  </w:r>
                </w:p>
                <w:p>
                  <w:pPr>
                    <w:rPr>
                      <w:sz w:val="18"/>
                      <w:szCs w:val="18"/>
                    </w:rPr>
                  </w:pPr>
                  <w:r>
                    <w:rPr>
                      <w:sz w:val="18"/>
                      <w:szCs w:val="18"/>
                    </w:rPr>
                    <w:t>1-6. 【水/禁止类】禁止在东江干流和沙河干流两岸最高水位线外延五百米范围内新建废弃物堆放场和处理场。已有的堆放场和处理场需采取有效的防治污染措施，危及水体水质安全的，由县级以上人民政府责令限期搬迁。</w:t>
                  </w:r>
                </w:p>
                <w:p>
                  <w:pPr>
                    <w:rPr>
                      <w:sz w:val="18"/>
                      <w:szCs w:val="18"/>
                    </w:rPr>
                  </w:pPr>
                  <w:r>
                    <w:rPr>
                      <w:sz w:val="18"/>
                      <w:szCs w:val="18"/>
                    </w:rPr>
                    <w:t>1-7. 【水/禁止类】畜禽禁养区内不得从事畜禽养殖业。</w:t>
                  </w:r>
                </w:p>
                <w:p>
                  <w:pPr>
                    <w:rPr>
                      <w:sz w:val="18"/>
                      <w:szCs w:val="18"/>
                    </w:rPr>
                  </w:pPr>
                  <w:r>
                    <w:rPr>
                      <w:sz w:val="18"/>
                      <w:szCs w:val="18"/>
                    </w:rPr>
                    <w:t>1-8. 【水/综合类】积极引导“散养户”自觉维护生态环境，规范养殖或主动退出畜禽养殖。“散户养殖”按照“小组统一监管、从严控制数量、配套相应设施、防渗收集粪便、科学处理还田”的原则，加强全程监管。加快推进流域内粪污塘的处理处置，降低养殖业对水环境的影响。</w:t>
                  </w:r>
                </w:p>
                <w:p>
                  <w:pPr>
                    <w:rPr>
                      <w:sz w:val="18"/>
                      <w:szCs w:val="18"/>
                    </w:rPr>
                  </w:pPr>
                  <w:r>
                    <w:rPr>
                      <w:sz w:val="18"/>
                      <w:szCs w:val="18"/>
                    </w:rPr>
                    <w:t>1-9. 【大气/限制类】大气环境受体敏感重点管控区内严格限制新建储油库项目、产生和排放有毒有害大气污染物的建设项目以及使用溶剂型油墨、涂料、清洗剂、胶黏剂等高挥发性有机物原辅材料项目，鼓励现有该类项目搬迁退出。</w:t>
                  </w:r>
                </w:p>
                <w:p>
                  <w:pPr>
                    <w:rPr>
                      <w:sz w:val="18"/>
                      <w:szCs w:val="18"/>
                    </w:rPr>
                  </w:pPr>
                  <w:r>
                    <w:rPr>
                      <w:sz w:val="18"/>
                      <w:szCs w:val="18"/>
                    </w:rPr>
                    <w:t>1-10. 【土壤/禁止类】禁止在重金属重点防控区域内新建、改建、扩建增加重金属污染物排放总量的建设项目。</w:t>
                  </w:r>
                </w:p>
                <w:p>
                  <w:pPr>
                    <w:rPr>
                      <w:sz w:val="18"/>
                      <w:szCs w:val="18"/>
                    </w:rPr>
                  </w:pPr>
                  <w:r>
                    <w:rPr>
                      <w:sz w:val="18"/>
                      <w:szCs w:val="18"/>
                    </w:rPr>
                    <w:t>1-11. 【土壤/限制类】重金属污染防控非重点区新建、改扩建重金属排放项目，应严格落实重金属总量替代与削减要求，严格控制重点行业发展规模。强化涉重金属污染行业建设项目环评审批管理，严格执行环保“三同时”制度。</w:t>
                  </w:r>
                </w:p>
              </w:tc>
              <w:tc>
                <w:tcPr>
                  <w:tcW w:w="1480" w:type="pct"/>
                  <w:vAlign w:val="center"/>
                </w:tcPr>
                <w:p>
                  <w:pPr>
                    <w:rPr>
                      <w:sz w:val="18"/>
                      <w:szCs w:val="18"/>
                    </w:rPr>
                  </w:pPr>
                  <w:r>
                    <w:rPr>
                      <w:sz w:val="18"/>
                      <w:szCs w:val="18"/>
                    </w:rPr>
                    <w:t>1-1、1-2. 本项目为</w:t>
                  </w:r>
                  <w:r>
                    <w:rPr>
                      <w:rFonts w:hint="eastAsia"/>
                      <w:sz w:val="18"/>
                      <w:szCs w:val="18"/>
                    </w:rPr>
                    <w:t>橡胶零件制造</w:t>
                  </w:r>
                  <w:r>
                    <w:rPr>
                      <w:sz w:val="18"/>
                      <w:szCs w:val="18"/>
                    </w:rPr>
                    <w:t>，不属于《产业结构调整指导目录（2019年本）》（中华人民共和国国家发展和改革委员会令第29号）中鼓励类、限制类、淘汰类项目，属于允许类项目，也不属于《市场准入负面清单（2022年版）》（发改体改规〔2022〕397号）禁止准入类，属于符合单元产业要求项目。</w:t>
                  </w:r>
                </w:p>
                <w:p>
                  <w:pPr>
                    <w:rPr>
                      <w:sz w:val="18"/>
                      <w:szCs w:val="18"/>
                    </w:rPr>
                  </w:pPr>
                  <w:r>
                    <w:rPr>
                      <w:sz w:val="18"/>
                      <w:szCs w:val="18"/>
                    </w:rPr>
                    <w:t>1-3. 本项目为</w:t>
                  </w:r>
                  <w:r>
                    <w:rPr>
                      <w:rFonts w:hint="eastAsia"/>
                      <w:sz w:val="18"/>
                      <w:szCs w:val="18"/>
                    </w:rPr>
                    <w:t>橡胶零件制造</w:t>
                  </w:r>
                  <w:r>
                    <w:rPr>
                      <w:sz w:val="18"/>
                      <w:szCs w:val="18"/>
                    </w:rPr>
                    <w:t>，</w:t>
                  </w:r>
                  <w:r>
                    <w:rPr>
                      <w:rFonts w:hint="eastAsia"/>
                      <w:sz w:val="18"/>
                      <w:szCs w:val="18"/>
                    </w:rPr>
                    <w:t>不</w:t>
                  </w:r>
                  <w:r>
                    <w:rPr>
                      <w:sz w:val="18"/>
                      <w:szCs w:val="18"/>
                    </w:rPr>
                    <w:t>使用挥发性原辅料，不属于高VOCs排放建设项目。</w:t>
                  </w:r>
                </w:p>
                <w:p>
                  <w:pPr>
                    <w:rPr>
                      <w:sz w:val="18"/>
                      <w:szCs w:val="18"/>
                    </w:rPr>
                  </w:pPr>
                  <w:r>
                    <w:rPr>
                      <w:sz w:val="18"/>
                      <w:szCs w:val="18"/>
                    </w:rPr>
                    <w:t>1-4. 项目</w:t>
                  </w:r>
                  <w:r>
                    <w:rPr>
                      <w:rFonts w:hint="eastAsia"/>
                      <w:sz w:val="18"/>
                      <w:szCs w:val="18"/>
                    </w:rPr>
                    <w:t>所在区域</w:t>
                  </w:r>
                  <w:r>
                    <w:rPr>
                      <w:sz w:val="18"/>
                      <w:szCs w:val="18"/>
                    </w:rPr>
                    <w:t>不在一般生态空间内。</w:t>
                  </w:r>
                </w:p>
                <w:p>
                  <w:pPr>
                    <w:rPr>
                      <w:sz w:val="18"/>
                      <w:szCs w:val="18"/>
                    </w:rPr>
                  </w:pPr>
                  <w:r>
                    <w:rPr>
                      <w:sz w:val="18"/>
                      <w:szCs w:val="18"/>
                    </w:rPr>
                    <w:t>1-5. 本项目不属于园洲镇东江饮用水水源保护区。</w:t>
                  </w:r>
                </w:p>
                <w:p>
                  <w:pPr>
                    <w:rPr>
                      <w:sz w:val="18"/>
                      <w:szCs w:val="18"/>
                    </w:rPr>
                  </w:pPr>
                  <w:r>
                    <w:rPr>
                      <w:sz w:val="18"/>
                      <w:szCs w:val="18"/>
                    </w:rPr>
                    <w:t>1-6. 本项目不属于新建废弃物堆放场和处理厂项目。</w:t>
                  </w:r>
                </w:p>
                <w:p>
                  <w:pPr>
                    <w:rPr>
                      <w:sz w:val="18"/>
                      <w:szCs w:val="18"/>
                    </w:rPr>
                  </w:pPr>
                  <w:r>
                    <w:rPr>
                      <w:sz w:val="18"/>
                      <w:szCs w:val="18"/>
                    </w:rPr>
                    <w:t>1-7、1-8. 本项目不属于畜禽养殖业。</w:t>
                  </w:r>
                </w:p>
                <w:p>
                  <w:pPr>
                    <w:rPr>
                      <w:sz w:val="18"/>
                      <w:szCs w:val="18"/>
                    </w:rPr>
                  </w:pPr>
                  <w:r>
                    <w:rPr>
                      <w:sz w:val="18"/>
                      <w:szCs w:val="18"/>
                    </w:rPr>
                    <w:t>1-9. 本项目不属于新建储油库项目、不产生和排放有毒有害大气污染物、不使用高挥发性有机物原辅材料。</w:t>
                  </w:r>
                </w:p>
                <w:p>
                  <w:pPr>
                    <w:rPr>
                      <w:sz w:val="18"/>
                      <w:szCs w:val="18"/>
                    </w:rPr>
                  </w:pPr>
                  <w:r>
                    <w:rPr>
                      <w:sz w:val="18"/>
                      <w:szCs w:val="18"/>
                    </w:rPr>
                    <w:t>1-10、1-11. 本项目不涉及重金属排放。</w:t>
                  </w:r>
                </w:p>
              </w:tc>
              <w:tc>
                <w:tcPr>
                  <w:tcW w:w="368" w:type="pct"/>
                  <w:vAlign w:val="center"/>
                </w:tcPr>
                <w:p>
                  <w:pPr>
                    <w:jc w:val="center"/>
                    <w:rPr>
                      <w:sz w:val="18"/>
                      <w:szCs w:val="18"/>
                    </w:rPr>
                  </w:pPr>
                  <w:r>
                    <w:rPr>
                      <w:sz w:val="18"/>
                      <w:szCs w:val="18"/>
                    </w:rPr>
                    <w:t>相符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68" w:type="pct"/>
                  <w:vAlign w:val="center"/>
                </w:tcPr>
                <w:p>
                  <w:pPr>
                    <w:jc w:val="center"/>
                    <w:rPr>
                      <w:sz w:val="18"/>
                      <w:szCs w:val="18"/>
                    </w:rPr>
                  </w:pPr>
                  <w:r>
                    <w:rPr>
                      <w:sz w:val="18"/>
                      <w:szCs w:val="18"/>
                    </w:rPr>
                    <w:t>能源资源利用</w:t>
                  </w:r>
                </w:p>
              </w:tc>
              <w:tc>
                <w:tcPr>
                  <w:tcW w:w="2783" w:type="pct"/>
                  <w:vAlign w:val="center"/>
                </w:tcPr>
                <w:p>
                  <w:pPr>
                    <w:jc w:val="left"/>
                    <w:rPr>
                      <w:sz w:val="18"/>
                      <w:szCs w:val="18"/>
                    </w:rPr>
                  </w:pPr>
                  <w:r>
                    <w:rPr>
                      <w:sz w:val="18"/>
                      <w:szCs w:val="18"/>
                    </w:rPr>
                    <w:t>2-1. 【能源/鼓励引导类】鼓励降低煤炭消耗、能源消耗，引导光伏等多种形式的新能源利用。</w:t>
                  </w:r>
                </w:p>
                <w:p>
                  <w:pPr>
                    <w:jc w:val="left"/>
                    <w:rPr>
                      <w:sz w:val="18"/>
                      <w:szCs w:val="18"/>
                    </w:rPr>
                  </w:pPr>
                  <w:r>
                    <w:rPr>
                      <w:sz w:val="18"/>
                      <w:szCs w:val="18"/>
                    </w:rPr>
                    <w:t>2-2. 【能源/综合类】根据本地区大气环境质量改善要求逐步扩大高污染燃料禁燃区范围。</w:t>
                  </w:r>
                </w:p>
              </w:tc>
              <w:tc>
                <w:tcPr>
                  <w:tcW w:w="1480" w:type="pct"/>
                  <w:vAlign w:val="center"/>
                </w:tcPr>
                <w:p>
                  <w:pPr>
                    <w:rPr>
                      <w:sz w:val="18"/>
                      <w:szCs w:val="18"/>
                    </w:rPr>
                  </w:pPr>
                  <w:r>
                    <w:rPr>
                      <w:sz w:val="18"/>
                      <w:szCs w:val="18"/>
                    </w:rPr>
                    <w:t>2-1. 本项目</w:t>
                  </w:r>
                  <w:r>
                    <w:rPr>
                      <w:bCs/>
                      <w:iCs/>
                      <w:sz w:val="18"/>
                      <w:szCs w:val="18"/>
                    </w:rPr>
                    <w:t>无</w:t>
                  </w:r>
                  <w:r>
                    <w:rPr>
                      <w:sz w:val="18"/>
                      <w:szCs w:val="18"/>
                    </w:rPr>
                    <w:t>煤炭消耗，所用能源主要为电能。</w:t>
                  </w:r>
                </w:p>
                <w:p>
                  <w:pPr>
                    <w:rPr>
                      <w:sz w:val="18"/>
                      <w:szCs w:val="18"/>
                    </w:rPr>
                  </w:pPr>
                  <w:r>
                    <w:rPr>
                      <w:sz w:val="18"/>
                      <w:szCs w:val="18"/>
                    </w:rPr>
                    <w:t>2-2.</w:t>
                  </w:r>
                  <w:r>
                    <w:rPr>
                      <w:rFonts w:hint="eastAsia"/>
                      <w:sz w:val="18"/>
                      <w:szCs w:val="18"/>
                    </w:rPr>
                    <w:t xml:space="preserve"> </w:t>
                  </w:r>
                  <w:r>
                    <w:rPr>
                      <w:sz w:val="18"/>
                      <w:szCs w:val="18"/>
                    </w:rPr>
                    <w:t>本项目</w:t>
                  </w:r>
                  <w:r>
                    <w:rPr>
                      <w:bCs/>
                      <w:iCs/>
                      <w:sz w:val="18"/>
                      <w:szCs w:val="18"/>
                    </w:rPr>
                    <w:t>不涉及高污染燃料使用。</w:t>
                  </w:r>
                </w:p>
              </w:tc>
              <w:tc>
                <w:tcPr>
                  <w:tcW w:w="368" w:type="pct"/>
                  <w:vAlign w:val="center"/>
                </w:tcPr>
                <w:p>
                  <w:pPr>
                    <w:jc w:val="center"/>
                    <w:rPr>
                      <w:sz w:val="18"/>
                      <w:szCs w:val="18"/>
                    </w:rPr>
                  </w:pPr>
                  <w:r>
                    <w:rPr>
                      <w:sz w:val="18"/>
                      <w:szCs w:val="18"/>
                    </w:rPr>
                    <w:t>相符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68" w:type="pct"/>
                  <w:vAlign w:val="center"/>
                </w:tcPr>
                <w:p>
                  <w:pPr>
                    <w:jc w:val="center"/>
                    <w:rPr>
                      <w:sz w:val="18"/>
                      <w:szCs w:val="18"/>
                    </w:rPr>
                  </w:pPr>
                  <w:r>
                    <w:rPr>
                      <w:sz w:val="18"/>
                      <w:szCs w:val="18"/>
                    </w:rPr>
                    <w:t>污染物排放管控</w:t>
                  </w:r>
                </w:p>
              </w:tc>
              <w:tc>
                <w:tcPr>
                  <w:tcW w:w="2783" w:type="pct"/>
                  <w:vAlign w:val="center"/>
                </w:tcPr>
                <w:p>
                  <w:pPr>
                    <w:pStyle w:val="108"/>
                    <w:ind w:firstLine="0" w:firstLineChars="0"/>
                    <w:rPr>
                      <w:rFonts w:cs="Times New Roman"/>
                      <w:sz w:val="18"/>
                      <w:szCs w:val="18"/>
                      <w:lang w:eastAsia="zh-CN"/>
                    </w:rPr>
                  </w:pPr>
                  <w:r>
                    <w:rPr>
                      <w:rFonts w:cs="Times New Roman"/>
                      <w:sz w:val="18"/>
                      <w:szCs w:val="18"/>
                      <w:lang w:eastAsia="zh-CN"/>
                    </w:rPr>
                    <w:t>3-1. 【水/限制类】单元内城镇生活污水处理厂出水水质COD、氨氮、总磷排放执行国家《地表水环境质量》（GB3838-2002）Ⅴ类标准，其余指标执行国家《城镇污水处理厂污染物排放标》（GB18918-2002）一级A标准与广东省《水污染物排放限值》较严值的标准。</w:t>
                  </w:r>
                </w:p>
                <w:p>
                  <w:pPr>
                    <w:pStyle w:val="108"/>
                    <w:ind w:firstLine="0" w:firstLineChars="0"/>
                    <w:rPr>
                      <w:rFonts w:cs="Times New Roman"/>
                      <w:sz w:val="18"/>
                      <w:szCs w:val="18"/>
                      <w:lang w:eastAsia="zh-CN"/>
                    </w:rPr>
                  </w:pPr>
                  <w:r>
                    <w:rPr>
                      <w:rFonts w:cs="Times New Roman"/>
                      <w:sz w:val="18"/>
                      <w:szCs w:val="18"/>
                      <w:lang w:eastAsia="zh-CN"/>
                    </w:rPr>
                    <w:t>3-2. 【水/限制类】严格控制流域内增加水污染物排放或对东江水质、水环境安全构成影响的项目。</w:t>
                  </w:r>
                </w:p>
                <w:p>
                  <w:pPr>
                    <w:pStyle w:val="108"/>
                    <w:ind w:firstLine="0" w:firstLineChars="0"/>
                    <w:rPr>
                      <w:rFonts w:cs="Times New Roman"/>
                      <w:sz w:val="18"/>
                      <w:szCs w:val="18"/>
                      <w:lang w:eastAsia="zh-CN"/>
                    </w:rPr>
                  </w:pPr>
                  <w:r>
                    <w:rPr>
                      <w:rFonts w:cs="Times New Roman"/>
                      <w:sz w:val="18"/>
                      <w:szCs w:val="18"/>
                      <w:lang w:eastAsia="zh-CN"/>
                    </w:rPr>
                    <w:t>3-3. 【水/综合类】统筹规划农村环境基础设施建设，加强农村人居环境综合整治，采用集中与分散相结合的模式建设和完善农村污水、垃圾收集和处理设施，实施农村厕所改造，因地制宜实施雨污分流，将有条件的农村和城镇周边村庄纳入城镇污水、垃圾处理体系，并做好资金保障。</w:t>
                  </w:r>
                </w:p>
                <w:p>
                  <w:pPr>
                    <w:pStyle w:val="108"/>
                    <w:ind w:firstLine="0" w:firstLineChars="0"/>
                    <w:rPr>
                      <w:rFonts w:cs="Times New Roman"/>
                      <w:sz w:val="18"/>
                      <w:szCs w:val="18"/>
                      <w:lang w:eastAsia="zh-CN"/>
                    </w:rPr>
                  </w:pPr>
                  <w:r>
                    <w:rPr>
                      <w:rFonts w:cs="Times New Roman"/>
                      <w:sz w:val="18"/>
                      <w:szCs w:val="18"/>
                      <w:lang w:eastAsia="zh-CN"/>
                    </w:rPr>
                    <w:t>3-4.【水/综合类】强化农业面源污染治理，控制农药化肥使用量。</w:t>
                  </w:r>
                </w:p>
                <w:p>
                  <w:pPr>
                    <w:pStyle w:val="108"/>
                    <w:ind w:firstLine="0" w:firstLineChars="0"/>
                    <w:rPr>
                      <w:rFonts w:cs="Times New Roman"/>
                      <w:sz w:val="18"/>
                      <w:szCs w:val="18"/>
                      <w:lang w:eastAsia="zh-CN"/>
                    </w:rPr>
                  </w:pPr>
                  <w:r>
                    <w:rPr>
                      <w:rFonts w:cs="Times New Roman"/>
                      <w:sz w:val="18"/>
                      <w:szCs w:val="18"/>
                      <w:lang w:eastAsia="zh-CN"/>
                    </w:rPr>
                    <w:t>3-5.【大气/限制类】重点行业新建涉VOCs排放的工业企业原则上应入园进区。新建项目VOCs实施倍量替代。</w:t>
                  </w:r>
                </w:p>
                <w:p>
                  <w:pPr>
                    <w:pStyle w:val="108"/>
                    <w:ind w:firstLine="0" w:firstLineChars="0"/>
                    <w:rPr>
                      <w:rFonts w:cs="Times New Roman"/>
                      <w:sz w:val="18"/>
                      <w:szCs w:val="18"/>
                    </w:rPr>
                  </w:pPr>
                  <w:r>
                    <w:rPr>
                      <w:rFonts w:cs="Times New Roman"/>
                      <w:sz w:val="18"/>
                      <w:szCs w:val="18"/>
                      <w:lang w:eastAsia="zh-CN"/>
                    </w:rPr>
                    <w:t>3-6. 【土壤/禁止类】禁止向农用地排放重金属或者其他有毒有害物质含量超标的污水、污泥，以及可能造成土壤污染的清淤底泥、尾矿、矿渣等。</w:t>
                  </w:r>
                </w:p>
              </w:tc>
              <w:tc>
                <w:tcPr>
                  <w:tcW w:w="1480" w:type="pct"/>
                  <w:vAlign w:val="center"/>
                </w:tcPr>
                <w:p>
                  <w:pPr>
                    <w:rPr>
                      <w:sz w:val="18"/>
                      <w:szCs w:val="18"/>
                    </w:rPr>
                  </w:pPr>
                  <w:r>
                    <w:rPr>
                      <w:sz w:val="18"/>
                      <w:szCs w:val="18"/>
                    </w:rPr>
                    <w:t>3-1、3-2. 本项目不排放生产废水，生活污水经三级化粪池预处理后纳入市政污水管网，排入</w:t>
                  </w:r>
                  <w:r>
                    <w:rPr>
                      <w:rFonts w:hint="eastAsia"/>
                      <w:sz w:val="18"/>
                      <w:szCs w:val="18"/>
                    </w:rPr>
                    <w:t>杨侨镇生活污水处理厂</w:t>
                  </w:r>
                  <w:r>
                    <w:rPr>
                      <w:sz w:val="18"/>
                      <w:szCs w:val="18"/>
                    </w:rPr>
                    <w:t>进行深度处理，</w:t>
                  </w:r>
                  <w:r>
                    <w:rPr>
                      <w:bCs/>
                      <w:sz w:val="18"/>
                      <w:szCs w:val="18"/>
                    </w:rPr>
                    <w:t>不会对东江水质、水环境安全构成影响</w:t>
                  </w:r>
                  <w:r>
                    <w:rPr>
                      <w:sz w:val="18"/>
                      <w:szCs w:val="18"/>
                    </w:rPr>
                    <w:t>。</w:t>
                  </w:r>
                </w:p>
                <w:p>
                  <w:pPr>
                    <w:rPr>
                      <w:sz w:val="18"/>
                      <w:szCs w:val="18"/>
                    </w:rPr>
                  </w:pPr>
                  <w:r>
                    <w:rPr>
                      <w:sz w:val="18"/>
                      <w:szCs w:val="18"/>
                    </w:rPr>
                    <w:t>3-3. 项目实施雨污分流，且管网建成纳入污水处理厂处理后方进行生产工作，生活垃圾、一般固体废物、危险废物分开收集处理。</w:t>
                  </w:r>
                </w:p>
                <w:p>
                  <w:pPr>
                    <w:rPr>
                      <w:sz w:val="18"/>
                      <w:szCs w:val="18"/>
                    </w:rPr>
                  </w:pPr>
                  <w:r>
                    <w:rPr>
                      <w:sz w:val="18"/>
                      <w:szCs w:val="18"/>
                    </w:rPr>
                    <w:t>3-4. 项目不使用农药化肥。</w:t>
                  </w:r>
                </w:p>
                <w:p>
                  <w:pPr>
                    <w:rPr>
                      <w:sz w:val="18"/>
                      <w:szCs w:val="18"/>
                    </w:rPr>
                  </w:pPr>
                  <w:r>
                    <w:rPr>
                      <w:sz w:val="18"/>
                      <w:szCs w:val="18"/>
                    </w:rPr>
                    <w:t>3-5. 本项目VOCs由惠州市生态环境局博罗分局分配。</w:t>
                  </w:r>
                </w:p>
                <w:p>
                  <w:pPr>
                    <w:rPr>
                      <w:sz w:val="18"/>
                      <w:szCs w:val="18"/>
                    </w:rPr>
                  </w:pPr>
                  <w:r>
                    <w:rPr>
                      <w:sz w:val="18"/>
                      <w:szCs w:val="18"/>
                    </w:rPr>
                    <w:t>3.6 本项目不排放重金属和有毒有害物质超标的污水、污泥。</w:t>
                  </w:r>
                </w:p>
              </w:tc>
              <w:tc>
                <w:tcPr>
                  <w:tcW w:w="368" w:type="pct"/>
                  <w:vAlign w:val="center"/>
                </w:tcPr>
                <w:p>
                  <w:pPr>
                    <w:jc w:val="center"/>
                    <w:rPr>
                      <w:sz w:val="18"/>
                      <w:szCs w:val="18"/>
                    </w:rPr>
                  </w:pPr>
                  <w:r>
                    <w:rPr>
                      <w:sz w:val="18"/>
                      <w:szCs w:val="18"/>
                    </w:rPr>
                    <w:t>相符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68" w:type="pct"/>
                  <w:vAlign w:val="center"/>
                </w:tcPr>
                <w:p>
                  <w:pPr>
                    <w:jc w:val="center"/>
                    <w:rPr>
                      <w:sz w:val="18"/>
                      <w:szCs w:val="18"/>
                    </w:rPr>
                  </w:pPr>
                  <w:r>
                    <w:rPr>
                      <w:sz w:val="18"/>
                      <w:szCs w:val="18"/>
                    </w:rPr>
                    <w:t>环境风险防控</w:t>
                  </w:r>
                </w:p>
              </w:tc>
              <w:tc>
                <w:tcPr>
                  <w:tcW w:w="2783" w:type="pct"/>
                  <w:vAlign w:val="center"/>
                </w:tcPr>
                <w:p>
                  <w:pPr>
                    <w:jc w:val="left"/>
                    <w:rPr>
                      <w:sz w:val="18"/>
                      <w:szCs w:val="18"/>
                    </w:rPr>
                  </w:pPr>
                  <w:r>
                    <w:rPr>
                      <w:sz w:val="18"/>
                      <w:szCs w:val="18"/>
                    </w:rPr>
                    <w:t>4-1. 【水/综合类】城镇污水处理厂、涉水企业应采取有效措施，防止事故废水直接排入水体。</w:t>
                  </w:r>
                </w:p>
                <w:p>
                  <w:pPr>
                    <w:jc w:val="left"/>
                    <w:rPr>
                      <w:sz w:val="18"/>
                      <w:szCs w:val="18"/>
                    </w:rPr>
                  </w:pPr>
                  <w:r>
                    <w:rPr>
                      <w:sz w:val="18"/>
                      <w:szCs w:val="18"/>
                    </w:rPr>
                    <w:t>4-2. 【水/综合类】加强饮用水水源保护区内环境风险排查，开展风险评估及水环境预警监测。</w:t>
                  </w:r>
                </w:p>
                <w:p>
                  <w:pPr>
                    <w:jc w:val="left"/>
                    <w:rPr>
                      <w:sz w:val="18"/>
                      <w:szCs w:val="18"/>
                    </w:rPr>
                  </w:pPr>
                  <w:r>
                    <w:rPr>
                      <w:sz w:val="18"/>
                      <w:szCs w:val="18"/>
                    </w:rPr>
                    <w:t>4-3. 【大气/综合类】建立环境监测预警制度，加强污染天气预警预报；生产、储存和使用有毒有害气体的企业（有毒有害气体的企业指列入《有毒有害大气污染物名录》的、以及其他对人体健康和生态环境造成危害的气体），需建立有毒有害气体环境风险预警体系。</w:t>
                  </w:r>
                </w:p>
              </w:tc>
              <w:tc>
                <w:tcPr>
                  <w:tcW w:w="1480" w:type="pct"/>
                  <w:vAlign w:val="center"/>
                </w:tcPr>
                <w:p>
                  <w:pPr>
                    <w:rPr>
                      <w:sz w:val="18"/>
                      <w:szCs w:val="18"/>
                    </w:rPr>
                  </w:pPr>
                  <w:r>
                    <w:rPr>
                      <w:sz w:val="18"/>
                      <w:szCs w:val="18"/>
                    </w:rPr>
                    <w:t>4-1. 本项目不属于城镇污水处理厂。</w:t>
                  </w:r>
                </w:p>
                <w:p>
                  <w:pPr>
                    <w:rPr>
                      <w:sz w:val="18"/>
                      <w:szCs w:val="18"/>
                    </w:rPr>
                  </w:pPr>
                  <w:r>
                    <w:rPr>
                      <w:sz w:val="18"/>
                      <w:szCs w:val="18"/>
                    </w:rPr>
                    <w:t>4-2. 本项目占地不在饮用水水源保护区内。</w:t>
                  </w:r>
                </w:p>
                <w:p>
                  <w:pPr>
                    <w:rPr>
                      <w:sz w:val="18"/>
                      <w:szCs w:val="18"/>
                      <w:highlight w:val="yellow"/>
                    </w:rPr>
                  </w:pPr>
                  <w:r>
                    <w:rPr>
                      <w:sz w:val="18"/>
                      <w:szCs w:val="18"/>
                    </w:rPr>
                    <w:t>4-3. 本项目不涉及有毒有害气体。</w:t>
                  </w:r>
                </w:p>
              </w:tc>
              <w:tc>
                <w:tcPr>
                  <w:tcW w:w="368" w:type="pct"/>
                  <w:vAlign w:val="center"/>
                </w:tcPr>
                <w:p>
                  <w:pPr>
                    <w:jc w:val="center"/>
                    <w:rPr>
                      <w:sz w:val="18"/>
                      <w:szCs w:val="18"/>
                    </w:rPr>
                  </w:pPr>
                  <w:r>
                    <w:rPr>
                      <w:sz w:val="18"/>
                      <w:szCs w:val="18"/>
                    </w:rPr>
                    <w:t>相符</w:t>
                  </w:r>
                </w:p>
              </w:tc>
            </w:tr>
          </w:tbl>
          <w:p>
            <w:pPr>
              <w:adjustRightInd w:val="0"/>
              <w:snapToGrid w:val="0"/>
              <w:spacing w:before="120" w:beforeLines="50" w:line="360" w:lineRule="auto"/>
              <w:ind w:firstLine="422" w:firstLineChars="200"/>
              <w:textAlignment w:val="baseline"/>
              <w:rPr>
                <w:b/>
                <w:bCs/>
              </w:rPr>
            </w:pPr>
            <w:r>
              <w:rPr>
                <w:b/>
                <w:bCs/>
              </w:rPr>
              <w:t>2、产业政策相符性</w:t>
            </w:r>
          </w:p>
          <w:p>
            <w:pPr>
              <w:widowControl/>
              <w:adjustRightInd w:val="0"/>
              <w:snapToGrid w:val="0"/>
              <w:spacing w:line="360" w:lineRule="auto"/>
              <w:ind w:firstLine="420" w:firstLineChars="200"/>
            </w:pPr>
            <w:r>
              <w:t>本项目属于</w:t>
            </w:r>
            <w:r>
              <w:rPr>
                <w:rFonts w:hint="eastAsia"/>
              </w:rPr>
              <w:t>C2913橡胶零件制造</w:t>
            </w:r>
            <w:r>
              <w:t>，根据《产业结构调整指导目录（2019年本）》（中华人民共和国国家发展和改革委员会令第29号）以及《国家发展改革委关于修改&lt;产业结构调整指导目录（2019年本）&gt;的决定》（中华人民共和国国家发展和改革委员会令第49号），项目不属于明文规定的限制类或淘汰类项目，生产过程中不涉及禁止的项目、工艺和设备</w:t>
            </w:r>
            <w:r>
              <w:rPr>
                <w:rStyle w:val="104"/>
                <w:rFonts w:hint="eastAsia"/>
              </w:rPr>
              <w:t>。</w:t>
            </w:r>
          </w:p>
          <w:p>
            <w:pPr>
              <w:spacing w:line="360" w:lineRule="auto"/>
              <w:ind w:firstLine="422" w:firstLineChars="200"/>
              <w:rPr>
                <w:b/>
                <w:bCs/>
                <w:szCs w:val="21"/>
              </w:rPr>
            </w:pPr>
            <w:r>
              <w:rPr>
                <w:b/>
                <w:bCs/>
                <w:szCs w:val="21"/>
              </w:rPr>
              <w:t>3、市场准入负面清单相符性分析</w:t>
            </w:r>
          </w:p>
          <w:p>
            <w:pPr>
              <w:pStyle w:val="106"/>
              <w:snapToGrid w:val="0"/>
              <w:spacing w:line="360" w:lineRule="auto"/>
              <w:ind w:firstLine="420" w:firstLineChars="200"/>
              <w:jc w:val="both"/>
              <w:rPr>
                <w:rFonts w:ascii="Times New Roman" w:hAnsi="Times New Roman" w:cs="Times New Roman"/>
                <w:color w:val="auto"/>
                <w:sz w:val="21"/>
                <w:szCs w:val="21"/>
              </w:rPr>
            </w:pPr>
            <w:r>
              <w:rPr>
                <w:rFonts w:ascii="Times New Roman" w:hAnsi="Times New Roman" w:cs="Times New Roman"/>
                <w:color w:val="auto"/>
                <w:sz w:val="21"/>
                <w:szCs w:val="21"/>
              </w:rPr>
              <w:t>本项目属于《国民经济行业分类》（GB/T4754-2017）及第1号修改单中</w:t>
            </w:r>
            <w:r>
              <w:rPr>
                <w:rFonts w:hint="eastAsia" w:ascii="Times New Roman" w:hAnsi="Times New Roman" w:cs="Times New Roman"/>
                <w:color w:val="auto"/>
                <w:sz w:val="21"/>
                <w:szCs w:val="21"/>
              </w:rPr>
              <w:t>的C2913橡胶零件制造</w:t>
            </w:r>
            <w:r>
              <w:rPr>
                <w:rFonts w:ascii="Times New Roman" w:hAnsi="Times New Roman" w:cs="Times New Roman"/>
                <w:color w:val="auto"/>
                <w:sz w:val="21"/>
                <w:szCs w:val="21"/>
              </w:rPr>
              <w:t>，不属于《国家发展改革委商务部关于印发&lt;市场准入负面清单（2022年版）&gt;的通知》（发改体改规〔2022〕397号）中所列禁止和许可事项，根据《市场准入负面清单》（2022年版）的规定：对于市场准入负面清单以外的行业、领域、业务等，各类市场主体皆可依法平等进入，因此，本项目与《市场准入负面清单》（2022年版）是相符的。</w:t>
            </w:r>
          </w:p>
          <w:p>
            <w:pPr>
              <w:adjustRightInd w:val="0"/>
              <w:snapToGrid w:val="0"/>
              <w:spacing w:line="360" w:lineRule="auto"/>
              <w:ind w:firstLine="482"/>
              <w:rPr>
                <w:b/>
                <w:szCs w:val="21"/>
              </w:rPr>
            </w:pPr>
            <w:r>
              <w:rPr>
                <w:b/>
                <w:szCs w:val="21"/>
              </w:rPr>
              <w:t>4、用地性质相符性分析</w:t>
            </w:r>
          </w:p>
          <w:p>
            <w:pPr>
              <w:adjustRightInd w:val="0"/>
              <w:snapToGrid w:val="0"/>
              <w:spacing w:line="360" w:lineRule="auto"/>
              <w:ind w:firstLine="482"/>
              <w:rPr>
                <w:szCs w:val="21"/>
              </w:rPr>
            </w:pPr>
            <w:r>
              <w:rPr>
                <w:szCs w:val="21"/>
              </w:rPr>
              <w:t>项目位于惠州市博罗县</w:t>
            </w:r>
            <w:r>
              <w:rPr>
                <w:rFonts w:hint="eastAsia"/>
                <w:szCs w:val="21"/>
              </w:rPr>
              <w:t>杨侨镇大坑办事处桔子路武高段（土名）</w:t>
            </w:r>
            <w:r>
              <w:rPr>
                <w:szCs w:val="21"/>
              </w:rPr>
              <w:t>，</w:t>
            </w:r>
            <w:r>
              <w:rPr>
                <w:rFonts w:hint="eastAsia"/>
                <w:szCs w:val="21"/>
              </w:rPr>
              <w:t>根据《博罗县博东博西产业集聚发展片区控制性详细规划》以及《博罗县博东博西产业集聚发展片区控制性详细规划（2014-2030年）——东区土地利用规划图》，</w:t>
            </w:r>
            <w:r>
              <w:rPr>
                <w:szCs w:val="21"/>
              </w:rPr>
              <w:t>项目用地为工业用地</w:t>
            </w:r>
            <w:r>
              <w:rPr>
                <w:rFonts w:hint="eastAsia"/>
                <w:szCs w:val="21"/>
              </w:rPr>
              <w:t>；</w:t>
            </w:r>
            <w:r>
              <w:rPr>
                <w:szCs w:val="21"/>
              </w:rPr>
              <w:t>根据建设单位提供的不动产权证（粤（202</w:t>
            </w:r>
            <w:r>
              <w:rPr>
                <w:rFonts w:hint="eastAsia"/>
                <w:szCs w:val="21"/>
              </w:rPr>
              <w:t>2</w:t>
            </w:r>
            <w:r>
              <w:rPr>
                <w:szCs w:val="21"/>
              </w:rPr>
              <w:t>）博罗县不动产权第00</w:t>
            </w:r>
            <w:r>
              <w:rPr>
                <w:rFonts w:hint="eastAsia"/>
                <w:szCs w:val="21"/>
              </w:rPr>
              <w:t>58199</w:t>
            </w:r>
            <w:r>
              <w:rPr>
                <w:szCs w:val="21"/>
              </w:rPr>
              <w:t>号），项目用地为工业用地，本项目所在区域不属于饮用水源保护区范围，项目周围没有风景名胜区、自然保护区、生态脆弱带等。综合分析，本项目的选址可行。</w:t>
            </w:r>
          </w:p>
          <w:p>
            <w:pPr>
              <w:adjustRightInd w:val="0"/>
              <w:snapToGrid w:val="0"/>
              <w:spacing w:line="360" w:lineRule="auto"/>
              <w:ind w:firstLine="480"/>
              <w:rPr>
                <w:b/>
                <w:szCs w:val="21"/>
              </w:rPr>
            </w:pPr>
            <w:r>
              <w:rPr>
                <w:b/>
                <w:szCs w:val="21"/>
              </w:rPr>
              <w:t>5、区域环境功能区划</w:t>
            </w:r>
            <w:r>
              <w:rPr>
                <w:rFonts w:hint="eastAsia"/>
                <w:b/>
                <w:szCs w:val="21"/>
              </w:rPr>
              <w:t>相符性</w:t>
            </w:r>
            <w:r>
              <w:rPr>
                <w:b/>
                <w:szCs w:val="21"/>
              </w:rPr>
              <w:t>分析</w:t>
            </w:r>
          </w:p>
          <w:p>
            <w:pPr>
              <w:spacing w:line="360" w:lineRule="auto"/>
              <w:ind w:firstLine="480"/>
              <w:rPr>
                <w:szCs w:val="21"/>
              </w:rPr>
            </w:pPr>
            <w:r>
              <w:rPr>
                <w:szCs w:val="21"/>
              </w:rPr>
              <w:t>（1）水环境功能区划</w:t>
            </w:r>
          </w:p>
          <w:p>
            <w:pPr>
              <w:spacing w:line="360" w:lineRule="auto"/>
              <w:ind w:firstLine="480"/>
              <w:rPr>
                <w:szCs w:val="21"/>
              </w:rPr>
            </w:pPr>
            <w:r>
              <w:rPr>
                <w:szCs w:val="21"/>
              </w:rPr>
              <w:t>①根据《惠州市饮用水源保护区划调整方案》（粤府函〔2014〕188号）、《广东省人民政府关于调整惠州市部分饮用水水源保护区的批复》（粤府函〔2019〕270号），项目所在地不属于饮用水源保护区。</w:t>
            </w:r>
          </w:p>
          <w:p>
            <w:pPr>
              <w:spacing w:line="360" w:lineRule="auto"/>
              <w:ind w:firstLine="480"/>
              <w:rPr>
                <w:szCs w:val="21"/>
              </w:rPr>
            </w:pPr>
            <w:r>
              <w:rPr>
                <w:szCs w:val="21"/>
              </w:rPr>
              <w:t>②根据《广东省地表水环境功能区划》（粤环〔2011〕14号）和当地环保部门的意见，纳污水体南蛇沥水质目标为Ⅴ类功能水体、公庄河水质控制目标为Ⅲ类，因此南蛇沥、公庄河分别执行《地表水环境质量标准》（GB3838-2002）Ⅴ、Ⅲ类标准。</w:t>
            </w:r>
          </w:p>
          <w:p>
            <w:pPr>
              <w:spacing w:line="360" w:lineRule="auto"/>
              <w:ind w:firstLine="480"/>
              <w:rPr>
                <w:szCs w:val="21"/>
              </w:rPr>
            </w:pPr>
            <w:r>
              <w:rPr>
                <w:szCs w:val="21"/>
              </w:rPr>
              <w:t>（2）大气环境功能区划</w:t>
            </w:r>
          </w:p>
          <w:p>
            <w:pPr>
              <w:spacing w:line="360" w:lineRule="auto"/>
              <w:ind w:firstLine="480"/>
              <w:rPr>
                <w:szCs w:val="21"/>
              </w:rPr>
            </w:pPr>
            <w:r>
              <w:rPr>
                <w:szCs w:val="21"/>
              </w:rPr>
              <w:t>根据《惠州市环境空气质量功能区划》（2021年修订）的规定，项目所在区域属于环境空气质量二类功能区。</w:t>
            </w:r>
          </w:p>
          <w:p>
            <w:pPr>
              <w:spacing w:line="360" w:lineRule="auto"/>
              <w:ind w:firstLine="480"/>
              <w:rPr>
                <w:szCs w:val="21"/>
              </w:rPr>
            </w:pPr>
            <w:r>
              <w:rPr>
                <w:szCs w:val="21"/>
              </w:rPr>
              <w:t>（3）声环境功能区划</w:t>
            </w:r>
          </w:p>
          <w:p>
            <w:pPr>
              <w:spacing w:line="360" w:lineRule="auto"/>
              <w:ind w:firstLine="480"/>
              <w:rPr>
                <w:szCs w:val="21"/>
              </w:rPr>
            </w:pPr>
            <w:r>
              <w:rPr>
                <w:szCs w:val="21"/>
              </w:rPr>
              <w:t>根据《广东博罗县产业转移工业园区总体规划环境影响报告书》及其审查意见</w:t>
            </w:r>
            <w:r>
              <w:rPr>
                <w:rFonts w:hint="eastAsia"/>
                <w:szCs w:val="21"/>
              </w:rPr>
              <w:t>（</w:t>
            </w:r>
            <w:r>
              <w:rPr>
                <w:szCs w:val="21"/>
              </w:rPr>
              <w:t>粤环审〔2021〕84号</w:t>
            </w:r>
            <w:r>
              <w:rPr>
                <w:rFonts w:hint="eastAsia"/>
                <w:szCs w:val="21"/>
              </w:rPr>
              <w:t>）</w:t>
            </w:r>
            <w:r>
              <w:rPr>
                <w:szCs w:val="21"/>
              </w:rPr>
              <w:t>，项目属于</w:t>
            </w:r>
            <w:r>
              <w:rPr>
                <w:rFonts w:hint="eastAsia"/>
                <w:szCs w:val="21"/>
              </w:rPr>
              <w:t>3</w:t>
            </w:r>
            <w:r>
              <w:rPr>
                <w:szCs w:val="21"/>
              </w:rPr>
              <w:t>类声环境功能区。故本项目区域声环境为</w:t>
            </w:r>
            <w:r>
              <w:rPr>
                <w:rFonts w:hint="eastAsia"/>
                <w:szCs w:val="21"/>
              </w:rPr>
              <w:t>3</w:t>
            </w:r>
            <w:r>
              <w:rPr>
                <w:szCs w:val="21"/>
              </w:rPr>
              <w:t>类功能区。</w:t>
            </w:r>
          </w:p>
          <w:p>
            <w:pPr>
              <w:adjustRightInd w:val="0"/>
              <w:snapToGrid w:val="0"/>
              <w:spacing w:line="360" w:lineRule="auto"/>
              <w:ind w:firstLine="480"/>
              <w:rPr>
                <w:szCs w:val="21"/>
              </w:rPr>
            </w:pPr>
            <w:r>
              <w:rPr>
                <w:szCs w:val="21"/>
              </w:rPr>
              <w:t>该项目废（污）水、废气、噪声和固体废物通过采取评价中提出的治理措施进行有效治理后，不会改变区域环境功能。则该项目的运营与环境功能区划相符合。</w:t>
            </w:r>
          </w:p>
          <w:p>
            <w:pPr>
              <w:adjustRightInd w:val="0"/>
              <w:snapToGrid w:val="0"/>
              <w:spacing w:line="360" w:lineRule="auto"/>
              <w:ind w:firstLine="480"/>
              <w:rPr>
                <w:b/>
                <w:szCs w:val="21"/>
              </w:rPr>
            </w:pPr>
            <w:r>
              <w:rPr>
                <w:b/>
                <w:szCs w:val="21"/>
              </w:rPr>
              <w:t>6、其它相关环保政策相符性分析</w:t>
            </w:r>
          </w:p>
          <w:p>
            <w:pPr>
              <w:spacing w:line="360" w:lineRule="auto"/>
              <w:ind w:firstLine="422" w:firstLineChars="200"/>
              <w:rPr>
                <w:b/>
                <w:bCs/>
                <w:szCs w:val="21"/>
              </w:rPr>
            </w:pPr>
            <w:r>
              <w:rPr>
                <w:b/>
                <w:bCs/>
                <w:szCs w:val="21"/>
              </w:rPr>
              <w:t>（1）与《广东省人民政府关于严格限制东江流域水污染项目建设进一步做好东江水质保护工作的通知》（粤府函〔2011〕339号）及《广东省人民政府关于严格限制东江流域水污染项目建设进一步做好东江水质保护工作的补充通知》（粤府函〔2013〕231号）的相符性分析</w:t>
            </w:r>
          </w:p>
          <w:p>
            <w:pPr>
              <w:spacing w:line="360" w:lineRule="auto"/>
              <w:ind w:firstLine="420" w:firstLineChars="200"/>
              <w:rPr>
                <w:bCs/>
                <w:szCs w:val="21"/>
              </w:rPr>
            </w:pPr>
            <w:r>
              <w:rPr>
                <w:bCs/>
                <w:szCs w:val="21"/>
              </w:rPr>
              <w:t>根据《广东省人民政府关于严格限制东江流域水污染项目建设进一步做好东江水质保护工作的通知》（粤府函〔2011〕339号）及《广东省人民政府关于严格限制东江流域水污染项目建设进一步做好东江水质保护工作的补充通知》（粤府函〔2013〕231号）的相关规定具体如下：</w:t>
            </w:r>
          </w:p>
          <w:p>
            <w:pPr>
              <w:spacing w:line="360" w:lineRule="auto"/>
              <w:ind w:firstLine="420" w:firstLineChars="200"/>
              <w:rPr>
                <w:bCs/>
                <w:szCs w:val="21"/>
              </w:rPr>
            </w:pPr>
            <w:r>
              <w:rPr>
                <w:bCs/>
                <w:szCs w:val="21"/>
              </w:rPr>
              <w:t>1、严格控制重污染项目建设：严格执行《广东省东江水系水质保护条例》等规定，在东江流域内严格控制建设造纸、制革、味精、电镀、漂染、印染、炼油、发酵酿造、非放射性矿产冶炼以及使用含汞、砷、镉、铬、铅原料的项目，禁止建设农药、铬盐、钛白粉、氟制冷剂生产项目，禁止建设稀土分离、炼砒、炼铍、纸浆制造业、氰化法提炼产品以及开采、冶炼放射性矿产的项目。</w:t>
            </w:r>
          </w:p>
          <w:p>
            <w:pPr>
              <w:spacing w:line="360" w:lineRule="auto"/>
              <w:ind w:firstLine="420" w:firstLineChars="200"/>
              <w:rPr>
                <w:bCs/>
                <w:szCs w:val="21"/>
              </w:rPr>
            </w:pPr>
            <w:r>
              <w:rPr>
                <w:bCs/>
                <w:szCs w:val="21"/>
              </w:rPr>
              <w:t>2、强化涉重金属污染项目管理：东江流域内停止审批向河流排放汞、砷、镉、铬、铅等重金属污染物和持久性有机污染物的项目。</w:t>
            </w:r>
          </w:p>
          <w:p>
            <w:pPr>
              <w:spacing w:line="360" w:lineRule="auto"/>
              <w:ind w:firstLine="420" w:firstLineChars="200"/>
              <w:rPr>
                <w:szCs w:val="21"/>
              </w:rPr>
            </w:pPr>
            <w:r>
              <w:rPr>
                <w:bCs/>
                <w:szCs w:val="21"/>
              </w:rPr>
              <w:t>3、严格控制支流污染增量：在淡水河（含龙岗河、坪山河等支流）、石马河（含观澜河、潼湖水等支流）、紧水河、稿树</w:t>
            </w:r>
            <w:r>
              <w:rPr>
                <w:szCs w:val="21"/>
              </w:rPr>
              <w:t>下水、马嘶河（龙溪水）等支流和东江惠州博罗段江东、榕溪沥（罗阳）、廖洞、合竹洲、永平等5个直接排往东江的排水渠流域内，禁止建设制浆造纸、电镀（含配套电镀和线路板）、印染、制革、发酵酿造、规模化养殖和危险废物综合利用或处置等重污染项目，暂停审批电氧化、化工和含酸洗、磷化、表面处理工艺以及其他新增超标或超总量污染物的项目。上述流域内，在污水未纳入污水处理厂收集管网的城镇中心区域，不得审批洗车、餐饮、沐足桑拿等耗水性项目。</w:t>
            </w:r>
          </w:p>
          <w:p>
            <w:pPr>
              <w:spacing w:line="360" w:lineRule="auto"/>
              <w:ind w:firstLine="420" w:firstLineChars="200"/>
              <w:rPr>
                <w:bCs/>
                <w:szCs w:val="21"/>
              </w:rPr>
            </w:pPr>
            <w:r>
              <w:rPr>
                <w:bCs/>
              </w:rPr>
              <w:t>符合下列条件之一的建设项目，不列入禁止建设和暂停审批范围：</w:t>
            </w:r>
          </w:p>
          <w:p>
            <w:pPr>
              <w:spacing w:line="360" w:lineRule="auto"/>
              <w:ind w:firstLine="420" w:firstLineChars="200"/>
              <w:rPr>
                <w:bCs/>
              </w:rPr>
            </w:pPr>
            <w:r>
              <w:rPr>
                <w:bCs/>
              </w:rPr>
              <w:t>1、建设地点位于东江流域，但不排放废水或废水不排入东江及其支流，不会对东江水质和水环境安全构成影响的项目；</w:t>
            </w:r>
          </w:p>
          <w:p>
            <w:pPr>
              <w:spacing w:line="360" w:lineRule="auto"/>
              <w:ind w:firstLine="420" w:firstLineChars="200"/>
              <w:rPr>
                <w:bCs/>
              </w:rPr>
            </w:pPr>
            <w:r>
              <w:rPr>
                <w:bCs/>
              </w:rPr>
              <w:t>2、通过提高清洁生产和污染防治水平，能够做到增产不增污、增产减污、技改减污的改（扩）建项目及同流域内迁建减污项目；</w:t>
            </w:r>
          </w:p>
          <w:p>
            <w:pPr>
              <w:spacing w:line="360" w:lineRule="auto"/>
              <w:ind w:firstLine="420" w:firstLineChars="200"/>
              <w:rPr>
                <w:bCs/>
              </w:rPr>
            </w:pPr>
            <w:r>
              <w:rPr>
                <w:bCs/>
              </w:rPr>
              <w:t>3、流域内拟迁入重污染行业统一规划、统一定点基地，且符合基地规划环评审查意见的建设项目。”</w:t>
            </w:r>
          </w:p>
          <w:p>
            <w:pPr>
              <w:spacing w:line="360" w:lineRule="auto"/>
              <w:ind w:firstLine="422" w:firstLineChars="200"/>
              <w:rPr>
                <w:color w:val="FF0000"/>
                <w:szCs w:val="21"/>
              </w:rPr>
            </w:pPr>
            <w:r>
              <w:rPr>
                <w:b/>
                <w:bCs/>
                <w:szCs w:val="21"/>
              </w:rPr>
              <w:t>相符性分析：</w:t>
            </w:r>
            <w:r>
              <w:rPr>
                <w:szCs w:val="21"/>
              </w:rPr>
              <w:t>本项目选址位于惠州市博罗县杨侨镇大坑办事处</w:t>
            </w:r>
            <w:r>
              <w:rPr>
                <w:rFonts w:hint="eastAsia"/>
                <w:szCs w:val="21"/>
              </w:rPr>
              <w:t>桔子路武高段（土名）</w:t>
            </w:r>
            <w:r>
              <w:rPr>
                <w:szCs w:val="21"/>
              </w:rPr>
              <w:t>，属于东江流域范围。本项目主要从事</w:t>
            </w:r>
            <w:r>
              <w:rPr>
                <w:rFonts w:hint="eastAsia"/>
                <w:szCs w:val="21"/>
              </w:rPr>
              <w:t>橡胶混炼胶、</w:t>
            </w:r>
            <w:r>
              <w:rPr>
                <w:rFonts w:hint="eastAsia"/>
                <w:bCs/>
              </w:rPr>
              <w:t>橡胶制品</w:t>
            </w:r>
            <w:r>
              <w:rPr>
                <w:szCs w:val="21"/>
              </w:rPr>
              <w:t>的生产，</w:t>
            </w:r>
            <w:r>
              <w:rPr>
                <w:rFonts w:hint="eastAsia"/>
                <w:szCs w:val="21"/>
              </w:rPr>
              <w:t>不外排</w:t>
            </w:r>
            <w:r>
              <w:rPr>
                <w:szCs w:val="21"/>
              </w:rPr>
              <w:t>生产废水，项目生活污水经三级化粪池预处理后排入</w:t>
            </w:r>
            <w:r>
              <w:rPr>
                <w:rFonts w:hint="eastAsia"/>
                <w:szCs w:val="21"/>
              </w:rPr>
              <w:t>杨侨镇生活污水处理厂</w:t>
            </w:r>
            <w:r>
              <w:rPr>
                <w:szCs w:val="21"/>
              </w:rPr>
              <w:t>，处理达标后排入</w:t>
            </w:r>
            <w:r>
              <w:rPr>
                <w:rFonts w:hint="eastAsia"/>
                <w:szCs w:val="21"/>
              </w:rPr>
              <w:t>南蛇沥</w:t>
            </w:r>
            <w:r>
              <w:rPr>
                <w:szCs w:val="21"/>
              </w:rPr>
              <w:t>，汇入</w:t>
            </w:r>
            <w:r>
              <w:rPr>
                <w:rFonts w:hint="eastAsia"/>
                <w:szCs w:val="21"/>
              </w:rPr>
              <w:t>公庄</w:t>
            </w:r>
            <w:r>
              <w:rPr>
                <w:szCs w:val="21"/>
              </w:rPr>
              <w:t>河，最终排入东江。本项目不属于以上禁批或限批行业，因此，项目选址符合流域限批政策要求。因此</w:t>
            </w:r>
            <w:r>
              <w:rPr>
                <w:bCs/>
                <w:iCs/>
                <w:szCs w:val="21"/>
              </w:rPr>
              <w:t>，本项目选址与</w:t>
            </w:r>
            <w:r>
              <w:rPr>
                <w:spacing w:val="-6"/>
                <w:szCs w:val="21"/>
              </w:rPr>
              <w:t>《</w:t>
            </w:r>
            <w:r>
              <w:rPr>
                <w:szCs w:val="21"/>
              </w:rPr>
              <w:t>关于严格限制东江流域水污染项目建设进一步做好东江水质保护工作的通知》（粤府函〔2011〕339号）及</w:t>
            </w:r>
            <w:r>
              <w:rPr>
                <w:bCs/>
                <w:szCs w:val="21"/>
              </w:rPr>
              <w:t>《广东省人民政府关于严格限制东江流域水污染项目建设进一步做好东江水质保护工作的补充通知》</w:t>
            </w:r>
            <w:r>
              <w:rPr>
                <w:szCs w:val="21"/>
              </w:rPr>
              <w:t>（粤府函〔2013〕231号）</w:t>
            </w:r>
            <w:r>
              <w:rPr>
                <w:bCs/>
                <w:iCs/>
                <w:szCs w:val="21"/>
              </w:rPr>
              <w:t>的规定不冲突。</w:t>
            </w:r>
          </w:p>
          <w:p>
            <w:pPr>
              <w:pStyle w:val="85"/>
              <w:spacing w:before="0" w:beforeAutospacing="0" w:after="0" w:afterAutospacing="0" w:line="360" w:lineRule="auto"/>
              <w:ind w:firstLine="422" w:firstLineChars="200"/>
              <w:jc w:val="both"/>
              <w:rPr>
                <w:rFonts w:ascii="Times New Roman" w:hAnsi="Times New Roman"/>
                <w:b/>
                <w:bCs/>
                <w:sz w:val="21"/>
                <w:szCs w:val="21"/>
              </w:rPr>
            </w:pPr>
            <w:r>
              <w:rPr>
                <w:rFonts w:ascii="Times New Roman" w:hAnsi="Times New Roman"/>
                <w:b/>
                <w:bCs/>
                <w:sz w:val="21"/>
                <w:szCs w:val="21"/>
              </w:rPr>
              <w:t>（2）与《广东省水污染防治条例》的相符性分析</w:t>
            </w:r>
          </w:p>
          <w:p>
            <w:pPr>
              <w:spacing w:line="360" w:lineRule="auto"/>
              <w:ind w:firstLine="420" w:firstLineChars="200"/>
            </w:pPr>
            <w:r>
              <w:t>根据《广东省水污染防治条例》：</w:t>
            </w:r>
          </w:p>
          <w:p>
            <w:pPr>
              <w:suppressAutoHyphens/>
              <w:spacing w:line="360" w:lineRule="auto"/>
              <w:ind w:firstLine="420" w:firstLineChars="200"/>
              <w:rPr>
                <w:kern w:val="1"/>
              </w:rPr>
            </w:pPr>
            <w:r>
              <w:rPr>
                <w:kern w:val="1"/>
              </w:rPr>
              <w:t>第十七条 新建、改建、扩建直接或者间接向水体排放污染物的建设项目和其他水上设施，应当符合生态环境准入清单要求，并依法进行环境影响评价。</w:t>
            </w:r>
          </w:p>
          <w:p>
            <w:pPr>
              <w:suppressAutoHyphens/>
              <w:spacing w:line="360" w:lineRule="auto"/>
              <w:ind w:firstLine="420" w:firstLineChars="200"/>
              <w:rPr>
                <w:kern w:val="1"/>
              </w:rPr>
            </w:pPr>
            <w:r>
              <w:rPr>
                <w:kern w:val="1"/>
              </w:rPr>
              <w:t>第二十二条 排污单位应当按照经批准或者备案的环境影响评价文件要求建设水污染防治设施。水污染防治设施应当与主体工程同时设计、同时施工、同时投入使用。</w:t>
            </w:r>
          </w:p>
          <w:p>
            <w:pPr>
              <w:suppressAutoHyphens/>
              <w:spacing w:line="360" w:lineRule="auto"/>
              <w:ind w:firstLine="420" w:firstLineChars="200"/>
              <w:rPr>
                <w:kern w:val="1"/>
              </w:rPr>
            </w:pPr>
            <w:r>
              <w:rPr>
                <w:kern w:val="1"/>
              </w:rPr>
              <w:t>第二十八条  排放工业废水的企业应当采取有效措施，收集和处理产生的全部生产废水，防止污染水环境。未依法领取污水排入排水管网许可证的，不得直接向生活污水管网与处理系统排放工业废水。含有毒有害水污染物的工业废水应当分类收集和处理，不得稀释排放。</w:t>
            </w:r>
          </w:p>
          <w:p>
            <w:pPr>
              <w:suppressAutoHyphens/>
              <w:spacing w:line="360" w:lineRule="auto"/>
              <w:ind w:firstLine="420" w:firstLineChars="200"/>
              <w:rPr>
                <w:kern w:val="1"/>
              </w:rPr>
            </w:pPr>
            <w:r>
              <w:rPr>
                <w:kern w:val="1"/>
              </w:rPr>
              <w:t>第四十三条 在饮用水水源保护区内禁止下列行为：</w:t>
            </w:r>
          </w:p>
          <w:p>
            <w:pPr>
              <w:suppressAutoHyphens/>
              <w:spacing w:line="360" w:lineRule="auto"/>
              <w:ind w:firstLine="420" w:firstLineChars="200"/>
              <w:rPr>
                <w:kern w:val="1"/>
              </w:rPr>
            </w:pPr>
            <w:r>
              <w:rPr>
                <w:kern w:val="1"/>
              </w:rPr>
              <w:t>（一）设置排污口；</w:t>
            </w:r>
          </w:p>
          <w:p>
            <w:pPr>
              <w:suppressAutoHyphens/>
              <w:spacing w:line="360" w:lineRule="auto"/>
              <w:ind w:firstLine="420" w:firstLineChars="200"/>
              <w:rPr>
                <w:kern w:val="1"/>
              </w:rPr>
            </w:pPr>
            <w:r>
              <w:rPr>
                <w:kern w:val="1"/>
              </w:rPr>
              <w:t>第四十四条 禁止在饮用水水源一级保护区内新建、改建、扩建与供水设施和保护水源无关的建设项目；已建成的与供水设施和保护水源无关的建设项目由县级以上人民政府责令拆除或者关闭。</w:t>
            </w:r>
          </w:p>
          <w:p>
            <w:pPr>
              <w:suppressAutoHyphens/>
              <w:spacing w:line="360" w:lineRule="auto"/>
              <w:ind w:firstLine="420" w:firstLineChars="200"/>
              <w:rPr>
                <w:kern w:val="1"/>
              </w:rPr>
            </w:pPr>
            <w:r>
              <w:rPr>
                <w:kern w:val="1"/>
              </w:rPr>
              <w:t>禁止在饮用水水源二级保护区内新建、改建、扩建排放污染物的建设项目。</w:t>
            </w:r>
          </w:p>
          <w:p>
            <w:pPr>
              <w:suppressAutoHyphens/>
              <w:spacing w:line="360" w:lineRule="auto"/>
              <w:ind w:firstLine="420" w:firstLineChars="200"/>
              <w:rPr>
                <w:kern w:val="1"/>
              </w:rPr>
            </w:pPr>
            <w:r>
              <w:rPr>
                <w:kern w:val="1"/>
              </w:rPr>
              <w:t>第五十条 新建、改建、扩建的项目应当符合国家产业政策规定</w:t>
            </w:r>
          </w:p>
          <w:p>
            <w:pPr>
              <w:suppressAutoHyphens/>
              <w:spacing w:line="360" w:lineRule="auto"/>
              <w:ind w:firstLine="420" w:firstLineChars="200"/>
              <w:rPr>
                <w:kern w:val="1"/>
              </w:rPr>
            </w:pPr>
            <w:r>
              <w:rPr>
                <w:kern w:val="1"/>
              </w:rPr>
              <w:t>在东江流域内，除国家产业政策规定的禁止项目外，还禁止新建农药、铬盐、钛白粉生产项目，禁止新建稀土分离、炼砒、炼铍、纸浆制造、氰化法提炼产品、开采和冶炼放射性矿产及其他严重污染水环境的项目；严格控制新建造纸、制革、味精、电镀、漂染、印染、炼油、发酵酿造、非放射性矿产冶炼以及使用含汞、砷、镉、铬、铅为原料的项目。</w:t>
            </w:r>
          </w:p>
          <w:p>
            <w:pPr>
              <w:spacing w:line="360" w:lineRule="auto"/>
              <w:ind w:firstLine="422" w:firstLineChars="200"/>
            </w:pPr>
            <w:r>
              <w:rPr>
                <w:b/>
                <w:bCs/>
              </w:rPr>
              <w:t>相符性分析：</w:t>
            </w:r>
            <w:r>
              <w:t>本项目位于东江流域，用地不属于饮用水水源保护区，不属于条例规定的禁止类和严格控制类生产项目，</w:t>
            </w:r>
            <w:r>
              <w:rPr>
                <w:rFonts w:hint="eastAsia"/>
              </w:rPr>
              <w:t>不排放</w:t>
            </w:r>
            <w:r>
              <w:t>生产废水，生活污水经三级化粪池预处理后排入</w:t>
            </w:r>
            <w:r>
              <w:rPr>
                <w:rFonts w:hint="eastAsia"/>
              </w:rPr>
              <w:t>杨侨镇生活污水处理厂</w:t>
            </w:r>
            <w:r>
              <w:t>，处理达标后排入</w:t>
            </w:r>
            <w:r>
              <w:rPr>
                <w:rFonts w:hint="eastAsia"/>
              </w:rPr>
              <w:t>南蛇沥</w:t>
            </w:r>
            <w:r>
              <w:t>，汇入</w:t>
            </w:r>
            <w:r>
              <w:rPr>
                <w:rFonts w:hint="eastAsia"/>
              </w:rPr>
              <w:t>公庄河</w:t>
            </w:r>
            <w:r>
              <w:t>，最终排入东江。本项目符合生态环境准入清单要求，并依法进行了环境影响评价，符合生态环境准入清单要求，因此本项目与《广东省水污染防治条例》相符。</w:t>
            </w:r>
          </w:p>
          <w:p>
            <w:pPr>
              <w:pStyle w:val="942"/>
              <w:spacing w:line="360" w:lineRule="auto"/>
              <w:ind w:firstLine="422"/>
              <w:rPr>
                <w:color w:val="auto"/>
                <w:szCs w:val="21"/>
                <w:lang w:bidi="ar"/>
              </w:rPr>
            </w:pPr>
            <w:r>
              <w:rPr>
                <w:rFonts w:hint="eastAsia"/>
                <w:color w:val="auto"/>
                <w:szCs w:val="21"/>
                <w:lang w:bidi="ar"/>
              </w:rPr>
              <w:t>（3）项目与《关于印发&lt;重点行业挥发性有机物综合治理方案）&gt;的通知》（环大气[2019]53号）</w:t>
            </w:r>
            <w:r>
              <w:rPr>
                <w:color w:val="auto"/>
                <w:szCs w:val="21"/>
                <w:lang w:bidi="ar"/>
              </w:rPr>
              <w:t>的相符性分析</w:t>
            </w:r>
          </w:p>
          <w:p>
            <w:pPr>
              <w:pStyle w:val="85"/>
              <w:shd w:val="clear" w:color="auto" w:fill="FFFFFF"/>
              <w:spacing w:before="0" w:beforeAutospacing="0" w:after="0" w:afterAutospacing="0" w:line="360" w:lineRule="auto"/>
              <w:ind w:firstLine="420" w:firstLineChars="200"/>
              <w:rPr>
                <w:rFonts w:ascii="Times New Roman" w:hAnsi="Times New Roman"/>
                <w:color w:val="auto"/>
                <w:sz w:val="21"/>
              </w:rPr>
            </w:pPr>
            <w:r>
              <w:rPr>
                <w:rFonts w:hint="eastAsia" w:ascii="Times New Roman" w:hAnsi="Times New Roman"/>
                <w:color w:val="auto"/>
                <w:sz w:val="21"/>
              </w:rPr>
              <w:t>根据《关于印发&lt;重点行业挥发性有机物综合治理方案）&gt;的通知》（环大气[2019]53号）规定：（一）大力推进源头替代。通过使用水性、粉末、高固体分、无溶剂、辐射固化等低VOCs含量的涂料，水性、辐射固化、植物基等低VOCs含量的油墨，水基、热熔、无溶剂、辐射固化、改性、生物降解等低VOCs含量的胶粘剂，以及低VOCs含量、低反应活性的清洗剂等，替代溶剂型涂料、油墨、胶粘剂、清洗剂等，从源头减少VOCs产生。工业涂装、包装印刷等行业要加大源头替代力度；化工行业要推广使用低（无）VOCs含量、低反应活性的原辅材料，加快对芳香烃、含卤素有机化合物的绿色替代。企业应大力推广使用低VOCs含量木器涂料、车辆涂料、机械设备涂料、集装箱涂料以及建筑物和构筑物防护涂料等，在技术成熟的行业，推广使用低VOCs含量油墨和胶粘剂，重点区域到2020年年底前基本完成。鼓励加快低VOCs含量涂料、油墨、胶粘剂等研发和生产。</w:t>
            </w:r>
          </w:p>
          <w:p>
            <w:pPr>
              <w:pStyle w:val="85"/>
              <w:shd w:val="clear" w:color="auto" w:fill="FFFFFF"/>
              <w:spacing w:before="0" w:beforeAutospacing="0" w:after="0" w:afterAutospacing="0" w:line="360" w:lineRule="auto"/>
              <w:ind w:firstLine="420" w:firstLineChars="200"/>
              <w:rPr>
                <w:rFonts w:ascii="Times New Roman" w:hAnsi="Times New Roman"/>
                <w:color w:val="auto"/>
                <w:sz w:val="21"/>
              </w:rPr>
            </w:pPr>
            <w:r>
              <w:rPr>
                <w:rFonts w:hint="eastAsia" w:ascii="Times New Roman" w:hAnsi="Times New Roman"/>
                <w:color w:val="auto"/>
                <w:sz w:val="21"/>
              </w:rPr>
              <w:t>加强政策引导。企业采用符合国家有关低VOCs含量产品规定的涂料、油墨、胶粘剂等，排放浓度稳定达标且排放速率、排放绩效等满足相关规定的，相应生产工序可不要求建设末端治理设施。使用的原辅材料VOCs含量（质量比）低于10%的工序，可不要求采取无组织排放收集措施。</w:t>
            </w:r>
          </w:p>
          <w:p>
            <w:pPr>
              <w:pStyle w:val="85"/>
              <w:shd w:val="clear" w:color="auto" w:fill="FFFFFF"/>
              <w:spacing w:before="0" w:beforeAutospacing="0" w:after="0" w:afterAutospacing="0" w:line="360" w:lineRule="auto"/>
              <w:ind w:firstLine="420" w:firstLineChars="200"/>
              <w:rPr>
                <w:rFonts w:ascii="Times New Roman" w:hAnsi="Times New Roman"/>
                <w:color w:val="auto"/>
                <w:sz w:val="21"/>
              </w:rPr>
            </w:pPr>
            <w:r>
              <w:rPr>
                <w:rFonts w:hint="eastAsia" w:ascii="Times New Roman" w:hAnsi="Times New Roman"/>
                <w:color w:val="auto"/>
                <w:sz w:val="21"/>
              </w:rPr>
              <w:t>（二）全面加强无组织排放控制。重点对含VOCs物料（包括含VOCs原辅材料、含VOCs产品、含VOCs废料以及有机聚合物材料等）储存、转移和输送、设备与管线组件泄漏、敞开液面逸散以及工艺过程等五类排放源实施管控，通过采取设备与场所密闭、工艺改进、废气有效收集等措施，削减VOCs无组织排放。</w:t>
            </w:r>
          </w:p>
          <w:p>
            <w:pPr>
              <w:pStyle w:val="85"/>
              <w:shd w:val="clear" w:color="auto" w:fill="FFFFFF"/>
              <w:spacing w:before="0" w:beforeAutospacing="0" w:after="0" w:afterAutospacing="0" w:line="360" w:lineRule="auto"/>
              <w:ind w:firstLine="420" w:firstLineChars="200"/>
              <w:rPr>
                <w:rFonts w:ascii="Times New Roman" w:hAnsi="Times New Roman"/>
                <w:color w:val="auto"/>
                <w:sz w:val="21"/>
              </w:rPr>
            </w:pPr>
            <w:r>
              <w:rPr>
                <w:rFonts w:hint="eastAsia" w:ascii="Times New Roman" w:hAnsi="Times New Roman"/>
                <w:color w:val="auto"/>
                <w:sz w:val="21"/>
              </w:rPr>
              <w:t>加强设备与场所密闭管理。含VOCs物料应储存于密闭容器、包装袋，高效密封储罐，封闭式储库、料仓等。含VOCs物料转移和输送，应采用密闭管道或密闭容器、罐车等。高VOCs含量废水（废水液面上方100毫米处VOCs检测浓度超过200ppm，其中，重点区域超过100ppm，以碳计）的集输、储存和处理过程，应加盖密闭。含VOCs物料生产和使用过程，应采取有效收集措施或在密闭空间中操作。</w:t>
            </w:r>
          </w:p>
          <w:p>
            <w:pPr>
              <w:pStyle w:val="85"/>
              <w:shd w:val="clear" w:color="auto" w:fill="FFFFFF"/>
              <w:spacing w:before="0" w:beforeAutospacing="0" w:after="0" w:afterAutospacing="0" w:line="360" w:lineRule="auto"/>
              <w:ind w:firstLine="420" w:firstLineChars="200"/>
              <w:rPr>
                <w:rFonts w:ascii="Times New Roman" w:hAnsi="Times New Roman"/>
                <w:color w:val="auto"/>
                <w:sz w:val="21"/>
              </w:rPr>
            </w:pPr>
            <w:r>
              <w:rPr>
                <w:rFonts w:hint="eastAsia" w:ascii="Times New Roman" w:hAnsi="Times New Roman"/>
                <w:color w:val="auto"/>
                <w:sz w:val="21"/>
              </w:rPr>
              <w:t>推进使用先进生产工艺。通过采用全密闭、连续化、自动化等生产技术，以及高效工艺与设备等，减少工艺过程无组织排放。挥发性有机液体装载优先采用底部装载方式。石化、化工行业重点推进使用低（无）泄漏的泵、压缩机、过滤机、离心机、干燥设备等，推广采用油品在线调和技术、密闭式循环水冷却系统等。工业涂装行业重点推进使用紧凑式涂装工艺，推广采用辊涂、静电喷涂、高压无气喷涂、空气辅助无气喷涂、热喷涂等涂装技术，鼓励企业采用自动化、智能化喷涂设备替代人工喷涂，减少使用空气喷涂技术。包装印刷行业大力推广使用无溶剂复合、挤出复合、共挤出复合技术，鼓励采用水性凹印、醇水凹印、辐射固化凹印、柔版印刷、无水胶印等印刷工艺。</w:t>
            </w:r>
          </w:p>
          <w:p>
            <w:pPr>
              <w:pStyle w:val="85"/>
              <w:shd w:val="clear" w:color="auto" w:fill="FFFFFF"/>
              <w:spacing w:before="0" w:beforeAutospacing="0" w:after="0" w:afterAutospacing="0" w:line="360" w:lineRule="auto"/>
              <w:ind w:firstLine="420" w:firstLineChars="200"/>
              <w:rPr>
                <w:rFonts w:ascii="Times New Roman" w:hAnsi="Times New Roman"/>
                <w:color w:val="auto"/>
                <w:sz w:val="21"/>
              </w:rPr>
            </w:pPr>
            <w:r>
              <w:rPr>
                <w:rFonts w:hint="eastAsia" w:ascii="Times New Roman" w:hAnsi="Times New Roman"/>
                <w:color w:val="auto"/>
                <w:sz w:val="21"/>
              </w:rPr>
              <w:t>提高废气收集率。遵循“应收尽收、分质收集”的原则，科学设计废气收集系统，将无组织排放转变为有组织排放进行控制。采用全密闭集气罩或密闭空间的，除行业有特殊要求外，应保持微负压状态，并根据相关规范合理设置通风量。采用局部集气罩的，距集气罩开口面最远处的VOCs无组织排放位置，控制风速应不低于0.3米/秒，有行业要求的按相关规定执行。</w:t>
            </w:r>
          </w:p>
          <w:p>
            <w:pPr>
              <w:pStyle w:val="85"/>
              <w:shd w:val="clear" w:color="auto" w:fill="FFFFFF"/>
              <w:spacing w:before="0" w:beforeAutospacing="0" w:after="0" w:afterAutospacing="0" w:line="360" w:lineRule="auto"/>
              <w:ind w:firstLine="420" w:firstLineChars="200"/>
              <w:rPr>
                <w:rFonts w:ascii="Times New Roman" w:hAnsi="Times New Roman"/>
                <w:color w:val="auto"/>
                <w:sz w:val="21"/>
              </w:rPr>
            </w:pPr>
            <w:r>
              <w:rPr>
                <w:rFonts w:hint="eastAsia" w:ascii="Times New Roman" w:hAnsi="Times New Roman"/>
                <w:color w:val="auto"/>
                <w:sz w:val="21"/>
              </w:rPr>
              <w:t>（三）推进建设适宜高效的治污设施。企业新建治污设施或对现有治污设施实施改造，应依据排放废气的浓度、组分、风量，温度、湿度、压力，以及生产工况等，合理选择治理技术。鼓励企业采用多种技术的组合工艺，提高VOCs治理效率。低浓度、大风量废气，宜采用沸石转轮吸附、活性炭吸附、减风增浓等浓缩技术，提高VOCs浓度后净化处理；高浓度废气，优先进行溶剂回收，难以回收的，宜采用高温焚烧、催化燃烧等技术。油气（溶剂）回收宜采用冷凝+吸附、吸附+吸收、膜分离+吸附等技术。低温等离子、光催化、光氧化技术主要适用于恶臭异味等治理；生物法主要适用于低浓度VOCs废气治理和恶臭异味治理。非水溶性的VOCs废气禁止采用水或水溶液喷淋吸收处理。采用一次性活性炭吸附技术的，应定期更换活性炭，废旧活性炭应再生或处理处置。有条件的工业园区和产业集群等，推广集中喷涂、溶剂集中回收、活性炭集中再生等，加强资源共享，提高VOCs治理效率。</w:t>
            </w:r>
          </w:p>
          <w:p>
            <w:pPr>
              <w:pStyle w:val="85"/>
              <w:shd w:val="clear" w:color="auto" w:fill="FFFFFF"/>
              <w:spacing w:before="0" w:beforeAutospacing="0" w:after="0" w:afterAutospacing="0" w:line="360" w:lineRule="auto"/>
              <w:ind w:firstLine="420" w:firstLineChars="200"/>
              <w:rPr>
                <w:rFonts w:ascii="Times New Roman" w:hAnsi="Times New Roman"/>
                <w:color w:val="auto"/>
                <w:sz w:val="21"/>
              </w:rPr>
            </w:pPr>
            <w:r>
              <w:rPr>
                <w:rFonts w:hint="eastAsia" w:ascii="Times New Roman" w:hAnsi="Times New Roman"/>
                <w:color w:val="auto"/>
                <w:sz w:val="21"/>
              </w:rPr>
              <w:t>规范工程设计。采用吸附处理工艺的，应满足《吸附法工业有机废气治理工程技术规范》要求。采用催化燃烧工艺的，应满足《催化燃烧法工业有机废气治理工程技术规范》要求。采用蓄热燃烧等其他处理工艺的，应按相关技术规范要求设计。</w:t>
            </w:r>
          </w:p>
          <w:p>
            <w:pPr>
              <w:pStyle w:val="85"/>
              <w:shd w:val="clear" w:color="auto" w:fill="FFFFFF"/>
              <w:spacing w:before="0" w:beforeAutospacing="0" w:after="0" w:afterAutospacing="0" w:line="360" w:lineRule="auto"/>
              <w:ind w:firstLine="420" w:firstLineChars="200"/>
              <w:rPr>
                <w:rFonts w:ascii="Times New Roman" w:hAnsi="Times New Roman"/>
                <w:color w:val="auto"/>
                <w:sz w:val="21"/>
              </w:rPr>
            </w:pPr>
            <w:r>
              <w:rPr>
                <w:rFonts w:hint="eastAsia" w:ascii="Times New Roman" w:hAnsi="Times New Roman"/>
                <w:color w:val="auto"/>
                <w:sz w:val="21"/>
              </w:rPr>
              <w:t>实行重点排放源排放浓度与去除效率双重控制。车间或生产设施收集排放的废气，VOCs初始排放速率大于等于3千克/小时、重点区域大于等于2千克/小时的，应加大控制力度，除确保排放浓度稳定达标外，还应实行去除效率控制，去除效率不低于80%；采用的原辅材料符合国家有关低VOCs含量产品规定的除外，有行业排放标准的按其相关规定执行。</w:t>
            </w:r>
          </w:p>
          <w:p>
            <w:pPr>
              <w:pStyle w:val="85"/>
              <w:shd w:val="clear" w:color="auto" w:fill="FFFFFF"/>
              <w:spacing w:before="0" w:beforeAutospacing="0" w:after="0" w:afterAutospacing="0" w:line="360" w:lineRule="auto"/>
              <w:ind w:firstLine="420" w:firstLineChars="200"/>
              <w:rPr>
                <w:rFonts w:ascii="Times New Roman" w:hAnsi="Times New Roman"/>
                <w:color w:val="auto"/>
                <w:sz w:val="21"/>
              </w:rPr>
            </w:pPr>
            <w:r>
              <w:rPr>
                <w:rFonts w:hint="eastAsia" w:ascii="Times New Roman" w:hAnsi="Times New Roman"/>
                <w:color w:val="auto"/>
                <w:sz w:val="21"/>
              </w:rPr>
              <w:t>（四）深入实施精细化管控。各地应围绕当地环境空气质量改善需求，根据O3、PM2.5来源解析，结合行业污染排放特征和VOCs物质光化学反应活性等，确定本地区VOCs控制的重点行业和重点污染物，兼顾恶臭污染物和有毒有害物质控制等，提出有效管控方案，提高VOCs治理的精准性、针对性和有效性。全国重点控制的VOCs物质见附件2。</w:t>
            </w:r>
          </w:p>
          <w:p>
            <w:pPr>
              <w:pStyle w:val="85"/>
              <w:shd w:val="clear" w:color="auto" w:fill="FFFFFF"/>
              <w:spacing w:before="0" w:beforeAutospacing="0" w:after="0" w:afterAutospacing="0" w:line="360" w:lineRule="auto"/>
              <w:ind w:firstLine="420" w:firstLineChars="200"/>
              <w:rPr>
                <w:rFonts w:ascii="Times New Roman" w:hAnsi="Times New Roman"/>
                <w:color w:val="auto"/>
                <w:sz w:val="21"/>
              </w:rPr>
            </w:pPr>
            <w:r>
              <w:rPr>
                <w:rFonts w:hint="eastAsia" w:ascii="Times New Roman" w:hAnsi="Times New Roman"/>
                <w:color w:val="auto"/>
                <w:sz w:val="21"/>
              </w:rPr>
              <w:t>推行“一厂一策”制度。各地应加强对企业帮扶指导，对本地污染物排放量较大的企业，组织专家提供专业化技术支持，严格把关，指导企业编制切实可行的污染治理方案，明确原辅材料替代、工艺改进、无组织排放管控、废气收集、治污设施建设等全过程减排要求，测算投资成本和减排效益，为企业有效开展VOCs综合治理提供技术服务。重点区域应组织本地VOCs排放量较大的企业开展“一厂一策”方案编制工作，2020年6月底前基本完成；适时开展治理效果后评估工作，各地出台的补贴政策要与减排效果紧密挂钩。鼓励地方对重点行业推行强制性清洁生产审核。</w:t>
            </w:r>
          </w:p>
          <w:p>
            <w:pPr>
              <w:pStyle w:val="85"/>
              <w:shd w:val="clear" w:color="auto" w:fill="FFFFFF"/>
              <w:spacing w:before="0" w:beforeAutospacing="0" w:after="0" w:afterAutospacing="0" w:line="360" w:lineRule="auto"/>
              <w:ind w:firstLine="420" w:firstLineChars="200"/>
              <w:rPr>
                <w:color w:val="auto"/>
                <w:lang w:val="en"/>
              </w:rPr>
            </w:pPr>
            <w:r>
              <w:rPr>
                <w:rFonts w:hint="eastAsia" w:ascii="Times New Roman" w:hAnsi="Times New Roman"/>
                <w:color w:val="auto"/>
                <w:sz w:val="21"/>
              </w:rPr>
              <w:t>加强企业运行管理。企业应系统梳理VOCs排放主要环节和工序，包括启停机、检维修作业等，制定具体操作规程，落实到具体责任人。健全内部考核制度。加强人员能力培训和技术交流。建立管理台账，记录企业生产和治污设施运行的关键参数（见附件3），在线监控参数要确保能够实时调取，相关台账记录至少保存三年。</w:t>
            </w:r>
          </w:p>
          <w:p>
            <w:pPr>
              <w:pStyle w:val="85"/>
              <w:shd w:val="clear" w:color="auto" w:fill="FFFFFF"/>
              <w:spacing w:before="0" w:beforeAutospacing="0" w:after="0" w:afterAutospacing="0" w:line="360" w:lineRule="auto"/>
              <w:ind w:firstLine="422" w:firstLineChars="200"/>
              <w:jc w:val="both"/>
              <w:rPr>
                <w:rFonts w:ascii="Times New Roman" w:hAnsi="Times New Roman"/>
                <w:color w:val="auto"/>
                <w:sz w:val="21"/>
              </w:rPr>
            </w:pPr>
            <w:r>
              <w:rPr>
                <w:rFonts w:hint="eastAsia" w:ascii="Times New Roman" w:hAnsi="Times New Roman"/>
                <w:b/>
                <w:bCs/>
                <w:color w:val="auto"/>
                <w:sz w:val="21"/>
              </w:rPr>
              <w:t>相符性分析：</w:t>
            </w:r>
            <w:r>
              <w:rPr>
                <w:rFonts w:hint="eastAsia" w:ascii="Times New Roman" w:hAnsi="Times New Roman"/>
                <w:color w:val="auto"/>
                <w:sz w:val="21"/>
              </w:rPr>
              <w:t>项目主要从事橡胶混炼、橡胶制品的生产，项目不属于《通知》中规定的重点行业企业。本项目不使用含VOCs的涂料、油墨、胶粘剂、清洗剂，项目生产过程中产生的VOCs</w:t>
            </w:r>
            <w:r>
              <w:rPr>
                <w:rFonts w:hint="eastAsia" w:ascii="Times New Roman" w:hAnsi="Times New Roman"/>
                <w:color w:val="auto"/>
                <w:sz w:val="21"/>
                <w:lang w:val="en"/>
              </w:rPr>
              <w:t>均采取了局部气体收集措施</w:t>
            </w:r>
            <w:r>
              <w:rPr>
                <w:rFonts w:hint="eastAsia" w:ascii="Times New Roman" w:hAnsi="Times New Roman"/>
                <w:color w:val="auto"/>
                <w:sz w:val="21"/>
              </w:rPr>
              <w:t>，距集气罩开口面最远处的VOCs无组织排放位置，控制风速不低于0.3米/秒</w:t>
            </w:r>
            <w:r>
              <w:rPr>
                <w:rFonts w:hint="eastAsia" w:ascii="Times New Roman" w:hAnsi="Times New Roman"/>
                <w:color w:val="auto"/>
                <w:sz w:val="21"/>
                <w:lang w:val="en"/>
              </w:rPr>
              <w:t>，</w:t>
            </w:r>
            <w:r>
              <w:rPr>
                <w:rFonts w:hint="eastAsia" w:ascii="Times New Roman" w:hAnsi="Times New Roman"/>
                <w:color w:val="auto"/>
                <w:sz w:val="21"/>
              </w:rPr>
              <w:t>项目VOCs废气采用两级活性炭吸附装置处理，符合《关于印发&lt;重点行业挥发性有机物综合治理方案）&gt;的通知》（环大气[2019]53号）规定。</w:t>
            </w:r>
          </w:p>
          <w:p>
            <w:pPr>
              <w:pStyle w:val="942"/>
              <w:spacing w:line="360" w:lineRule="auto"/>
              <w:ind w:firstLine="422"/>
              <w:rPr>
                <w:color w:val="auto"/>
                <w:szCs w:val="21"/>
                <w:lang w:bidi="ar"/>
              </w:rPr>
            </w:pPr>
            <w:r>
              <w:rPr>
                <w:color w:val="auto"/>
                <w:szCs w:val="21"/>
                <w:lang w:bidi="ar"/>
              </w:rPr>
              <w:t>（4）与《广东省涉挥发性有机物（VOCs）重点行业治理指引》（粤环办〔2021〕43号）相符性分析</w:t>
            </w:r>
          </w:p>
          <w:p>
            <w:pPr>
              <w:spacing w:line="360" w:lineRule="auto"/>
              <w:ind w:firstLine="420" w:firstLineChars="200"/>
              <w:rPr>
                <w:color w:val="auto"/>
              </w:rPr>
            </w:pPr>
            <w:r>
              <w:rPr>
                <w:color w:val="auto"/>
              </w:rPr>
              <w:t>根据《广东省涉挥发性有机物（VOCs）重点行业治理指引》“六、橡胶和塑料制品业VOCs治理指引，工艺过程要求：在混合/混炼、塑炼/塑化/熔化、加工成型（挤出、注射、压制、压延、发泡、纺丝等）、硫化等作业中应采用密闭设备或在密闭空间中操作，废气应排至VOCs废气收集处理系统；无法密闭的，应采取局部气体收集措施，废气应排至VOCs废气收集处理系统。废气收集：采用外部集气罩的，距集气罩开口面最远处的VOCs无组织排放位置，控制风速不低于0.3m/s。废气收集系统的输送管道应密闭。废气收集系统应在负压下运行，若处于正压状态，应对管道组件的密封点进行泄漏检测，泄漏检测值不应超过500μmol/mol，亦不应有感官可察觉泄漏。排放水平：橡胶制品行业：a）有机废气排气筒排放浓度和厂界浓度不高于《橡胶制品工业污染物排放标准》（GB27632-2011）第II时段排放限值；车间或生产设施排气中NMHC初始排放速率≥3kg/h时，建设末端治污设施且处理效率≥80%；b）厂区内无组织排放监控点NMHC的小时平均浓度值不超过6mg/m</w:t>
            </w:r>
            <w:r>
              <w:rPr>
                <w:color w:val="auto"/>
                <w:vertAlign w:val="superscript"/>
              </w:rPr>
              <w:t>3</w:t>
            </w:r>
            <w:r>
              <w:rPr>
                <w:color w:val="auto"/>
              </w:rPr>
              <w:t>，任意一次浓度值不超过20mg/m</w:t>
            </w:r>
            <w:r>
              <w:rPr>
                <w:color w:val="auto"/>
                <w:vertAlign w:val="superscript"/>
              </w:rPr>
              <w:t>3</w:t>
            </w:r>
            <w:r>
              <w:rPr>
                <w:color w:val="auto"/>
              </w:rPr>
              <w:t>。治理设施设计与运行管理：VOCs治理设施应与生产工艺设备同步运行，VOCs治理设施发生故障或检修时，对应的生产工艺设备应停止运行，待检修完毕后同步投入使用；生产工艺设备不能停止运行或不能及时停止运行的，应设置废气应急处理设施或采取其他替代措施。管理台账：建立废气收集处理设施台账，记录废气处理设施进出口的监测数据（废气量、浓度、温度、含氧量等）、废气收集与处理设施关键参数、废气处理设施相关耗材（吸收剂、吸附剂、催化剂等）购买和处理记录；建立危废台账，整理危废处置合同、转移联单及危废处理方资质佐证材料；台账保存期限不少于3年。自行监测：橡胶制品行业简化管理排污单位：a）轮胎制品制造、橡胶板、管、带制品制造、橡胶零件制品、运动场地使用塑胶制品和其他橡胶制品制造每年1次；b）厂界每年1次。</w:t>
            </w:r>
          </w:p>
          <w:p>
            <w:pPr>
              <w:spacing w:line="360" w:lineRule="auto"/>
              <w:ind w:firstLine="420" w:firstLineChars="200"/>
              <w:rPr>
                <w:color w:val="auto"/>
              </w:rPr>
            </w:pPr>
            <w:r>
              <w:rPr>
                <w:color w:val="auto"/>
              </w:rPr>
              <w:t>项目主要从事橡胶混炼、橡胶制品的生产，属于橡胶制品业。项目混炼废气采用密闭设备或在密闭空间中操作，废气应排至VOCs废气收集处理系统。开炼机采用外部集气罩的，距集气罩开口面最远处的VOCs无组织排放位置，控制风速不低于0.3m/s，管道组件密封点泄漏检测值不超过500μmol/mol，没有感官可察觉泄漏，有机废气排气筒排放浓度和厂界浓度不高于《橡胶制品工业污染物排放标准》（GB27632-2011）第II时段排放限值；车间或生产设施排气中NMHC初始排放速率&lt;3kg/h；厂区内无组织排放监控点NMHC的小时平均浓度值不超过6mg/m</w:t>
            </w:r>
            <w:r>
              <w:rPr>
                <w:color w:val="auto"/>
                <w:vertAlign w:val="superscript"/>
              </w:rPr>
              <w:t>3</w:t>
            </w:r>
            <w:r>
              <w:rPr>
                <w:color w:val="auto"/>
              </w:rPr>
              <w:t>，任意一次浓度值不超过20mg/m</w:t>
            </w:r>
            <w:r>
              <w:rPr>
                <w:color w:val="auto"/>
                <w:vertAlign w:val="superscript"/>
              </w:rPr>
              <w:t>3</w:t>
            </w:r>
            <w:r>
              <w:rPr>
                <w:color w:val="auto"/>
              </w:rPr>
              <w:t>，VOCs治理设施应与生产工艺设备同步运行，VOCs治理设施发生故障或检修时，对应的生产工艺设备应停止运行，待检修完毕后同步投入使用。建立污染防止设施、危险废物产生及去向台账管理，台账保存期限不低于3年。项目建成后，按照《排污单位自行监测技术指南橡胶和塑料制品》（HJ1207-2021）开展自行监测。因此，本项目符合《广东省涉挥发性有机物（VOCs）重点行业治理指引》的要求。</w:t>
            </w:r>
          </w:p>
          <w:p>
            <w:pPr>
              <w:pStyle w:val="942"/>
              <w:spacing w:line="360" w:lineRule="auto"/>
              <w:ind w:firstLine="422"/>
              <w:jc w:val="both"/>
              <w:rPr>
                <w:color w:val="auto"/>
                <w:szCs w:val="21"/>
                <w:lang w:bidi="ar"/>
              </w:rPr>
            </w:pPr>
            <w:r>
              <w:rPr>
                <w:rFonts w:hint="eastAsia"/>
                <w:color w:val="auto"/>
              </w:rPr>
              <w:t>（5）</w:t>
            </w:r>
            <w:r>
              <w:rPr>
                <w:rFonts w:hint="eastAsia"/>
                <w:color w:val="auto"/>
                <w:szCs w:val="21"/>
                <w:lang w:bidi="ar"/>
              </w:rPr>
              <w:t>项目与《挥发性有机物无组织排放控制标准》（GB37822-2019）</w:t>
            </w:r>
            <w:r>
              <w:rPr>
                <w:color w:val="auto"/>
                <w:szCs w:val="21"/>
                <w:lang w:bidi="ar"/>
              </w:rPr>
              <w:t>的相符性分析</w:t>
            </w:r>
          </w:p>
          <w:p>
            <w:pPr>
              <w:pStyle w:val="942"/>
              <w:spacing w:line="360" w:lineRule="auto"/>
              <w:ind w:firstLine="0" w:firstLineChars="0"/>
              <w:jc w:val="center"/>
              <w:rPr>
                <w:color w:val="auto"/>
              </w:rPr>
            </w:pPr>
            <w:r>
              <w:rPr>
                <w:rFonts w:hint="eastAsia"/>
                <w:color w:val="auto"/>
              </w:rPr>
              <w:t>表1</w:t>
            </w:r>
            <w:r>
              <w:rPr>
                <w:color w:val="auto"/>
              </w:rPr>
              <w:t>-5项目与</w:t>
            </w:r>
            <w:r>
              <w:rPr>
                <w:rFonts w:hint="eastAsia"/>
                <w:color w:val="auto"/>
              </w:rPr>
              <w:t>《挥发性有机物无组织排放控制标准》（GB37822-2019）对照</w:t>
            </w:r>
            <w:r>
              <w:rPr>
                <w:color w:val="auto"/>
              </w:rPr>
              <w:t>分析</w:t>
            </w:r>
          </w:p>
          <w:tbl>
            <w:tblPr>
              <w:tblStyle w:val="9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3"/>
              <w:gridCol w:w="4323"/>
              <w:gridCol w:w="2397"/>
              <w:gridCol w:w="6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130" w:type="pct"/>
                  <w:gridSpan w:val="2"/>
                  <w:vAlign w:val="center"/>
                </w:tcPr>
                <w:p>
                  <w:pPr>
                    <w:wordWrap w:val="0"/>
                    <w:adjustRightInd w:val="0"/>
                    <w:snapToGrid w:val="0"/>
                    <w:jc w:val="center"/>
                    <w:rPr>
                      <w:color w:val="auto"/>
                      <w:sz w:val="18"/>
                      <w:szCs w:val="18"/>
                    </w:rPr>
                  </w:pPr>
                  <w:r>
                    <w:rPr>
                      <w:b/>
                      <w:color w:val="auto"/>
                      <w:sz w:val="18"/>
                      <w:szCs w:val="18"/>
                      <w:lang w:bidi="ar"/>
                    </w:rPr>
                    <w:t>标准要求</w:t>
                  </w:r>
                </w:p>
              </w:tc>
              <w:tc>
                <w:tcPr>
                  <w:tcW w:w="1469" w:type="pct"/>
                  <w:vAlign w:val="center"/>
                </w:tcPr>
                <w:p>
                  <w:pPr>
                    <w:wordWrap w:val="0"/>
                    <w:adjustRightInd w:val="0"/>
                    <w:snapToGrid w:val="0"/>
                    <w:jc w:val="center"/>
                    <w:rPr>
                      <w:color w:val="auto"/>
                      <w:sz w:val="18"/>
                      <w:szCs w:val="18"/>
                    </w:rPr>
                  </w:pPr>
                  <w:r>
                    <w:rPr>
                      <w:b/>
                      <w:color w:val="auto"/>
                      <w:sz w:val="18"/>
                      <w:szCs w:val="18"/>
                      <w:lang w:bidi="ar"/>
                    </w:rPr>
                    <w:t>项目情况</w:t>
                  </w:r>
                </w:p>
              </w:tc>
              <w:tc>
                <w:tcPr>
                  <w:tcW w:w="401" w:type="pct"/>
                  <w:vAlign w:val="center"/>
                </w:tcPr>
                <w:p>
                  <w:pPr>
                    <w:wordWrap w:val="0"/>
                    <w:adjustRightInd w:val="0"/>
                    <w:snapToGrid w:val="0"/>
                    <w:jc w:val="center"/>
                    <w:rPr>
                      <w:b/>
                      <w:color w:val="auto"/>
                      <w:sz w:val="18"/>
                      <w:szCs w:val="18"/>
                      <w:lang w:bidi="ar"/>
                    </w:rPr>
                  </w:pPr>
                  <w:r>
                    <w:rPr>
                      <w:b/>
                      <w:color w:val="auto"/>
                      <w:sz w:val="18"/>
                      <w:szCs w:val="18"/>
                      <w:lang w:bidi="ar"/>
                    </w:rPr>
                    <w:t>是否相符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80" w:type="pct"/>
                  <w:vAlign w:val="center"/>
                </w:tcPr>
                <w:p>
                  <w:pPr>
                    <w:pStyle w:val="106"/>
                    <w:wordWrap w:val="0"/>
                    <w:snapToGrid w:val="0"/>
                    <w:rPr>
                      <w:rFonts w:ascii="Times New Roman" w:hAnsi="Times New Roman" w:cs="Times New Roman"/>
                      <w:color w:val="auto"/>
                      <w:sz w:val="18"/>
                      <w:szCs w:val="18"/>
                    </w:rPr>
                  </w:pPr>
                  <w:r>
                    <w:rPr>
                      <w:rFonts w:ascii="Times New Roman" w:hAnsi="Times New Roman" w:cs="Times New Roman"/>
                      <w:color w:val="auto"/>
                      <w:sz w:val="18"/>
                      <w:szCs w:val="18"/>
                    </w:rPr>
                    <w:t>VOCs物料储存无组织排放要求</w:t>
                  </w:r>
                </w:p>
              </w:tc>
              <w:tc>
                <w:tcPr>
                  <w:tcW w:w="2650" w:type="pct"/>
                  <w:vAlign w:val="center"/>
                </w:tcPr>
                <w:p>
                  <w:pPr>
                    <w:wordWrap w:val="0"/>
                    <w:adjustRightInd w:val="0"/>
                    <w:snapToGrid w:val="0"/>
                    <w:jc w:val="left"/>
                    <w:rPr>
                      <w:color w:val="auto"/>
                      <w:sz w:val="18"/>
                      <w:szCs w:val="18"/>
                      <w:lang w:bidi="ar"/>
                    </w:rPr>
                  </w:pPr>
                  <w:r>
                    <w:rPr>
                      <w:color w:val="auto"/>
                      <w:sz w:val="18"/>
                      <w:szCs w:val="18"/>
                      <w:lang w:bidi="ar"/>
                    </w:rPr>
                    <w:t>1、VOCs物料应储存于密闭的容器、包装袋、储罐、储库、料仓中。2、盛装VOCs物料的容器或包装袋应存放于室内，或存放于设置有雨棚、遮阳和防渗设施的专用场地。盛装VOCs物料的容器或包装袋在非取用状态时应加盖、封口，保持密闭。3、VOCs物料储罐应密封良好，其中挥发性有机液体储罐应符合相关规定。4、VOCs物料储库、料仓应满足对密闭空间的要求。</w:t>
                  </w:r>
                </w:p>
              </w:tc>
              <w:tc>
                <w:tcPr>
                  <w:tcW w:w="1469" w:type="pct"/>
                  <w:vAlign w:val="center"/>
                </w:tcPr>
                <w:p>
                  <w:pPr>
                    <w:wordWrap w:val="0"/>
                    <w:adjustRightInd w:val="0"/>
                    <w:snapToGrid w:val="0"/>
                    <w:jc w:val="left"/>
                    <w:rPr>
                      <w:color w:val="auto"/>
                      <w:sz w:val="18"/>
                      <w:szCs w:val="18"/>
                    </w:rPr>
                  </w:pPr>
                  <w:r>
                    <w:rPr>
                      <w:color w:val="auto"/>
                      <w:sz w:val="18"/>
                      <w:szCs w:val="18"/>
                    </w:rPr>
                    <w:t>项</w:t>
                  </w:r>
                  <w:r>
                    <w:rPr>
                      <w:rFonts w:hint="eastAsia"/>
                      <w:color w:val="auto"/>
                      <w:sz w:val="18"/>
                      <w:szCs w:val="18"/>
                      <w:lang w:val="en-US" w:eastAsia="zh-CN"/>
                    </w:rPr>
                    <w:t>目所用橡胶属于</w:t>
                  </w:r>
                  <w:r>
                    <w:rPr>
                      <w:color w:val="auto"/>
                      <w:sz w:val="18"/>
                      <w:szCs w:val="18"/>
                    </w:rPr>
                    <w:t>VOCs</w:t>
                  </w:r>
                  <w:r>
                    <w:rPr>
                      <w:rFonts w:hint="eastAsia"/>
                      <w:color w:val="auto"/>
                      <w:sz w:val="18"/>
                      <w:szCs w:val="18"/>
                      <w:lang w:val="en-US" w:eastAsia="zh-CN"/>
                    </w:rPr>
                    <w:t>物料，储存于室内密闭料仓内</w:t>
                  </w:r>
                  <w:r>
                    <w:rPr>
                      <w:rFonts w:hint="eastAsia"/>
                      <w:color w:val="auto"/>
                      <w:sz w:val="18"/>
                      <w:szCs w:val="18"/>
                    </w:rPr>
                    <w:t>。</w:t>
                  </w:r>
                </w:p>
              </w:tc>
              <w:tc>
                <w:tcPr>
                  <w:tcW w:w="401" w:type="pct"/>
                  <w:vAlign w:val="center"/>
                </w:tcPr>
                <w:p>
                  <w:pPr>
                    <w:wordWrap w:val="0"/>
                    <w:adjustRightInd w:val="0"/>
                    <w:snapToGrid w:val="0"/>
                    <w:jc w:val="left"/>
                    <w:rPr>
                      <w:color w:val="auto"/>
                      <w:sz w:val="18"/>
                      <w:szCs w:val="18"/>
                    </w:rPr>
                  </w:pPr>
                  <w:r>
                    <w:rPr>
                      <w:color w:val="auto"/>
                      <w:sz w:val="18"/>
                      <w:szCs w:val="18"/>
                    </w:rPr>
                    <w:t>相符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80" w:type="pct"/>
                  <w:vAlign w:val="center"/>
                </w:tcPr>
                <w:p>
                  <w:pPr>
                    <w:pStyle w:val="106"/>
                    <w:wordWrap w:val="0"/>
                    <w:snapToGrid w:val="0"/>
                    <w:rPr>
                      <w:rFonts w:ascii="Times New Roman" w:hAnsi="Times New Roman" w:cs="Times New Roman"/>
                      <w:color w:val="auto"/>
                      <w:sz w:val="18"/>
                      <w:szCs w:val="18"/>
                    </w:rPr>
                  </w:pPr>
                  <w:r>
                    <w:rPr>
                      <w:rFonts w:ascii="Times New Roman" w:hAnsi="Times New Roman" w:cs="Times New Roman"/>
                      <w:color w:val="auto"/>
                      <w:sz w:val="18"/>
                      <w:szCs w:val="18"/>
                    </w:rPr>
                    <w:t>VOCs物料转移</w:t>
                  </w:r>
                  <w:r>
                    <w:rPr>
                      <w:rFonts w:ascii="Times New Roman" w:hAnsi="Times New Roman" w:cs="Times New Roman"/>
                      <w:color w:val="auto"/>
                      <w:spacing w:val="-1"/>
                      <w:sz w:val="18"/>
                      <w:szCs w:val="18"/>
                    </w:rPr>
                    <w:t>和输送无组织排</w:t>
                  </w:r>
                  <w:r>
                    <w:rPr>
                      <w:rFonts w:ascii="Times New Roman" w:hAnsi="Times New Roman" w:cs="Times New Roman"/>
                      <w:color w:val="auto"/>
                      <w:sz w:val="18"/>
                      <w:szCs w:val="18"/>
                    </w:rPr>
                    <w:t>放控制要求</w:t>
                  </w:r>
                </w:p>
              </w:tc>
              <w:tc>
                <w:tcPr>
                  <w:tcW w:w="2650" w:type="pct"/>
                  <w:vAlign w:val="center"/>
                </w:tcPr>
                <w:p>
                  <w:pPr>
                    <w:wordWrap w:val="0"/>
                    <w:adjustRightInd w:val="0"/>
                    <w:snapToGrid w:val="0"/>
                    <w:jc w:val="left"/>
                    <w:rPr>
                      <w:color w:val="auto"/>
                      <w:sz w:val="18"/>
                      <w:szCs w:val="18"/>
                      <w:lang w:bidi="ar"/>
                    </w:rPr>
                  </w:pPr>
                  <w:r>
                    <w:rPr>
                      <w:color w:val="auto"/>
                      <w:sz w:val="18"/>
                      <w:szCs w:val="18"/>
                      <w:lang w:bidi="ar"/>
                    </w:rPr>
                    <w:t>1液态VOCs物料应采用密闭管道输送。采用非管道输送方式转移液态VOCs物料时，应采用密闭容器、罐车。2、粉状、粒状VOCs物料应釆用气力输送设备、管状带式输送机、螺旋输送机等密闭输送方式，或者采用密闭的包装袋、容器或罐车进行物料转移。</w:t>
                  </w:r>
                </w:p>
              </w:tc>
              <w:tc>
                <w:tcPr>
                  <w:tcW w:w="1469" w:type="pct"/>
                  <w:vAlign w:val="center"/>
                </w:tcPr>
                <w:p>
                  <w:pPr>
                    <w:wordWrap w:val="0"/>
                    <w:adjustRightInd w:val="0"/>
                    <w:snapToGrid w:val="0"/>
                    <w:jc w:val="left"/>
                    <w:rPr>
                      <w:color w:val="auto"/>
                      <w:sz w:val="18"/>
                      <w:szCs w:val="18"/>
                    </w:rPr>
                  </w:pPr>
                  <w:r>
                    <w:rPr>
                      <w:color w:val="auto"/>
                      <w:sz w:val="18"/>
                      <w:szCs w:val="18"/>
                    </w:rPr>
                    <w:t>项目</w:t>
                  </w:r>
                  <w:r>
                    <w:rPr>
                      <w:rFonts w:hint="eastAsia"/>
                      <w:color w:val="auto"/>
                      <w:sz w:val="18"/>
                      <w:szCs w:val="18"/>
                    </w:rPr>
                    <w:t>不使用含</w:t>
                  </w:r>
                  <w:r>
                    <w:rPr>
                      <w:color w:val="auto"/>
                      <w:sz w:val="18"/>
                      <w:szCs w:val="18"/>
                    </w:rPr>
                    <w:t>VOCs的</w:t>
                  </w:r>
                  <w:r>
                    <w:rPr>
                      <w:rFonts w:hint="eastAsia"/>
                      <w:color w:val="auto"/>
                      <w:sz w:val="18"/>
                      <w:szCs w:val="18"/>
                    </w:rPr>
                    <w:t>涂料、油墨、胶粘剂、清洗剂。橡胶</w:t>
                  </w:r>
                  <w:r>
                    <w:rPr>
                      <w:rFonts w:hint="eastAsia"/>
                      <w:color w:val="auto"/>
                      <w:sz w:val="18"/>
                      <w:szCs w:val="18"/>
                      <w:lang w:val="en-US" w:eastAsia="zh-CN"/>
                    </w:rPr>
                    <w:t>属于粒状VOCs物料，本项目采用螺旋输送机密闭输送</w:t>
                  </w:r>
                  <w:r>
                    <w:rPr>
                      <w:rFonts w:hint="eastAsia"/>
                      <w:color w:val="auto"/>
                      <w:sz w:val="18"/>
                      <w:szCs w:val="18"/>
                    </w:rPr>
                    <w:t>。</w:t>
                  </w:r>
                </w:p>
              </w:tc>
              <w:tc>
                <w:tcPr>
                  <w:tcW w:w="401" w:type="pct"/>
                  <w:vAlign w:val="center"/>
                </w:tcPr>
                <w:p>
                  <w:pPr>
                    <w:wordWrap w:val="0"/>
                    <w:adjustRightInd w:val="0"/>
                    <w:snapToGrid w:val="0"/>
                    <w:jc w:val="left"/>
                    <w:rPr>
                      <w:color w:val="auto"/>
                      <w:sz w:val="18"/>
                      <w:szCs w:val="18"/>
                    </w:rPr>
                  </w:pPr>
                  <w:r>
                    <w:rPr>
                      <w:color w:val="auto"/>
                      <w:sz w:val="18"/>
                      <w:szCs w:val="18"/>
                    </w:rPr>
                    <w:t>相符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80" w:type="pct"/>
                  <w:vAlign w:val="center"/>
                </w:tcPr>
                <w:p>
                  <w:pPr>
                    <w:pStyle w:val="106"/>
                    <w:wordWrap w:val="0"/>
                    <w:snapToGrid w:val="0"/>
                    <w:rPr>
                      <w:rFonts w:ascii="Times New Roman" w:hAnsi="Times New Roman" w:cs="Times New Roman"/>
                      <w:color w:val="auto"/>
                      <w:sz w:val="18"/>
                      <w:szCs w:val="18"/>
                    </w:rPr>
                  </w:pPr>
                  <w:r>
                    <w:rPr>
                      <w:rFonts w:ascii="Times New Roman" w:hAnsi="Times New Roman" w:cs="Times New Roman"/>
                      <w:color w:val="auto"/>
                      <w:sz w:val="18"/>
                      <w:szCs w:val="18"/>
                    </w:rPr>
                    <w:t>含VOCs产品的使用过程</w:t>
                  </w:r>
                </w:p>
              </w:tc>
              <w:tc>
                <w:tcPr>
                  <w:tcW w:w="2650" w:type="pct"/>
                  <w:vAlign w:val="center"/>
                </w:tcPr>
                <w:p>
                  <w:pPr>
                    <w:wordWrap w:val="0"/>
                    <w:adjustRightInd w:val="0"/>
                    <w:snapToGrid w:val="0"/>
                    <w:jc w:val="left"/>
                    <w:rPr>
                      <w:color w:val="auto"/>
                      <w:sz w:val="18"/>
                      <w:szCs w:val="18"/>
                      <w:lang w:bidi="ar"/>
                    </w:rPr>
                  </w:pPr>
                  <w:r>
                    <w:rPr>
                      <w:color w:val="auto"/>
                      <w:sz w:val="18"/>
                      <w:szCs w:val="18"/>
                      <w:lang w:bidi="ar"/>
                    </w:rPr>
                    <w:t>1、VOCs质量占比大于等于10%的含VOCs产品，其使用过程应采用密闭设备或在密闭空间内操作，废气应排至VOCs废气收集处理系统：无法密闭的，应采取局部气体收集措施，废气应排至VOCs废气收集处理系统。2、有机聚合物产品用于制品生产的过程，在混合混炼、塑炼塑化/熔化、加工成型（挤出、注射压制、压延、发泡、纺丝等）等作业中应采用密闭设备或在密闭空间内操作，废气应排至VOCs废气收集处理系统；无法密闭的，应采取局部气体收集措施，废气应排至VOCs废气收集处理系统。3、企业应建立台账，记录含VOCs原辅材料和含VOCs产品的名称、使用量、回收量、废弃量、去向以及VOCs含量等信息。台账保存期限不少于3年。</w:t>
                  </w:r>
                </w:p>
              </w:tc>
              <w:tc>
                <w:tcPr>
                  <w:tcW w:w="1469" w:type="pct"/>
                  <w:vAlign w:val="center"/>
                </w:tcPr>
                <w:p>
                  <w:pPr>
                    <w:pStyle w:val="106"/>
                    <w:wordWrap w:val="0"/>
                    <w:snapToGrid w:val="0"/>
                    <w:rPr>
                      <w:rFonts w:ascii="Times New Roman" w:hAnsi="Times New Roman" w:cs="Times New Roman"/>
                      <w:color w:val="auto"/>
                      <w:sz w:val="18"/>
                      <w:szCs w:val="18"/>
                    </w:rPr>
                  </w:pPr>
                  <w:r>
                    <w:rPr>
                      <w:rFonts w:ascii="Times New Roman" w:hAnsi="Times New Roman" w:cs="Times New Roman"/>
                      <w:color w:val="auto"/>
                      <w:sz w:val="18"/>
                      <w:szCs w:val="18"/>
                    </w:rPr>
                    <w:t>项目</w:t>
                  </w:r>
                  <w:r>
                    <w:rPr>
                      <w:rFonts w:hint="eastAsia" w:ascii="Times New Roman" w:hAnsi="Times New Roman" w:cs="Times New Roman"/>
                      <w:color w:val="auto"/>
                      <w:sz w:val="18"/>
                      <w:szCs w:val="18"/>
                    </w:rPr>
                    <w:t>不使用含</w:t>
                  </w:r>
                  <w:r>
                    <w:rPr>
                      <w:rFonts w:ascii="Times New Roman" w:hAnsi="Times New Roman" w:cs="Times New Roman"/>
                      <w:color w:val="auto"/>
                      <w:sz w:val="18"/>
                      <w:szCs w:val="18"/>
                    </w:rPr>
                    <w:t>VOCs的</w:t>
                  </w:r>
                  <w:r>
                    <w:rPr>
                      <w:rFonts w:hint="eastAsia" w:ascii="Times New Roman" w:hAnsi="Times New Roman" w:cs="Times New Roman"/>
                      <w:color w:val="auto"/>
                      <w:sz w:val="18"/>
                      <w:szCs w:val="18"/>
                    </w:rPr>
                    <w:t>涂料、油墨、胶粘剂、清洗剂。橡胶混炼、模压在密闭设备内操作，废气排至</w:t>
                  </w:r>
                  <w:r>
                    <w:rPr>
                      <w:rFonts w:hint="eastAsia" w:ascii="Times New Roman" w:hAnsi="Times New Roman" w:cs="Times New Roman"/>
                      <w:color w:val="auto"/>
                      <w:sz w:val="18"/>
                      <w:szCs w:val="18"/>
                      <w:lang w:val="en-US" w:eastAsia="zh-CN"/>
                    </w:rPr>
                    <w:t>两</w:t>
                  </w:r>
                  <w:r>
                    <w:rPr>
                      <w:rFonts w:hint="eastAsia" w:ascii="Times New Roman" w:hAnsi="Times New Roman" w:cs="Times New Roman"/>
                      <w:color w:val="auto"/>
                      <w:sz w:val="18"/>
                      <w:szCs w:val="18"/>
                    </w:rPr>
                    <w:t>级活性炭吸附装置处理。企业建立台账管理制度，</w:t>
                  </w:r>
                  <w:r>
                    <w:rPr>
                      <w:rFonts w:ascii="Times New Roman" w:hAnsi="Times New Roman" w:cs="Times New Roman"/>
                      <w:color w:val="auto"/>
                      <w:sz w:val="18"/>
                      <w:szCs w:val="18"/>
                    </w:rPr>
                    <w:t>台账保存期限不少于3年。</w:t>
                  </w:r>
                </w:p>
              </w:tc>
              <w:tc>
                <w:tcPr>
                  <w:tcW w:w="401" w:type="pct"/>
                  <w:vAlign w:val="center"/>
                </w:tcPr>
                <w:p>
                  <w:pPr>
                    <w:pStyle w:val="106"/>
                    <w:wordWrap w:val="0"/>
                    <w:snapToGrid w:val="0"/>
                    <w:rPr>
                      <w:rFonts w:ascii="Times New Roman" w:hAnsi="Times New Roman" w:cs="Times New Roman"/>
                      <w:color w:val="auto"/>
                      <w:sz w:val="18"/>
                      <w:szCs w:val="18"/>
                    </w:rPr>
                  </w:pPr>
                  <w:r>
                    <w:rPr>
                      <w:rFonts w:ascii="Times New Roman" w:hAnsi="Times New Roman" w:cs="Times New Roman"/>
                      <w:color w:val="auto"/>
                      <w:sz w:val="18"/>
                      <w:szCs w:val="18"/>
                    </w:rPr>
                    <w:t>相符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80" w:type="pct"/>
                  <w:vAlign w:val="center"/>
                </w:tcPr>
                <w:p>
                  <w:pPr>
                    <w:wordWrap w:val="0"/>
                    <w:adjustRightInd w:val="0"/>
                    <w:snapToGrid w:val="0"/>
                    <w:jc w:val="left"/>
                    <w:rPr>
                      <w:color w:val="auto"/>
                      <w:sz w:val="18"/>
                      <w:szCs w:val="18"/>
                      <w:lang w:bidi="ar"/>
                    </w:rPr>
                  </w:pPr>
                  <w:r>
                    <w:rPr>
                      <w:color w:val="auto"/>
                      <w:sz w:val="18"/>
                      <w:szCs w:val="18"/>
                    </w:rPr>
                    <w:t>VOCs无组织排</w:t>
                  </w:r>
                  <w:r>
                    <w:rPr>
                      <w:color w:val="auto"/>
                      <w:spacing w:val="-1"/>
                      <w:sz w:val="18"/>
                      <w:szCs w:val="18"/>
                    </w:rPr>
                    <w:t>放废气收集处理</w:t>
                  </w:r>
                  <w:r>
                    <w:rPr>
                      <w:color w:val="auto"/>
                      <w:sz w:val="18"/>
                      <w:szCs w:val="18"/>
                    </w:rPr>
                    <w:t>系统要求</w:t>
                  </w:r>
                </w:p>
              </w:tc>
              <w:tc>
                <w:tcPr>
                  <w:tcW w:w="2650" w:type="pct"/>
                  <w:vAlign w:val="center"/>
                </w:tcPr>
                <w:p>
                  <w:pPr>
                    <w:wordWrap w:val="0"/>
                    <w:adjustRightInd w:val="0"/>
                    <w:snapToGrid w:val="0"/>
                    <w:jc w:val="left"/>
                    <w:rPr>
                      <w:color w:val="auto"/>
                      <w:sz w:val="18"/>
                      <w:szCs w:val="18"/>
                      <w:lang w:bidi="ar"/>
                    </w:rPr>
                  </w:pPr>
                  <w:r>
                    <w:rPr>
                      <w:color w:val="auto"/>
                      <w:sz w:val="18"/>
                      <w:szCs w:val="18"/>
                      <w:lang w:bidi="ar"/>
                    </w:rPr>
                    <w:t>1、VOCs废气收集处理系统应与生产工艺设备同步运行。VOCs废气收集处理系统发生故障或检修时，对应的生产工艺设备应停止运行，待检修完毕后同步投入使用：生产工艺设备不能停止运行或不能及时停止运行的，应设置废气应急处理设施或采取其他替代措施。2、废气收集系统要求：企业应考虑生产工艺、操作方式、废气性质、处理方法等因素，对VOCs废气进行分类收集。废气收集系统排风罩（集气罩）的设置应符合GBT16758的规定。采用外部风罩的，应按GBT16758、AQT42742016规定的方法测量控制风速，测量点应选取在距排风罩开口面最远处的VOCs无组织排放位置，控制风速不应低于0.3m/s（行业相关规范有具体规定的，按相关规定执行）。废气收集系统的输送管道应密闭。</w:t>
                  </w:r>
                </w:p>
              </w:tc>
              <w:tc>
                <w:tcPr>
                  <w:tcW w:w="1469" w:type="pct"/>
                  <w:vAlign w:val="center"/>
                </w:tcPr>
                <w:p>
                  <w:pPr>
                    <w:wordWrap w:val="0"/>
                    <w:adjustRightInd w:val="0"/>
                    <w:snapToGrid w:val="0"/>
                    <w:jc w:val="left"/>
                    <w:rPr>
                      <w:color w:val="auto"/>
                      <w:sz w:val="18"/>
                      <w:szCs w:val="18"/>
                      <w:lang w:bidi="ar"/>
                    </w:rPr>
                  </w:pPr>
                  <w:r>
                    <w:rPr>
                      <w:color w:val="auto"/>
                      <w:sz w:val="18"/>
                      <w:szCs w:val="18"/>
                      <w:lang w:bidi="ar"/>
                    </w:rPr>
                    <w:t>企业严格按照环保要求，VOCs废气收集处理系统与生产工艺设备同步运行；项目</w:t>
                  </w:r>
                  <w:r>
                    <w:rPr>
                      <w:rFonts w:hint="eastAsia"/>
                      <w:color w:val="auto"/>
                      <w:sz w:val="18"/>
                      <w:szCs w:val="18"/>
                      <w:lang w:bidi="ar"/>
                    </w:rPr>
                    <w:t>混炼、模压等</w:t>
                  </w:r>
                  <w:r>
                    <w:rPr>
                      <w:color w:val="auto"/>
                      <w:sz w:val="18"/>
                      <w:szCs w:val="18"/>
                      <w:lang w:bidi="ar"/>
                    </w:rPr>
                    <w:t>废气经收集，控制风速0.5m/s，废气收集系统的输送管道密闭，收集的VOCs经“两级活性炭吸附装置”处理后高空排放。</w:t>
                  </w:r>
                </w:p>
              </w:tc>
              <w:tc>
                <w:tcPr>
                  <w:tcW w:w="401" w:type="pct"/>
                  <w:vAlign w:val="center"/>
                </w:tcPr>
                <w:p>
                  <w:pPr>
                    <w:wordWrap w:val="0"/>
                    <w:adjustRightInd w:val="0"/>
                    <w:snapToGrid w:val="0"/>
                    <w:jc w:val="left"/>
                    <w:rPr>
                      <w:color w:val="auto"/>
                      <w:sz w:val="18"/>
                      <w:szCs w:val="18"/>
                      <w:lang w:bidi="ar"/>
                    </w:rPr>
                  </w:pPr>
                  <w:r>
                    <w:rPr>
                      <w:color w:val="auto"/>
                      <w:sz w:val="18"/>
                      <w:szCs w:val="18"/>
                    </w:rPr>
                    <w:t>相符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80" w:type="pct"/>
                  <w:vAlign w:val="center"/>
                </w:tcPr>
                <w:p>
                  <w:pPr>
                    <w:wordWrap w:val="0"/>
                    <w:adjustRightInd w:val="0"/>
                    <w:snapToGrid w:val="0"/>
                    <w:jc w:val="left"/>
                    <w:rPr>
                      <w:color w:val="auto"/>
                      <w:sz w:val="18"/>
                      <w:szCs w:val="18"/>
                      <w:lang w:bidi="ar"/>
                    </w:rPr>
                  </w:pPr>
                  <w:r>
                    <w:rPr>
                      <w:color w:val="auto"/>
                      <w:sz w:val="18"/>
                      <w:szCs w:val="18"/>
                    </w:rPr>
                    <w:t>记录要求</w:t>
                  </w:r>
                </w:p>
              </w:tc>
              <w:tc>
                <w:tcPr>
                  <w:tcW w:w="2650" w:type="pct"/>
                  <w:vAlign w:val="center"/>
                </w:tcPr>
                <w:p>
                  <w:pPr>
                    <w:wordWrap w:val="0"/>
                    <w:adjustRightInd w:val="0"/>
                    <w:snapToGrid w:val="0"/>
                    <w:jc w:val="left"/>
                    <w:rPr>
                      <w:color w:val="auto"/>
                      <w:sz w:val="18"/>
                      <w:szCs w:val="18"/>
                      <w:lang w:bidi="ar"/>
                    </w:rPr>
                  </w:pPr>
                  <w:r>
                    <w:rPr>
                      <w:color w:val="auto"/>
                      <w:sz w:val="18"/>
                      <w:szCs w:val="18"/>
                      <w:lang w:bidi="ar"/>
                    </w:rPr>
                    <w:t>企业应建立台账，记录废气收集系统、VOCs处理设施的主要运行和维护信息，如运行时间、废气处理量、操作温度、停留时间、吸附剂再生/更换周期和更换量、催化剂更换周期和更换量、吸收液pH值等关键运行参数。台账保存期限不少于3年。</w:t>
                  </w:r>
                </w:p>
              </w:tc>
              <w:tc>
                <w:tcPr>
                  <w:tcW w:w="1469" w:type="pct"/>
                  <w:vAlign w:val="center"/>
                </w:tcPr>
                <w:p>
                  <w:pPr>
                    <w:wordWrap w:val="0"/>
                    <w:adjustRightInd w:val="0"/>
                    <w:snapToGrid w:val="0"/>
                    <w:jc w:val="left"/>
                    <w:rPr>
                      <w:color w:val="auto"/>
                      <w:sz w:val="18"/>
                      <w:szCs w:val="18"/>
                      <w:lang w:bidi="ar"/>
                    </w:rPr>
                  </w:pPr>
                  <w:r>
                    <w:rPr>
                      <w:color w:val="auto"/>
                      <w:sz w:val="18"/>
                      <w:szCs w:val="18"/>
                      <w:lang w:bidi="ar"/>
                    </w:rPr>
                    <w:t>企业建成投产后需按照（GB37822-2019）要求建立涉VOCs的台账，记录废气收集系统、VOCs处理设施的主要运行和维护信息，如运行时间、废气处理量、操作温度、停留时间、活性炭更换周期和更换量等关键运行参数。台账保存期限不少于3年。</w:t>
                  </w:r>
                </w:p>
              </w:tc>
              <w:tc>
                <w:tcPr>
                  <w:tcW w:w="401" w:type="pct"/>
                  <w:vAlign w:val="center"/>
                </w:tcPr>
                <w:p>
                  <w:pPr>
                    <w:wordWrap w:val="0"/>
                    <w:adjustRightInd w:val="0"/>
                    <w:snapToGrid w:val="0"/>
                    <w:jc w:val="left"/>
                    <w:rPr>
                      <w:color w:val="auto"/>
                      <w:sz w:val="18"/>
                      <w:szCs w:val="18"/>
                      <w:lang w:bidi="ar"/>
                    </w:rPr>
                  </w:pPr>
                  <w:r>
                    <w:rPr>
                      <w:color w:val="auto"/>
                      <w:sz w:val="18"/>
                      <w:szCs w:val="18"/>
                    </w:rPr>
                    <w:t>相符</w:t>
                  </w:r>
                </w:p>
              </w:tc>
            </w:tr>
          </w:tbl>
          <w:p>
            <w:pPr>
              <w:pStyle w:val="246"/>
              <w:adjustRightInd w:val="0"/>
              <w:snapToGrid w:val="0"/>
              <w:spacing w:before="120" w:beforeLines="50" w:line="360" w:lineRule="auto"/>
              <w:jc w:val="left"/>
              <w:rPr>
                <w:b/>
                <w:color w:val="auto"/>
                <w:sz w:val="21"/>
                <w:szCs w:val="21"/>
              </w:rPr>
            </w:pPr>
            <w:r>
              <w:rPr>
                <w:b/>
                <w:color w:val="auto"/>
                <w:sz w:val="21"/>
                <w:szCs w:val="21"/>
              </w:rPr>
              <w:t>（</w:t>
            </w:r>
            <w:r>
              <w:rPr>
                <w:rFonts w:hint="eastAsia"/>
                <w:b/>
                <w:color w:val="auto"/>
                <w:sz w:val="21"/>
                <w:szCs w:val="21"/>
              </w:rPr>
              <w:t>6</w:t>
            </w:r>
            <w:r>
              <w:rPr>
                <w:b/>
                <w:color w:val="auto"/>
                <w:sz w:val="21"/>
                <w:szCs w:val="21"/>
              </w:rPr>
              <w:t>）与《广东省大气污染防治条例》的相符性分析</w:t>
            </w:r>
          </w:p>
          <w:p>
            <w:pPr>
              <w:spacing w:line="360" w:lineRule="auto"/>
              <w:ind w:firstLine="420" w:firstLineChars="200"/>
              <w:rPr>
                <w:color w:val="auto"/>
              </w:rPr>
            </w:pPr>
            <w:r>
              <w:rPr>
                <w:color w:val="auto"/>
              </w:rPr>
              <w:t>以下内容引用自《广东省大气污染防治条例》：</w:t>
            </w:r>
          </w:p>
          <w:p>
            <w:pPr>
              <w:spacing w:line="360" w:lineRule="auto"/>
              <w:ind w:firstLine="420" w:firstLineChars="200"/>
              <w:rPr>
                <w:color w:val="auto"/>
              </w:rPr>
            </w:pPr>
            <w:r>
              <w:rPr>
                <w:color w:val="auto"/>
              </w:rPr>
              <w:t>第二十条 地级以上市人民政府应当组织编制区域供热规划，建设和完善供热系统，对具备条件的工业园区、产业园区、开发区的用热单位实行集中供热，并逐步扩大供热管网覆盖范围。</w:t>
            </w:r>
          </w:p>
          <w:p>
            <w:pPr>
              <w:spacing w:line="360" w:lineRule="auto"/>
              <w:ind w:firstLine="420" w:firstLineChars="200"/>
              <w:rPr>
                <w:color w:val="auto"/>
              </w:rPr>
            </w:pPr>
            <w:r>
              <w:rPr>
                <w:color w:val="auto"/>
              </w:rPr>
              <w:t>在集中供热管网覆盖范围内，禁止新建、扩建燃用煤炭、重油、渣油、生物质等分散供热锅炉；已建成的不能达标排放的供热锅炉应当在县级以上人民政府规定的期限内拆除。</w:t>
            </w:r>
          </w:p>
          <w:p>
            <w:pPr>
              <w:spacing w:line="360" w:lineRule="auto"/>
              <w:ind w:firstLine="420" w:firstLineChars="200"/>
              <w:rPr>
                <w:color w:val="auto"/>
              </w:rPr>
            </w:pPr>
            <w:r>
              <w:rPr>
                <w:color w:val="auto"/>
              </w:rPr>
              <w:t>第二十六条 新建、改建、扩建排放挥发性有机物的建设项目，应当使用污染防治先进可行技术。</w:t>
            </w:r>
          </w:p>
          <w:p>
            <w:pPr>
              <w:spacing w:line="360" w:lineRule="auto"/>
              <w:ind w:firstLine="420" w:firstLineChars="200"/>
            </w:pPr>
            <w:r>
              <w:t>第二十七条 工业涂装企业应当使用低挥发性有机物含量的涂料，并建立台账，如实记录生产原料、辅料的使用量、废弃量、去向以及挥发性有机物含量并向县级以上人民政府生态环境主管部门申报。台账保存期限不少于三年。</w:t>
            </w:r>
          </w:p>
          <w:p>
            <w:pPr>
              <w:spacing w:line="360" w:lineRule="auto"/>
              <w:ind w:firstLine="422" w:firstLineChars="200"/>
            </w:pPr>
            <w:r>
              <w:rPr>
                <w:b/>
                <w:bCs/>
              </w:rPr>
              <w:t>相符性分析：</w:t>
            </w:r>
            <w:r>
              <w:t>本项目采用电能，生产过程中</w:t>
            </w:r>
            <w:r>
              <w:rPr>
                <w:rFonts w:hint="eastAsia"/>
              </w:rPr>
              <w:t>不</w:t>
            </w:r>
            <w:r>
              <w:t>使用挥发性有机物原辅材料，</w:t>
            </w:r>
            <w:r>
              <w:rPr>
                <w:rFonts w:hint="eastAsia"/>
              </w:rPr>
              <w:t>粉尘废气收集后经脉冲式布袋除尘器处理后经15米高排气筒（DA001）排放，有机废气收集后经两级活性炭吸附装置处理后经2根15米高排气筒（DA002、DA003）排放</w:t>
            </w:r>
            <w:r>
              <w:t>，企业建成投产后将如实记录台账，因此本项目与《广东省大气污染防治条例》相符。</w:t>
            </w:r>
          </w:p>
        </w:tc>
      </w:tr>
    </w:tbl>
    <w:p>
      <w:pPr>
        <w:rPr>
          <w:color w:val="000000" w:themeColor="text1"/>
          <w14:textFill>
            <w14:solidFill>
              <w14:schemeClr w14:val="tx1"/>
            </w14:solidFill>
          </w14:textFill>
        </w:rPr>
      </w:pPr>
    </w:p>
    <w:p>
      <w:pPr>
        <w:spacing w:before="240" w:beforeLines="100" w:after="240" w:afterLines="100"/>
        <w:jc w:val="center"/>
        <w:outlineLvl w:val="0"/>
        <w:rPr>
          <w:snapToGrid w:val="0"/>
          <w:color w:val="000000" w:themeColor="text1"/>
          <w:sz w:val="28"/>
          <w:szCs w:val="28"/>
          <w14:textFill>
            <w14:solidFill>
              <w14:schemeClr w14:val="tx1"/>
            </w14:solidFill>
          </w14:textFill>
        </w:rPr>
      </w:pPr>
      <w:r>
        <w:rPr>
          <w:rFonts w:hint="eastAsia"/>
          <w:snapToGrid w:val="0"/>
          <w:color w:val="000000" w:themeColor="text1"/>
          <w:sz w:val="30"/>
          <w:szCs w:val="30"/>
          <w14:textFill>
            <w14:solidFill>
              <w14:schemeClr w14:val="tx1"/>
            </w14:solidFill>
          </w14:textFill>
        </w:rPr>
        <w:br w:type="page"/>
      </w:r>
      <w:r>
        <w:rPr>
          <w:rFonts w:hint="eastAsia"/>
          <w:snapToGrid w:val="0"/>
          <w:color w:val="000000" w:themeColor="text1"/>
          <w:sz w:val="30"/>
          <w:szCs w:val="30"/>
          <w14:textFill>
            <w14:solidFill>
              <w14:schemeClr w14:val="tx1"/>
            </w14:solidFill>
          </w14:textFill>
        </w:rPr>
        <w:t>二、建设项目工程分析</w:t>
      </w:r>
    </w:p>
    <w:tbl>
      <w:tblPr>
        <w:tblStyle w:val="92"/>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457"/>
        <w:gridCol w:w="950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15" w:hRule="atLeast"/>
          <w:jc w:val="center"/>
        </w:trPr>
        <w:tc>
          <w:tcPr>
            <w:tcW w:w="233" w:type="pct"/>
            <w:vAlign w:val="center"/>
          </w:tcPr>
          <w:p>
            <w:pPr>
              <w:pStyle w:val="85"/>
              <w:adjustRightInd w:val="0"/>
              <w:snapToGrid w:val="0"/>
              <w:spacing w:before="0" w:beforeAutospacing="0" w:after="0" w:afterAutospacing="0"/>
              <w:jc w:val="center"/>
              <w:rPr>
                <w:rFonts w:ascii="Times New Roman" w:hAnsi="Times New Roman"/>
                <w:color w:val="auto"/>
                <w:sz w:val="21"/>
                <w:szCs w:val="21"/>
              </w:rPr>
            </w:pPr>
            <w:r>
              <w:rPr>
                <w:rFonts w:ascii="Times New Roman" w:hAnsi="Times New Roman"/>
                <w:color w:val="auto"/>
                <w:sz w:val="21"/>
                <w:szCs w:val="21"/>
              </w:rPr>
              <w:t>建设内容</w:t>
            </w:r>
          </w:p>
        </w:tc>
        <w:tc>
          <w:tcPr>
            <w:tcW w:w="4766" w:type="pct"/>
          </w:tcPr>
          <w:p>
            <w:pPr>
              <w:adjustRightInd w:val="0"/>
              <w:snapToGrid w:val="0"/>
              <w:spacing w:line="360" w:lineRule="auto"/>
              <w:ind w:firstLine="422" w:firstLineChars="200"/>
              <w:rPr>
                <w:b/>
                <w:color w:val="auto"/>
                <w:lang w:bidi="ar"/>
              </w:rPr>
            </w:pPr>
            <w:r>
              <w:rPr>
                <w:b/>
                <w:color w:val="auto"/>
                <w:lang w:bidi="ar"/>
              </w:rPr>
              <w:t>1、项目建设规模</w:t>
            </w:r>
          </w:p>
          <w:p>
            <w:pPr>
              <w:widowControl/>
              <w:snapToGrid w:val="0"/>
              <w:spacing w:line="360" w:lineRule="auto"/>
              <w:ind w:firstLine="420" w:firstLineChars="200"/>
              <w:rPr>
                <w:color w:val="auto"/>
              </w:rPr>
            </w:pPr>
            <w:r>
              <w:rPr>
                <w:rFonts w:hint="eastAsia"/>
                <w:color w:val="auto"/>
              </w:rPr>
              <w:t>中茂新材料（惠州）有限公司</w:t>
            </w:r>
            <w:r>
              <w:rPr>
                <w:color w:val="auto"/>
              </w:rPr>
              <w:t>建设项目位于惠州市博罗县</w:t>
            </w:r>
            <w:r>
              <w:rPr>
                <w:rFonts w:hint="eastAsia"/>
                <w:color w:val="auto"/>
              </w:rPr>
              <w:t>杨侨镇大坑办事处桔子路武高段（土名）</w:t>
            </w:r>
            <w:r>
              <w:rPr>
                <w:color w:val="auto"/>
              </w:rPr>
              <w:t>，其地理位置中心经纬度为东经11</w:t>
            </w:r>
            <w:r>
              <w:rPr>
                <w:rFonts w:hint="eastAsia"/>
                <w:color w:val="auto"/>
              </w:rPr>
              <w:t>4</w:t>
            </w:r>
            <w:r>
              <w:rPr>
                <w:color w:val="auto"/>
              </w:rPr>
              <w:t>度</w:t>
            </w:r>
            <w:r>
              <w:rPr>
                <w:rFonts w:hint="eastAsia"/>
                <w:color w:val="auto"/>
              </w:rPr>
              <w:t>29</w:t>
            </w:r>
            <w:r>
              <w:rPr>
                <w:color w:val="auto"/>
              </w:rPr>
              <w:t>分</w:t>
            </w:r>
            <w:r>
              <w:rPr>
                <w:rFonts w:hint="eastAsia"/>
                <w:color w:val="auto"/>
              </w:rPr>
              <w:t>17.916</w:t>
            </w:r>
            <w:r>
              <w:rPr>
                <w:color w:val="auto"/>
              </w:rPr>
              <w:t>秒，北纬23度</w:t>
            </w:r>
            <w:r>
              <w:rPr>
                <w:rFonts w:hint="eastAsia"/>
                <w:color w:val="auto"/>
              </w:rPr>
              <w:t>26</w:t>
            </w:r>
            <w:r>
              <w:rPr>
                <w:color w:val="auto"/>
              </w:rPr>
              <w:t>分</w:t>
            </w:r>
            <w:r>
              <w:rPr>
                <w:rFonts w:hint="eastAsia"/>
                <w:color w:val="auto"/>
              </w:rPr>
              <w:t>29.508</w:t>
            </w:r>
            <w:r>
              <w:rPr>
                <w:color w:val="auto"/>
              </w:rPr>
              <w:t>秒</w:t>
            </w:r>
            <w:r>
              <w:rPr>
                <w:color w:val="auto"/>
                <w:kern w:val="18"/>
              </w:rPr>
              <w:t>（具体地理位置见附图1）</w:t>
            </w:r>
            <w:r>
              <w:rPr>
                <w:color w:val="auto"/>
              </w:rPr>
              <w:t>。项目总占地</w:t>
            </w:r>
            <w:r>
              <w:rPr>
                <w:rFonts w:hint="eastAsia"/>
                <w:color w:val="auto"/>
              </w:rPr>
              <w:t>面积20000</w:t>
            </w:r>
            <w:r>
              <w:rPr>
                <w:color w:val="auto"/>
              </w:rPr>
              <w:t>m</w:t>
            </w:r>
            <w:r>
              <w:rPr>
                <w:color w:val="auto"/>
                <w:vertAlign w:val="superscript"/>
              </w:rPr>
              <w:t>2</w:t>
            </w:r>
            <w:r>
              <w:rPr>
                <w:color w:val="auto"/>
              </w:rPr>
              <w:t>，建筑面积</w:t>
            </w:r>
            <w:r>
              <w:rPr>
                <w:rFonts w:hint="eastAsia"/>
                <w:color w:val="auto"/>
              </w:rPr>
              <w:t>4</w:t>
            </w:r>
            <w:r>
              <w:rPr>
                <w:rFonts w:hint="eastAsia"/>
                <w:color w:val="auto"/>
                <w:lang w:val="en-US" w:eastAsia="zh-CN"/>
              </w:rPr>
              <w:t>1833.29</w:t>
            </w:r>
            <w:r>
              <w:rPr>
                <w:color w:val="auto"/>
              </w:rPr>
              <w:t>m</w:t>
            </w:r>
            <w:r>
              <w:rPr>
                <w:color w:val="auto"/>
                <w:vertAlign w:val="superscript"/>
              </w:rPr>
              <w:t>2</w:t>
            </w:r>
            <w:r>
              <w:rPr>
                <w:color w:val="auto"/>
              </w:rPr>
              <w:t>，项目</w:t>
            </w:r>
            <w:r>
              <w:rPr>
                <w:rFonts w:hint="eastAsia"/>
                <w:color w:val="auto"/>
              </w:rPr>
              <w:t>主要技术经济指标、</w:t>
            </w:r>
            <w:r>
              <w:rPr>
                <w:color w:val="auto"/>
              </w:rPr>
              <w:t>主要工程组成见下表。</w:t>
            </w:r>
          </w:p>
          <w:p>
            <w:pPr>
              <w:widowControl/>
              <w:adjustRightInd w:val="0"/>
              <w:snapToGrid w:val="0"/>
              <w:spacing w:line="360" w:lineRule="auto"/>
              <w:jc w:val="center"/>
              <w:rPr>
                <w:b/>
                <w:bCs/>
                <w:color w:val="auto"/>
              </w:rPr>
            </w:pPr>
            <w:r>
              <w:rPr>
                <w:rFonts w:hint="eastAsia"/>
                <w:b/>
                <w:bCs/>
                <w:color w:val="auto"/>
              </w:rPr>
              <w:t>表2-1 主要技术经济指标</w:t>
            </w:r>
          </w:p>
          <w:tbl>
            <w:tblPr>
              <w:tblStyle w:val="93"/>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784"/>
              <w:gridCol w:w="876"/>
              <w:gridCol w:w="26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117" w:type="pct"/>
                  <w:vAlign w:val="center"/>
                </w:tcPr>
                <w:p>
                  <w:pPr>
                    <w:pStyle w:val="108"/>
                    <w:ind w:firstLine="0" w:firstLineChars="0"/>
                    <w:jc w:val="center"/>
                    <w:rPr>
                      <w:b/>
                      <w:bCs/>
                      <w:color w:val="auto"/>
                      <w:lang w:eastAsia="zh-CN"/>
                    </w:rPr>
                  </w:pPr>
                  <w:r>
                    <w:rPr>
                      <w:rFonts w:hint="eastAsia"/>
                      <w:b/>
                      <w:bCs/>
                      <w:color w:val="auto"/>
                      <w:lang w:eastAsia="zh-CN"/>
                    </w:rPr>
                    <w:t>主要技术经济指标</w:t>
                  </w:r>
                </w:p>
              </w:tc>
              <w:tc>
                <w:tcPr>
                  <w:tcW w:w="472" w:type="pct"/>
                  <w:vAlign w:val="center"/>
                </w:tcPr>
                <w:p>
                  <w:pPr>
                    <w:pStyle w:val="108"/>
                    <w:ind w:firstLine="0" w:firstLineChars="0"/>
                    <w:jc w:val="center"/>
                    <w:rPr>
                      <w:b/>
                      <w:bCs/>
                      <w:color w:val="auto"/>
                      <w:lang w:eastAsia="zh-CN"/>
                    </w:rPr>
                  </w:pPr>
                  <w:r>
                    <w:rPr>
                      <w:rFonts w:hint="eastAsia"/>
                      <w:b/>
                      <w:bCs/>
                      <w:color w:val="auto"/>
                      <w:lang w:eastAsia="zh-CN"/>
                    </w:rPr>
                    <w:t>单位</w:t>
                  </w:r>
                </w:p>
              </w:tc>
              <w:tc>
                <w:tcPr>
                  <w:tcW w:w="1410" w:type="pct"/>
                  <w:vAlign w:val="center"/>
                </w:tcPr>
                <w:p>
                  <w:pPr>
                    <w:pStyle w:val="108"/>
                    <w:ind w:firstLine="0" w:firstLineChars="0"/>
                    <w:jc w:val="center"/>
                    <w:rPr>
                      <w:b/>
                      <w:bCs/>
                      <w:color w:val="auto"/>
                      <w:lang w:eastAsia="zh-CN"/>
                    </w:rPr>
                  </w:pPr>
                  <w:r>
                    <w:rPr>
                      <w:rFonts w:hint="eastAsia"/>
                      <w:b/>
                      <w:bCs/>
                      <w:color w:val="auto"/>
                      <w:lang w:eastAsia="zh-CN"/>
                    </w:rPr>
                    <w:t>指标值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117" w:type="pct"/>
                  <w:vAlign w:val="center"/>
                </w:tcPr>
                <w:p>
                  <w:pPr>
                    <w:pStyle w:val="108"/>
                    <w:ind w:firstLine="0" w:firstLineChars="0"/>
                    <w:jc w:val="center"/>
                    <w:rPr>
                      <w:color w:val="auto"/>
                      <w:lang w:eastAsia="zh-CN"/>
                    </w:rPr>
                  </w:pPr>
                  <w:r>
                    <w:rPr>
                      <w:rFonts w:hint="eastAsia"/>
                      <w:color w:val="auto"/>
                      <w:lang w:eastAsia="zh-CN"/>
                    </w:rPr>
                    <w:t>规划总用地面积</w:t>
                  </w:r>
                </w:p>
              </w:tc>
              <w:tc>
                <w:tcPr>
                  <w:tcW w:w="472" w:type="pct"/>
                  <w:vAlign w:val="center"/>
                </w:tcPr>
                <w:p>
                  <w:pPr>
                    <w:pStyle w:val="108"/>
                    <w:ind w:firstLine="0" w:firstLineChars="0"/>
                    <w:jc w:val="center"/>
                    <w:rPr>
                      <w:color w:val="auto"/>
                      <w:lang w:eastAsia="zh-CN"/>
                    </w:rPr>
                  </w:pPr>
                  <w:r>
                    <w:rPr>
                      <w:rFonts w:hint="eastAsia"/>
                      <w:color w:val="auto"/>
                      <w:lang w:eastAsia="zh-CN"/>
                    </w:rPr>
                    <w:t>m</w:t>
                  </w:r>
                  <w:r>
                    <w:rPr>
                      <w:rFonts w:hint="eastAsia"/>
                      <w:color w:val="auto"/>
                      <w:vertAlign w:val="superscript"/>
                      <w:lang w:eastAsia="zh-CN"/>
                    </w:rPr>
                    <w:t>2</w:t>
                  </w:r>
                </w:p>
              </w:tc>
              <w:tc>
                <w:tcPr>
                  <w:tcW w:w="1410" w:type="pct"/>
                  <w:vAlign w:val="center"/>
                </w:tcPr>
                <w:p>
                  <w:pPr>
                    <w:pStyle w:val="108"/>
                    <w:ind w:firstLine="0" w:firstLineChars="0"/>
                    <w:jc w:val="center"/>
                    <w:rPr>
                      <w:color w:val="auto"/>
                      <w:lang w:eastAsia="zh-CN"/>
                    </w:rPr>
                  </w:pPr>
                  <w:r>
                    <w:rPr>
                      <w:rFonts w:hint="eastAsia"/>
                      <w:color w:val="auto"/>
                      <w:lang w:eastAsia="zh-CN"/>
                    </w:rPr>
                    <w:t>20000.00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117" w:type="pct"/>
                  <w:vAlign w:val="center"/>
                </w:tcPr>
                <w:p>
                  <w:pPr>
                    <w:pStyle w:val="108"/>
                    <w:ind w:firstLine="0" w:firstLineChars="0"/>
                    <w:jc w:val="center"/>
                    <w:rPr>
                      <w:color w:val="auto"/>
                      <w:lang w:eastAsia="zh-CN"/>
                    </w:rPr>
                  </w:pPr>
                  <w:r>
                    <w:rPr>
                      <w:rFonts w:hint="eastAsia"/>
                      <w:color w:val="auto"/>
                      <w:lang w:eastAsia="zh-CN"/>
                    </w:rPr>
                    <w:t>计算指标用地</w:t>
                  </w:r>
                </w:p>
              </w:tc>
              <w:tc>
                <w:tcPr>
                  <w:tcW w:w="472" w:type="pct"/>
                  <w:vAlign w:val="center"/>
                </w:tcPr>
                <w:p>
                  <w:pPr>
                    <w:jc w:val="center"/>
                    <w:rPr>
                      <w:color w:val="auto"/>
                    </w:rPr>
                  </w:pPr>
                  <w:r>
                    <w:rPr>
                      <w:rFonts w:hint="eastAsia"/>
                      <w:color w:val="auto"/>
                    </w:rPr>
                    <w:t>m</w:t>
                  </w:r>
                  <w:r>
                    <w:rPr>
                      <w:rFonts w:hint="eastAsia"/>
                      <w:color w:val="auto"/>
                      <w:vertAlign w:val="superscript"/>
                    </w:rPr>
                    <w:t>2</w:t>
                  </w:r>
                </w:p>
              </w:tc>
              <w:tc>
                <w:tcPr>
                  <w:tcW w:w="1410" w:type="pct"/>
                  <w:vAlign w:val="center"/>
                </w:tcPr>
                <w:p>
                  <w:pPr>
                    <w:pStyle w:val="108"/>
                    <w:ind w:firstLine="0" w:firstLineChars="0"/>
                    <w:jc w:val="center"/>
                    <w:rPr>
                      <w:color w:val="auto"/>
                      <w:lang w:eastAsia="zh-CN"/>
                    </w:rPr>
                  </w:pPr>
                  <w:r>
                    <w:rPr>
                      <w:rFonts w:hint="eastAsia"/>
                      <w:color w:val="auto"/>
                      <w:lang w:eastAsia="zh-CN"/>
                    </w:rPr>
                    <w:t>20000.00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117" w:type="pct"/>
                  <w:vAlign w:val="center"/>
                </w:tcPr>
                <w:p>
                  <w:pPr>
                    <w:pStyle w:val="108"/>
                    <w:ind w:firstLine="0" w:firstLineChars="0"/>
                    <w:jc w:val="center"/>
                    <w:rPr>
                      <w:color w:val="auto"/>
                      <w:lang w:eastAsia="zh-CN"/>
                    </w:rPr>
                  </w:pPr>
                  <w:r>
                    <w:rPr>
                      <w:rFonts w:hint="eastAsia"/>
                      <w:color w:val="auto"/>
                      <w:lang w:eastAsia="zh-CN"/>
                    </w:rPr>
                    <w:t>总建筑面积</w:t>
                  </w:r>
                </w:p>
              </w:tc>
              <w:tc>
                <w:tcPr>
                  <w:tcW w:w="472" w:type="pct"/>
                  <w:vAlign w:val="center"/>
                </w:tcPr>
                <w:p>
                  <w:pPr>
                    <w:jc w:val="center"/>
                    <w:rPr>
                      <w:color w:val="auto"/>
                    </w:rPr>
                  </w:pPr>
                  <w:r>
                    <w:rPr>
                      <w:rFonts w:hint="eastAsia"/>
                      <w:color w:val="auto"/>
                    </w:rPr>
                    <w:t>m</w:t>
                  </w:r>
                  <w:r>
                    <w:rPr>
                      <w:rFonts w:hint="eastAsia"/>
                      <w:color w:val="auto"/>
                      <w:vertAlign w:val="superscript"/>
                    </w:rPr>
                    <w:t>2</w:t>
                  </w:r>
                </w:p>
              </w:tc>
              <w:tc>
                <w:tcPr>
                  <w:tcW w:w="1410" w:type="pct"/>
                  <w:vAlign w:val="center"/>
                </w:tcPr>
                <w:p>
                  <w:pPr>
                    <w:pStyle w:val="108"/>
                    <w:ind w:firstLine="0" w:firstLineChars="0"/>
                    <w:jc w:val="center"/>
                    <w:rPr>
                      <w:color w:val="auto"/>
                      <w:lang w:eastAsia="zh-CN"/>
                    </w:rPr>
                  </w:pPr>
                  <w:r>
                    <w:rPr>
                      <w:rFonts w:hint="eastAsia"/>
                      <w:color w:val="auto"/>
                      <w:lang w:eastAsia="zh-CN"/>
                    </w:rPr>
                    <w:t>42098.18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117" w:type="pct"/>
                  <w:vAlign w:val="center"/>
                </w:tcPr>
                <w:p>
                  <w:pPr>
                    <w:pStyle w:val="108"/>
                    <w:ind w:firstLine="0" w:firstLineChars="0"/>
                    <w:jc w:val="center"/>
                    <w:rPr>
                      <w:color w:val="auto"/>
                      <w:lang w:eastAsia="zh-CN"/>
                    </w:rPr>
                  </w:pPr>
                  <w:r>
                    <w:rPr>
                      <w:rFonts w:hint="eastAsia"/>
                      <w:color w:val="auto"/>
                      <w:lang w:eastAsia="zh-CN"/>
                    </w:rPr>
                    <w:t>总计容建筑面积</w:t>
                  </w:r>
                </w:p>
              </w:tc>
              <w:tc>
                <w:tcPr>
                  <w:tcW w:w="472" w:type="pct"/>
                  <w:vAlign w:val="center"/>
                </w:tcPr>
                <w:p>
                  <w:pPr>
                    <w:jc w:val="center"/>
                    <w:rPr>
                      <w:color w:val="auto"/>
                    </w:rPr>
                  </w:pPr>
                  <w:r>
                    <w:rPr>
                      <w:rFonts w:hint="eastAsia"/>
                      <w:color w:val="auto"/>
                    </w:rPr>
                    <w:t>m</w:t>
                  </w:r>
                  <w:r>
                    <w:rPr>
                      <w:rFonts w:hint="eastAsia"/>
                      <w:color w:val="auto"/>
                      <w:vertAlign w:val="superscript"/>
                    </w:rPr>
                    <w:t>2</w:t>
                  </w:r>
                </w:p>
              </w:tc>
              <w:tc>
                <w:tcPr>
                  <w:tcW w:w="1410" w:type="pct"/>
                  <w:vAlign w:val="center"/>
                </w:tcPr>
                <w:p>
                  <w:pPr>
                    <w:pStyle w:val="108"/>
                    <w:ind w:firstLine="0" w:firstLineChars="0"/>
                    <w:jc w:val="center"/>
                    <w:rPr>
                      <w:color w:val="auto"/>
                      <w:lang w:eastAsia="zh-CN"/>
                    </w:rPr>
                  </w:pPr>
                  <w:r>
                    <w:rPr>
                      <w:rFonts w:hint="eastAsia"/>
                      <w:color w:val="auto"/>
                      <w:lang w:eastAsia="zh-CN"/>
                    </w:rPr>
                    <w:t>41833.29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117" w:type="pct"/>
                  <w:vAlign w:val="center"/>
                </w:tcPr>
                <w:p>
                  <w:pPr>
                    <w:pStyle w:val="108"/>
                    <w:ind w:firstLine="0" w:firstLineChars="0"/>
                    <w:jc w:val="center"/>
                    <w:rPr>
                      <w:color w:val="auto"/>
                      <w:lang w:eastAsia="zh-CN"/>
                    </w:rPr>
                  </w:pPr>
                  <w:r>
                    <w:rPr>
                      <w:rFonts w:hint="eastAsia"/>
                      <w:color w:val="auto"/>
                      <w:lang w:eastAsia="zh-CN"/>
                    </w:rPr>
                    <w:t>容积率</w:t>
                  </w:r>
                </w:p>
              </w:tc>
              <w:tc>
                <w:tcPr>
                  <w:tcW w:w="472" w:type="pct"/>
                  <w:vAlign w:val="center"/>
                </w:tcPr>
                <w:p>
                  <w:pPr>
                    <w:pStyle w:val="108"/>
                    <w:ind w:firstLine="0" w:firstLineChars="0"/>
                    <w:jc w:val="center"/>
                    <w:rPr>
                      <w:color w:val="auto"/>
                      <w:lang w:eastAsia="zh-CN"/>
                    </w:rPr>
                  </w:pPr>
                  <w:r>
                    <w:rPr>
                      <w:rFonts w:hint="eastAsia"/>
                      <w:color w:val="auto"/>
                      <w:lang w:eastAsia="zh-CN"/>
                    </w:rPr>
                    <w:t>/</w:t>
                  </w:r>
                </w:p>
              </w:tc>
              <w:tc>
                <w:tcPr>
                  <w:tcW w:w="1410" w:type="pct"/>
                  <w:vAlign w:val="center"/>
                </w:tcPr>
                <w:p>
                  <w:pPr>
                    <w:pStyle w:val="108"/>
                    <w:ind w:firstLine="0" w:firstLineChars="0"/>
                    <w:jc w:val="center"/>
                    <w:rPr>
                      <w:color w:val="auto"/>
                      <w:lang w:eastAsia="zh-CN"/>
                    </w:rPr>
                  </w:pPr>
                  <w:r>
                    <w:rPr>
                      <w:rFonts w:hint="eastAsia"/>
                      <w:color w:val="auto"/>
                      <w:lang w:eastAsia="zh-CN"/>
                    </w:rPr>
                    <w:t>2.09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117" w:type="pct"/>
                  <w:vAlign w:val="center"/>
                </w:tcPr>
                <w:p>
                  <w:pPr>
                    <w:pStyle w:val="108"/>
                    <w:ind w:firstLine="0" w:firstLineChars="0"/>
                    <w:jc w:val="center"/>
                    <w:rPr>
                      <w:color w:val="auto"/>
                      <w:lang w:eastAsia="zh-CN"/>
                    </w:rPr>
                  </w:pPr>
                  <w:r>
                    <w:rPr>
                      <w:rFonts w:hint="eastAsia"/>
                      <w:color w:val="auto"/>
                      <w:lang w:eastAsia="zh-CN"/>
                    </w:rPr>
                    <w:t>建筑总基底面积</w:t>
                  </w:r>
                </w:p>
              </w:tc>
              <w:tc>
                <w:tcPr>
                  <w:tcW w:w="472" w:type="pct"/>
                  <w:vAlign w:val="center"/>
                </w:tcPr>
                <w:p>
                  <w:pPr>
                    <w:pStyle w:val="108"/>
                    <w:ind w:firstLine="0" w:firstLineChars="0"/>
                    <w:jc w:val="center"/>
                    <w:rPr>
                      <w:color w:val="auto"/>
                      <w:lang w:eastAsia="zh-CN"/>
                    </w:rPr>
                  </w:pPr>
                  <w:r>
                    <w:rPr>
                      <w:rFonts w:hint="eastAsia"/>
                      <w:color w:val="auto"/>
                      <w:lang w:eastAsia="zh-CN"/>
                    </w:rPr>
                    <w:t>m</w:t>
                  </w:r>
                  <w:r>
                    <w:rPr>
                      <w:rFonts w:hint="eastAsia"/>
                      <w:color w:val="auto"/>
                      <w:vertAlign w:val="superscript"/>
                      <w:lang w:eastAsia="zh-CN"/>
                    </w:rPr>
                    <w:t>2</w:t>
                  </w:r>
                </w:p>
              </w:tc>
              <w:tc>
                <w:tcPr>
                  <w:tcW w:w="1410" w:type="pct"/>
                  <w:vAlign w:val="center"/>
                </w:tcPr>
                <w:p>
                  <w:pPr>
                    <w:pStyle w:val="108"/>
                    <w:ind w:firstLine="0" w:firstLineChars="0"/>
                    <w:jc w:val="center"/>
                    <w:rPr>
                      <w:color w:val="auto"/>
                      <w:lang w:eastAsia="zh-CN"/>
                    </w:rPr>
                  </w:pPr>
                  <w:r>
                    <w:rPr>
                      <w:rFonts w:hint="eastAsia"/>
                      <w:color w:val="auto"/>
                      <w:lang w:eastAsia="zh-CN"/>
                    </w:rPr>
                    <w:t>9901.78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117" w:type="pct"/>
                  <w:vAlign w:val="center"/>
                </w:tcPr>
                <w:p>
                  <w:pPr>
                    <w:pStyle w:val="108"/>
                    <w:ind w:firstLine="0" w:firstLineChars="0"/>
                    <w:jc w:val="center"/>
                    <w:rPr>
                      <w:color w:val="auto"/>
                      <w:lang w:eastAsia="zh-CN"/>
                    </w:rPr>
                  </w:pPr>
                  <w:r>
                    <w:rPr>
                      <w:rFonts w:hint="eastAsia"/>
                      <w:color w:val="auto"/>
                      <w:lang w:eastAsia="zh-CN"/>
                    </w:rPr>
                    <w:t>建筑系数</w:t>
                  </w:r>
                </w:p>
              </w:tc>
              <w:tc>
                <w:tcPr>
                  <w:tcW w:w="472" w:type="pct"/>
                  <w:vAlign w:val="center"/>
                </w:tcPr>
                <w:p>
                  <w:pPr>
                    <w:pStyle w:val="108"/>
                    <w:ind w:firstLine="0" w:firstLineChars="0"/>
                    <w:jc w:val="center"/>
                    <w:rPr>
                      <w:color w:val="auto"/>
                      <w:lang w:eastAsia="zh-CN"/>
                    </w:rPr>
                  </w:pPr>
                  <w:r>
                    <w:rPr>
                      <w:rFonts w:hint="eastAsia"/>
                      <w:color w:val="auto"/>
                      <w:lang w:eastAsia="zh-CN"/>
                    </w:rPr>
                    <w:t>%</w:t>
                  </w:r>
                </w:p>
              </w:tc>
              <w:tc>
                <w:tcPr>
                  <w:tcW w:w="1410" w:type="pct"/>
                  <w:vAlign w:val="center"/>
                </w:tcPr>
                <w:p>
                  <w:pPr>
                    <w:pStyle w:val="108"/>
                    <w:ind w:firstLine="0" w:firstLineChars="0"/>
                    <w:jc w:val="center"/>
                    <w:rPr>
                      <w:color w:val="auto"/>
                      <w:lang w:eastAsia="zh-CN"/>
                    </w:rPr>
                  </w:pPr>
                  <w:r>
                    <w:rPr>
                      <w:rFonts w:hint="eastAsia"/>
                      <w:color w:val="auto"/>
                      <w:lang w:eastAsia="zh-CN"/>
                    </w:rPr>
                    <w:t>49.51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117" w:type="pct"/>
                  <w:vAlign w:val="center"/>
                </w:tcPr>
                <w:p>
                  <w:pPr>
                    <w:pStyle w:val="108"/>
                    <w:ind w:firstLine="0" w:firstLineChars="0"/>
                    <w:jc w:val="center"/>
                    <w:rPr>
                      <w:color w:val="auto"/>
                      <w:lang w:eastAsia="zh-CN"/>
                    </w:rPr>
                  </w:pPr>
                  <w:r>
                    <w:rPr>
                      <w:rFonts w:hint="eastAsia"/>
                      <w:color w:val="auto"/>
                      <w:lang w:eastAsia="zh-CN"/>
                    </w:rPr>
                    <w:t>行政办公及配套用房面积占总用地比例</w:t>
                  </w:r>
                </w:p>
              </w:tc>
              <w:tc>
                <w:tcPr>
                  <w:tcW w:w="472" w:type="pct"/>
                  <w:vAlign w:val="center"/>
                </w:tcPr>
                <w:p>
                  <w:pPr>
                    <w:pStyle w:val="108"/>
                    <w:ind w:firstLine="0" w:firstLineChars="0"/>
                    <w:jc w:val="center"/>
                    <w:rPr>
                      <w:color w:val="auto"/>
                      <w:lang w:eastAsia="zh-CN"/>
                    </w:rPr>
                  </w:pPr>
                  <w:r>
                    <w:rPr>
                      <w:rFonts w:hint="eastAsia"/>
                      <w:color w:val="auto"/>
                      <w:lang w:eastAsia="zh-CN"/>
                    </w:rPr>
                    <w:t>%</w:t>
                  </w:r>
                </w:p>
              </w:tc>
              <w:tc>
                <w:tcPr>
                  <w:tcW w:w="1410" w:type="pct"/>
                  <w:vAlign w:val="center"/>
                </w:tcPr>
                <w:p>
                  <w:pPr>
                    <w:pStyle w:val="108"/>
                    <w:ind w:firstLine="0" w:firstLineChars="0"/>
                    <w:jc w:val="center"/>
                    <w:rPr>
                      <w:color w:val="auto"/>
                      <w:lang w:eastAsia="zh-CN"/>
                    </w:rPr>
                  </w:pPr>
                  <w:r>
                    <w:rPr>
                      <w:rFonts w:hint="eastAsia"/>
                      <w:color w:val="auto"/>
                      <w:lang w:eastAsia="zh-CN"/>
                    </w:rPr>
                    <w:t>6.87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117" w:type="pct"/>
                  <w:vAlign w:val="center"/>
                </w:tcPr>
                <w:p>
                  <w:pPr>
                    <w:pStyle w:val="108"/>
                    <w:ind w:firstLine="0" w:firstLineChars="0"/>
                    <w:jc w:val="center"/>
                    <w:rPr>
                      <w:color w:val="auto"/>
                      <w:lang w:eastAsia="zh-CN"/>
                    </w:rPr>
                  </w:pPr>
                  <w:r>
                    <w:rPr>
                      <w:rFonts w:hint="eastAsia"/>
                      <w:color w:val="auto"/>
                      <w:lang w:eastAsia="zh-CN"/>
                    </w:rPr>
                    <w:t>行政办公及配套用房面积占总计容面积比例</w:t>
                  </w:r>
                </w:p>
              </w:tc>
              <w:tc>
                <w:tcPr>
                  <w:tcW w:w="472" w:type="pct"/>
                  <w:vAlign w:val="center"/>
                </w:tcPr>
                <w:p>
                  <w:pPr>
                    <w:pStyle w:val="108"/>
                    <w:ind w:firstLine="0" w:firstLineChars="0"/>
                    <w:jc w:val="center"/>
                    <w:rPr>
                      <w:color w:val="auto"/>
                      <w:lang w:eastAsia="zh-CN"/>
                    </w:rPr>
                  </w:pPr>
                  <w:r>
                    <w:rPr>
                      <w:rFonts w:hint="eastAsia"/>
                      <w:color w:val="auto"/>
                      <w:lang w:eastAsia="zh-CN"/>
                    </w:rPr>
                    <w:t>%</w:t>
                  </w:r>
                </w:p>
              </w:tc>
              <w:tc>
                <w:tcPr>
                  <w:tcW w:w="1410" w:type="pct"/>
                  <w:vAlign w:val="center"/>
                </w:tcPr>
                <w:p>
                  <w:pPr>
                    <w:pStyle w:val="108"/>
                    <w:ind w:firstLine="0" w:firstLineChars="0"/>
                    <w:jc w:val="center"/>
                    <w:rPr>
                      <w:color w:val="auto"/>
                      <w:lang w:eastAsia="zh-CN"/>
                    </w:rPr>
                  </w:pPr>
                  <w:r>
                    <w:rPr>
                      <w:rFonts w:hint="eastAsia"/>
                      <w:color w:val="auto"/>
                      <w:lang w:eastAsia="zh-CN"/>
                    </w:rPr>
                    <w:t>17.47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117" w:type="pct"/>
                  <w:vAlign w:val="center"/>
                </w:tcPr>
                <w:p>
                  <w:pPr>
                    <w:pStyle w:val="108"/>
                    <w:ind w:firstLine="0" w:firstLineChars="0"/>
                    <w:jc w:val="center"/>
                    <w:rPr>
                      <w:color w:val="auto"/>
                      <w:lang w:eastAsia="zh-CN"/>
                    </w:rPr>
                  </w:pPr>
                  <w:r>
                    <w:rPr>
                      <w:rFonts w:hint="eastAsia"/>
                      <w:color w:val="auto"/>
                      <w:lang w:eastAsia="zh-CN"/>
                    </w:rPr>
                    <w:t>绿地面积</w:t>
                  </w:r>
                </w:p>
              </w:tc>
              <w:tc>
                <w:tcPr>
                  <w:tcW w:w="472" w:type="pct"/>
                  <w:vAlign w:val="center"/>
                </w:tcPr>
                <w:p>
                  <w:pPr>
                    <w:pStyle w:val="108"/>
                    <w:ind w:firstLine="0" w:firstLineChars="0"/>
                    <w:jc w:val="center"/>
                    <w:rPr>
                      <w:color w:val="auto"/>
                      <w:lang w:eastAsia="zh-CN"/>
                    </w:rPr>
                  </w:pPr>
                  <w:r>
                    <w:rPr>
                      <w:rFonts w:hint="eastAsia"/>
                      <w:color w:val="auto"/>
                      <w:lang w:eastAsia="zh-CN"/>
                    </w:rPr>
                    <w:t>m</w:t>
                  </w:r>
                  <w:r>
                    <w:rPr>
                      <w:rFonts w:hint="eastAsia"/>
                      <w:color w:val="auto"/>
                      <w:vertAlign w:val="superscript"/>
                      <w:lang w:eastAsia="zh-CN"/>
                    </w:rPr>
                    <w:t>2</w:t>
                  </w:r>
                </w:p>
              </w:tc>
              <w:tc>
                <w:tcPr>
                  <w:tcW w:w="1410" w:type="pct"/>
                  <w:vAlign w:val="center"/>
                </w:tcPr>
                <w:p>
                  <w:pPr>
                    <w:pStyle w:val="108"/>
                    <w:ind w:firstLine="0" w:firstLineChars="0"/>
                    <w:jc w:val="center"/>
                    <w:rPr>
                      <w:color w:val="auto"/>
                      <w:lang w:eastAsia="zh-CN"/>
                    </w:rPr>
                  </w:pPr>
                  <w:r>
                    <w:rPr>
                      <w:rFonts w:hint="eastAsia"/>
                      <w:color w:val="auto"/>
                      <w:lang w:eastAsia="zh-CN"/>
                    </w:rPr>
                    <w:t>3040.00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117" w:type="pct"/>
                  <w:vAlign w:val="center"/>
                </w:tcPr>
                <w:p>
                  <w:pPr>
                    <w:pStyle w:val="108"/>
                    <w:ind w:firstLine="0" w:firstLineChars="0"/>
                    <w:jc w:val="center"/>
                    <w:rPr>
                      <w:color w:val="auto"/>
                      <w:lang w:eastAsia="zh-CN"/>
                    </w:rPr>
                  </w:pPr>
                  <w:r>
                    <w:rPr>
                      <w:rFonts w:hint="eastAsia"/>
                      <w:color w:val="auto"/>
                      <w:lang w:eastAsia="zh-CN"/>
                    </w:rPr>
                    <w:t>绿地率</w:t>
                  </w:r>
                </w:p>
              </w:tc>
              <w:tc>
                <w:tcPr>
                  <w:tcW w:w="472" w:type="pct"/>
                  <w:vAlign w:val="center"/>
                </w:tcPr>
                <w:p>
                  <w:pPr>
                    <w:pStyle w:val="108"/>
                    <w:ind w:firstLine="0" w:firstLineChars="0"/>
                    <w:jc w:val="center"/>
                    <w:rPr>
                      <w:color w:val="auto"/>
                      <w:lang w:eastAsia="zh-CN"/>
                    </w:rPr>
                  </w:pPr>
                  <w:r>
                    <w:rPr>
                      <w:rFonts w:hint="eastAsia"/>
                      <w:color w:val="auto"/>
                      <w:lang w:eastAsia="zh-CN"/>
                    </w:rPr>
                    <w:t>%</w:t>
                  </w:r>
                </w:p>
              </w:tc>
              <w:tc>
                <w:tcPr>
                  <w:tcW w:w="1410" w:type="pct"/>
                  <w:vAlign w:val="center"/>
                </w:tcPr>
                <w:p>
                  <w:pPr>
                    <w:pStyle w:val="108"/>
                    <w:ind w:firstLine="0" w:firstLineChars="0"/>
                    <w:jc w:val="center"/>
                    <w:rPr>
                      <w:color w:val="auto"/>
                      <w:lang w:eastAsia="zh-CN"/>
                    </w:rPr>
                  </w:pPr>
                  <w:r>
                    <w:rPr>
                      <w:rFonts w:hint="eastAsia"/>
                      <w:color w:val="auto"/>
                      <w:lang w:eastAsia="zh-CN"/>
                    </w:rPr>
                    <w:t>15.20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117" w:type="pct"/>
                  <w:vAlign w:val="center"/>
                </w:tcPr>
                <w:p>
                  <w:pPr>
                    <w:pStyle w:val="108"/>
                    <w:ind w:firstLine="0" w:firstLineChars="0"/>
                    <w:jc w:val="center"/>
                    <w:rPr>
                      <w:color w:val="auto"/>
                      <w:lang w:eastAsia="zh-CN"/>
                    </w:rPr>
                  </w:pPr>
                  <w:r>
                    <w:rPr>
                      <w:rFonts w:hint="eastAsia"/>
                      <w:color w:val="auto"/>
                      <w:lang w:eastAsia="zh-CN"/>
                    </w:rPr>
                    <w:t>车位</w:t>
                  </w:r>
                </w:p>
              </w:tc>
              <w:tc>
                <w:tcPr>
                  <w:tcW w:w="472" w:type="pct"/>
                  <w:vAlign w:val="center"/>
                </w:tcPr>
                <w:p>
                  <w:pPr>
                    <w:pStyle w:val="108"/>
                    <w:ind w:firstLine="0" w:firstLineChars="0"/>
                    <w:jc w:val="center"/>
                    <w:rPr>
                      <w:color w:val="auto"/>
                      <w:lang w:eastAsia="zh-CN"/>
                    </w:rPr>
                  </w:pPr>
                  <w:r>
                    <w:rPr>
                      <w:rFonts w:hint="eastAsia"/>
                      <w:color w:val="auto"/>
                      <w:lang w:eastAsia="zh-CN"/>
                    </w:rPr>
                    <w:t>个</w:t>
                  </w:r>
                </w:p>
              </w:tc>
              <w:tc>
                <w:tcPr>
                  <w:tcW w:w="1410" w:type="pct"/>
                  <w:vAlign w:val="center"/>
                </w:tcPr>
                <w:p>
                  <w:pPr>
                    <w:pStyle w:val="108"/>
                    <w:ind w:firstLine="0" w:firstLineChars="0"/>
                    <w:jc w:val="center"/>
                    <w:rPr>
                      <w:color w:val="auto"/>
                      <w:lang w:eastAsia="zh-CN"/>
                    </w:rPr>
                  </w:pPr>
                  <w:r>
                    <w:rPr>
                      <w:rFonts w:hint="eastAsia"/>
                      <w:color w:val="auto"/>
                      <w:lang w:eastAsia="zh-CN"/>
                    </w:rPr>
                    <w:t>178</w:t>
                  </w:r>
                </w:p>
              </w:tc>
            </w:tr>
          </w:tbl>
          <w:p>
            <w:pPr>
              <w:pStyle w:val="246"/>
              <w:adjustRightInd w:val="0"/>
              <w:snapToGrid w:val="0"/>
              <w:spacing w:before="120" w:beforeLines="50" w:line="360" w:lineRule="auto"/>
              <w:jc w:val="center"/>
              <w:rPr>
                <w:b/>
                <w:color w:val="auto"/>
                <w:sz w:val="21"/>
                <w:szCs w:val="21"/>
              </w:rPr>
            </w:pPr>
            <w:r>
              <w:rPr>
                <w:b/>
                <w:color w:val="auto"/>
                <w:sz w:val="21"/>
                <w:szCs w:val="21"/>
              </w:rPr>
              <w:t>表2-</w:t>
            </w:r>
            <w:r>
              <w:rPr>
                <w:rFonts w:hint="eastAsia"/>
                <w:b/>
                <w:color w:val="auto"/>
                <w:sz w:val="21"/>
                <w:szCs w:val="21"/>
              </w:rPr>
              <w:t>2</w:t>
            </w:r>
            <w:r>
              <w:rPr>
                <w:b/>
                <w:color w:val="auto"/>
                <w:sz w:val="21"/>
                <w:szCs w:val="21"/>
              </w:rPr>
              <w:t xml:space="preserve"> 项目工程组成一览表</w:t>
            </w:r>
          </w:p>
          <w:tbl>
            <w:tblPr>
              <w:tblStyle w:val="9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1"/>
              <w:gridCol w:w="520"/>
              <w:gridCol w:w="1142"/>
              <w:gridCol w:w="1149"/>
              <w:gridCol w:w="57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0" w:hRule="atLeast"/>
                <w:jc w:val="center"/>
              </w:trPr>
              <w:tc>
                <w:tcPr>
                  <w:tcW w:w="389" w:type="pct"/>
                  <w:vAlign w:val="center"/>
                </w:tcPr>
                <w:p>
                  <w:pPr>
                    <w:jc w:val="center"/>
                    <w:rPr>
                      <w:b/>
                      <w:bCs/>
                      <w:color w:val="auto"/>
                    </w:rPr>
                  </w:pPr>
                  <w:r>
                    <w:rPr>
                      <w:b/>
                      <w:bCs/>
                      <w:color w:val="auto"/>
                    </w:rPr>
                    <w:t>类别</w:t>
                  </w:r>
                </w:p>
              </w:tc>
              <w:tc>
                <w:tcPr>
                  <w:tcW w:w="895" w:type="pct"/>
                  <w:gridSpan w:val="2"/>
                  <w:vAlign w:val="center"/>
                </w:tcPr>
                <w:p>
                  <w:pPr>
                    <w:jc w:val="center"/>
                    <w:rPr>
                      <w:b/>
                      <w:bCs/>
                      <w:color w:val="auto"/>
                    </w:rPr>
                  </w:pPr>
                  <w:r>
                    <w:rPr>
                      <w:b/>
                      <w:bCs/>
                      <w:color w:val="auto"/>
                    </w:rPr>
                    <w:t>建设内容</w:t>
                  </w:r>
                </w:p>
              </w:tc>
              <w:tc>
                <w:tcPr>
                  <w:tcW w:w="3714" w:type="pct"/>
                  <w:gridSpan w:val="2"/>
                  <w:vAlign w:val="center"/>
                </w:tcPr>
                <w:p>
                  <w:pPr>
                    <w:jc w:val="center"/>
                    <w:rPr>
                      <w:rFonts w:hint="default" w:eastAsia="宋体"/>
                      <w:b/>
                      <w:bCs/>
                      <w:color w:val="auto"/>
                      <w:lang w:val="en-US" w:eastAsia="zh-CN"/>
                    </w:rPr>
                  </w:pPr>
                  <w:r>
                    <w:rPr>
                      <w:b/>
                      <w:bCs/>
                      <w:color w:val="auto"/>
                    </w:rPr>
                    <w:t>工程内容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6" w:hRule="atLeast"/>
                <w:jc w:val="center"/>
              </w:trPr>
              <w:tc>
                <w:tcPr>
                  <w:tcW w:w="389" w:type="pct"/>
                  <w:vMerge w:val="restart"/>
                  <w:vAlign w:val="center"/>
                </w:tcPr>
                <w:p>
                  <w:pPr>
                    <w:jc w:val="center"/>
                    <w:rPr>
                      <w:color w:val="auto"/>
                    </w:rPr>
                  </w:pPr>
                  <w:r>
                    <w:rPr>
                      <w:color w:val="auto"/>
                    </w:rPr>
                    <w:t>主体工程</w:t>
                  </w:r>
                </w:p>
              </w:tc>
              <w:tc>
                <w:tcPr>
                  <w:tcW w:w="895" w:type="pct"/>
                  <w:gridSpan w:val="2"/>
                  <w:vMerge w:val="restart"/>
                  <w:vAlign w:val="center"/>
                </w:tcPr>
                <w:p>
                  <w:pPr>
                    <w:jc w:val="center"/>
                    <w:rPr>
                      <w:color w:val="auto"/>
                    </w:rPr>
                  </w:pPr>
                  <w:r>
                    <w:rPr>
                      <w:color w:val="auto"/>
                    </w:rPr>
                    <w:t>生产车间</w:t>
                  </w:r>
                </w:p>
              </w:tc>
              <w:tc>
                <w:tcPr>
                  <w:tcW w:w="619" w:type="pct"/>
                  <w:vAlign w:val="center"/>
                </w:tcPr>
                <w:p>
                  <w:pPr>
                    <w:jc w:val="center"/>
                    <w:rPr>
                      <w:color w:val="auto"/>
                    </w:rPr>
                  </w:pPr>
                  <w:r>
                    <w:rPr>
                      <w:rFonts w:hint="eastAsia"/>
                      <w:color w:val="auto"/>
                    </w:rPr>
                    <w:t>1#厂房</w:t>
                  </w:r>
                </w:p>
              </w:tc>
              <w:tc>
                <w:tcPr>
                  <w:tcW w:w="3095" w:type="pct"/>
                  <w:vAlign w:val="center"/>
                </w:tcPr>
                <w:p>
                  <w:pPr>
                    <w:rPr>
                      <w:color w:val="auto"/>
                    </w:rPr>
                  </w:pPr>
                  <w:r>
                    <w:rPr>
                      <w:rFonts w:hint="eastAsia"/>
                      <w:color w:val="auto"/>
                    </w:rPr>
                    <w:t>占地面积1400m</w:t>
                  </w:r>
                  <w:r>
                    <w:rPr>
                      <w:rFonts w:hint="eastAsia"/>
                      <w:color w:val="auto"/>
                      <w:vertAlign w:val="superscript"/>
                    </w:rPr>
                    <w:t>2</w:t>
                  </w:r>
                  <w:r>
                    <w:rPr>
                      <w:rFonts w:hint="eastAsia"/>
                      <w:color w:val="auto"/>
                    </w:rPr>
                    <w:t>，建筑面积5683.88m</w:t>
                  </w:r>
                  <w:r>
                    <w:rPr>
                      <w:rFonts w:hint="eastAsia"/>
                      <w:color w:val="auto"/>
                      <w:vertAlign w:val="superscript"/>
                    </w:rPr>
                    <w:t>2</w:t>
                  </w:r>
                  <w:r>
                    <w:rPr>
                      <w:rFonts w:hint="eastAsia"/>
                      <w:color w:val="auto"/>
                    </w:rPr>
                    <w:t>，共1栋4层，主要设置橡胶模压车间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6" w:hRule="atLeast"/>
                <w:jc w:val="center"/>
              </w:trPr>
              <w:tc>
                <w:tcPr>
                  <w:tcW w:w="389" w:type="pct"/>
                  <w:vMerge w:val="continue"/>
                  <w:vAlign w:val="center"/>
                </w:tcPr>
                <w:p>
                  <w:pPr>
                    <w:rPr>
                      <w:color w:val="auto"/>
                    </w:rPr>
                  </w:pPr>
                </w:p>
              </w:tc>
              <w:tc>
                <w:tcPr>
                  <w:tcW w:w="895" w:type="pct"/>
                  <w:gridSpan w:val="2"/>
                  <w:vMerge w:val="continue"/>
                  <w:vAlign w:val="center"/>
                </w:tcPr>
                <w:p>
                  <w:pPr>
                    <w:rPr>
                      <w:color w:val="auto"/>
                    </w:rPr>
                  </w:pPr>
                </w:p>
              </w:tc>
              <w:tc>
                <w:tcPr>
                  <w:tcW w:w="619" w:type="pct"/>
                  <w:vAlign w:val="center"/>
                </w:tcPr>
                <w:p>
                  <w:pPr>
                    <w:jc w:val="center"/>
                    <w:rPr>
                      <w:color w:val="auto"/>
                    </w:rPr>
                  </w:pPr>
                  <w:r>
                    <w:rPr>
                      <w:rFonts w:hint="eastAsia"/>
                      <w:color w:val="auto"/>
                    </w:rPr>
                    <w:t>2#厂房</w:t>
                  </w:r>
                </w:p>
              </w:tc>
              <w:tc>
                <w:tcPr>
                  <w:tcW w:w="3095" w:type="pct"/>
                  <w:vAlign w:val="center"/>
                </w:tcPr>
                <w:p>
                  <w:pPr>
                    <w:rPr>
                      <w:color w:val="auto"/>
                    </w:rPr>
                  </w:pPr>
                  <w:r>
                    <w:rPr>
                      <w:rFonts w:hint="eastAsia"/>
                      <w:color w:val="auto"/>
                    </w:rPr>
                    <w:t>占地面积2500m</w:t>
                  </w:r>
                  <w:r>
                    <w:rPr>
                      <w:rFonts w:hint="eastAsia"/>
                      <w:color w:val="auto"/>
                      <w:vertAlign w:val="superscript"/>
                    </w:rPr>
                    <w:t>2</w:t>
                  </w:r>
                  <w:r>
                    <w:rPr>
                      <w:rFonts w:hint="eastAsia"/>
                      <w:color w:val="auto"/>
                    </w:rPr>
                    <w:t>，建筑面积10120.96m</w:t>
                  </w:r>
                  <w:r>
                    <w:rPr>
                      <w:rFonts w:hint="eastAsia"/>
                      <w:color w:val="auto"/>
                      <w:vertAlign w:val="superscript"/>
                    </w:rPr>
                    <w:t>2</w:t>
                  </w:r>
                  <w:r>
                    <w:rPr>
                      <w:rFonts w:hint="eastAsia"/>
                      <w:color w:val="auto"/>
                    </w:rPr>
                    <w:t>，共1栋4层，主要设置切胶区域、密炼车间、开炼车间、胶片冷却区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6" w:hRule="atLeast"/>
                <w:jc w:val="center"/>
              </w:trPr>
              <w:tc>
                <w:tcPr>
                  <w:tcW w:w="389" w:type="pct"/>
                  <w:vMerge w:val="continue"/>
                  <w:vAlign w:val="center"/>
                </w:tcPr>
                <w:p>
                  <w:pPr>
                    <w:rPr>
                      <w:color w:val="auto"/>
                    </w:rPr>
                  </w:pPr>
                </w:p>
              </w:tc>
              <w:tc>
                <w:tcPr>
                  <w:tcW w:w="895" w:type="pct"/>
                  <w:gridSpan w:val="2"/>
                  <w:vMerge w:val="continue"/>
                  <w:vAlign w:val="center"/>
                </w:tcPr>
                <w:p>
                  <w:pPr>
                    <w:rPr>
                      <w:color w:val="auto"/>
                    </w:rPr>
                  </w:pPr>
                </w:p>
              </w:tc>
              <w:tc>
                <w:tcPr>
                  <w:tcW w:w="619" w:type="pct"/>
                  <w:vAlign w:val="center"/>
                </w:tcPr>
                <w:p>
                  <w:pPr>
                    <w:jc w:val="center"/>
                    <w:rPr>
                      <w:color w:val="auto"/>
                    </w:rPr>
                  </w:pPr>
                  <w:r>
                    <w:rPr>
                      <w:rFonts w:hint="eastAsia"/>
                      <w:color w:val="auto"/>
                    </w:rPr>
                    <w:t>3#厂房</w:t>
                  </w:r>
                </w:p>
              </w:tc>
              <w:tc>
                <w:tcPr>
                  <w:tcW w:w="3095" w:type="pct"/>
                  <w:vAlign w:val="center"/>
                </w:tcPr>
                <w:p>
                  <w:pPr>
                    <w:rPr>
                      <w:color w:val="auto"/>
                    </w:rPr>
                  </w:pPr>
                  <w:r>
                    <w:rPr>
                      <w:rFonts w:hint="eastAsia"/>
                      <w:color w:val="auto"/>
                    </w:rPr>
                    <w:t>占地面积2668m</w:t>
                  </w:r>
                  <w:r>
                    <w:rPr>
                      <w:rFonts w:hint="eastAsia"/>
                      <w:color w:val="auto"/>
                      <w:vertAlign w:val="superscript"/>
                    </w:rPr>
                    <w:t>2</w:t>
                  </w:r>
                  <w:r>
                    <w:rPr>
                      <w:rFonts w:hint="eastAsia"/>
                      <w:color w:val="auto"/>
                    </w:rPr>
                    <w:t>，建筑面积10789.12m</w:t>
                  </w:r>
                  <w:r>
                    <w:rPr>
                      <w:rFonts w:hint="eastAsia"/>
                      <w:color w:val="auto"/>
                      <w:vertAlign w:val="superscript"/>
                    </w:rPr>
                    <w:t>2</w:t>
                  </w:r>
                  <w:r>
                    <w:rPr>
                      <w:rFonts w:hint="eastAsia"/>
                      <w:color w:val="auto"/>
                    </w:rPr>
                    <w:t>，共1栋4层，主要设置配料车间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2" w:hRule="atLeast"/>
                <w:jc w:val="center"/>
              </w:trPr>
              <w:tc>
                <w:tcPr>
                  <w:tcW w:w="389" w:type="pct"/>
                  <w:vMerge w:val="restart"/>
                  <w:vAlign w:val="center"/>
                </w:tcPr>
                <w:p>
                  <w:pPr>
                    <w:jc w:val="center"/>
                    <w:rPr>
                      <w:color w:val="auto"/>
                    </w:rPr>
                  </w:pPr>
                  <w:r>
                    <w:rPr>
                      <w:color w:val="auto"/>
                    </w:rPr>
                    <w:t>辅助工程</w:t>
                  </w:r>
                </w:p>
              </w:tc>
              <w:tc>
                <w:tcPr>
                  <w:tcW w:w="895" w:type="pct"/>
                  <w:gridSpan w:val="2"/>
                  <w:vAlign w:val="center"/>
                </w:tcPr>
                <w:p>
                  <w:pPr>
                    <w:jc w:val="center"/>
                    <w:rPr>
                      <w:color w:val="auto"/>
                    </w:rPr>
                  </w:pPr>
                  <w:r>
                    <w:rPr>
                      <w:color w:val="auto"/>
                    </w:rPr>
                    <w:t>办公室</w:t>
                  </w:r>
                </w:p>
              </w:tc>
              <w:tc>
                <w:tcPr>
                  <w:tcW w:w="619" w:type="pct"/>
                  <w:vAlign w:val="center"/>
                </w:tcPr>
                <w:p>
                  <w:pPr>
                    <w:jc w:val="center"/>
                    <w:rPr>
                      <w:color w:val="auto"/>
                    </w:rPr>
                  </w:pPr>
                  <w:r>
                    <w:rPr>
                      <w:rFonts w:hint="eastAsia"/>
                      <w:color w:val="auto"/>
                    </w:rPr>
                    <w:t>办公楼</w:t>
                  </w:r>
                </w:p>
              </w:tc>
              <w:tc>
                <w:tcPr>
                  <w:tcW w:w="3095" w:type="pct"/>
                  <w:vAlign w:val="center"/>
                </w:tcPr>
                <w:p>
                  <w:pPr>
                    <w:jc w:val="left"/>
                    <w:rPr>
                      <w:color w:val="auto"/>
                    </w:rPr>
                  </w:pPr>
                  <w:r>
                    <w:rPr>
                      <w:rFonts w:hint="eastAsia"/>
                      <w:color w:val="auto"/>
                    </w:rPr>
                    <w:t>占地面积391.62m</w:t>
                  </w:r>
                  <w:r>
                    <w:rPr>
                      <w:rFonts w:hint="eastAsia"/>
                      <w:color w:val="auto"/>
                      <w:vertAlign w:val="superscript"/>
                    </w:rPr>
                    <w:t>2</w:t>
                  </w:r>
                  <w:r>
                    <w:rPr>
                      <w:rFonts w:hint="eastAsia"/>
                      <w:color w:val="auto"/>
                    </w:rPr>
                    <w:t>，建筑面积2395.14m</w:t>
                  </w:r>
                  <w:r>
                    <w:rPr>
                      <w:rFonts w:hint="eastAsia"/>
                      <w:color w:val="auto"/>
                      <w:vertAlign w:val="superscript"/>
                    </w:rPr>
                    <w:t>2</w:t>
                  </w:r>
                  <w:r>
                    <w:rPr>
                      <w:rFonts w:hint="eastAsia"/>
                      <w:color w:val="auto"/>
                    </w:rPr>
                    <w:t>，共1栋6层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2" w:hRule="atLeast"/>
                <w:jc w:val="center"/>
              </w:trPr>
              <w:tc>
                <w:tcPr>
                  <w:tcW w:w="389" w:type="pct"/>
                  <w:vMerge w:val="continue"/>
                  <w:vAlign w:val="center"/>
                </w:tcPr>
                <w:p>
                  <w:pPr>
                    <w:jc w:val="center"/>
                    <w:rPr>
                      <w:color w:val="auto"/>
                    </w:rPr>
                  </w:pPr>
                </w:p>
              </w:tc>
              <w:tc>
                <w:tcPr>
                  <w:tcW w:w="895" w:type="pct"/>
                  <w:gridSpan w:val="2"/>
                  <w:vAlign w:val="center"/>
                </w:tcPr>
                <w:p>
                  <w:pPr>
                    <w:jc w:val="center"/>
                    <w:rPr>
                      <w:color w:val="auto"/>
                    </w:rPr>
                  </w:pPr>
                  <w:r>
                    <w:rPr>
                      <w:color w:val="auto"/>
                    </w:rPr>
                    <w:t>宿舍</w:t>
                  </w:r>
                </w:p>
              </w:tc>
              <w:tc>
                <w:tcPr>
                  <w:tcW w:w="619" w:type="pct"/>
                  <w:vAlign w:val="center"/>
                </w:tcPr>
                <w:p>
                  <w:pPr>
                    <w:jc w:val="center"/>
                    <w:rPr>
                      <w:color w:val="auto"/>
                    </w:rPr>
                  </w:pPr>
                  <w:r>
                    <w:rPr>
                      <w:rFonts w:hint="eastAsia"/>
                      <w:color w:val="auto"/>
                    </w:rPr>
                    <w:t>宿舍楼</w:t>
                  </w:r>
                </w:p>
              </w:tc>
              <w:tc>
                <w:tcPr>
                  <w:tcW w:w="3095" w:type="pct"/>
                  <w:vAlign w:val="center"/>
                </w:tcPr>
                <w:p>
                  <w:pPr>
                    <w:jc w:val="left"/>
                    <w:rPr>
                      <w:color w:val="auto"/>
                    </w:rPr>
                  </w:pPr>
                  <w:r>
                    <w:rPr>
                      <w:rFonts w:hint="eastAsia"/>
                      <w:color w:val="auto"/>
                    </w:rPr>
                    <w:t>占地面积964.16m</w:t>
                  </w:r>
                  <w:r>
                    <w:rPr>
                      <w:rFonts w:hint="eastAsia"/>
                      <w:color w:val="auto"/>
                      <w:vertAlign w:val="superscript"/>
                    </w:rPr>
                    <w:t>2</w:t>
                  </w:r>
                  <w:r>
                    <w:rPr>
                      <w:rFonts w:hint="eastAsia"/>
                      <w:color w:val="auto"/>
                    </w:rPr>
                    <w:t>，建筑面积4895.32m</w:t>
                  </w:r>
                  <w:r>
                    <w:rPr>
                      <w:rFonts w:hint="eastAsia"/>
                      <w:color w:val="auto"/>
                      <w:vertAlign w:val="superscript"/>
                    </w:rPr>
                    <w:t>2</w:t>
                  </w:r>
                  <w:r>
                    <w:rPr>
                      <w:rFonts w:hint="eastAsia"/>
                      <w:color w:val="auto"/>
                    </w:rPr>
                    <w:t>，共1栋6层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2" w:hRule="atLeast"/>
                <w:jc w:val="center"/>
              </w:trPr>
              <w:tc>
                <w:tcPr>
                  <w:tcW w:w="389" w:type="pct"/>
                  <w:vMerge w:val="continue"/>
                  <w:vAlign w:val="center"/>
                </w:tcPr>
                <w:p>
                  <w:pPr>
                    <w:jc w:val="center"/>
                    <w:rPr>
                      <w:color w:val="auto"/>
                    </w:rPr>
                  </w:pPr>
                </w:p>
              </w:tc>
              <w:tc>
                <w:tcPr>
                  <w:tcW w:w="895" w:type="pct"/>
                  <w:gridSpan w:val="2"/>
                  <w:vAlign w:val="center"/>
                </w:tcPr>
                <w:p>
                  <w:pPr>
                    <w:jc w:val="center"/>
                    <w:rPr>
                      <w:rFonts w:hint="default" w:eastAsia="宋体"/>
                      <w:color w:val="auto"/>
                      <w:lang w:val="en-US" w:eastAsia="zh-CN"/>
                    </w:rPr>
                  </w:pPr>
                  <w:r>
                    <w:rPr>
                      <w:rFonts w:hint="eastAsia"/>
                      <w:color w:val="auto"/>
                      <w:lang w:val="en-US" w:eastAsia="zh-CN"/>
                    </w:rPr>
                    <w:t>门卫室</w:t>
                  </w:r>
                </w:p>
              </w:tc>
              <w:tc>
                <w:tcPr>
                  <w:tcW w:w="619" w:type="pct"/>
                  <w:vAlign w:val="center"/>
                </w:tcPr>
                <w:p>
                  <w:pPr>
                    <w:jc w:val="center"/>
                    <w:rPr>
                      <w:rFonts w:hint="eastAsia"/>
                      <w:color w:val="auto"/>
                    </w:rPr>
                  </w:pPr>
                  <w:r>
                    <w:rPr>
                      <w:rFonts w:hint="eastAsia"/>
                      <w:color w:val="auto"/>
                      <w:lang w:val="en-US" w:eastAsia="zh-CN"/>
                    </w:rPr>
                    <w:t>门卫室</w:t>
                  </w:r>
                </w:p>
              </w:tc>
              <w:tc>
                <w:tcPr>
                  <w:tcW w:w="3095" w:type="pct"/>
                  <w:vAlign w:val="center"/>
                </w:tcPr>
                <w:p>
                  <w:pPr>
                    <w:jc w:val="left"/>
                    <w:rPr>
                      <w:rFonts w:hint="eastAsia"/>
                      <w:color w:val="auto"/>
                    </w:rPr>
                  </w:pPr>
                  <w:r>
                    <w:rPr>
                      <w:rFonts w:hint="eastAsia"/>
                      <w:color w:val="auto"/>
                    </w:rPr>
                    <w:t>占地面积</w:t>
                  </w:r>
                  <w:r>
                    <w:rPr>
                      <w:rFonts w:hint="eastAsia"/>
                      <w:color w:val="auto"/>
                      <w:lang w:val="en-US" w:eastAsia="zh-CN"/>
                    </w:rPr>
                    <w:t>18</w:t>
                  </w:r>
                  <w:r>
                    <w:rPr>
                      <w:rFonts w:hint="eastAsia"/>
                      <w:color w:val="auto"/>
                    </w:rPr>
                    <w:t>m</w:t>
                  </w:r>
                  <w:r>
                    <w:rPr>
                      <w:rFonts w:hint="eastAsia"/>
                      <w:color w:val="auto"/>
                      <w:vertAlign w:val="superscript"/>
                    </w:rPr>
                    <w:t>2</w:t>
                  </w:r>
                  <w:r>
                    <w:rPr>
                      <w:rFonts w:hint="eastAsia"/>
                      <w:color w:val="auto"/>
                    </w:rPr>
                    <w:t>，建筑</w:t>
                  </w:r>
                  <w:r>
                    <w:rPr>
                      <w:rFonts w:hint="eastAsia"/>
                      <w:color w:val="auto"/>
                      <w:lang w:val="en-US" w:eastAsia="zh-CN"/>
                    </w:rPr>
                    <w:t>面积18</w:t>
                  </w:r>
                  <w:r>
                    <w:rPr>
                      <w:rFonts w:hint="eastAsia"/>
                      <w:color w:val="auto"/>
                    </w:rPr>
                    <w:t>m</w:t>
                  </w:r>
                  <w:r>
                    <w:rPr>
                      <w:rFonts w:hint="eastAsia"/>
                      <w:color w:val="auto"/>
                      <w:vertAlign w:val="superscript"/>
                    </w:rPr>
                    <w:t>2</w:t>
                  </w:r>
                  <w:r>
                    <w:rPr>
                      <w:rFonts w:hint="eastAsia"/>
                      <w:color w:val="auto"/>
                    </w:rPr>
                    <w:t>，共1栋</w:t>
                  </w:r>
                  <w:r>
                    <w:rPr>
                      <w:rFonts w:hint="eastAsia"/>
                      <w:color w:val="auto"/>
                      <w:lang w:val="en-US" w:eastAsia="zh-CN"/>
                    </w:rPr>
                    <w:t>1</w:t>
                  </w:r>
                  <w:r>
                    <w:rPr>
                      <w:rFonts w:hint="eastAsia"/>
                      <w:color w:val="auto"/>
                    </w:rPr>
                    <w:t>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389" w:type="pct"/>
                  <w:vMerge w:val="restart"/>
                  <w:vAlign w:val="center"/>
                </w:tcPr>
                <w:p>
                  <w:pPr>
                    <w:jc w:val="center"/>
                    <w:rPr>
                      <w:color w:val="auto"/>
                    </w:rPr>
                  </w:pPr>
                  <w:r>
                    <w:rPr>
                      <w:color w:val="auto"/>
                    </w:rPr>
                    <w:t>储运工程</w:t>
                  </w:r>
                </w:p>
              </w:tc>
              <w:tc>
                <w:tcPr>
                  <w:tcW w:w="895" w:type="pct"/>
                  <w:gridSpan w:val="2"/>
                  <w:vAlign w:val="center"/>
                </w:tcPr>
                <w:p>
                  <w:pPr>
                    <w:jc w:val="center"/>
                    <w:rPr>
                      <w:color w:val="auto"/>
                    </w:rPr>
                  </w:pPr>
                  <w:r>
                    <w:rPr>
                      <w:color w:val="auto"/>
                    </w:rPr>
                    <w:t>原料仓库</w:t>
                  </w:r>
                </w:p>
              </w:tc>
              <w:tc>
                <w:tcPr>
                  <w:tcW w:w="619" w:type="pct"/>
                  <w:vMerge w:val="restart"/>
                  <w:vAlign w:val="center"/>
                </w:tcPr>
                <w:p>
                  <w:pPr>
                    <w:jc w:val="center"/>
                    <w:rPr>
                      <w:color w:val="auto"/>
                    </w:rPr>
                  </w:pPr>
                  <w:r>
                    <w:rPr>
                      <w:rFonts w:hint="eastAsia"/>
                      <w:color w:val="auto"/>
                    </w:rPr>
                    <w:t>4#厂房</w:t>
                  </w:r>
                </w:p>
              </w:tc>
              <w:tc>
                <w:tcPr>
                  <w:tcW w:w="3095" w:type="pct"/>
                  <w:vMerge w:val="restart"/>
                  <w:vAlign w:val="center"/>
                </w:tcPr>
                <w:p>
                  <w:pPr>
                    <w:jc w:val="left"/>
                    <w:rPr>
                      <w:rFonts w:hint="eastAsia" w:eastAsia="宋体"/>
                      <w:color w:val="auto"/>
                      <w:lang w:eastAsia="zh-CN"/>
                    </w:rPr>
                  </w:pPr>
                  <w:r>
                    <w:rPr>
                      <w:rFonts w:hint="eastAsia"/>
                      <w:color w:val="auto"/>
                    </w:rPr>
                    <w:t>占地面积1960m</w:t>
                  </w:r>
                  <w:r>
                    <w:rPr>
                      <w:rFonts w:hint="eastAsia"/>
                      <w:color w:val="auto"/>
                      <w:vertAlign w:val="superscript"/>
                    </w:rPr>
                    <w:t>2</w:t>
                  </w:r>
                  <w:r>
                    <w:rPr>
                      <w:rFonts w:hint="eastAsia"/>
                      <w:color w:val="auto"/>
                    </w:rPr>
                    <w:t>，建筑面积7930.87m</w:t>
                  </w:r>
                  <w:r>
                    <w:rPr>
                      <w:rFonts w:hint="eastAsia"/>
                      <w:color w:val="auto"/>
                      <w:vertAlign w:val="superscript"/>
                    </w:rPr>
                    <w:t>2</w:t>
                  </w:r>
                  <w:r>
                    <w:rPr>
                      <w:rFonts w:hint="eastAsia"/>
                      <w:color w:val="auto"/>
                    </w:rPr>
                    <w:t>，共1栋4层，原料仓库位于4#厂房二楼</w:t>
                  </w:r>
                  <w:r>
                    <w:rPr>
                      <w:rFonts w:hint="eastAsia"/>
                      <w:color w:val="auto"/>
                      <w:lang w:eastAsia="zh-CN"/>
                    </w:rPr>
                    <w:t>，</w:t>
                  </w:r>
                  <w:r>
                    <w:rPr>
                      <w:rFonts w:hint="eastAsia"/>
                      <w:color w:val="auto"/>
                    </w:rPr>
                    <w:t>成品仓库位于4#厂房三楼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2" w:hRule="atLeast"/>
                <w:jc w:val="center"/>
              </w:trPr>
              <w:tc>
                <w:tcPr>
                  <w:tcW w:w="389" w:type="pct"/>
                  <w:vMerge w:val="continue"/>
                  <w:vAlign w:val="center"/>
                </w:tcPr>
                <w:p>
                  <w:pPr>
                    <w:jc w:val="center"/>
                    <w:rPr>
                      <w:color w:val="auto"/>
                    </w:rPr>
                  </w:pPr>
                </w:p>
              </w:tc>
              <w:tc>
                <w:tcPr>
                  <w:tcW w:w="895" w:type="pct"/>
                  <w:gridSpan w:val="2"/>
                  <w:vAlign w:val="center"/>
                </w:tcPr>
                <w:p>
                  <w:pPr>
                    <w:jc w:val="center"/>
                    <w:rPr>
                      <w:color w:val="auto"/>
                    </w:rPr>
                  </w:pPr>
                  <w:r>
                    <w:rPr>
                      <w:color w:val="auto"/>
                    </w:rPr>
                    <w:t>成品仓库</w:t>
                  </w:r>
                </w:p>
              </w:tc>
              <w:tc>
                <w:tcPr>
                  <w:tcW w:w="619" w:type="pct"/>
                  <w:vMerge w:val="continue"/>
                  <w:vAlign w:val="center"/>
                </w:tcPr>
                <w:p>
                  <w:pPr>
                    <w:jc w:val="left"/>
                    <w:rPr>
                      <w:color w:val="auto"/>
                    </w:rPr>
                  </w:pPr>
                </w:p>
              </w:tc>
              <w:tc>
                <w:tcPr>
                  <w:tcW w:w="3095" w:type="pct"/>
                  <w:vMerge w:val="continue"/>
                  <w:vAlign w:val="center"/>
                </w:tcPr>
                <w:p>
                  <w:pPr>
                    <w:jc w:val="left"/>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5" w:hRule="atLeast"/>
                <w:jc w:val="center"/>
              </w:trPr>
              <w:tc>
                <w:tcPr>
                  <w:tcW w:w="389" w:type="pct"/>
                  <w:vMerge w:val="restart"/>
                  <w:vAlign w:val="center"/>
                </w:tcPr>
                <w:p>
                  <w:pPr>
                    <w:jc w:val="center"/>
                    <w:rPr>
                      <w:color w:val="auto"/>
                    </w:rPr>
                  </w:pPr>
                  <w:r>
                    <w:rPr>
                      <w:color w:val="auto"/>
                    </w:rPr>
                    <w:t>公用工程</w:t>
                  </w:r>
                </w:p>
              </w:tc>
              <w:tc>
                <w:tcPr>
                  <w:tcW w:w="895" w:type="pct"/>
                  <w:gridSpan w:val="2"/>
                  <w:vAlign w:val="center"/>
                </w:tcPr>
                <w:p>
                  <w:pPr>
                    <w:jc w:val="center"/>
                    <w:rPr>
                      <w:color w:val="auto"/>
                    </w:rPr>
                  </w:pPr>
                  <w:r>
                    <w:rPr>
                      <w:color w:val="auto"/>
                    </w:rPr>
                    <w:t>给水工程</w:t>
                  </w:r>
                </w:p>
              </w:tc>
              <w:tc>
                <w:tcPr>
                  <w:tcW w:w="3714" w:type="pct"/>
                  <w:gridSpan w:val="2"/>
                  <w:vAlign w:val="center"/>
                </w:tcPr>
                <w:p>
                  <w:pPr>
                    <w:jc w:val="left"/>
                    <w:rPr>
                      <w:color w:val="auto"/>
                    </w:rPr>
                  </w:pPr>
                  <w:r>
                    <w:rPr>
                      <w:color w:val="auto"/>
                    </w:rPr>
                    <w:t>市政自来水供应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0" w:hRule="atLeast"/>
                <w:jc w:val="center"/>
              </w:trPr>
              <w:tc>
                <w:tcPr>
                  <w:tcW w:w="389" w:type="pct"/>
                  <w:vMerge w:val="continue"/>
                  <w:vAlign w:val="center"/>
                </w:tcPr>
                <w:p>
                  <w:pPr>
                    <w:jc w:val="center"/>
                    <w:rPr>
                      <w:color w:val="auto"/>
                    </w:rPr>
                  </w:pPr>
                </w:p>
              </w:tc>
              <w:tc>
                <w:tcPr>
                  <w:tcW w:w="895" w:type="pct"/>
                  <w:gridSpan w:val="2"/>
                  <w:vAlign w:val="center"/>
                </w:tcPr>
                <w:p>
                  <w:pPr>
                    <w:jc w:val="center"/>
                    <w:rPr>
                      <w:color w:val="auto"/>
                    </w:rPr>
                  </w:pPr>
                  <w:r>
                    <w:rPr>
                      <w:color w:val="auto"/>
                    </w:rPr>
                    <w:t>排水工程</w:t>
                  </w:r>
                </w:p>
              </w:tc>
              <w:tc>
                <w:tcPr>
                  <w:tcW w:w="3714" w:type="pct"/>
                  <w:gridSpan w:val="2"/>
                  <w:vAlign w:val="center"/>
                </w:tcPr>
                <w:p>
                  <w:pPr>
                    <w:jc w:val="left"/>
                    <w:rPr>
                      <w:color w:val="auto"/>
                    </w:rPr>
                  </w:pPr>
                  <w:r>
                    <w:rPr>
                      <w:color w:val="auto"/>
                    </w:rPr>
                    <w:t>雨水排放系统；污水管网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5" w:hRule="atLeast"/>
                <w:jc w:val="center"/>
              </w:trPr>
              <w:tc>
                <w:tcPr>
                  <w:tcW w:w="389" w:type="pct"/>
                  <w:vMerge w:val="continue"/>
                  <w:vAlign w:val="center"/>
                </w:tcPr>
                <w:p>
                  <w:pPr>
                    <w:jc w:val="center"/>
                    <w:rPr>
                      <w:color w:val="auto"/>
                    </w:rPr>
                  </w:pPr>
                </w:p>
              </w:tc>
              <w:tc>
                <w:tcPr>
                  <w:tcW w:w="895" w:type="pct"/>
                  <w:gridSpan w:val="2"/>
                  <w:vAlign w:val="center"/>
                </w:tcPr>
                <w:p>
                  <w:pPr>
                    <w:jc w:val="center"/>
                    <w:rPr>
                      <w:color w:val="auto"/>
                    </w:rPr>
                  </w:pPr>
                  <w:r>
                    <w:rPr>
                      <w:color w:val="auto"/>
                    </w:rPr>
                    <w:t>供电工程</w:t>
                  </w:r>
                </w:p>
              </w:tc>
              <w:tc>
                <w:tcPr>
                  <w:tcW w:w="3714" w:type="pct"/>
                  <w:gridSpan w:val="2"/>
                  <w:vAlign w:val="center"/>
                </w:tcPr>
                <w:p>
                  <w:pPr>
                    <w:jc w:val="left"/>
                    <w:rPr>
                      <w:color w:val="auto"/>
                    </w:rPr>
                  </w:pPr>
                  <w:r>
                    <w:rPr>
                      <w:color w:val="auto"/>
                    </w:rPr>
                    <w:t>市政电网供应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6" w:hRule="atLeast"/>
                <w:jc w:val="center"/>
              </w:trPr>
              <w:tc>
                <w:tcPr>
                  <w:tcW w:w="389" w:type="pct"/>
                  <w:vMerge w:val="restart"/>
                  <w:vAlign w:val="center"/>
                </w:tcPr>
                <w:p>
                  <w:pPr>
                    <w:jc w:val="center"/>
                    <w:rPr>
                      <w:color w:val="auto"/>
                    </w:rPr>
                  </w:pPr>
                  <w:r>
                    <w:rPr>
                      <w:color w:val="auto"/>
                    </w:rPr>
                    <w:t>环保工程</w:t>
                  </w:r>
                </w:p>
              </w:tc>
              <w:tc>
                <w:tcPr>
                  <w:tcW w:w="280" w:type="pct"/>
                  <w:vMerge w:val="restart"/>
                  <w:vAlign w:val="center"/>
                </w:tcPr>
                <w:p>
                  <w:pPr>
                    <w:jc w:val="center"/>
                    <w:rPr>
                      <w:color w:val="auto"/>
                    </w:rPr>
                  </w:pPr>
                  <w:r>
                    <w:rPr>
                      <w:color w:val="auto"/>
                    </w:rPr>
                    <w:t>废气</w:t>
                  </w:r>
                </w:p>
              </w:tc>
              <w:tc>
                <w:tcPr>
                  <w:tcW w:w="4330" w:type="pct"/>
                  <w:gridSpan w:val="3"/>
                  <w:vAlign w:val="center"/>
                </w:tcPr>
                <w:p>
                  <w:pPr>
                    <w:rPr>
                      <w:color w:val="auto"/>
                    </w:rPr>
                  </w:pPr>
                  <w:r>
                    <w:rPr>
                      <w:rFonts w:hint="eastAsia"/>
                      <w:color w:val="auto"/>
                    </w:rPr>
                    <w:t>配料粉尘</w:t>
                  </w:r>
                  <w:r>
                    <w:rPr>
                      <w:color w:val="auto"/>
                    </w:rPr>
                    <w:t>经收集后引至脉冲布袋除尘器进行处理，处理达标后通过</w:t>
                  </w:r>
                  <w:r>
                    <w:rPr>
                      <w:rFonts w:hint="eastAsia"/>
                      <w:color w:val="auto"/>
                    </w:rPr>
                    <w:t>15m高的（</w:t>
                  </w:r>
                  <w:r>
                    <w:rPr>
                      <w:color w:val="auto"/>
                    </w:rPr>
                    <w:t>DA001</w:t>
                  </w:r>
                  <w:r>
                    <w:rPr>
                      <w:rFonts w:hint="eastAsia"/>
                      <w:color w:val="auto"/>
                    </w:rPr>
                    <w:t>）</w:t>
                  </w:r>
                  <w:r>
                    <w:rPr>
                      <w:color w:val="auto"/>
                    </w:rPr>
                    <w:t>排气筒排放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2" w:hRule="atLeast"/>
                <w:jc w:val="center"/>
              </w:trPr>
              <w:tc>
                <w:tcPr>
                  <w:tcW w:w="389" w:type="pct"/>
                  <w:vMerge w:val="continue"/>
                  <w:vAlign w:val="center"/>
                </w:tcPr>
                <w:p>
                  <w:pPr>
                    <w:jc w:val="center"/>
                    <w:rPr>
                      <w:color w:val="auto"/>
                    </w:rPr>
                  </w:pPr>
                </w:p>
              </w:tc>
              <w:tc>
                <w:tcPr>
                  <w:tcW w:w="280" w:type="pct"/>
                  <w:vMerge w:val="continue"/>
                  <w:vAlign w:val="center"/>
                </w:tcPr>
                <w:p>
                  <w:pPr>
                    <w:jc w:val="center"/>
                    <w:rPr>
                      <w:color w:val="auto"/>
                    </w:rPr>
                  </w:pPr>
                </w:p>
              </w:tc>
              <w:tc>
                <w:tcPr>
                  <w:tcW w:w="4330" w:type="pct"/>
                  <w:gridSpan w:val="3"/>
                  <w:vAlign w:val="center"/>
                </w:tcPr>
                <w:p>
                  <w:pPr>
                    <w:widowControl/>
                    <w:adjustRightInd w:val="0"/>
                    <w:snapToGrid w:val="0"/>
                    <w:rPr>
                      <w:color w:val="auto"/>
                    </w:rPr>
                  </w:pPr>
                  <w:r>
                    <w:rPr>
                      <w:color w:val="auto"/>
                    </w:rPr>
                    <w:t>混炼废气经负压收集后进入</w:t>
                  </w:r>
                  <w:r>
                    <w:rPr>
                      <w:bCs/>
                      <w:color w:val="auto"/>
                    </w:rPr>
                    <w:t>布袋除尘器除尘</w:t>
                  </w:r>
                  <w:r>
                    <w:rPr>
                      <w:rFonts w:hint="eastAsia"/>
                      <w:bCs/>
                      <w:color w:val="auto"/>
                    </w:rPr>
                    <w:t>+</w:t>
                  </w:r>
                  <w:r>
                    <w:rPr>
                      <w:rFonts w:hint="eastAsia"/>
                      <w:bCs/>
                      <w:color w:val="auto"/>
                      <w:lang w:val="en-US" w:eastAsia="zh-CN"/>
                    </w:rPr>
                    <w:t>两</w:t>
                  </w:r>
                  <w:r>
                    <w:rPr>
                      <w:bCs/>
                      <w:color w:val="auto"/>
                    </w:rPr>
                    <w:t>级活性炭吸附装置</w:t>
                  </w:r>
                  <w:r>
                    <w:rPr>
                      <w:color w:val="auto"/>
                    </w:rPr>
                    <w:t>进行处理，处理后的达标废气经15m排气筒</w:t>
                  </w:r>
                  <w:r>
                    <w:rPr>
                      <w:rFonts w:hint="eastAsia"/>
                      <w:color w:val="auto"/>
                    </w:rPr>
                    <w:t>（</w:t>
                  </w:r>
                  <w:r>
                    <w:rPr>
                      <w:color w:val="auto"/>
                    </w:rPr>
                    <w:t>DA002</w:t>
                  </w:r>
                  <w:r>
                    <w:rPr>
                      <w:rFonts w:hint="eastAsia"/>
                      <w:color w:val="auto"/>
                    </w:rPr>
                    <w:t>）</w:t>
                  </w:r>
                  <w:r>
                    <w:rPr>
                      <w:color w:val="auto"/>
                    </w:rPr>
                    <w:t>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7" w:hRule="atLeast"/>
                <w:jc w:val="center"/>
              </w:trPr>
              <w:tc>
                <w:tcPr>
                  <w:tcW w:w="389" w:type="pct"/>
                  <w:vMerge w:val="continue"/>
                  <w:vAlign w:val="center"/>
                </w:tcPr>
                <w:p>
                  <w:pPr>
                    <w:jc w:val="center"/>
                    <w:rPr>
                      <w:color w:val="auto"/>
                    </w:rPr>
                  </w:pPr>
                </w:p>
              </w:tc>
              <w:tc>
                <w:tcPr>
                  <w:tcW w:w="280" w:type="pct"/>
                  <w:vMerge w:val="continue"/>
                  <w:vAlign w:val="center"/>
                </w:tcPr>
                <w:p>
                  <w:pPr>
                    <w:jc w:val="center"/>
                    <w:rPr>
                      <w:color w:val="auto"/>
                    </w:rPr>
                  </w:pPr>
                </w:p>
              </w:tc>
              <w:tc>
                <w:tcPr>
                  <w:tcW w:w="4330" w:type="pct"/>
                  <w:gridSpan w:val="3"/>
                  <w:vAlign w:val="center"/>
                </w:tcPr>
                <w:p>
                  <w:pPr>
                    <w:jc w:val="left"/>
                    <w:rPr>
                      <w:color w:val="auto"/>
                    </w:rPr>
                  </w:pPr>
                  <w:r>
                    <w:rPr>
                      <w:color w:val="auto"/>
                    </w:rPr>
                    <w:t>模压废气经负压收集后进入</w:t>
                  </w:r>
                  <w:r>
                    <w:rPr>
                      <w:rFonts w:hint="eastAsia"/>
                      <w:color w:val="auto"/>
                      <w:lang w:val="en-US" w:eastAsia="zh-CN"/>
                    </w:rPr>
                    <w:t>两</w:t>
                  </w:r>
                  <w:r>
                    <w:rPr>
                      <w:color w:val="auto"/>
                    </w:rPr>
                    <w:t>级活性炭吸附装置进行处理，处理后的达标废气经15m排气筒</w:t>
                  </w:r>
                  <w:r>
                    <w:rPr>
                      <w:rFonts w:hint="eastAsia"/>
                      <w:color w:val="auto"/>
                    </w:rPr>
                    <w:t>（</w:t>
                  </w:r>
                  <w:r>
                    <w:rPr>
                      <w:color w:val="auto"/>
                    </w:rPr>
                    <w:t>DA003</w:t>
                  </w:r>
                  <w:r>
                    <w:rPr>
                      <w:rFonts w:hint="eastAsia"/>
                      <w:color w:val="auto"/>
                    </w:rPr>
                    <w:t>）</w:t>
                  </w:r>
                  <w:r>
                    <w:rPr>
                      <w:color w:val="auto"/>
                    </w:rPr>
                    <w:t>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7" w:hRule="atLeast"/>
                <w:jc w:val="center"/>
              </w:trPr>
              <w:tc>
                <w:tcPr>
                  <w:tcW w:w="389" w:type="pct"/>
                  <w:vMerge w:val="continue"/>
                  <w:vAlign w:val="center"/>
                </w:tcPr>
                <w:p>
                  <w:pPr>
                    <w:jc w:val="center"/>
                    <w:rPr>
                      <w:color w:val="auto"/>
                    </w:rPr>
                  </w:pPr>
                </w:p>
              </w:tc>
              <w:tc>
                <w:tcPr>
                  <w:tcW w:w="280" w:type="pct"/>
                  <w:vMerge w:val="continue"/>
                  <w:vAlign w:val="center"/>
                </w:tcPr>
                <w:p>
                  <w:pPr>
                    <w:jc w:val="center"/>
                    <w:rPr>
                      <w:color w:val="auto"/>
                    </w:rPr>
                  </w:pPr>
                </w:p>
              </w:tc>
              <w:tc>
                <w:tcPr>
                  <w:tcW w:w="4330" w:type="pct"/>
                  <w:gridSpan w:val="3"/>
                  <w:vAlign w:val="center"/>
                </w:tcPr>
                <w:p>
                  <w:pPr>
                    <w:jc w:val="left"/>
                    <w:rPr>
                      <w:color w:val="auto"/>
                    </w:rPr>
                  </w:pPr>
                  <w:r>
                    <w:rPr>
                      <w:rFonts w:hint="eastAsia"/>
                      <w:color w:val="auto"/>
                      <w:szCs w:val="21"/>
                    </w:rPr>
                    <w:t>厨房油烟经油烟净化器处理达标后经15米</w:t>
                  </w:r>
                  <w:r>
                    <w:rPr>
                      <w:color w:val="auto"/>
                      <w:szCs w:val="21"/>
                    </w:rPr>
                    <w:t>高排气筒排放（</w:t>
                  </w:r>
                  <w:r>
                    <w:rPr>
                      <w:rFonts w:hint="eastAsia"/>
                      <w:color w:val="auto"/>
                      <w:szCs w:val="21"/>
                    </w:rPr>
                    <w:t>DA</w:t>
                  </w:r>
                  <w:r>
                    <w:rPr>
                      <w:color w:val="auto"/>
                      <w:szCs w:val="21"/>
                    </w:rPr>
                    <w:t>00</w:t>
                  </w:r>
                  <w:r>
                    <w:rPr>
                      <w:rFonts w:hint="eastAsia"/>
                      <w:color w:val="auto"/>
                      <w:szCs w:val="21"/>
                    </w:rPr>
                    <w:t>4</w:t>
                  </w:r>
                  <w:r>
                    <w:rPr>
                      <w:color w:val="auto"/>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0" w:hRule="atLeast"/>
                <w:jc w:val="center"/>
              </w:trPr>
              <w:tc>
                <w:tcPr>
                  <w:tcW w:w="389" w:type="pct"/>
                  <w:vMerge w:val="continue"/>
                  <w:vAlign w:val="center"/>
                </w:tcPr>
                <w:p>
                  <w:pPr>
                    <w:jc w:val="center"/>
                    <w:rPr>
                      <w:color w:val="auto"/>
                    </w:rPr>
                  </w:pPr>
                </w:p>
              </w:tc>
              <w:tc>
                <w:tcPr>
                  <w:tcW w:w="895" w:type="pct"/>
                  <w:gridSpan w:val="2"/>
                  <w:vAlign w:val="center"/>
                </w:tcPr>
                <w:p>
                  <w:pPr>
                    <w:jc w:val="center"/>
                    <w:rPr>
                      <w:color w:val="auto"/>
                    </w:rPr>
                  </w:pPr>
                  <w:r>
                    <w:rPr>
                      <w:color w:val="auto"/>
                    </w:rPr>
                    <w:t>噪声</w:t>
                  </w:r>
                </w:p>
              </w:tc>
              <w:tc>
                <w:tcPr>
                  <w:tcW w:w="3714" w:type="pct"/>
                  <w:gridSpan w:val="2"/>
                  <w:vAlign w:val="center"/>
                </w:tcPr>
                <w:p>
                  <w:pPr>
                    <w:adjustRightInd w:val="0"/>
                    <w:snapToGrid w:val="0"/>
                    <w:rPr>
                      <w:color w:val="auto"/>
                    </w:rPr>
                  </w:pPr>
                  <w:r>
                    <w:rPr>
                      <w:color w:val="auto"/>
                    </w:rPr>
                    <w:t>基础减振、厂房隔声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4" w:hRule="atLeast"/>
                <w:jc w:val="center"/>
              </w:trPr>
              <w:tc>
                <w:tcPr>
                  <w:tcW w:w="389" w:type="pct"/>
                  <w:vMerge w:val="continue"/>
                  <w:vAlign w:val="center"/>
                </w:tcPr>
                <w:p>
                  <w:pPr>
                    <w:jc w:val="center"/>
                    <w:rPr>
                      <w:color w:val="auto"/>
                    </w:rPr>
                  </w:pPr>
                </w:p>
              </w:tc>
              <w:tc>
                <w:tcPr>
                  <w:tcW w:w="280" w:type="pct"/>
                  <w:vAlign w:val="center"/>
                </w:tcPr>
                <w:p>
                  <w:pPr>
                    <w:jc w:val="center"/>
                    <w:rPr>
                      <w:color w:val="auto"/>
                    </w:rPr>
                  </w:pPr>
                  <w:r>
                    <w:rPr>
                      <w:color w:val="auto"/>
                    </w:rPr>
                    <w:t>废水</w:t>
                  </w:r>
                </w:p>
              </w:tc>
              <w:tc>
                <w:tcPr>
                  <w:tcW w:w="615" w:type="pct"/>
                  <w:vAlign w:val="center"/>
                </w:tcPr>
                <w:p>
                  <w:pPr>
                    <w:jc w:val="center"/>
                    <w:rPr>
                      <w:color w:val="auto"/>
                    </w:rPr>
                  </w:pPr>
                  <w:r>
                    <w:rPr>
                      <w:color w:val="auto"/>
                    </w:rPr>
                    <w:t>生活污水</w:t>
                  </w:r>
                </w:p>
              </w:tc>
              <w:tc>
                <w:tcPr>
                  <w:tcW w:w="3714" w:type="pct"/>
                  <w:gridSpan w:val="2"/>
                  <w:vAlign w:val="center"/>
                </w:tcPr>
                <w:p>
                  <w:pPr>
                    <w:jc w:val="left"/>
                    <w:rPr>
                      <w:color w:val="auto"/>
                    </w:rPr>
                  </w:pPr>
                  <w:r>
                    <w:rPr>
                      <w:color w:val="auto"/>
                      <w:szCs w:val="21"/>
                    </w:rPr>
                    <w:t>生活污水：</w:t>
                  </w:r>
                  <w:r>
                    <w:rPr>
                      <w:rFonts w:hint="eastAsia"/>
                      <w:color w:val="auto"/>
                      <w:szCs w:val="21"/>
                    </w:rPr>
                    <w:t>经三级化粪池预处理后排入杨侨镇生活污水处理厂，处理达标后排入南蛇沥，汇入公庄河，最终排入东江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0" w:hRule="atLeast"/>
                <w:jc w:val="center"/>
              </w:trPr>
              <w:tc>
                <w:tcPr>
                  <w:tcW w:w="389" w:type="pct"/>
                  <w:vMerge w:val="continue"/>
                  <w:vAlign w:val="center"/>
                </w:tcPr>
                <w:p>
                  <w:pPr>
                    <w:jc w:val="center"/>
                    <w:rPr>
                      <w:color w:val="auto"/>
                    </w:rPr>
                  </w:pPr>
                </w:p>
              </w:tc>
              <w:tc>
                <w:tcPr>
                  <w:tcW w:w="280" w:type="pct"/>
                  <w:vMerge w:val="restart"/>
                  <w:vAlign w:val="center"/>
                </w:tcPr>
                <w:p>
                  <w:pPr>
                    <w:jc w:val="center"/>
                    <w:rPr>
                      <w:color w:val="auto"/>
                    </w:rPr>
                  </w:pPr>
                  <w:r>
                    <w:rPr>
                      <w:color w:val="auto"/>
                    </w:rPr>
                    <w:t>固废</w:t>
                  </w:r>
                </w:p>
              </w:tc>
              <w:tc>
                <w:tcPr>
                  <w:tcW w:w="615" w:type="pct"/>
                  <w:vAlign w:val="center"/>
                </w:tcPr>
                <w:p>
                  <w:pPr>
                    <w:jc w:val="center"/>
                    <w:rPr>
                      <w:color w:val="auto"/>
                    </w:rPr>
                  </w:pPr>
                  <w:r>
                    <w:rPr>
                      <w:color w:val="auto"/>
                    </w:rPr>
                    <w:t>一般工业固废</w:t>
                  </w:r>
                </w:p>
              </w:tc>
              <w:tc>
                <w:tcPr>
                  <w:tcW w:w="619" w:type="pct"/>
                  <w:vMerge w:val="restart"/>
                  <w:vAlign w:val="center"/>
                </w:tcPr>
                <w:p>
                  <w:pPr>
                    <w:widowControl/>
                    <w:adjustRightInd w:val="0"/>
                    <w:snapToGrid w:val="0"/>
                    <w:rPr>
                      <w:color w:val="auto"/>
                    </w:rPr>
                  </w:pPr>
                  <w:r>
                    <w:rPr>
                      <w:color w:val="auto"/>
                    </w:rPr>
                    <w:t>固废间位于</w:t>
                  </w:r>
                  <w:r>
                    <w:rPr>
                      <w:rFonts w:hint="eastAsia"/>
                      <w:color w:val="auto"/>
                    </w:rPr>
                    <w:t>4#厂房一楼</w:t>
                  </w:r>
                </w:p>
              </w:tc>
              <w:tc>
                <w:tcPr>
                  <w:tcW w:w="3095" w:type="pct"/>
                  <w:vAlign w:val="center"/>
                </w:tcPr>
                <w:p>
                  <w:pPr>
                    <w:widowControl/>
                    <w:adjustRightInd w:val="0"/>
                    <w:snapToGrid w:val="0"/>
                    <w:rPr>
                      <w:color w:val="auto"/>
                    </w:rPr>
                  </w:pPr>
                  <w:r>
                    <w:rPr>
                      <w:color w:val="auto"/>
                      <w:lang w:bidi="ar"/>
                    </w:rPr>
                    <w:t>储存于一般固体废物暂存间，</w:t>
                  </w:r>
                  <w:r>
                    <w:rPr>
                      <w:rFonts w:hint="eastAsia"/>
                      <w:color w:val="auto"/>
                      <w:lang w:bidi="ar"/>
                    </w:rPr>
                    <w:t>面积约30m</w:t>
                  </w:r>
                  <w:r>
                    <w:rPr>
                      <w:rFonts w:hint="eastAsia"/>
                      <w:color w:val="auto"/>
                      <w:vertAlign w:val="superscript"/>
                      <w:lang w:bidi="ar"/>
                    </w:rPr>
                    <w:t>2</w:t>
                  </w:r>
                  <w:r>
                    <w:rPr>
                      <w:rFonts w:hint="eastAsia"/>
                      <w:color w:val="auto"/>
                      <w:lang w:bidi="ar"/>
                    </w:rPr>
                    <w:t>，</w:t>
                  </w:r>
                  <w:r>
                    <w:rPr>
                      <w:color w:val="auto"/>
                      <w:lang w:bidi="ar"/>
                    </w:rPr>
                    <w:t>交由相关专业回收公司回收处理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1" w:hRule="atLeast"/>
                <w:jc w:val="center"/>
              </w:trPr>
              <w:tc>
                <w:tcPr>
                  <w:tcW w:w="389" w:type="pct"/>
                  <w:vMerge w:val="continue"/>
                  <w:vAlign w:val="center"/>
                </w:tcPr>
                <w:p>
                  <w:pPr>
                    <w:jc w:val="center"/>
                    <w:rPr>
                      <w:color w:val="auto"/>
                    </w:rPr>
                  </w:pPr>
                </w:p>
              </w:tc>
              <w:tc>
                <w:tcPr>
                  <w:tcW w:w="280" w:type="pct"/>
                  <w:vMerge w:val="continue"/>
                  <w:vAlign w:val="center"/>
                </w:tcPr>
                <w:p>
                  <w:pPr>
                    <w:jc w:val="center"/>
                    <w:rPr>
                      <w:color w:val="auto"/>
                    </w:rPr>
                  </w:pPr>
                </w:p>
              </w:tc>
              <w:tc>
                <w:tcPr>
                  <w:tcW w:w="615" w:type="pct"/>
                  <w:vAlign w:val="center"/>
                </w:tcPr>
                <w:p>
                  <w:pPr>
                    <w:jc w:val="center"/>
                    <w:rPr>
                      <w:color w:val="auto"/>
                    </w:rPr>
                  </w:pPr>
                  <w:r>
                    <w:rPr>
                      <w:color w:val="auto"/>
                    </w:rPr>
                    <w:t>危废</w:t>
                  </w:r>
                </w:p>
              </w:tc>
              <w:tc>
                <w:tcPr>
                  <w:tcW w:w="619" w:type="pct"/>
                  <w:vMerge w:val="continue"/>
                  <w:vAlign w:val="center"/>
                </w:tcPr>
                <w:p>
                  <w:pPr>
                    <w:widowControl/>
                    <w:adjustRightInd w:val="0"/>
                    <w:snapToGrid w:val="0"/>
                    <w:rPr>
                      <w:color w:val="auto"/>
                    </w:rPr>
                  </w:pPr>
                </w:p>
              </w:tc>
              <w:tc>
                <w:tcPr>
                  <w:tcW w:w="3095" w:type="pct"/>
                  <w:vAlign w:val="center"/>
                </w:tcPr>
                <w:p>
                  <w:pPr>
                    <w:widowControl/>
                    <w:adjustRightInd w:val="0"/>
                    <w:snapToGrid w:val="0"/>
                    <w:rPr>
                      <w:color w:val="auto"/>
                    </w:rPr>
                  </w:pPr>
                  <w:r>
                    <w:rPr>
                      <w:color w:val="auto"/>
                      <w:lang w:bidi="ar"/>
                    </w:rPr>
                    <w:t>储存于危险废物暂存间</w:t>
                  </w:r>
                  <w:r>
                    <w:rPr>
                      <w:rFonts w:hint="eastAsia"/>
                      <w:color w:val="auto"/>
                      <w:lang w:bidi="ar"/>
                    </w:rPr>
                    <w:t>。面积约30m</w:t>
                  </w:r>
                  <w:r>
                    <w:rPr>
                      <w:rFonts w:hint="eastAsia"/>
                      <w:color w:val="auto"/>
                      <w:vertAlign w:val="superscript"/>
                      <w:lang w:bidi="ar"/>
                    </w:rPr>
                    <w:t>2</w:t>
                  </w:r>
                  <w:r>
                    <w:rPr>
                      <w:rFonts w:hint="eastAsia"/>
                      <w:color w:val="auto"/>
                      <w:lang w:bidi="ar"/>
                    </w:rPr>
                    <w:t>，</w:t>
                  </w:r>
                  <w:r>
                    <w:rPr>
                      <w:color w:val="auto"/>
                      <w:lang w:bidi="ar"/>
                    </w:rPr>
                    <w:t>交由有资质单位处理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8" w:hRule="atLeast"/>
                <w:jc w:val="center"/>
              </w:trPr>
              <w:tc>
                <w:tcPr>
                  <w:tcW w:w="389" w:type="pct"/>
                  <w:vMerge w:val="continue"/>
                  <w:vAlign w:val="center"/>
                </w:tcPr>
                <w:p>
                  <w:pPr>
                    <w:jc w:val="center"/>
                    <w:rPr>
                      <w:color w:val="auto"/>
                    </w:rPr>
                  </w:pPr>
                </w:p>
              </w:tc>
              <w:tc>
                <w:tcPr>
                  <w:tcW w:w="280" w:type="pct"/>
                  <w:vMerge w:val="continue"/>
                  <w:vAlign w:val="center"/>
                </w:tcPr>
                <w:p>
                  <w:pPr>
                    <w:jc w:val="center"/>
                    <w:rPr>
                      <w:color w:val="auto"/>
                    </w:rPr>
                  </w:pPr>
                </w:p>
              </w:tc>
              <w:tc>
                <w:tcPr>
                  <w:tcW w:w="1234" w:type="pct"/>
                  <w:gridSpan w:val="2"/>
                  <w:vAlign w:val="center"/>
                </w:tcPr>
                <w:p>
                  <w:pPr>
                    <w:jc w:val="center"/>
                    <w:rPr>
                      <w:color w:val="auto"/>
                    </w:rPr>
                  </w:pPr>
                  <w:r>
                    <w:rPr>
                      <w:color w:val="auto"/>
                    </w:rPr>
                    <w:t>生活垃圾</w:t>
                  </w:r>
                </w:p>
              </w:tc>
              <w:tc>
                <w:tcPr>
                  <w:tcW w:w="3095" w:type="pct"/>
                  <w:vAlign w:val="center"/>
                </w:tcPr>
                <w:p>
                  <w:pPr>
                    <w:jc w:val="left"/>
                    <w:rPr>
                      <w:color w:val="auto"/>
                    </w:rPr>
                  </w:pPr>
                  <w:r>
                    <w:rPr>
                      <w:color w:val="auto"/>
                    </w:rPr>
                    <w:t>交由环卫部门统一清运处理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0" w:hRule="atLeast"/>
                <w:jc w:val="center"/>
              </w:trPr>
              <w:tc>
                <w:tcPr>
                  <w:tcW w:w="389" w:type="pct"/>
                  <w:vAlign w:val="center"/>
                </w:tcPr>
                <w:p>
                  <w:pPr>
                    <w:jc w:val="center"/>
                    <w:rPr>
                      <w:color w:val="auto"/>
                    </w:rPr>
                  </w:pPr>
                  <w:r>
                    <w:rPr>
                      <w:color w:val="auto"/>
                    </w:rPr>
                    <w:t>依托工程</w:t>
                  </w:r>
                </w:p>
              </w:tc>
              <w:tc>
                <w:tcPr>
                  <w:tcW w:w="4610" w:type="pct"/>
                  <w:gridSpan w:val="4"/>
                  <w:vAlign w:val="center"/>
                </w:tcPr>
                <w:p>
                  <w:pPr>
                    <w:jc w:val="center"/>
                    <w:rPr>
                      <w:color w:val="auto"/>
                    </w:rPr>
                  </w:pPr>
                  <w:r>
                    <w:rPr>
                      <w:rFonts w:hint="eastAsia"/>
                      <w:color w:val="auto"/>
                    </w:rPr>
                    <w:t>杨侨镇生活污水处理厂</w:t>
                  </w:r>
                </w:p>
              </w:tc>
            </w:tr>
          </w:tbl>
          <w:p>
            <w:pPr>
              <w:widowControl/>
              <w:spacing w:before="120" w:beforeLines="50" w:line="360" w:lineRule="auto"/>
              <w:ind w:firstLine="422" w:firstLineChars="200"/>
              <w:rPr>
                <w:b/>
                <w:bCs/>
                <w:color w:val="auto"/>
              </w:rPr>
            </w:pPr>
            <w:r>
              <w:rPr>
                <w:b/>
                <w:bCs/>
                <w:color w:val="auto"/>
              </w:rPr>
              <w:t>2、环保投资估算</w:t>
            </w:r>
          </w:p>
          <w:p>
            <w:pPr>
              <w:pStyle w:val="106"/>
              <w:spacing w:after="120" w:afterLines="50"/>
              <w:jc w:val="center"/>
              <w:rPr>
                <w:rStyle w:val="104"/>
                <w:rFonts w:ascii="Times New Roman" w:hAnsi="Times New Roman" w:cs="Times New Roman"/>
                <w:color w:val="auto"/>
                <w:szCs w:val="20"/>
              </w:rPr>
            </w:pPr>
            <w:r>
              <w:rPr>
                <w:rFonts w:ascii="Times New Roman" w:hAnsi="Times New Roman" w:cs="Times New Roman"/>
                <w:b/>
                <w:bCs/>
                <w:color w:val="auto"/>
                <w:sz w:val="21"/>
                <w:szCs w:val="21"/>
              </w:rPr>
              <w:t>表2-</w:t>
            </w:r>
            <w:r>
              <w:rPr>
                <w:rFonts w:hint="eastAsia" w:ascii="Times New Roman" w:hAnsi="Times New Roman" w:cs="Times New Roman"/>
                <w:b/>
                <w:bCs/>
                <w:color w:val="auto"/>
                <w:sz w:val="21"/>
                <w:szCs w:val="21"/>
              </w:rPr>
              <w:t>3</w:t>
            </w:r>
            <w:r>
              <w:rPr>
                <w:rFonts w:ascii="Times New Roman" w:hAnsi="Times New Roman" w:cs="Times New Roman"/>
                <w:b/>
                <w:bCs/>
                <w:color w:val="auto"/>
                <w:sz w:val="21"/>
                <w:szCs w:val="21"/>
              </w:rPr>
              <w:t xml:space="preserve"> 环保投资一览表</w:t>
            </w:r>
          </w:p>
          <w:tbl>
            <w:tblPr>
              <w:tblStyle w:val="92"/>
              <w:tblW w:w="0" w:type="auto"/>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8" w:type="dxa"/>
                <w:bottom w:w="0" w:type="dxa"/>
                <w:right w:w="108" w:type="dxa"/>
              </w:tblCellMar>
            </w:tblPr>
            <w:tblGrid>
              <w:gridCol w:w="1164"/>
              <w:gridCol w:w="1987"/>
              <w:gridCol w:w="4825"/>
              <w:gridCol w:w="691"/>
              <w:gridCol w:w="617"/>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87" w:hRule="atLeast"/>
                <w:jc w:val="center"/>
              </w:trPr>
              <w:tc>
                <w:tcPr>
                  <w:tcW w:w="1163" w:type="dxa"/>
                  <w:vMerge w:val="restart"/>
                  <w:vAlign w:val="center"/>
                </w:tcPr>
                <w:p>
                  <w:pPr>
                    <w:jc w:val="center"/>
                    <w:rPr>
                      <w:b/>
                      <w:bCs/>
                      <w:color w:val="auto"/>
                    </w:rPr>
                  </w:pPr>
                  <w:r>
                    <w:rPr>
                      <w:rFonts w:hint="eastAsia"/>
                      <w:b/>
                      <w:bCs/>
                      <w:color w:val="auto"/>
                    </w:rPr>
                    <w:t>环保防治项目</w:t>
                  </w:r>
                </w:p>
              </w:tc>
              <w:tc>
                <w:tcPr>
                  <w:tcW w:w="6804" w:type="dxa"/>
                  <w:gridSpan w:val="2"/>
                  <w:vAlign w:val="center"/>
                </w:tcPr>
                <w:p>
                  <w:pPr>
                    <w:jc w:val="center"/>
                    <w:rPr>
                      <w:b/>
                      <w:bCs/>
                      <w:color w:val="auto"/>
                    </w:rPr>
                  </w:pPr>
                  <w:r>
                    <w:rPr>
                      <w:rFonts w:hint="eastAsia"/>
                      <w:b/>
                      <w:bCs/>
                      <w:color w:val="auto"/>
                    </w:rPr>
                    <w:t>主要措施</w:t>
                  </w:r>
                </w:p>
              </w:tc>
              <w:tc>
                <w:tcPr>
                  <w:tcW w:w="1117" w:type="dxa"/>
                  <w:gridSpan w:val="2"/>
                  <w:vAlign w:val="center"/>
                </w:tcPr>
                <w:p>
                  <w:pPr>
                    <w:jc w:val="center"/>
                    <w:rPr>
                      <w:b/>
                      <w:bCs/>
                      <w:color w:val="auto"/>
                    </w:rPr>
                  </w:pPr>
                  <w:r>
                    <w:rPr>
                      <w:rFonts w:hint="eastAsia"/>
                      <w:b/>
                      <w:bCs/>
                      <w:color w:val="auto"/>
                    </w:rPr>
                    <w:t>环保投资（万元）</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87" w:hRule="atLeast"/>
                <w:jc w:val="center"/>
              </w:trPr>
              <w:tc>
                <w:tcPr>
                  <w:tcW w:w="1163" w:type="dxa"/>
                  <w:vMerge w:val="continue"/>
                  <w:vAlign w:val="center"/>
                </w:tcPr>
                <w:p>
                  <w:pPr>
                    <w:jc w:val="center"/>
                    <w:rPr>
                      <w:b/>
                      <w:bCs/>
                      <w:color w:val="auto"/>
                    </w:rPr>
                  </w:pPr>
                </w:p>
              </w:tc>
              <w:tc>
                <w:tcPr>
                  <w:tcW w:w="1985" w:type="dxa"/>
                  <w:vAlign w:val="center"/>
                </w:tcPr>
                <w:p>
                  <w:pPr>
                    <w:jc w:val="center"/>
                    <w:rPr>
                      <w:b/>
                      <w:bCs/>
                      <w:color w:val="auto"/>
                    </w:rPr>
                  </w:pPr>
                  <w:r>
                    <w:rPr>
                      <w:rFonts w:hint="eastAsia"/>
                      <w:b/>
                      <w:bCs/>
                      <w:color w:val="auto"/>
                    </w:rPr>
                    <w:t>施工期</w:t>
                  </w:r>
                </w:p>
              </w:tc>
              <w:tc>
                <w:tcPr>
                  <w:tcW w:w="4819" w:type="dxa"/>
                  <w:vAlign w:val="center"/>
                </w:tcPr>
                <w:p>
                  <w:pPr>
                    <w:jc w:val="center"/>
                    <w:rPr>
                      <w:b/>
                      <w:bCs/>
                      <w:color w:val="auto"/>
                    </w:rPr>
                  </w:pPr>
                  <w:r>
                    <w:rPr>
                      <w:rFonts w:hint="eastAsia"/>
                      <w:b/>
                      <w:bCs/>
                      <w:color w:val="auto"/>
                    </w:rPr>
                    <w:t>营运期</w:t>
                  </w:r>
                </w:p>
              </w:tc>
              <w:tc>
                <w:tcPr>
                  <w:tcW w:w="690" w:type="dxa"/>
                  <w:vAlign w:val="center"/>
                </w:tcPr>
                <w:p>
                  <w:pPr>
                    <w:jc w:val="center"/>
                    <w:rPr>
                      <w:b/>
                      <w:bCs/>
                      <w:color w:val="auto"/>
                    </w:rPr>
                  </w:pPr>
                  <w:r>
                    <w:rPr>
                      <w:rFonts w:hint="eastAsia"/>
                      <w:b/>
                      <w:bCs/>
                      <w:color w:val="auto"/>
                    </w:rPr>
                    <w:t>施工期</w:t>
                  </w:r>
                </w:p>
              </w:tc>
              <w:tc>
                <w:tcPr>
                  <w:tcW w:w="0" w:type="auto"/>
                  <w:vAlign w:val="center"/>
                </w:tcPr>
                <w:p>
                  <w:pPr>
                    <w:jc w:val="center"/>
                    <w:rPr>
                      <w:b/>
                      <w:bCs/>
                      <w:color w:val="auto"/>
                    </w:rPr>
                  </w:pPr>
                  <w:r>
                    <w:rPr>
                      <w:rFonts w:hint="eastAsia"/>
                      <w:b/>
                      <w:bCs/>
                      <w:color w:val="auto"/>
                    </w:rPr>
                    <w:t>营运期</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87" w:hRule="atLeast"/>
                <w:jc w:val="center"/>
              </w:trPr>
              <w:tc>
                <w:tcPr>
                  <w:tcW w:w="1163" w:type="dxa"/>
                  <w:vAlign w:val="center"/>
                </w:tcPr>
                <w:p>
                  <w:pPr>
                    <w:jc w:val="center"/>
                    <w:rPr>
                      <w:color w:val="auto"/>
                    </w:rPr>
                  </w:pPr>
                  <w:r>
                    <w:rPr>
                      <w:rFonts w:hint="eastAsia"/>
                      <w:color w:val="auto"/>
                    </w:rPr>
                    <w:t>废气治理</w:t>
                  </w:r>
                </w:p>
              </w:tc>
              <w:tc>
                <w:tcPr>
                  <w:tcW w:w="1985" w:type="dxa"/>
                  <w:vAlign w:val="center"/>
                </w:tcPr>
                <w:p>
                  <w:pPr>
                    <w:jc w:val="center"/>
                    <w:rPr>
                      <w:color w:val="auto"/>
                    </w:rPr>
                  </w:pPr>
                  <w:r>
                    <w:rPr>
                      <w:rFonts w:hint="eastAsia"/>
                      <w:color w:val="auto"/>
                    </w:rPr>
                    <w:t>施工扬尘污染防治</w:t>
                  </w:r>
                </w:p>
              </w:tc>
              <w:tc>
                <w:tcPr>
                  <w:tcW w:w="4819" w:type="dxa"/>
                  <w:vAlign w:val="center"/>
                </w:tcPr>
                <w:p>
                  <w:pPr>
                    <w:rPr>
                      <w:color w:val="auto"/>
                    </w:rPr>
                  </w:pPr>
                  <w:r>
                    <w:rPr>
                      <w:rFonts w:hint="eastAsia"/>
                      <w:color w:val="auto"/>
                    </w:rPr>
                    <w:t>废气收集及处理设备（包括2套</w:t>
                  </w:r>
                  <w:r>
                    <w:rPr>
                      <w:rFonts w:hint="eastAsia"/>
                      <w:color w:val="auto"/>
                      <w:lang w:val="en-US" w:eastAsia="zh-CN"/>
                    </w:rPr>
                    <w:t>两</w:t>
                  </w:r>
                  <w:r>
                    <w:rPr>
                      <w:rFonts w:hint="eastAsia"/>
                      <w:color w:val="auto"/>
                    </w:rPr>
                    <w:t>级活性炭吸附装置，1套布袋除尘器，1套脉冲式布袋除尘器）</w:t>
                  </w:r>
                </w:p>
              </w:tc>
              <w:tc>
                <w:tcPr>
                  <w:tcW w:w="690" w:type="dxa"/>
                  <w:vAlign w:val="center"/>
                </w:tcPr>
                <w:p>
                  <w:pPr>
                    <w:jc w:val="center"/>
                    <w:rPr>
                      <w:color w:val="auto"/>
                    </w:rPr>
                  </w:pPr>
                  <w:r>
                    <w:rPr>
                      <w:rFonts w:hint="eastAsia"/>
                      <w:color w:val="auto"/>
                    </w:rPr>
                    <w:t>5</w:t>
                  </w:r>
                </w:p>
              </w:tc>
              <w:tc>
                <w:tcPr>
                  <w:tcW w:w="0" w:type="auto"/>
                  <w:vAlign w:val="center"/>
                </w:tcPr>
                <w:p>
                  <w:pPr>
                    <w:jc w:val="center"/>
                    <w:rPr>
                      <w:color w:val="auto"/>
                    </w:rPr>
                  </w:pPr>
                  <w:r>
                    <w:rPr>
                      <w:rFonts w:hint="eastAsia"/>
                      <w:color w:val="auto"/>
                    </w:rPr>
                    <w:t>80</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87" w:hRule="atLeast"/>
                <w:jc w:val="center"/>
              </w:trPr>
              <w:tc>
                <w:tcPr>
                  <w:tcW w:w="1163" w:type="dxa"/>
                  <w:vAlign w:val="center"/>
                </w:tcPr>
                <w:p>
                  <w:pPr>
                    <w:jc w:val="center"/>
                    <w:rPr>
                      <w:color w:val="auto"/>
                    </w:rPr>
                  </w:pPr>
                  <w:r>
                    <w:rPr>
                      <w:rFonts w:hint="eastAsia"/>
                      <w:color w:val="auto"/>
                    </w:rPr>
                    <w:t>废水治理</w:t>
                  </w:r>
                </w:p>
              </w:tc>
              <w:tc>
                <w:tcPr>
                  <w:tcW w:w="6804" w:type="dxa"/>
                  <w:gridSpan w:val="2"/>
                  <w:vAlign w:val="center"/>
                </w:tcPr>
                <w:p>
                  <w:pPr>
                    <w:jc w:val="center"/>
                    <w:rPr>
                      <w:color w:val="auto"/>
                    </w:rPr>
                  </w:pPr>
                  <w:r>
                    <w:rPr>
                      <w:color w:val="auto"/>
                    </w:rPr>
                    <w:t>经</w:t>
                  </w:r>
                  <w:r>
                    <w:rPr>
                      <w:rFonts w:hint="eastAsia"/>
                      <w:color w:val="auto"/>
                    </w:rPr>
                    <w:t>隔油隔渣池、</w:t>
                  </w:r>
                  <w:r>
                    <w:rPr>
                      <w:color w:val="auto"/>
                    </w:rPr>
                    <w:t>三级化粪池预处理后排入市政管网</w:t>
                  </w:r>
                </w:p>
              </w:tc>
              <w:tc>
                <w:tcPr>
                  <w:tcW w:w="1117" w:type="dxa"/>
                  <w:gridSpan w:val="2"/>
                  <w:vAlign w:val="center"/>
                </w:tcPr>
                <w:p>
                  <w:pPr>
                    <w:jc w:val="center"/>
                    <w:rPr>
                      <w:color w:val="auto"/>
                    </w:rPr>
                  </w:pPr>
                  <w:r>
                    <w:rPr>
                      <w:rFonts w:hint="eastAsia"/>
                      <w:color w:val="auto"/>
                    </w:rPr>
                    <w:t>5</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87" w:hRule="atLeast"/>
                <w:jc w:val="center"/>
              </w:trPr>
              <w:tc>
                <w:tcPr>
                  <w:tcW w:w="1163" w:type="dxa"/>
                  <w:vAlign w:val="center"/>
                </w:tcPr>
                <w:p>
                  <w:pPr>
                    <w:jc w:val="center"/>
                    <w:rPr>
                      <w:color w:val="auto"/>
                    </w:rPr>
                  </w:pPr>
                  <w:r>
                    <w:rPr>
                      <w:rFonts w:hint="eastAsia"/>
                      <w:color w:val="auto"/>
                    </w:rPr>
                    <w:t>固废治理</w:t>
                  </w:r>
                </w:p>
              </w:tc>
              <w:tc>
                <w:tcPr>
                  <w:tcW w:w="6804" w:type="dxa"/>
                  <w:gridSpan w:val="2"/>
                  <w:vAlign w:val="center"/>
                </w:tcPr>
                <w:p>
                  <w:pPr>
                    <w:jc w:val="center"/>
                    <w:rPr>
                      <w:color w:val="auto"/>
                    </w:rPr>
                  </w:pPr>
                  <w:r>
                    <w:rPr>
                      <w:rFonts w:hint="eastAsia"/>
                      <w:color w:val="auto"/>
                    </w:rPr>
                    <w:t>垃圾收集设备、固废贮存场所、危废委外等</w:t>
                  </w:r>
                </w:p>
              </w:tc>
              <w:tc>
                <w:tcPr>
                  <w:tcW w:w="1117" w:type="dxa"/>
                  <w:gridSpan w:val="2"/>
                  <w:vAlign w:val="center"/>
                </w:tcPr>
                <w:p>
                  <w:pPr>
                    <w:jc w:val="center"/>
                    <w:rPr>
                      <w:color w:val="auto"/>
                    </w:rPr>
                  </w:pPr>
                  <w:r>
                    <w:rPr>
                      <w:rFonts w:hint="eastAsia"/>
                      <w:color w:val="auto"/>
                    </w:rPr>
                    <w:t>10</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87" w:hRule="atLeast"/>
                <w:jc w:val="center"/>
              </w:trPr>
              <w:tc>
                <w:tcPr>
                  <w:tcW w:w="1163" w:type="dxa"/>
                  <w:vAlign w:val="center"/>
                </w:tcPr>
                <w:p>
                  <w:pPr>
                    <w:jc w:val="center"/>
                    <w:rPr>
                      <w:color w:val="auto"/>
                    </w:rPr>
                  </w:pPr>
                  <w:r>
                    <w:rPr>
                      <w:rFonts w:hint="eastAsia"/>
                      <w:color w:val="auto"/>
                    </w:rPr>
                    <w:t>噪声治理</w:t>
                  </w:r>
                </w:p>
              </w:tc>
              <w:tc>
                <w:tcPr>
                  <w:tcW w:w="6804" w:type="dxa"/>
                  <w:gridSpan w:val="2"/>
                  <w:vAlign w:val="center"/>
                </w:tcPr>
                <w:p>
                  <w:pPr>
                    <w:jc w:val="center"/>
                    <w:rPr>
                      <w:color w:val="auto"/>
                    </w:rPr>
                  </w:pPr>
                  <w:r>
                    <w:rPr>
                      <w:rFonts w:hint="eastAsia"/>
                      <w:color w:val="auto"/>
                    </w:rPr>
                    <w:t>隔音、减噪设备等</w:t>
                  </w:r>
                </w:p>
              </w:tc>
              <w:tc>
                <w:tcPr>
                  <w:tcW w:w="1117" w:type="dxa"/>
                  <w:gridSpan w:val="2"/>
                  <w:vAlign w:val="center"/>
                </w:tcPr>
                <w:p>
                  <w:pPr>
                    <w:jc w:val="center"/>
                    <w:rPr>
                      <w:color w:val="auto"/>
                    </w:rPr>
                  </w:pPr>
                  <w:r>
                    <w:rPr>
                      <w:rFonts w:hint="eastAsia"/>
                      <w:color w:val="auto"/>
                    </w:rPr>
                    <w:t>30</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87" w:hRule="atLeast"/>
                <w:jc w:val="center"/>
              </w:trPr>
              <w:tc>
                <w:tcPr>
                  <w:tcW w:w="1163" w:type="dxa"/>
                  <w:vAlign w:val="center"/>
                </w:tcPr>
                <w:p>
                  <w:pPr>
                    <w:jc w:val="center"/>
                    <w:rPr>
                      <w:color w:val="auto"/>
                    </w:rPr>
                  </w:pPr>
                  <w:r>
                    <w:rPr>
                      <w:rFonts w:hint="eastAsia"/>
                      <w:color w:val="auto"/>
                    </w:rPr>
                    <w:t>生态恢复</w:t>
                  </w:r>
                </w:p>
              </w:tc>
              <w:tc>
                <w:tcPr>
                  <w:tcW w:w="1985" w:type="dxa"/>
                  <w:vAlign w:val="center"/>
                </w:tcPr>
                <w:p>
                  <w:pPr>
                    <w:jc w:val="center"/>
                    <w:rPr>
                      <w:color w:val="auto"/>
                    </w:rPr>
                  </w:pPr>
                  <w:r>
                    <w:rPr>
                      <w:rFonts w:hint="eastAsia"/>
                      <w:color w:val="auto"/>
                    </w:rPr>
                    <w:t>施工点临时占地的清理及场地平整、水土流失防治</w:t>
                  </w:r>
                </w:p>
              </w:tc>
              <w:tc>
                <w:tcPr>
                  <w:tcW w:w="4819" w:type="dxa"/>
                  <w:vAlign w:val="center"/>
                </w:tcPr>
                <w:p>
                  <w:pPr>
                    <w:jc w:val="center"/>
                    <w:rPr>
                      <w:color w:val="auto"/>
                    </w:rPr>
                  </w:pPr>
                  <w:r>
                    <w:rPr>
                      <w:rFonts w:hint="eastAsia"/>
                      <w:color w:val="auto"/>
                    </w:rPr>
                    <w:t>厂区绿化</w:t>
                  </w:r>
                </w:p>
              </w:tc>
              <w:tc>
                <w:tcPr>
                  <w:tcW w:w="690" w:type="dxa"/>
                  <w:vAlign w:val="center"/>
                </w:tcPr>
                <w:p>
                  <w:pPr>
                    <w:jc w:val="center"/>
                    <w:rPr>
                      <w:color w:val="auto"/>
                    </w:rPr>
                  </w:pPr>
                  <w:r>
                    <w:rPr>
                      <w:rFonts w:hint="eastAsia"/>
                      <w:color w:val="auto"/>
                    </w:rPr>
                    <w:t>5</w:t>
                  </w:r>
                </w:p>
              </w:tc>
              <w:tc>
                <w:tcPr>
                  <w:tcW w:w="0" w:type="auto"/>
                  <w:vAlign w:val="center"/>
                </w:tcPr>
                <w:p>
                  <w:pPr>
                    <w:jc w:val="center"/>
                    <w:rPr>
                      <w:color w:val="auto"/>
                    </w:rPr>
                  </w:pPr>
                  <w:r>
                    <w:rPr>
                      <w:rFonts w:hint="eastAsia"/>
                      <w:color w:val="auto"/>
                    </w:rPr>
                    <w:t>15</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87" w:hRule="atLeast"/>
                <w:jc w:val="center"/>
              </w:trPr>
              <w:tc>
                <w:tcPr>
                  <w:tcW w:w="1163" w:type="dxa"/>
                  <w:vAlign w:val="center"/>
                </w:tcPr>
                <w:p>
                  <w:pPr>
                    <w:jc w:val="center"/>
                    <w:rPr>
                      <w:color w:val="auto"/>
                    </w:rPr>
                  </w:pPr>
                  <w:r>
                    <w:rPr>
                      <w:color w:val="auto"/>
                    </w:rPr>
                    <w:t>环境</w:t>
                  </w:r>
                </w:p>
                <w:p>
                  <w:pPr>
                    <w:jc w:val="center"/>
                    <w:rPr>
                      <w:color w:val="auto"/>
                    </w:rPr>
                  </w:pPr>
                  <w:r>
                    <w:rPr>
                      <w:color w:val="auto"/>
                    </w:rPr>
                    <w:t>风险</w:t>
                  </w:r>
                </w:p>
              </w:tc>
              <w:tc>
                <w:tcPr>
                  <w:tcW w:w="6804" w:type="dxa"/>
                  <w:gridSpan w:val="2"/>
                  <w:vAlign w:val="center"/>
                </w:tcPr>
                <w:p>
                  <w:pPr>
                    <w:jc w:val="center"/>
                    <w:rPr>
                      <w:color w:val="auto"/>
                    </w:rPr>
                  </w:pPr>
                  <w:r>
                    <w:rPr>
                      <w:color w:val="auto"/>
                    </w:rPr>
                    <w:t>手提式干粉灭火器、推车式灭火器、灭火毯、沙子等应急措施</w:t>
                  </w:r>
                </w:p>
              </w:tc>
              <w:tc>
                <w:tcPr>
                  <w:tcW w:w="1117" w:type="dxa"/>
                  <w:gridSpan w:val="2"/>
                  <w:vAlign w:val="center"/>
                </w:tcPr>
                <w:p>
                  <w:pPr>
                    <w:jc w:val="center"/>
                    <w:rPr>
                      <w:color w:val="auto"/>
                    </w:rPr>
                  </w:pPr>
                  <w:r>
                    <w:rPr>
                      <w:rFonts w:hint="eastAsia"/>
                      <w:color w:val="auto"/>
                    </w:rPr>
                    <w:t>10</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87" w:hRule="atLeast"/>
                <w:jc w:val="center"/>
              </w:trPr>
              <w:tc>
                <w:tcPr>
                  <w:tcW w:w="7967" w:type="dxa"/>
                  <w:gridSpan w:val="3"/>
                  <w:vAlign w:val="center"/>
                </w:tcPr>
                <w:p>
                  <w:pPr>
                    <w:jc w:val="center"/>
                    <w:rPr>
                      <w:color w:val="auto"/>
                    </w:rPr>
                  </w:pPr>
                  <w:r>
                    <w:rPr>
                      <w:rFonts w:hint="eastAsia"/>
                      <w:color w:val="auto"/>
                    </w:rPr>
                    <w:t>总计</w:t>
                  </w:r>
                </w:p>
              </w:tc>
              <w:tc>
                <w:tcPr>
                  <w:tcW w:w="1117" w:type="dxa"/>
                  <w:gridSpan w:val="2"/>
                  <w:vAlign w:val="center"/>
                </w:tcPr>
                <w:p>
                  <w:pPr>
                    <w:jc w:val="center"/>
                    <w:rPr>
                      <w:color w:val="auto"/>
                    </w:rPr>
                  </w:pPr>
                  <w:r>
                    <w:rPr>
                      <w:rFonts w:hint="eastAsia"/>
                      <w:color w:val="auto"/>
                    </w:rPr>
                    <w:t>160</w:t>
                  </w:r>
                </w:p>
              </w:tc>
            </w:tr>
          </w:tbl>
          <w:p>
            <w:pPr>
              <w:widowControl/>
              <w:spacing w:before="120" w:beforeLines="50" w:line="360" w:lineRule="auto"/>
              <w:ind w:firstLine="422" w:firstLineChars="200"/>
              <w:rPr>
                <w:b/>
                <w:bCs/>
                <w:color w:val="auto"/>
              </w:rPr>
            </w:pPr>
            <w:r>
              <w:rPr>
                <w:b/>
                <w:bCs/>
                <w:color w:val="auto"/>
              </w:rPr>
              <w:t>3、主要产品信息</w:t>
            </w:r>
          </w:p>
          <w:p>
            <w:pPr>
              <w:pStyle w:val="106"/>
              <w:spacing w:after="120" w:afterLines="50"/>
              <w:jc w:val="center"/>
              <w:rPr>
                <w:rStyle w:val="104"/>
                <w:rFonts w:ascii="Times New Roman" w:hAnsi="Times New Roman" w:cs="Times New Roman"/>
                <w:color w:val="auto"/>
                <w:szCs w:val="20"/>
              </w:rPr>
            </w:pPr>
            <w:r>
              <w:rPr>
                <w:rFonts w:ascii="Times New Roman" w:hAnsi="Times New Roman" w:cs="Times New Roman"/>
                <w:b/>
                <w:bCs/>
                <w:color w:val="auto"/>
                <w:sz w:val="21"/>
                <w:szCs w:val="21"/>
              </w:rPr>
              <w:t>表2-</w:t>
            </w:r>
            <w:r>
              <w:rPr>
                <w:rFonts w:hint="eastAsia" w:ascii="Times New Roman" w:hAnsi="Times New Roman" w:cs="Times New Roman"/>
                <w:b/>
                <w:bCs/>
                <w:color w:val="auto"/>
                <w:sz w:val="21"/>
                <w:szCs w:val="21"/>
              </w:rPr>
              <w:t>4</w:t>
            </w:r>
            <w:r>
              <w:rPr>
                <w:rFonts w:ascii="Times New Roman" w:hAnsi="Times New Roman" w:cs="Times New Roman"/>
                <w:b/>
                <w:bCs/>
                <w:color w:val="auto"/>
                <w:sz w:val="21"/>
                <w:szCs w:val="21"/>
              </w:rPr>
              <w:t xml:space="preserve"> 项目主要产品及产量</w:t>
            </w:r>
          </w:p>
          <w:p>
            <w:pPr>
              <w:pStyle w:val="246"/>
              <w:adjustRightInd w:val="0"/>
              <w:snapToGrid w:val="0"/>
              <w:spacing w:before="120" w:beforeLines="50" w:line="360" w:lineRule="auto"/>
              <w:ind w:firstLine="420" w:firstLineChars="200"/>
              <w:rPr>
                <w:b/>
                <w:color w:val="FF0000"/>
                <w:sz w:val="21"/>
                <w:szCs w:val="21"/>
              </w:rPr>
            </w:pPr>
            <w:r>
              <w:rPr>
                <w:rFonts w:hint="eastAsia"/>
                <w:bCs/>
                <w:color w:val="FF0000"/>
                <w:sz w:val="21"/>
                <w:szCs w:val="21"/>
              </w:rPr>
              <w:t>项目混炼胶产能1</w:t>
            </w:r>
            <w:r>
              <w:rPr>
                <w:rFonts w:hint="eastAsia"/>
                <w:bCs/>
                <w:color w:val="FF0000"/>
                <w:sz w:val="21"/>
                <w:szCs w:val="21"/>
                <w:lang w:val="en-US" w:eastAsia="zh-CN"/>
              </w:rPr>
              <w:t>9002</w:t>
            </w:r>
            <w:r>
              <w:rPr>
                <w:rFonts w:hint="eastAsia"/>
                <w:bCs/>
                <w:color w:val="FF0000"/>
                <w:sz w:val="21"/>
                <w:szCs w:val="21"/>
              </w:rPr>
              <w:t>t/a，其中</w:t>
            </w:r>
            <w:r>
              <w:rPr>
                <w:rFonts w:hint="eastAsia"/>
                <w:bCs/>
                <w:color w:val="FF0000"/>
                <w:sz w:val="21"/>
                <w:szCs w:val="21"/>
                <w:lang w:val="en-US" w:eastAsia="zh-CN"/>
              </w:rPr>
              <w:t>3802</w:t>
            </w:r>
            <w:r>
              <w:rPr>
                <w:rFonts w:hint="eastAsia"/>
                <w:bCs/>
                <w:color w:val="FF0000"/>
                <w:sz w:val="21"/>
                <w:szCs w:val="21"/>
              </w:rPr>
              <w:t>t用于厂内橡胶制品的生产，其余</w:t>
            </w:r>
            <w:r>
              <w:rPr>
                <w:rFonts w:hint="eastAsia"/>
                <w:bCs/>
                <w:color w:val="FF0000"/>
                <w:sz w:val="21"/>
                <w:szCs w:val="21"/>
                <w:lang w:val="en-US" w:eastAsia="zh-CN"/>
              </w:rPr>
              <w:t>15200</w:t>
            </w:r>
            <w:r>
              <w:rPr>
                <w:rFonts w:hint="eastAsia"/>
                <w:bCs/>
                <w:color w:val="FF0000"/>
                <w:sz w:val="21"/>
                <w:szCs w:val="21"/>
              </w:rPr>
              <w:t>t全部外售。</w:t>
            </w:r>
          </w:p>
          <w:tbl>
            <w:tblPr>
              <w:tblStyle w:val="9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9"/>
              <w:gridCol w:w="2050"/>
              <w:gridCol w:w="1747"/>
              <w:gridCol w:w="2094"/>
              <w:gridCol w:w="25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468" w:type="pct"/>
                  <w:vAlign w:val="center"/>
                </w:tcPr>
                <w:p>
                  <w:pPr>
                    <w:adjustRightInd w:val="0"/>
                    <w:snapToGrid w:val="0"/>
                    <w:jc w:val="center"/>
                    <w:rPr>
                      <w:b/>
                      <w:color w:val="auto"/>
                    </w:rPr>
                  </w:pPr>
                  <w:r>
                    <w:rPr>
                      <w:b/>
                      <w:color w:val="auto"/>
                    </w:rPr>
                    <w:t>序号</w:t>
                  </w:r>
                </w:p>
              </w:tc>
              <w:tc>
                <w:tcPr>
                  <w:tcW w:w="1104" w:type="pct"/>
                  <w:vAlign w:val="center"/>
                </w:tcPr>
                <w:p>
                  <w:pPr>
                    <w:adjustRightInd w:val="0"/>
                    <w:snapToGrid w:val="0"/>
                    <w:jc w:val="center"/>
                    <w:rPr>
                      <w:b/>
                      <w:color w:val="auto"/>
                    </w:rPr>
                  </w:pPr>
                  <w:r>
                    <w:rPr>
                      <w:b/>
                      <w:color w:val="auto"/>
                    </w:rPr>
                    <w:t>产品名称</w:t>
                  </w:r>
                </w:p>
              </w:tc>
              <w:tc>
                <w:tcPr>
                  <w:tcW w:w="941" w:type="pct"/>
                  <w:vAlign w:val="center"/>
                </w:tcPr>
                <w:p>
                  <w:pPr>
                    <w:adjustRightInd w:val="0"/>
                    <w:snapToGrid w:val="0"/>
                    <w:jc w:val="center"/>
                    <w:rPr>
                      <w:b/>
                      <w:color w:val="auto"/>
                    </w:rPr>
                  </w:pPr>
                  <w:r>
                    <w:rPr>
                      <w:b/>
                      <w:color w:val="auto"/>
                    </w:rPr>
                    <w:t>项目产量</w:t>
                  </w:r>
                </w:p>
              </w:tc>
              <w:tc>
                <w:tcPr>
                  <w:tcW w:w="1127" w:type="pct"/>
                  <w:vAlign w:val="center"/>
                </w:tcPr>
                <w:p>
                  <w:pPr>
                    <w:adjustRightInd w:val="0"/>
                    <w:snapToGrid w:val="0"/>
                    <w:jc w:val="center"/>
                    <w:rPr>
                      <w:b/>
                      <w:color w:val="auto"/>
                    </w:rPr>
                  </w:pPr>
                  <w:r>
                    <w:rPr>
                      <w:b/>
                      <w:color w:val="auto"/>
                    </w:rPr>
                    <w:t>单位</w:t>
                  </w:r>
                </w:p>
              </w:tc>
              <w:tc>
                <w:tcPr>
                  <w:tcW w:w="1357" w:type="pct"/>
                  <w:vAlign w:val="center"/>
                </w:tcPr>
                <w:p>
                  <w:pPr>
                    <w:adjustRightInd w:val="0"/>
                    <w:snapToGrid w:val="0"/>
                    <w:jc w:val="center"/>
                    <w:rPr>
                      <w:b/>
                      <w:color w:val="auto"/>
                    </w:rPr>
                  </w:pPr>
                  <w:r>
                    <w:rPr>
                      <w:b/>
                      <w:color w:val="auto"/>
                    </w:rPr>
                    <w:t>贮存位置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1" w:hRule="atLeast"/>
                <w:jc w:val="center"/>
              </w:trPr>
              <w:tc>
                <w:tcPr>
                  <w:tcW w:w="468" w:type="pct"/>
                  <w:vAlign w:val="center"/>
                </w:tcPr>
                <w:p>
                  <w:pPr>
                    <w:adjustRightInd w:val="0"/>
                    <w:snapToGrid w:val="0"/>
                    <w:jc w:val="center"/>
                    <w:rPr>
                      <w:bCs/>
                      <w:color w:val="auto"/>
                    </w:rPr>
                  </w:pPr>
                  <w:r>
                    <w:rPr>
                      <w:bCs/>
                      <w:color w:val="auto"/>
                    </w:rPr>
                    <w:t>1</w:t>
                  </w:r>
                </w:p>
              </w:tc>
              <w:tc>
                <w:tcPr>
                  <w:tcW w:w="1104" w:type="pct"/>
                  <w:vAlign w:val="center"/>
                </w:tcPr>
                <w:p>
                  <w:pPr>
                    <w:adjustRightInd w:val="0"/>
                    <w:snapToGrid w:val="0"/>
                    <w:jc w:val="center"/>
                    <w:rPr>
                      <w:bCs/>
                      <w:color w:val="auto"/>
                    </w:rPr>
                  </w:pPr>
                  <w:r>
                    <w:rPr>
                      <w:rFonts w:hint="eastAsia"/>
                      <w:bCs/>
                      <w:color w:val="auto"/>
                    </w:rPr>
                    <w:t>橡胶制品</w:t>
                  </w:r>
                </w:p>
              </w:tc>
              <w:tc>
                <w:tcPr>
                  <w:tcW w:w="941" w:type="pct"/>
                  <w:vAlign w:val="center"/>
                </w:tcPr>
                <w:p>
                  <w:pPr>
                    <w:adjustRightInd w:val="0"/>
                    <w:snapToGrid w:val="0"/>
                    <w:jc w:val="center"/>
                    <w:rPr>
                      <w:bCs/>
                      <w:color w:val="auto"/>
                    </w:rPr>
                  </w:pPr>
                  <w:r>
                    <w:rPr>
                      <w:rFonts w:hint="eastAsia"/>
                      <w:bCs/>
                      <w:color w:val="auto"/>
                      <w:lang w:val="en-US" w:eastAsia="zh-CN"/>
                    </w:rPr>
                    <w:t>8000</w:t>
                  </w:r>
                </w:p>
              </w:tc>
              <w:tc>
                <w:tcPr>
                  <w:tcW w:w="1127" w:type="pct"/>
                  <w:vAlign w:val="center"/>
                </w:tcPr>
                <w:p>
                  <w:pPr>
                    <w:adjustRightInd w:val="0"/>
                    <w:snapToGrid w:val="0"/>
                    <w:jc w:val="center"/>
                    <w:rPr>
                      <w:bCs/>
                      <w:color w:val="auto"/>
                    </w:rPr>
                  </w:pPr>
                  <w:r>
                    <w:rPr>
                      <w:rFonts w:hint="eastAsia"/>
                      <w:bCs/>
                      <w:color w:val="auto"/>
                    </w:rPr>
                    <w:t>万件/年</w:t>
                  </w:r>
                </w:p>
              </w:tc>
              <w:tc>
                <w:tcPr>
                  <w:tcW w:w="1357" w:type="pct"/>
                  <w:vAlign w:val="center"/>
                </w:tcPr>
                <w:p>
                  <w:pPr>
                    <w:adjustRightInd w:val="0"/>
                    <w:snapToGrid w:val="0"/>
                    <w:jc w:val="center"/>
                    <w:rPr>
                      <w:bCs/>
                      <w:color w:val="auto"/>
                    </w:rPr>
                  </w:pPr>
                  <w:r>
                    <w:rPr>
                      <w:rFonts w:hint="eastAsia"/>
                      <w:bCs/>
                      <w:color w:val="auto"/>
                    </w:rPr>
                    <w:t>成品仓库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0" w:hRule="atLeast"/>
                <w:jc w:val="center"/>
              </w:trPr>
              <w:tc>
                <w:tcPr>
                  <w:tcW w:w="468" w:type="pct"/>
                  <w:vAlign w:val="center"/>
                </w:tcPr>
                <w:p>
                  <w:pPr>
                    <w:adjustRightInd w:val="0"/>
                    <w:snapToGrid w:val="0"/>
                    <w:jc w:val="center"/>
                    <w:rPr>
                      <w:bCs/>
                      <w:color w:val="auto"/>
                    </w:rPr>
                  </w:pPr>
                  <w:r>
                    <w:rPr>
                      <w:bCs/>
                      <w:color w:val="auto"/>
                    </w:rPr>
                    <w:t>2</w:t>
                  </w:r>
                </w:p>
              </w:tc>
              <w:tc>
                <w:tcPr>
                  <w:tcW w:w="1104" w:type="pct"/>
                  <w:vAlign w:val="center"/>
                </w:tcPr>
                <w:p>
                  <w:pPr>
                    <w:adjustRightInd w:val="0"/>
                    <w:snapToGrid w:val="0"/>
                    <w:jc w:val="center"/>
                    <w:rPr>
                      <w:bCs/>
                      <w:color w:val="auto"/>
                    </w:rPr>
                  </w:pPr>
                  <w:r>
                    <w:rPr>
                      <w:rFonts w:hint="eastAsia"/>
                      <w:bCs/>
                      <w:color w:val="auto"/>
                    </w:rPr>
                    <w:t>橡胶混炼胶</w:t>
                  </w:r>
                </w:p>
              </w:tc>
              <w:tc>
                <w:tcPr>
                  <w:tcW w:w="941" w:type="pct"/>
                  <w:vAlign w:val="center"/>
                </w:tcPr>
                <w:p>
                  <w:pPr>
                    <w:adjustRightInd w:val="0"/>
                    <w:snapToGrid w:val="0"/>
                    <w:jc w:val="center"/>
                    <w:rPr>
                      <w:rFonts w:hint="default" w:eastAsia="宋体"/>
                      <w:bCs/>
                      <w:color w:val="auto"/>
                      <w:lang w:val="en-US" w:eastAsia="zh-CN"/>
                    </w:rPr>
                  </w:pPr>
                  <w:r>
                    <w:rPr>
                      <w:rFonts w:hint="eastAsia"/>
                      <w:bCs/>
                      <w:color w:val="FF0000"/>
                      <w:lang w:val="en-US" w:eastAsia="zh-CN"/>
                    </w:rPr>
                    <w:t>15200</w:t>
                  </w:r>
                </w:p>
              </w:tc>
              <w:tc>
                <w:tcPr>
                  <w:tcW w:w="1127" w:type="pct"/>
                  <w:vAlign w:val="center"/>
                </w:tcPr>
                <w:p>
                  <w:pPr>
                    <w:adjustRightInd w:val="0"/>
                    <w:snapToGrid w:val="0"/>
                    <w:jc w:val="center"/>
                    <w:rPr>
                      <w:bCs/>
                      <w:color w:val="auto"/>
                    </w:rPr>
                  </w:pPr>
                  <w:r>
                    <w:rPr>
                      <w:bCs/>
                      <w:color w:val="auto"/>
                    </w:rPr>
                    <w:t>t/a</w:t>
                  </w:r>
                </w:p>
              </w:tc>
              <w:tc>
                <w:tcPr>
                  <w:tcW w:w="1357" w:type="pct"/>
                  <w:vAlign w:val="center"/>
                </w:tcPr>
                <w:p>
                  <w:pPr>
                    <w:adjustRightInd w:val="0"/>
                    <w:snapToGrid w:val="0"/>
                    <w:jc w:val="center"/>
                    <w:rPr>
                      <w:bCs/>
                      <w:color w:val="auto"/>
                    </w:rPr>
                  </w:pPr>
                  <w:r>
                    <w:rPr>
                      <w:rFonts w:hint="eastAsia"/>
                      <w:bCs/>
                      <w:color w:val="auto"/>
                    </w:rPr>
                    <w:t>成品仓库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3" w:hRule="atLeast"/>
                <w:jc w:val="center"/>
              </w:trPr>
              <w:tc>
                <w:tcPr>
                  <w:tcW w:w="1572" w:type="pct"/>
                  <w:gridSpan w:val="2"/>
                  <w:vAlign w:val="center"/>
                </w:tcPr>
                <w:p>
                  <w:pPr>
                    <w:adjustRightInd w:val="0"/>
                    <w:snapToGrid w:val="0"/>
                    <w:jc w:val="center"/>
                    <w:rPr>
                      <w:b/>
                      <w:color w:val="auto"/>
                    </w:rPr>
                  </w:pPr>
                  <w:r>
                    <w:rPr>
                      <w:rFonts w:hint="eastAsia"/>
                      <w:b/>
                      <w:color w:val="auto"/>
                    </w:rPr>
                    <w:t>具体产品</w:t>
                  </w:r>
                </w:p>
              </w:tc>
              <w:tc>
                <w:tcPr>
                  <w:tcW w:w="2069" w:type="pct"/>
                  <w:gridSpan w:val="2"/>
                  <w:vAlign w:val="center"/>
                </w:tcPr>
                <w:p>
                  <w:pPr>
                    <w:adjustRightInd w:val="0"/>
                    <w:snapToGrid w:val="0"/>
                    <w:jc w:val="center"/>
                    <w:rPr>
                      <w:b/>
                      <w:color w:val="auto"/>
                    </w:rPr>
                  </w:pPr>
                  <w:r>
                    <w:rPr>
                      <w:rFonts w:hint="eastAsia"/>
                      <w:b/>
                      <w:color w:val="auto"/>
                    </w:rPr>
                    <w:t>重量规格</w:t>
                  </w:r>
                </w:p>
              </w:tc>
              <w:tc>
                <w:tcPr>
                  <w:tcW w:w="1357" w:type="pct"/>
                  <w:vAlign w:val="center"/>
                </w:tcPr>
                <w:p>
                  <w:pPr>
                    <w:adjustRightInd w:val="0"/>
                    <w:snapToGrid w:val="0"/>
                    <w:jc w:val="center"/>
                    <w:rPr>
                      <w:b/>
                      <w:color w:val="auto"/>
                    </w:rPr>
                  </w:pPr>
                  <w:r>
                    <w:rPr>
                      <w:rFonts w:hint="eastAsia"/>
                      <w:b/>
                      <w:color w:val="auto"/>
                    </w:rPr>
                    <w:t>产量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572" w:type="pct"/>
                  <w:gridSpan w:val="2"/>
                  <w:vAlign w:val="center"/>
                </w:tcPr>
                <w:p>
                  <w:pPr>
                    <w:adjustRightInd w:val="0"/>
                    <w:snapToGrid w:val="0"/>
                    <w:jc w:val="center"/>
                    <w:rPr>
                      <w:bCs/>
                      <w:color w:val="auto"/>
                    </w:rPr>
                  </w:pPr>
                  <w:r>
                    <w:rPr>
                      <w:rFonts w:hint="eastAsia"/>
                      <w:bCs/>
                      <w:color w:val="auto"/>
                    </w:rPr>
                    <w:t>橡胶制品</w:t>
                  </w:r>
                </w:p>
              </w:tc>
              <w:tc>
                <w:tcPr>
                  <w:tcW w:w="2069" w:type="pct"/>
                  <w:gridSpan w:val="2"/>
                  <w:vAlign w:val="center"/>
                </w:tcPr>
                <w:p>
                  <w:pPr>
                    <w:adjustRightInd w:val="0"/>
                    <w:snapToGrid w:val="0"/>
                    <w:jc w:val="center"/>
                    <w:rPr>
                      <w:bCs/>
                      <w:color w:val="auto"/>
                    </w:rPr>
                  </w:pPr>
                  <w:r>
                    <w:rPr>
                      <w:rFonts w:hint="eastAsia"/>
                      <w:bCs/>
                      <w:color w:val="auto"/>
                      <w:lang w:val="en-US" w:eastAsia="zh-CN"/>
                    </w:rPr>
                    <w:t>10~50</w:t>
                  </w:r>
                  <w:r>
                    <w:rPr>
                      <w:rFonts w:hint="eastAsia"/>
                      <w:bCs/>
                      <w:color w:val="auto"/>
                    </w:rPr>
                    <w:t>g/件</w:t>
                  </w:r>
                </w:p>
              </w:tc>
              <w:tc>
                <w:tcPr>
                  <w:tcW w:w="1357" w:type="pct"/>
                  <w:vAlign w:val="center"/>
                </w:tcPr>
                <w:p>
                  <w:pPr>
                    <w:adjustRightInd w:val="0"/>
                    <w:snapToGrid w:val="0"/>
                    <w:jc w:val="center"/>
                    <w:rPr>
                      <w:bCs/>
                      <w:color w:val="auto"/>
                    </w:rPr>
                  </w:pPr>
                  <w:r>
                    <w:rPr>
                      <w:rFonts w:hint="eastAsia"/>
                      <w:bCs/>
                      <w:color w:val="FF0000"/>
                      <w:lang w:val="en-US" w:eastAsia="zh-CN"/>
                    </w:rPr>
                    <w:t>3802</w:t>
                  </w:r>
                  <w:r>
                    <w:rPr>
                      <w:rFonts w:hint="eastAsia"/>
                      <w:bCs/>
                      <w:color w:val="FF0000"/>
                    </w:rPr>
                    <w:t>t/a</w:t>
                  </w:r>
                </w:p>
              </w:tc>
            </w:tr>
          </w:tbl>
          <w:p>
            <w:pPr>
              <w:widowControl/>
              <w:numPr>
                <w:ilvl w:val="0"/>
                <w:numId w:val="12"/>
              </w:numPr>
              <w:spacing w:before="120" w:beforeLines="50" w:line="360" w:lineRule="auto"/>
              <w:ind w:firstLine="422" w:firstLineChars="200"/>
              <w:rPr>
                <w:b/>
                <w:bCs/>
                <w:color w:val="auto"/>
              </w:rPr>
            </w:pPr>
            <w:r>
              <w:rPr>
                <w:b/>
                <w:bCs/>
                <w:color w:val="auto"/>
              </w:rPr>
              <w:t>原辅材料</w:t>
            </w:r>
            <w:r>
              <w:rPr>
                <w:rFonts w:hint="eastAsia"/>
                <w:b/>
                <w:bCs/>
                <w:color w:val="auto"/>
              </w:rPr>
              <w:t>及其用量</w:t>
            </w:r>
          </w:p>
          <w:p>
            <w:pPr>
              <w:spacing w:line="360" w:lineRule="auto"/>
              <w:ind w:firstLine="420" w:firstLineChars="200"/>
              <w:rPr>
                <w:bCs/>
                <w:color w:val="auto"/>
              </w:rPr>
            </w:pPr>
            <w:r>
              <w:rPr>
                <w:rFonts w:hint="eastAsia"/>
                <w:bCs/>
                <w:color w:val="auto"/>
              </w:rPr>
              <w:t>本项目所需要主要原辅材料种类及其用量详见下表。</w:t>
            </w:r>
          </w:p>
          <w:p>
            <w:pPr>
              <w:pStyle w:val="106"/>
              <w:spacing w:after="120" w:afterLines="50"/>
              <w:jc w:val="center"/>
              <w:rPr>
                <w:rFonts w:ascii="Times New Roman" w:hAnsi="Times New Roman" w:cs="Times New Roman"/>
                <w:b/>
                <w:bCs/>
                <w:color w:val="auto"/>
                <w:sz w:val="21"/>
                <w:szCs w:val="21"/>
              </w:rPr>
            </w:pPr>
            <w:r>
              <w:rPr>
                <w:rFonts w:ascii="Times New Roman" w:hAnsi="Times New Roman" w:cs="Times New Roman"/>
                <w:b/>
                <w:bCs/>
                <w:color w:val="auto"/>
                <w:sz w:val="21"/>
                <w:szCs w:val="21"/>
              </w:rPr>
              <w:t>表2-</w:t>
            </w:r>
            <w:r>
              <w:rPr>
                <w:rFonts w:hint="eastAsia" w:ascii="Times New Roman" w:hAnsi="Times New Roman" w:cs="Times New Roman"/>
                <w:b/>
                <w:bCs/>
                <w:color w:val="auto"/>
                <w:sz w:val="21"/>
                <w:szCs w:val="21"/>
              </w:rPr>
              <w:t>5</w:t>
            </w:r>
            <w:r>
              <w:rPr>
                <w:rFonts w:ascii="Times New Roman" w:hAnsi="Times New Roman" w:cs="Times New Roman"/>
                <w:b/>
                <w:bCs/>
                <w:color w:val="auto"/>
                <w:sz w:val="21"/>
                <w:szCs w:val="21"/>
              </w:rPr>
              <w:t xml:space="preserve"> </w:t>
            </w:r>
            <w:r>
              <w:rPr>
                <w:rFonts w:hint="eastAsia" w:ascii="Times New Roman" w:hAnsi="Times New Roman" w:cs="Times New Roman"/>
                <w:b/>
                <w:bCs/>
                <w:color w:val="auto"/>
                <w:sz w:val="21"/>
                <w:szCs w:val="21"/>
              </w:rPr>
              <w:t>项目</w:t>
            </w:r>
            <w:r>
              <w:rPr>
                <w:rFonts w:ascii="Times New Roman" w:hAnsi="Times New Roman" w:cs="Times New Roman"/>
                <w:b/>
                <w:bCs/>
                <w:color w:val="auto"/>
                <w:sz w:val="21"/>
                <w:szCs w:val="21"/>
              </w:rPr>
              <w:t>原辅材料用量一览表</w:t>
            </w:r>
          </w:p>
          <w:tbl>
            <w:tblPr>
              <w:tblStyle w:val="92"/>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38"/>
              <w:gridCol w:w="824"/>
              <w:gridCol w:w="878"/>
              <w:gridCol w:w="843"/>
              <w:gridCol w:w="898"/>
              <w:gridCol w:w="2145"/>
              <w:gridCol w:w="856"/>
              <w:gridCol w:w="878"/>
              <w:gridCol w:w="5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exact"/>
                <w:jc w:val="center"/>
              </w:trPr>
              <w:tc>
                <w:tcPr>
                  <w:tcW w:w="775" w:type="pct"/>
                  <w:vAlign w:val="center"/>
                </w:tcPr>
                <w:p>
                  <w:pPr>
                    <w:pStyle w:val="470"/>
                    <w:snapToGrid w:val="0"/>
                    <w:spacing w:line="240" w:lineRule="auto"/>
                    <w:rPr>
                      <w:rFonts w:ascii="Times New Roman" w:hAnsi="Times New Roman" w:eastAsia="宋体" w:cs="Times New Roman"/>
                      <w:b/>
                      <w:bCs/>
                      <w:color w:val="auto"/>
                      <w:sz w:val="20"/>
                      <w:szCs w:val="20"/>
                      <w:lang w:eastAsia="zh-CN"/>
                    </w:rPr>
                  </w:pPr>
                  <w:r>
                    <w:rPr>
                      <w:rFonts w:ascii="Times New Roman" w:hAnsi="Times New Roman" w:eastAsia="宋体" w:cs="Times New Roman"/>
                      <w:b/>
                      <w:bCs/>
                      <w:color w:val="auto"/>
                      <w:sz w:val="20"/>
                      <w:szCs w:val="20"/>
                      <w:lang w:eastAsia="zh-CN"/>
                    </w:rPr>
                    <w:t>名称</w:t>
                  </w:r>
                </w:p>
              </w:tc>
              <w:tc>
                <w:tcPr>
                  <w:tcW w:w="444" w:type="pct"/>
                  <w:vAlign w:val="center"/>
                </w:tcPr>
                <w:p>
                  <w:pPr>
                    <w:pStyle w:val="470"/>
                    <w:snapToGrid w:val="0"/>
                    <w:spacing w:line="240" w:lineRule="auto"/>
                    <w:rPr>
                      <w:rFonts w:ascii="Times New Roman" w:hAnsi="Times New Roman" w:eastAsia="宋体" w:cs="Times New Roman"/>
                      <w:b/>
                      <w:bCs/>
                      <w:color w:val="auto"/>
                      <w:sz w:val="20"/>
                      <w:szCs w:val="20"/>
                      <w:lang w:eastAsia="zh-CN"/>
                    </w:rPr>
                  </w:pPr>
                  <w:r>
                    <w:rPr>
                      <w:rFonts w:ascii="Times New Roman" w:hAnsi="Times New Roman" w:eastAsia="宋体" w:cs="Times New Roman"/>
                      <w:b/>
                      <w:bCs/>
                      <w:color w:val="auto"/>
                      <w:sz w:val="20"/>
                      <w:szCs w:val="20"/>
                      <w:lang w:eastAsia="zh-CN"/>
                    </w:rPr>
                    <w:t>年用量</w:t>
                  </w:r>
                </w:p>
              </w:tc>
              <w:tc>
                <w:tcPr>
                  <w:tcW w:w="473" w:type="pct"/>
                  <w:vAlign w:val="center"/>
                </w:tcPr>
                <w:p>
                  <w:pPr>
                    <w:pStyle w:val="470"/>
                    <w:snapToGrid w:val="0"/>
                    <w:spacing w:line="240" w:lineRule="auto"/>
                    <w:rPr>
                      <w:rFonts w:ascii="Times New Roman" w:hAnsi="Times New Roman" w:eastAsia="宋体" w:cs="Times New Roman"/>
                      <w:b/>
                      <w:bCs/>
                      <w:color w:val="auto"/>
                      <w:sz w:val="20"/>
                      <w:szCs w:val="20"/>
                      <w:lang w:eastAsia="zh-CN"/>
                    </w:rPr>
                  </w:pPr>
                  <w:r>
                    <w:rPr>
                      <w:rFonts w:hint="eastAsia" w:ascii="Times New Roman" w:hAnsi="Times New Roman" w:eastAsia="宋体" w:cs="Times New Roman"/>
                      <w:b/>
                      <w:bCs/>
                      <w:color w:val="auto"/>
                      <w:sz w:val="20"/>
                      <w:szCs w:val="20"/>
                      <w:lang w:eastAsia="zh-CN"/>
                    </w:rPr>
                    <w:t>最大储存量</w:t>
                  </w:r>
                </w:p>
              </w:tc>
              <w:tc>
                <w:tcPr>
                  <w:tcW w:w="454" w:type="pct"/>
                  <w:vAlign w:val="center"/>
                </w:tcPr>
                <w:p>
                  <w:pPr>
                    <w:pStyle w:val="470"/>
                    <w:snapToGrid w:val="0"/>
                    <w:spacing w:line="240" w:lineRule="auto"/>
                    <w:rPr>
                      <w:rFonts w:ascii="Times New Roman" w:hAnsi="Times New Roman" w:eastAsia="宋体" w:cs="Times New Roman"/>
                      <w:b/>
                      <w:bCs/>
                      <w:color w:val="auto"/>
                      <w:sz w:val="20"/>
                      <w:szCs w:val="20"/>
                      <w:lang w:eastAsia="zh-CN"/>
                    </w:rPr>
                  </w:pPr>
                  <w:r>
                    <w:rPr>
                      <w:rFonts w:hint="eastAsia" w:ascii="Times New Roman" w:hAnsi="Times New Roman" w:eastAsia="宋体" w:cs="Times New Roman"/>
                      <w:b/>
                      <w:bCs/>
                      <w:color w:val="auto"/>
                      <w:sz w:val="20"/>
                      <w:szCs w:val="20"/>
                      <w:lang w:eastAsia="zh-CN"/>
                    </w:rPr>
                    <w:t>贮存周期</w:t>
                  </w:r>
                </w:p>
              </w:tc>
              <w:tc>
                <w:tcPr>
                  <w:tcW w:w="484" w:type="pct"/>
                  <w:vAlign w:val="center"/>
                </w:tcPr>
                <w:p>
                  <w:pPr>
                    <w:pStyle w:val="470"/>
                    <w:snapToGrid w:val="0"/>
                    <w:spacing w:line="240" w:lineRule="auto"/>
                    <w:rPr>
                      <w:rFonts w:ascii="Times New Roman" w:hAnsi="Times New Roman" w:eastAsia="宋体" w:cs="Times New Roman"/>
                      <w:b/>
                      <w:bCs/>
                      <w:color w:val="auto"/>
                      <w:sz w:val="20"/>
                      <w:szCs w:val="20"/>
                      <w:lang w:eastAsia="zh-CN"/>
                    </w:rPr>
                  </w:pPr>
                  <w:r>
                    <w:rPr>
                      <w:rFonts w:hint="eastAsia" w:ascii="Times New Roman" w:hAnsi="Times New Roman" w:eastAsia="宋体" w:cs="Times New Roman"/>
                      <w:b/>
                      <w:bCs/>
                      <w:color w:val="auto"/>
                      <w:sz w:val="20"/>
                      <w:szCs w:val="20"/>
                      <w:lang w:eastAsia="zh-CN"/>
                    </w:rPr>
                    <w:t>包装方式</w:t>
                  </w:r>
                </w:p>
              </w:tc>
              <w:tc>
                <w:tcPr>
                  <w:tcW w:w="1156" w:type="pct"/>
                  <w:vAlign w:val="center"/>
                </w:tcPr>
                <w:p>
                  <w:pPr>
                    <w:pStyle w:val="470"/>
                    <w:snapToGrid w:val="0"/>
                    <w:spacing w:line="240" w:lineRule="auto"/>
                    <w:rPr>
                      <w:rFonts w:ascii="Times New Roman" w:hAnsi="Times New Roman" w:eastAsia="宋体" w:cs="Times New Roman"/>
                      <w:b/>
                      <w:bCs/>
                      <w:color w:val="auto"/>
                      <w:sz w:val="20"/>
                      <w:szCs w:val="20"/>
                      <w:lang w:eastAsia="zh-CN"/>
                    </w:rPr>
                  </w:pPr>
                  <w:r>
                    <w:rPr>
                      <w:rFonts w:hint="eastAsia" w:ascii="Times New Roman" w:hAnsi="Times New Roman" w:eastAsia="宋体" w:cs="Times New Roman"/>
                      <w:b/>
                      <w:bCs/>
                      <w:color w:val="auto"/>
                      <w:sz w:val="20"/>
                      <w:szCs w:val="20"/>
                      <w:lang w:eastAsia="zh-CN"/>
                    </w:rPr>
                    <w:t>包装规格</w:t>
                  </w:r>
                </w:p>
              </w:tc>
              <w:tc>
                <w:tcPr>
                  <w:tcW w:w="461" w:type="pct"/>
                  <w:vAlign w:val="center"/>
                </w:tcPr>
                <w:p>
                  <w:pPr>
                    <w:pStyle w:val="470"/>
                    <w:snapToGrid w:val="0"/>
                    <w:spacing w:line="240" w:lineRule="auto"/>
                    <w:rPr>
                      <w:rFonts w:ascii="Times New Roman" w:hAnsi="Times New Roman" w:eastAsia="宋体" w:cs="Times New Roman"/>
                      <w:b/>
                      <w:bCs/>
                      <w:color w:val="auto"/>
                      <w:sz w:val="20"/>
                      <w:szCs w:val="20"/>
                      <w:lang w:eastAsia="zh-CN"/>
                    </w:rPr>
                  </w:pPr>
                  <w:r>
                    <w:rPr>
                      <w:rFonts w:hint="eastAsia" w:ascii="Times New Roman" w:hAnsi="Times New Roman" w:eastAsia="宋体" w:cs="Times New Roman"/>
                      <w:b/>
                      <w:bCs/>
                      <w:color w:val="auto"/>
                      <w:sz w:val="20"/>
                      <w:szCs w:val="20"/>
                      <w:lang w:eastAsia="zh-CN"/>
                    </w:rPr>
                    <w:t>性状</w:t>
                  </w:r>
                </w:p>
              </w:tc>
              <w:tc>
                <w:tcPr>
                  <w:tcW w:w="473" w:type="pct"/>
                  <w:vAlign w:val="center"/>
                </w:tcPr>
                <w:p>
                  <w:pPr>
                    <w:pStyle w:val="470"/>
                    <w:snapToGrid w:val="0"/>
                    <w:spacing w:line="240" w:lineRule="auto"/>
                    <w:rPr>
                      <w:rFonts w:ascii="Times New Roman" w:hAnsi="Times New Roman" w:eastAsia="宋体" w:cs="Times New Roman"/>
                      <w:b/>
                      <w:bCs/>
                      <w:color w:val="auto"/>
                      <w:sz w:val="20"/>
                      <w:szCs w:val="20"/>
                      <w:lang w:eastAsia="zh-CN"/>
                    </w:rPr>
                  </w:pPr>
                  <w:r>
                    <w:rPr>
                      <w:rFonts w:hint="eastAsia" w:ascii="Times New Roman" w:hAnsi="Times New Roman" w:eastAsia="宋体" w:cs="Times New Roman"/>
                      <w:b/>
                      <w:bCs/>
                      <w:color w:val="auto"/>
                      <w:sz w:val="20"/>
                      <w:szCs w:val="20"/>
                      <w:lang w:eastAsia="zh-CN"/>
                    </w:rPr>
                    <w:t>储存位置</w:t>
                  </w:r>
                </w:p>
              </w:tc>
              <w:tc>
                <w:tcPr>
                  <w:tcW w:w="276" w:type="pct"/>
                  <w:vAlign w:val="center"/>
                </w:tcPr>
                <w:p>
                  <w:pPr>
                    <w:pStyle w:val="470"/>
                    <w:snapToGrid w:val="0"/>
                    <w:spacing w:line="240" w:lineRule="auto"/>
                    <w:rPr>
                      <w:rFonts w:ascii="Times New Roman" w:hAnsi="Times New Roman" w:eastAsia="宋体" w:cs="Times New Roman"/>
                      <w:b/>
                      <w:bCs/>
                      <w:color w:val="auto"/>
                      <w:sz w:val="20"/>
                      <w:szCs w:val="20"/>
                      <w:lang w:eastAsia="zh-CN"/>
                    </w:rPr>
                  </w:pPr>
                  <w:r>
                    <w:rPr>
                      <w:rFonts w:hint="eastAsia" w:ascii="Times New Roman" w:hAnsi="Times New Roman" w:eastAsia="宋体" w:cs="Times New Roman"/>
                      <w:b/>
                      <w:bCs/>
                      <w:color w:val="auto"/>
                      <w:sz w:val="20"/>
                      <w:szCs w:val="20"/>
                      <w:lang w:eastAsia="zh-CN"/>
                    </w:rPr>
                    <w:t>来源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exact"/>
                <w:jc w:val="center"/>
              </w:trPr>
              <w:tc>
                <w:tcPr>
                  <w:tcW w:w="775" w:type="pct"/>
                  <w:vAlign w:val="center"/>
                </w:tcPr>
                <w:p>
                  <w:pPr>
                    <w:adjustRightInd w:val="0"/>
                    <w:snapToGrid w:val="0"/>
                    <w:jc w:val="center"/>
                    <w:rPr>
                      <w:rFonts w:hint="eastAsia"/>
                      <w:bCs/>
                      <w:color w:val="auto"/>
                    </w:rPr>
                  </w:pPr>
                  <w:r>
                    <w:rPr>
                      <w:rFonts w:hint="eastAsia"/>
                      <w:bCs/>
                      <w:color w:val="auto"/>
                    </w:rPr>
                    <w:t>全氟醚橡胶</w:t>
                  </w:r>
                </w:p>
              </w:tc>
              <w:tc>
                <w:tcPr>
                  <w:tcW w:w="444" w:type="pct"/>
                  <w:vAlign w:val="center"/>
                </w:tcPr>
                <w:p>
                  <w:pPr>
                    <w:adjustRightInd w:val="0"/>
                    <w:snapToGrid w:val="0"/>
                    <w:jc w:val="center"/>
                    <w:rPr>
                      <w:rFonts w:hint="eastAsia"/>
                      <w:bCs/>
                      <w:color w:val="FF0000"/>
                    </w:rPr>
                  </w:pPr>
                  <w:r>
                    <w:rPr>
                      <w:rFonts w:hint="eastAsia"/>
                      <w:bCs/>
                      <w:color w:val="FF0000"/>
                      <w:lang w:val="en-US" w:eastAsia="zh-CN"/>
                    </w:rPr>
                    <w:t>2</w:t>
                  </w:r>
                  <w:r>
                    <w:rPr>
                      <w:rFonts w:hint="eastAsia"/>
                      <w:bCs/>
                      <w:color w:val="FF0000"/>
                    </w:rPr>
                    <w:t>t</w:t>
                  </w:r>
                </w:p>
              </w:tc>
              <w:tc>
                <w:tcPr>
                  <w:tcW w:w="473" w:type="pct"/>
                  <w:vAlign w:val="center"/>
                </w:tcPr>
                <w:p>
                  <w:pPr>
                    <w:adjustRightInd w:val="0"/>
                    <w:snapToGrid w:val="0"/>
                    <w:jc w:val="center"/>
                    <w:rPr>
                      <w:rFonts w:hint="eastAsia"/>
                      <w:bCs/>
                      <w:color w:val="auto"/>
                      <w:lang w:eastAsia="zh-CN"/>
                    </w:rPr>
                  </w:pPr>
                  <w:r>
                    <w:rPr>
                      <w:rFonts w:hint="eastAsia"/>
                      <w:bCs/>
                      <w:color w:val="auto"/>
                      <w:lang w:eastAsia="zh-CN"/>
                    </w:rPr>
                    <w:t>1t</w:t>
                  </w:r>
                </w:p>
              </w:tc>
              <w:tc>
                <w:tcPr>
                  <w:tcW w:w="454" w:type="pct"/>
                  <w:vAlign w:val="center"/>
                </w:tcPr>
                <w:p>
                  <w:pPr>
                    <w:adjustRightInd w:val="0"/>
                    <w:snapToGrid w:val="0"/>
                    <w:jc w:val="center"/>
                    <w:rPr>
                      <w:rFonts w:hint="eastAsia"/>
                      <w:bCs/>
                      <w:color w:val="auto"/>
                      <w:lang w:eastAsia="zh-CN"/>
                    </w:rPr>
                  </w:pPr>
                  <w:r>
                    <w:rPr>
                      <w:rFonts w:hint="eastAsia"/>
                      <w:bCs/>
                      <w:color w:val="auto"/>
                      <w:lang w:eastAsia="zh-CN"/>
                    </w:rPr>
                    <w:t>6个月</w:t>
                  </w:r>
                </w:p>
              </w:tc>
              <w:tc>
                <w:tcPr>
                  <w:tcW w:w="484" w:type="pct"/>
                  <w:vAlign w:val="center"/>
                </w:tcPr>
                <w:p>
                  <w:pPr>
                    <w:adjustRightInd w:val="0"/>
                    <w:snapToGrid w:val="0"/>
                    <w:jc w:val="center"/>
                    <w:rPr>
                      <w:rFonts w:hint="eastAsia"/>
                      <w:bCs/>
                      <w:color w:val="auto"/>
                      <w:lang w:eastAsia="zh-CN"/>
                    </w:rPr>
                  </w:pPr>
                  <w:r>
                    <w:rPr>
                      <w:rFonts w:hint="eastAsia"/>
                      <w:bCs/>
                      <w:color w:val="auto"/>
                      <w:lang w:eastAsia="zh-CN"/>
                    </w:rPr>
                    <w:t>袋装</w:t>
                  </w:r>
                </w:p>
              </w:tc>
              <w:tc>
                <w:tcPr>
                  <w:tcW w:w="1156" w:type="pct"/>
                  <w:vAlign w:val="center"/>
                </w:tcPr>
                <w:p>
                  <w:pPr>
                    <w:adjustRightInd w:val="0"/>
                    <w:snapToGrid w:val="0"/>
                    <w:jc w:val="center"/>
                    <w:rPr>
                      <w:rFonts w:hint="eastAsia"/>
                      <w:bCs/>
                      <w:color w:val="auto"/>
                    </w:rPr>
                  </w:pPr>
                  <w:r>
                    <w:rPr>
                      <w:rFonts w:hint="eastAsia"/>
                      <w:bCs/>
                      <w:color w:val="auto"/>
                      <w:lang w:val="en-US" w:eastAsia="zh-CN"/>
                    </w:rPr>
                    <w:t>1</w:t>
                  </w:r>
                  <w:r>
                    <w:rPr>
                      <w:rFonts w:hint="eastAsia"/>
                      <w:bCs/>
                      <w:color w:val="auto"/>
                    </w:rPr>
                    <w:t>kg/袋</w:t>
                  </w:r>
                </w:p>
              </w:tc>
              <w:tc>
                <w:tcPr>
                  <w:tcW w:w="461" w:type="pct"/>
                  <w:vAlign w:val="center"/>
                </w:tcPr>
                <w:p>
                  <w:pPr>
                    <w:adjustRightInd w:val="0"/>
                    <w:snapToGrid w:val="0"/>
                    <w:jc w:val="center"/>
                    <w:rPr>
                      <w:rFonts w:hint="eastAsia"/>
                      <w:bCs/>
                      <w:color w:val="auto"/>
                      <w:lang w:eastAsia="zh-CN"/>
                    </w:rPr>
                  </w:pPr>
                  <w:r>
                    <w:rPr>
                      <w:rFonts w:hint="eastAsia"/>
                      <w:bCs/>
                      <w:color w:val="auto"/>
                      <w:lang w:eastAsia="zh-CN"/>
                    </w:rPr>
                    <w:t>块状</w:t>
                  </w:r>
                </w:p>
              </w:tc>
              <w:tc>
                <w:tcPr>
                  <w:tcW w:w="473" w:type="pct"/>
                  <w:vAlign w:val="center"/>
                </w:tcPr>
                <w:p>
                  <w:pPr>
                    <w:adjustRightInd w:val="0"/>
                    <w:snapToGrid w:val="0"/>
                    <w:jc w:val="center"/>
                    <w:rPr>
                      <w:rFonts w:hint="eastAsia"/>
                      <w:bCs/>
                      <w:color w:val="auto"/>
                      <w:lang w:eastAsia="zh-CN"/>
                    </w:rPr>
                  </w:pPr>
                  <w:r>
                    <w:rPr>
                      <w:rFonts w:hint="eastAsia"/>
                      <w:bCs/>
                      <w:color w:val="auto"/>
                      <w:lang w:eastAsia="zh-CN"/>
                    </w:rPr>
                    <w:t>原料仓</w:t>
                  </w:r>
                </w:p>
              </w:tc>
              <w:tc>
                <w:tcPr>
                  <w:tcW w:w="276" w:type="pct"/>
                  <w:vMerge w:val="restart"/>
                  <w:vAlign w:val="center"/>
                </w:tcPr>
                <w:p>
                  <w:pPr>
                    <w:pStyle w:val="470"/>
                    <w:snapToGrid w:val="0"/>
                    <w:spacing w:line="240" w:lineRule="auto"/>
                    <w:rPr>
                      <w:rFonts w:ascii="Times New Roman" w:hAnsi="Times New Roman" w:eastAsia="宋体" w:cs="Times New Roman"/>
                      <w:color w:val="auto"/>
                      <w:sz w:val="20"/>
                      <w:szCs w:val="20"/>
                      <w:lang w:eastAsia="zh-CN"/>
                    </w:rPr>
                  </w:pPr>
                  <w:r>
                    <w:rPr>
                      <w:rFonts w:hint="eastAsia" w:ascii="Times New Roman" w:hAnsi="Times New Roman" w:eastAsia="宋体" w:cs="Times New Roman"/>
                      <w:bCs/>
                      <w:color w:val="auto"/>
                      <w:sz w:val="21"/>
                      <w:szCs w:val="20"/>
                      <w:lang w:val="en-US" w:eastAsia="zh-CN" w:bidi="ar-SA"/>
                    </w:rPr>
                    <w:t>外购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exact"/>
                <w:jc w:val="center"/>
              </w:trPr>
              <w:tc>
                <w:tcPr>
                  <w:tcW w:w="775" w:type="pct"/>
                  <w:vAlign w:val="center"/>
                </w:tcPr>
                <w:p>
                  <w:pPr>
                    <w:adjustRightInd w:val="0"/>
                    <w:snapToGrid w:val="0"/>
                    <w:jc w:val="center"/>
                    <w:rPr>
                      <w:rFonts w:hint="eastAsia"/>
                      <w:bCs/>
                      <w:color w:val="auto"/>
                    </w:rPr>
                  </w:pPr>
                  <w:r>
                    <w:rPr>
                      <w:rFonts w:hint="eastAsia"/>
                      <w:bCs/>
                      <w:color w:val="auto"/>
                    </w:rPr>
                    <w:t>乙丙橡胶</w:t>
                  </w:r>
                </w:p>
              </w:tc>
              <w:tc>
                <w:tcPr>
                  <w:tcW w:w="444" w:type="pct"/>
                  <w:vAlign w:val="center"/>
                </w:tcPr>
                <w:p>
                  <w:pPr>
                    <w:adjustRightInd w:val="0"/>
                    <w:snapToGrid w:val="0"/>
                    <w:jc w:val="center"/>
                    <w:rPr>
                      <w:rFonts w:hint="eastAsia"/>
                      <w:bCs/>
                      <w:color w:val="FF0000"/>
                    </w:rPr>
                  </w:pPr>
                  <w:r>
                    <w:rPr>
                      <w:rFonts w:hint="eastAsia"/>
                      <w:bCs/>
                      <w:color w:val="FF0000"/>
                      <w:lang w:val="en-US" w:eastAsia="zh-CN"/>
                    </w:rPr>
                    <w:t>6500</w:t>
                  </w:r>
                  <w:r>
                    <w:rPr>
                      <w:rFonts w:hint="eastAsia"/>
                      <w:bCs/>
                      <w:color w:val="FF0000"/>
                    </w:rPr>
                    <w:t>t</w:t>
                  </w:r>
                </w:p>
              </w:tc>
              <w:tc>
                <w:tcPr>
                  <w:tcW w:w="473" w:type="pct"/>
                  <w:vAlign w:val="center"/>
                </w:tcPr>
                <w:p>
                  <w:pPr>
                    <w:adjustRightInd w:val="0"/>
                    <w:snapToGrid w:val="0"/>
                    <w:jc w:val="center"/>
                    <w:rPr>
                      <w:rFonts w:hint="eastAsia"/>
                      <w:bCs/>
                      <w:color w:val="auto"/>
                      <w:lang w:eastAsia="zh-CN"/>
                    </w:rPr>
                  </w:pPr>
                  <w:r>
                    <w:rPr>
                      <w:rFonts w:hint="eastAsia"/>
                      <w:bCs/>
                      <w:color w:val="auto"/>
                      <w:lang w:eastAsia="zh-CN"/>
                    </w:rPr>
                    <w:t>200t</w:t>
                  </w:r>
                </w:p>
              </w:tc>
              <w:tc>
                <w:tcPr>
                  <w:tcW w:w="454" w:type="pct"/>
                  <w:vAlign w:val="center"/>
                </w:tcPr>
                <w:p>
                  <w:pPr>
                    <w:adjustRightInd w:val="0"/>
                    <w:snapToGrid w:val="0"/>
                    <w:jc w:val="center"/>
                    <w:rPr>
                      <w:rFonts w:hint="eastAsia"/>
                      <w:bCs/>
                      <w:color w:val="auto"/>
                      <w:lang w:eastAsia="zh-CN"/>
                    </w:rPr>
                  </w:pPr>
                  <w:r>
                    <w:rPr>
                      <w:rFonts w:hint="eastAsia"/>
                      <w:bCs/>
                      <w:color w:val="auto"/>
                      <w:lang w:eastAsia="zh-CN"/>
                    </w:rPr>
                    <w:t>1个月</w:t>
                  </w:r>
                </w:p>
              </w:tc>
              <w:tc>
                <w:tcPr>
                  <w:tcW w:w="484" w:type="pct"/>
                  <w:vAlign w:val="center"/>
                </w:tcPr>
                <w:p>
                  <w:pPr>
                    <w:adjustRightInd w:val="0"/>
                    <w:snapToGrid w:val="0"/>
                    <w:jc w:val="center"/>
                    <w:rPr>
                      <w:rFonts w:hint="eastAsia"/>
                      <w:bCs/>
                      <w:color w:val="auto"/>
                      <w:lang w:eastAsia="zh-CN"/>
                    </w:rPr>
                  </w:pPr>
                  <w:r>
                    <w:rPr>
                      <w:rFonts w:hint="eastAsia"/>
                      <w:bCs/>
                      <w:color w:val="auto"/>
                      <w:lang w:eastAsia="zh-CN"/>
                    </w:rPr>
                    <w:t>袋装</w:t>
                  </w:r>
                </w:p>
              </w:tc>
              <w:tc>
                <w:tcPr>
                  <w:tcW w:w="1156" w:type="pct"/>
                  <w:vAlign w:val="center"/>
                </w:tcPr>
                <w:p>
                  <w:pPr>
                    <w:adjustRightInd w:val="0"/>
                    <w:snapToGrid w:val="0"/>
                    <w:jc w:val="center"/>
                    <w:rPr>
                      <w:rFonts w:hint="eastAsia"/>
                      <w:bCs/>
                      <w:color w:val="auto"/>
                    </w:rPr>
                  </w:pPr>
                  <w:r>
                    <w:rPr>
                      <w:rFonts w:hint="eastAsia"/>
                      <w:bCs/>
                      <w:color w:val="auto"/>
                    </w:rPr>
                    <w:t>3</w:t>
                  </w:r>
                  <w:r>
                    <w:rPr>
                      <w:rFonts w:hint="eastAsia"/>
                      <w:bCs/>
                      <w:color w:val="auto"/>
                      <w:lang w:val="en-US" w:eastAsia="zh-CN"/>
                    </w:rPr>
                    <w:t>5</w:t>
                  </w:r>
                  <w:r>
                    <w:rPr>
                      <w:rFonts w:hint="eastAsia"/>
                      <w:bCs/>
                      <w:color w:val="auto"/>
                    </w:rPr>
                    <w:t>kg/袋</w:t>
                  </w:r>
                </w:p>
              </w:tc>
              <w:tc>
                <w:tcPr>
                  <w:tcW w:w="461" w:type="pct"/>
                  <w:vAlign w:val="center"/>
                </w:tcPr>
                <w:p>
                  <w:pPr>
                    <w:adjustRightInd w:val="0"/>
                    <w:snapToGrid w:val="0"/>
                    <w:jc w:val="center"/>
                    <w:rPr>
                      <w:rFonts w:hint="eastAsia"/>
                      <w:bCs/>
                      <w:color w:val="auto"/>
                    </w:rPr>
                  </w:pPr>
                  <w:r>
                    <w:rPr>
                      <w:rFonts w:hint="eastAsia"/>
                      <w:bCs/>
                      <w:color w:val="auto"/>
                    </w:rPr>
                    <w:t>块状</w:t>
                  </w:r>
                </w:p>
              </w:tc>
              <w:tc>
                <w:tcPr>
                  <w:tcW w:w="473" w:type="pct"/>
                  <w:vAlign w:val="center"/>
                </w:tcPr>
                <w:p>
                  <w:pPr>
                    <w:adjustRightInd w:val="0"/>
                    <w:snapToGrid w:val="0"/>
                    <w:jc w:val="center"/>
                    <w:rPr>
                      <w:rFonts w:hint="eastAsia"/>
                      <w:bCs/>
                      <w:color w:val="auto"/>
                    </w:rPr>
                  </w:pPr>
                  <w:r>
                    <w:rPr>
                      <w:rFonts w:hint="eastAsia"/>
                      <w:bCs/>
                      <w:color w:val="auto"/>
                    </w:rPr>
                    <w:t>原料仓</w:t>
                  </w:r>
                </w:p>
              </w:tc>
              <w:tc>
                <w:tcPr>
                  <w:tcW w:w="276" w:type="pct"/>
                  <w:vMerge w:val="continue"/>
                  <w:vAlign w:val="center"/>
                </w:tcPr>
                <w:p>
                  <w:pPr>
                    <w:pStyle w:val="470"/>
                    <w:snapToGrid w:val="0"/>
                    <w:spacing w:line="240" w:lineRule="auto"/>
                    <w:rPr>
                      <w:rFonts w:ascii="Times New Roman" w:hAnsi="Times New Roman" w:eastAsia="宋体" w:cs="Times New Roman"/>
                      <w:color w:val="auto"/>
                      <w:sz w:val="20"/>
                      <w:szCs w:val="20"/>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exact"/>
                <w:jc w:val="center"/>
              </w:trPr>
              <w:tc>
                <w:tcPr>
                  <w:tcW w:w="775" w:type="pct"/>
                  <w:vAlign w:val="center"/>
                </w:tcPr>
                <w:p>
                  <w:pPr>
                    <w:adjustRightInd w:val="0"/>
                    <w:snapToGrid w:val="0"/>
                    <w:jc w:val="center"/>
                    <w:rPr>
                      <w:rFonts w:hint="eastAsia"/>
                      <w:bCs/>
                      <w:color w:val="auto"/>
                    </w:rPr>
                  </w:pPr>
                  <w:r>
                    <w:rPr>
                      <w:rFonts w:hint="eastAsia"/>
                      <w:bCs/>
                      <w:color w:val="auto"/>
                    </w:rPr>
                    <w:t>丁腈橡胶</w:t>
                  </w:r>
                </w:p>
              </w:tc>
              <w:tc>
                <w:tcPr>
                  <w:tcW w:w="444" w:type="pct"/>
                  <w:vAlign w:val="center"/>
                </w:tcPr>
                <w:p>
                  <w:pPr>
                    <w:adjustRightInd w:val="0"/>
                    <w:snapToGrid w:val="0"/>
                    <w:jc w:val="center"/>
                    <w:rPr>
                      <w:rFonts w:hint="eastAsia"/>
                      <w:bCs/>
                      <w:color w:val="FF0000"/>
                    </w:rPr>
                  </w:pPr>
                  <w:r>
                    <w:rPr>
                      <w:rFonts w:hint="eastAsia"/>
                      <w:bCs/>
                      <w:color w:val="FF0000"/>
                      <w:lang w:val="en-US" w:eastAsia="zh-CN"/>
                    </w:rPr>
                    <w:t>3500</w:t>
                  </w:r>
                  <w:r>
                    <w:rPr>
                      <w:rFonts w:hint="eastAsia"/>
                      <w:bCs/>
                      <w:color w:val="FF0000"/>
                    </w:rPr>
                    <w:t>t</w:t>
                  </w:r>
                </w:p>
              </w:tc>
              <w:tc>
                <w:tcPr>
                  <w:tcW w:w="473" w:type="pct"/>
                  <w:vAlign w:val="center"/>
                </w:tcPr>
                <w:p>
                  <w:pPr>
                    <w:adjustRightInd w:val="0"/>
                    <w:snapToGrid w:val="0"/>
                    <w:jc w:val="center"/>
                    <w:rPr>
                      <w:rFonts w:hint="eastAsia"/>
                      <w:bCs/>
                      <w:color w:val="auto"/>
                      <w:lang w:eastAsia="zh-CN"/>
                    </w:rPr>
                  </w:pPr>
                  <w:r>
                    <w:rPr>
                      <w:rFonts w:hint="eastAsia"/>
                      <w:bCs/>
                      <w:color w:val="auto"/>
                      <w:lang w:eastAsia="zh-CN"/>
                    </w:rPr>
                    <w:t>100t</w:t>
                  </w:r>
                </w:p>
              </w:tc>
              <w:tc>
                <w:tcPr>
                  <w:tcW w:w="454" w:type="pct"/>
                  <w:vAlign w:val="center"/>
                </w:tcPr>
                <w:p>
                  <w:pPr>
                    <w:adjustRightInd w:val="0"/>
                    <w:snapToGrid w:val="0"/>
                    <w:jc w:val="center"/>
                    <w:rPr>
                      <w:rFonts w:hint="eastAsia"/>
                      <w:bCs/>
                      <w:color w:val="auto"/>
                      <w:lang w:eastAsia="zh-CN"/>
                    </w:rPr>
                  </w:pPr>
                  <w:r>
                    <w:rPr>
                      <w:rFonts w:hint="eastAsia"/>
                      <w:bCs/>
                      <w:color w:val="auto"/>
                      <w:lang w:eastAsia="zh-CN"/>
                    </w:rPr>
                    <w:t>1个月</w:t>
                  </w:r>
                </w:p>
              </w:tc>
              <w:tc>
                <w:tcPr>
                  <w:tcW w:w="484" w:type="pct"/>
                  <w:vAlign w:val="center"/>
                </w:tcPr>
                <w:p>
                  <w:pPr>
                    <w:adjustRightInd w:val="0"/>
                    <w:snapToGrid w:val="0"/>
                    <w:jc w:val="center"/>
                    <w:rPr>
                      <w:rFonts w:hint="eastAsia"/>
                      <w:bCs/>
                      <w:color w:val="auto"/>
                      <w:lang w:eastAsia="zh-CN"/>
                    </w:rPr>
                  </w:pPr>
                  <w:r>
                    <w:rPr>
                      <w:rFonts w:hint="eastAsia"/>
                      <w:bCs/>
                      <w:color w:val="auto"/>
                      <w:lang w:eastAsia="zh-CN"/>
                    </w:rPr>
                    <w:t>袋装</w:t>
                  </w:r>
                </w:p>
              </w:tc>
              <w:tc>
                <w:tcPr>
                  <w:tcW w:w="1156" w:type="pct"/>
                  <w:vAlign w:val="center"/>
                </w:tcPr>
                <w:p>
                  <w:pPr>
                    <w:adjustRightInd w:val="0"/>
                    <w:snapToGrid w:val="0"/>
                    <w:jc w:val="center"/>
                    <w:rPr>
                      <w:rFonts w:hint="eastAsia"/>
                      <w:bCs/>
                      <w:color w:val="auto"/>
                    </w:rPr>
                  </w:pPr>
                  <w:r>
                    <w:rPr>
                      <w:rFonts w:hint="eastAsia"/>
                      <w:bCs/>
                      <w:color w:val="auto"/>
                    </w:rPr>
                    <w:t>3</w:t>
                  </w:r>
                  <w:r>
                    <w:rPr>
                      <w:rFonts w:hint="eastAsia"/>
                      <w:bCs/>
                      <w:color w:val="auto"/>
                      <w:lang w:val="en-US" w:eastAsia="zh-CN"/>
                    </w:rPr>
                    <w:t>5</w:t>
                  </w:r>
                  <w:r>
                    <w:rPr>
                      <w:rFonts w:hint="eastAsia"/>
                      <w:bCs/>
                      <w:color w:val="auto"/>
                    </w:rPr>
                    <w:t>kg/袋</w:t>
                  </w:r>
                </w:p>
              </w:tc>
              <w:tc>
                <w:tcPr>
                  <w:tcW w:w="461" w:type="pct"/>
                  <w:vAlign w:val="center"/>
                </w:tcPr>
                <w:p>
                  <w:pPr>
                    <w:adjustRightInd w:val="0"/>
                    <w:snapToGrid w:val="0"/>
                    <w:jc w:val="center"/>
                    <w:rPr>
                      <w:rFonts w:hint="eastAsia"/>
                      <w:bCs/>
                      <w:color w:val="auto"/>
                    </w:rPr>
                  </w:pPr>
                  <w:r>
                    <w:rPr>
                      <w:rFonts w:hint="eastAsia"/>
                      <w:bCs/>
                      <w:color w:val="auto"/>
                    </w:rPr>
                    <w:t>块状</w:t>
                  </w:r>
                </w:p>
              </w:tc>
              <w:tc>
                <w:tcPr>
                  <w:tcW w:w="473" w:type="pct"/>
                  <w:vAlign w:val="center"/>
                </w:tcPr>
                <w:p>
                  <w:pPr>
                    <w:adjustRightInd w:val="0"/>
                    <w:snapToGrid w:val="0"/>
                    <w:jc w:val="center"/>
                    <w:rPr>
                      <w:rFonts w:hint="eastAsia"/>
                      <w:bCs/>
                      <w:color w:val="auto"/>
                    </w:rPr>
                  </w:pPr>
                  <w:r>
                    <w:rPr>
                      <w:rFonts w:hint="eastAsia"/>
                      <w:bCs/>
                      <w:color w:val="auto"/>
                    </w:rPr>
                    <w:t>原料仓</w:t>
                  </w:r>
                </w:p>
              </w:tc>
              <w:tc>
                <w:tcPr>
                  <w:tcW w:w="276" w:type="pct"/>
                  <w:vMerge w:val="continue"/>
                  <w:vAlign w:val="center"/>
                </w:tcPr>
                <w:p>
                  <w:pPr>
                    <w:pStyle w:val="470"/>
                    <w:snapToGrid w:val="0"/>
                    <w:spacing w:line="240" w:lineRule="auto"/>
                    <w:rPr>
                      <w:rFonts w:ascii="Times New Roman" w:hAnsi="Times New Roman" w:eastAsia="宋体" w:cs="Times New Roman"/>
                      <w:color w:val="auto"/>
                      <w:sz w:val="20"/>
                      <w:szCs w:val="20"/>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exact"/>
                <w:jc w:val="center"/>
              </w:trPr>
              <w:tc>
                <w:tcPr>
                  <w:tcW w:w="775" w:type="pct"/>
                  <w:vAlign w:val="center"/>
                </w:tcPr>
                <w:p>
                  <w:pPr>
                    <w:adjustRightInd w:val="0"/>
                    <w:snapToGrid w:val="0"/>
                    <w:jc w:val="center"/>
                    <w:rPr>
                      <w:rFonts w:hint="eastAsia"/>
                      <w:bCs/>
                      <w:color w:val="auto"/>
                    </w:rPr>
                  </w:pPr>
                  <w:r>
                    <w:rPr>
                      <w:rFonts w:hint="eastAsia"/>
                      <w:bCs/>
                      <w:color w:val="auto"/>
                    </w:rPr>
                    <w:t>炭黑</w:t>
                  </w:r>
                </w:p>
              </w:tc>
              <w:tc>
                <w:tcPr>
                  <w:tcW w:w="444" w:type="pct"/>
                  <w:vAlign w:val="center"/>
                </w:tcPr>
                <w:p>
                  <w:pPr>
                    <w:adjustRightInd w:val="0"/>
                    <w:snapToGrid w:val="0"/>
                    <w:jc w:val="center"/>
                    <w:rPr>
                      <w:rFonts w:hint="eastAsia"/>
                      <w:bCs/>
                      <w:color w:val="auto"/>
                    </w:rPr>
                  </w:pPr>
                  <w:r>
                    <w:rPr>
                      <w:rFonts w:hint="eastAsia"/>
                      <w:bCs/>
                      <w:color w:val="auto"/>
                    </w:rPr>
                    <w:t>3500t</w:t>
                  </w:r>
                </w:p>
              </w:tc>
              <w:tc>
                <w:tcPr>
                  <w:tcW w:w="473" w:type="pct"/>
                  <w:vAlign w:val="center"/>
                </w:tcPr>
                <w:p>
                  <w:pPr>
                    <w:adjustRightInd w:val="0"/>
                    <w:snapToGrid w:val="0"/>
                    <w:jc w:val="center"/>
                    <w:rPr>
                      <w:rFonts w:hint="eastAsia"/>
                      <w:bCs/>
                      <w:color w:val="auto"/>
                      <w:lang w:eastAsia="zh-CN"/>
                    </w:rPr>
                  </w:pPr>
                  <w:r>
                    <w:rPr>
                      <w:rFonts w:hint="eastAsia"/>
                      <w:bCs/>
                      <w:color w:val="auto"/>
                      <w:lang w:eastAsia="zh-CN"/>
                    </w:rPr>
                    <w:t>350t</w:t>
                  </w:r>
                </w:p>
              </w:tc>
              <w:tc>
                <w:tcPr>
                  <w:tcW w:w="454" w:type="pct"/>
                  <w:vAlign w:val="center"/>
                </w:tcPr>
                <w:p>
                  <w:pPr>
                    <w:adjustRightInd w:val="0"/>
                    <w:snapToGrid w:val="0"/>
                    <w:jc w:val="center"/>
                    <w:rPr>
                      <w:rFonts w:hint="eastAsia"/>
                      <w:bCs/>
                      <w:color w:val="auto"/>
                      <w:lang w:eastAsia="zh-CN"/>
                    </w:rPr>
                  </w:pPr>
                  <w:r>
                    <w:rPr>
                      <w:rFonts w:hint="eastAsia"/>
                      <w:bCs/>
                      <w:color w:val="auto"/>
                      <w:lang w:eastAsia="zh-CN"/>
                    </w:rPr>
                    <w:t>1个月</w:t>
                  </w:r>
                </w:p>
              </w:tc>
              <w:tc>
                <w:tcPr>
                  <w:tcW w:w="484" w:type="pct"/>
                  <w:vAlign w:val="center"/>
                </w:tcPr>
                <w:p>
                  <w:pPr>
                    <w:adjustRightInd w:val="0"/>
                    <w:snapToGrid w:val="0"/>
                    <w:jc w:val="center"/>
                    <w:rPr>
                      <w:rFonts w:hint="eastAsia"/>
                      <w:bCs/>
                      <w:color w:val="auto"/>
                      <w:lang w:eastAsia="zh-CN"/>
                    </w:rPr>
                  </w:pPr>
                  <w:r>
                    <w:rPr>
                      <w:rFonts w:hint="eastAsia"/>
                      <w:bCs/>
                      <w:color w:val="auto"/>
                      <w:lang w:eastAsia="zh-CN"/>
                    </w:rPr>
                    <w:t>袋装</w:t>
                  </w:r>
                </w:p>
              </w:tc>
              <w:tc>
                <w:tcPr>
                  <w:tcW w:w="1156" w:type="pct"/>
                  <w:vAlign w:val="center"/>
                </w:tcPr>
                <w:p>
                  <w:pPr>
                    <w:adjustRightInd w:val="0"/>
                    <w:snapToGrid w:val="0"/>
                    <w:jc w:val="center"/>
                    <w:rPr>
                      <w:rFonts w:hint="eastAsia"/>
                      <w:bCs/>
                      <w:color w:val="auto"/>
                      <w:lang w:eastAsia="zh-CN"/>
                    </w:rPr>
                  </w:pPr>
                  <w:r>
                    <w:rPr>
                      <w:rFonts w:hint="eastAsia"/>
                      <w:bCs/>
                      <w:color w:val="auto"/>
                      <w:lang w:eastAsia="zh-CN"/>
                    </w:rPr>
                    <w:t>500kg/袋或</w:t>
                  </w:r>
                  <w:r>
                    <w:rPr>
                      <w:rFonts w:hint="eastAsia"/>
                      <w:bCs/>
                      <w:color w:val="auto"/>
                      <w:lang w:val="en-US" w:eastAsia="zh-CN"/>
                    </w:rPr>
                    <w:t>25</w:t>
                  </w:r>
                  <w:r>
                    <w:rPr>
                      <w:rFonts w:hint="eastAsia"/>
                      <w:bCs/>
                      <w:color w:val="auto"/>
                      <w:lang w:eastAsia="zh-CN"/>
                    </w:rPr>
                    <w:t>kg/袋</w:t>
                  </w:r>
                </w:p>
              </w:tc>
              <w:tc>
                <w:tcPr>
                  <w:tcW w:w="461" w:type="pct"/>
                  <w:vAlign w:val="center"/>
                </w:tcPr>
                <w:p>
                  <w:pPr>
                    <w:adjustRightInd w:val="0"/>
                    <w:snapToGrid w:val="0"/>
                    <w:jc w:val="center"/>
                    <w:rPr>
                      <w:rFonts w:hint="eastAsia"/>
                      <w:bCs/>
                      <w:color w:val="auto"/>
                      <w:lang w:eastAsia="zh-CN"/>
                    </w:rPr>
                  </w:pPr>
                  <w:r>
                    <w:rPr>
                      <w:rFonts w:hint="eastAsia"/>
                      <w:bCs/>
                      <w:color w:val="auto"/>
                      <w:lang w:eastAsia="zh-CN"/>
                    </w:rPr>
                    <w:t>粉状</w:t>
                  </w:r>
                </w:p>
              </w:tc>
              <w:tc>
                <w:tcPr>
                  <w:tcW w:w="473" w:type="pct"/>
                  <w:vAlign w:val="center"/>
                </w:tcPr>
                <w:p>
                  <w:pPr>
                    <w:adjustRightInd w:val="0"/>
                    <w:snapToGrid w:val="0"/>
                    <w:jc w:val="center"/>
                    <w:rPr>
                      <w:rFonts w:hint="eastAsia"/>
                      <w:bCs/>
                      <w:color w:val="auto"/>
                    </w:rPr>
                  </w:pPr>
                  <w:r>
                    <w:rPr>
                      <w:rFonts w:hint="eastAsia"/>
                      <w:bCs/>
                      <w:color w:val="auto"/>
                    </w:rPr>
                    <w:t>原料仓</w:t>
                  </w:r>
                </w:p>
              </w:tc>
              <w:tc>
                <w:tcPr>
                  <w:tcW w:w="276" w:type="pct"/>
                  <w:vMerge w:val="continue"/>
                  <w:vAlign w:val="center"/>
                </w:tcPr>
                <w:p>
                  <w:pPr>
                    <w:pStyle w:val="470"/>
                    <w:snapToGrid w:val="0"/>
                    <w:spacing w:line="240" w:lineRule="auto"/>
                    <w:rPr>
                      <w:rFonts w:ascii="Times New Roman" w:hAnsi="Times New Roman" w:eastAsia="宋体" w:cs="Times New Roman"/>
                      <w:color w:val="auto"/>
                      <w:sz w:val="20"/>
                      <w:szCs w:val="20"/>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exact"/>
                <w:jc w:val="center"/>
              </w:trPr>
              <w:tc>
                <w:tcPr>
                  <w:tcW w:w="775" w:type="pct"/>
                  <w:vAlign w:val="center"/>
                </w:tcPr>
                <w:p>
                  <w:pPr>
                    <w:adjustRightInd w:val="0"/>
                    <w:snapToGrid w:val="0"/>
                    <w:jc w:val="center"/>
                    <w:rPr>
                      <w:rFonts w:hint="eastAsia"/>
                      <w:bCs/>
                      <w:color w:val="auto"/>
                    </w:rPr>
                  </w:pPr>
                  <w:r>
                    <w:rPr>
                      <w:rFonts w:hint="eastAsia"/>
                      <w:bCs/>
                      <w:color w:val="auto"/>
                    </w:rPr>
                    <w:t>碳酸钙</w:t>
                  </w:r>
                </w:p>
              </w:tc>
              <w:tc>
                <w:tcPr>
                  <w:tcW w:w="444" w:type="pct"/>
                  <w:vAlign w:val="center"/>
                </w:tcPr>
                <w:p>
                  <w:pPr>
                    <w:adjustRightInd w:val="0"/>
                    <w:snapToGrid w:val="0"/>
                    <w:jc w:val="center"/>
                    <w:rPr>
                      <w:rFonts w:hint="eastAsia"/>
                      <w:bCs/>
                      <w:color w:val="auto"/>
                    </w:rPr>
                  </w:pPr>
                  <w:r>
                    <w:rPr>
                      <w:rFonts w:hint="eastAsia"/>
                      <w:bCs/>
                      <w:color w:val="auto"/>
                    </w:rPr>
                    <w:t>4000t</w:t>
                  </w:r>
                </w:p>
              </w:tc>
              <w:tc>
                <w:tcPr>
                  <w:tcW w:w="473" w:type="pct"/>
                  <w:vAlign w:val="center"/>
                </w:tcPr>
                <w:p>
                  <w:pPr>
                    <w:adjustRightInd w:val="0"/>
                    <w:snapToGrid w:val="0"/>
                    <w:jc w:val="center"/>
                    <w:rPr>
                      <w:rFonts w:hint="eastAsia"/>
                      <w:bCs/>
                      <w:color w:val="auto"/>
                      <w:lang w:eastAsia="zh-CN"/>
                    </w:rPr>
                  </w:pPr>
                  <w:r>
                    <w:rPr>
                      <w:rFonts w:hint="eastAsia"/>
                      <w:bCs/>
                      <w:color w:val="auto"/>
                      <w:lang w:eastAsia="zh-CN"/>
                    </w:rPr>
                    <w:t>400t</w:t>
                  </w:r>
                </w:p>
              </w:tc>
              <w:tc>
                <w:tcPr>
                  <w:tcW w:w="454" w:type="pct"/>
                  <w:vAlign w:val="center"/>
                </w:tcPr>
                <w:p>
                  <w:pPr>
                    <w:adjustRightInd w:val="0"/>
                    <w:snapToGrid w:val="0"/>
                    <w:jc w:val="center"/>
                    <w:rPr>
                      <w:rFonts w:hint="eastAsia"/>
                      <w:bCs/>
                      <w:color w:val="auto"/>
                      <w:lang w:eastAsia="zh-CN"/>
                    </w:rPr>
                  </w:pPr>
                  <w:r>
                    <w:rPr>
                      <w:rFonts w:hint="eastAsia"/>
                      <w:bCs/>
                      <w:color w:val="auto"/>
                      <w:lang w:eastAsia="zh-CN"/>
                    </w:rPr>
                    <w:t>1个月</w:t>
                  </w:r>
                </w:p>
              </w:tc>
              <w:tc>
                <w:tcPr>
                  <w:tcW w:w="484" w:type="pct"/>
                  <w:vAlign w:val="center"/>
                </w:tcPr>
                <w:p>
                  <w:pPr>
                    <w:adjustRightInd w:val="0"/>
                    <w:snapToGrid w:val="0"/>
                    <w:jc w:val="center"/>
                    <w:rPr>
                      <w:rFonts w:hint="eastAsia"/>
                      <w:bCs/>
                      <w:color w:val="auto"/>
                      <w:lang w:eastAsia="zh-CN"/>
                    </w:rPr>
                  </w:pPr>
                  <w:r>
                    <w:rPr>
                      <w:rFonts w:hint="eastAsia"/>
                      <w:bCs/>
                      <w:color w:val="auto"/>
                      <w:lang w:eastAsia="zh-CN"/>
                    </w:rPr>
                    <w:t>袋装</w:t>
                  </w:r>
                </w:p>
              </w:tc>
              <w:tc>
                <w:tcPr>
                  <w:tcW w:w="1156" w:type="pct"/>
                  <w:vAlign w:val="center"/>
                </w:tcPr>
                <w:p>
                  <w:pPr>
                    <w:adjustRightInd w:val="0"/>
                    <w:snapToGrid w:val="0"/>
                    <w:jc w:val="center"/>
                    <w:rPr>
                      <w:rFonts w:hint="eastAsia"/>
                      <w:bCs/>
                      <w:color w:val="auto"/>
                      <w:lang w:eastAsia="zh-CN"/>
                    </w:rPr>
                  </w:pPr>
                  <w:r>
                    <w:rPr>
                      <w:rFonts w:hint="eastAsia"/>
                      <w:bCs/>
                      <w:color w:val="auto"/>
                      <w:lang w:eastAsia="zh-CN"/>
                    </w:rPr>
                    <w:t>500kg/袋或</w:t>
                  </w:r>
                  <w:r>
                    <w:rPr>
                      <w:rFonts w:hint="eastAsia"/>
                      <w:bCs/>
                      <w:color w:val="auto"/>
                      <w:lang w:val="en-US" w:eastAsia="zh-CN"/>
                    </w:rPr>
                    <w:t>1t</w:t>
                  </w:r>
                  <w:r>
                    <w:rPr>
                      <w:rFonts w:hint="eastAsia"/>
                      <w:bCs/>
                      <w:color w:val="auto"/>
                      <w:lang w:eastAsia="zh-CN"/>
                    </w:rPr>
                    <w:t>/袋</w:t>
                  </w:r>
                </w:p>
              </w:tc>
              <w:tc>
                <w:tcPr>
                  <w:tcW w:w="461" w:type="pct"/>
                  <w:vAlign w:val="center"/>
                </w:tcPr>
                <w:p>
                  <w:pPr>
                    <w:adjustRightInd w:val="0"/>
                    <w:snapToGrid w:val="0"/>
                    <w:jc w:val="center"/>
                    <w:rPr>
                      <w:rFonts w:hint="eastAsia"/>
                      <w:bCs/>
                      <w:color w:val="auto"/>
                      <w:lang w:eastAsia="zh-CN"/>
                    </w:rPr>
                  </w:pPr>
                  <w:r>
                    <w:rPr>
                      <w:rFonts w:hint="eastAsia"/>
                      <w:bCs/>
                      <w:color w:val="auto"/>
                      <w:lang w:val="en-US" w:eastAsia="zh-CN"/>
                    </w:rPr>
                    <w:t>粉</w:t>
                  </w:r>
                  <w:r>
                    <w:rPr>
                      <w:rFonts w:hint="eastAsia"/>
                      <w:bCs/>
                      <w:color w:val="auto"/>
                      <w:lang w:eastAsia="zh-CN"/>
                    </w:rPr>
                    <w:t>状</w:t>
                  </w:r>
                </w:p>
              </w:tc>
              <w:tc>
                <w:tcPr>
                  <w:tcW w:w="473" w:type="pct"/>
                  <w:vAlign w:val="center"/>
                </w:tcPr>
                <w:p>
                  <w:pPr>
                    <w:adjustRightInd w:val="0"/>
                    <w:snapToGrid w:val="0"/>
                    <w:jc w:val="center"/>
                    <w:rPr>
                      <w:rFonts w:hint="eastAsia"/>
                      <w:bCs/>
                      <w:color w:val="auto"/>
                    </w:rPr>
                  </w:pPr>
                  <w:r>
                    <w:rPr>
                      <w:rFonts w:hint="eastAsia"/>
                      <w:bCs/>
                      <w:color w:val="auto"/>
                    </w:rPr>
                    <w:t>原料仓</w:t>
                  </w:r>
                </w:p>
              </w:tc>
              <w:tc>
                <w:tcPr>
                  <w:tcW w:w="276" w:type="pct"/>
                  <w:vMerge w:val="continue"/>
                  <w:vAlign w:val="center"/>
                </w:tcPr>
                <w:p>
                  <w:pPr>
                    <w:pStyle w:val="470"/>
                    <w:snapToGrid w:val="0"/>
                    <w:spacing w:line="240" w:lineRule="auto"/>
                    <w:rPr>
                      <w:rFonts w:ascii="Times New Roman" w:hAnsi="Times New Roman" w:eastAsia="宋体" w:cs="Times New Roman"/>
                      <w:color w:val="auto"/>
                      <w:sz w:val="20"/>
                      <w:szCs w:val="20"/>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exact"/>
                <w:jc w:val="center"/>
              </w:trPr>
              <w:tc>
                <w:tcPr>
                  <w:tcW w:w="775" w:type="pct"/>
                  <w:vAlign w:val="center"/>
                </w:tcPr>
                <w:p>
                  <w:pPr>
                    <w:adjustRightInd w:val="0"/>
                    <w:snapToGrid w:val="0"/>
                    <w:jc w:val="center"/>
                    <w:rPr>
                      <w:rFonts w:hint="eastAsia"/>
                      <w:bCs/>
                      <w:color w:val="auto"/>
                    </w:rPr>
                  </w:pPr>
                  <w:r>
                    <w:rPr>
                      <w:rFonts w:hint="eastAsia"/>
                      <w:bCs/>
                      <w:color w:val="auto"/>
                    </w:rPr>
                    <w:t>橡胶润滑油</w:t>
                  </w:r>
                </w:p>
              </w:tc>
              <w:tc>
                <w:tcPr>
                  <w:tcW w:w="444" w:type="pct"/>
                  <w:vAlign w:val="center"/>
                </w:tcPr>
                <w:p>
                  <w:pPr>
                    <w:adjustRightInd w:val="0"/>
                    <w:snapToGrid w:val="0"/>
                    <w:jc w:val="center"/>
                    <w:rPr>
                      <w:rFonts w:hint="eastAsia"/>
                      <w:bCs/>
                      <w:color w:val="auto"/>
                    </w:rPr>
                  </w:pPr>
                  <w:r>
                    <w:rPr>
                      <w:rFonts w:hint="eastAsia"/>
                      <w:bCs/>
                      <w:color w:val="auto"/>
                    </w:rPr>
                    <w:t>1500t</w:t>
                  </w:r>
                </w:p>
              </w:tc>
              <w:tc>
                <w:tcPr>
                  <w:tcW w:w="473" w:type="pct"/>
                  <w:vAlign w:val="center"/>
                </w:tcPr>
                <w:p>
                  <w:pPr>
                    <w:adjustRightInd w:val="0"/>
                    <w:snapToGrid w:val="0"/>
                    <w:jc w:val="center"/>
                    <w:rPr>
                      <w:rFonts w:hint="eastAsia"/>
                      <w:bCs/>
                      <w:color w:val="auto"/>
                      <w:lang w:eastAsia="zh-CN"/>
                    </w:rPr>
                  </w:pPr>
                  <w:r>
                    <w:rPr>
                      <w:rFonts w:hint="eastAsia"/>
                      <w:bCs/>
                      <w:color w:val="auto"/>
                      <w:lang w:eastAsia="zh-CN"/>
                    </w:rPr>
                    <w:t>50t</w:t>
                  </w:r>
                </w:p>
              </w:tc>
              <w:tc>
                <w:tcPr>
                  <w:tcW w:w="454" w:type="pct"/>
                  <w:vAlign w:val="center"/>
                </w:tcPr>
                <w:p>
                  <w:pPr>
                    <w:adjustRightInd w:val="0"/>
                    <w:snapToGrid w:val="0"/>
                    <w:jc w:val="center"/>
                    <w:rPr>
                      <w:rFonts w:hint="eastAsia"/>
                      <w:bCs/>
                      <w:color w:val="auto"/>
                      <w:lang w:eastAsia="zh-CN"/>
                    </w:rPr>
                  </w:pPr>
                  <w:r>
                    <w:rPr>
                      <w:rFonts w:hint="eastAsia"/>
                      <w:bCs/>
                      <w:color w:val="auto"/>
                      <w:lang w:eastAsia="zh-CN"/>
                    </w:rPr>
                    <w:t>3个月</w:t>
                  </w:r>
                </w:p>
              </w:tc>
              <w:tc>
                <w:tcPr>
                  <w:tcW w:w="484" w:type="pct"/>
                  <w:vAlign w:val="center"/>
                </w:tcPr>
                <w:p>
                  <w:pPr>
                    <w:adjustRightInd w:val="0"/>
                    <w:snapToGrid w:val="0"/>
                    <w:jc w:val="center"/>
                    <w:rPr>
                      <w:rFonts w:hint="eastAsia"/>
                      <w:bCs/>
                      <w:color w:val="auto"/>
                      <w:lang w:eastAsia="zh-CN"/>
                    </w:rPr>
                  </w:pPr>
                  <w:r>
                    <w:rPr>
                      <w:rFonts w:hint="eastAsia"/>
                      <w:bCs/>
                      <w:color w:val="auto"/>
                      <w:lang w:eastAsia="zh-CN"/>
                    </w:rPr>
                    <w:t>罐装</w:t>
                  </w:r>
                </w:p>
              </w:tc>
              <w:tc>
                <w:tcPr>
                  <w:tcW w:w="1156" w:type="pct"/>
                  <w:vAlign w:val="center"/>
                </w:tcPr>
                <w:p>
                  <w:pPr>
                    <w:adjustRightInd w:val="0"/>
                    <w:snapToGrid w:val="0"/>
                    <w:jc w:val="center"/>
                    <w:rPr>
                      <w:rFonts w:hint="eastAsia"/>
                      <w:bCs/>
                      <w:color w:val="auto"/>
                      <w:lang w:eastAsia="zh-CN"/>
                    </w:rPr>
                  </w:pPr>
                  <w:r>
                    <w:rPr>
                      <w:rFonts w:hint="eastAsia"/>
                      <w:bCs/>
                      <w:color w:val="auto"/>
                      <w:lang w:val="en-US" w:eastAsia="zh-CN"/>
                    </w:rPr>
                    <w:t>30</w:t>
                  </w:r>
                  <w:r>
                    <w:rPr>
                      <w:rFonts w:hint="eastAsia"/>
                      <w:bCs/>
                      <w:color w:val="auto"/>
                      <w:lang w:eastAsia="zh-CN"/>
                    </w:rPr>
                    <w:t>m</w:t>
                  </w:r>
                  <w:r>
                    <w:rPr>
                      <w:rFonts w:hint="eastAsia"/>
                      <w:bCs/>
                      <w:color w:val="auto"/>
                      <w:vertAlign w:val="superscript"/>
                      <w:lang w:eastAsia="zh-CN"/>
                    </w:rPr>
                    <w:t>3</w:t>
                  </w:r>
                  <w:r>
                    <w:rPr>
                      <w:rFonts w:hint="eastAsia"/>
                      <w:bCs/>
                      <w:color w:val="auto"/>
                      <w:lang w:eastAsia="zh-CN"/>
                    </w:rPr>
                    <w:t>地上卧罐*</w:t>
                  </w:r>
                  <w:r>
                    <w:rPr>
                      <w:rFonts w:hint="eastAsia"/>
                      <w:bCs/>
                      <w:color w:val="auto"/>
                      <w:lang w:val="en-US" w:eastAsia="zh-CN"/>
                    </w:rPr>
                    <w:t>4</w:t>
                  </w:r>
                </w:p>
              </w:tc>
              <w:tc>
                <w:tcPr>
                  <w:tcW w:w="461" w:type="pct"/>
                  <w:vAlign w:val="center"/>
                </w:tcPr>
                <w:p>
                  <w:pPr>
                    <w:adjustRightInd w:val="0"/>
                    <w:snapToGrid w:val="0"/>
                    <w:jc w:val="center"/>
                    <w:rPr>
                      <w:rFonts w:hint="eastAsia"/>
                      <w:bCs/>
                      <w:color w:val="auto"/>
                      <w:lang w:eastAsia="zh-CN"/>
                    </w:rPr>
                  </w:pPr>
                  <w:r>
                    <w:rPr>
                      <w:rFonts w:hint="eastAsia"/>
                      <w:bCs/>
                      <w:color w:val="auto"/>
                      <w:lang w:eastAsia="zh-CN"/>
                    </w:rPr>
                    <w:t>液态</w:t>
                  </w:r>
                </w:p>
              </w:tc>
              <w:tc>
                <w:tcPr>
                  <w:tcW w:w="473" w:type="pct"/>
                  <w:vAlign w:val="center"/>
                </w:tcPr>
                <w:p>
                  <w:pPr>
                    <w:adjustRightInd w:val="0"/>
                    <w:snapToGrid w:val="0"/>
                    <w:jc w:val="center"/>
                    <w:rPr>
                      <w:rFonts w:hint="eastAsia"/>
                      <w:bCs/>
                      <w:color w:val="auto"/>
                    </w:rPr>
                  </w:pPr>
                  <w:r>
                    <w:rPr>
                      <w:rFonts w:hint="eastAsia"/>
                      <w:bCs/>
                      <w:color w:val="auto"/>
                    </w:rPr>
                    <w:t>原料仓</w:t>
                  </w:r>
                </w:p>
              </w:tc>
              <w:tc>
                <w:tcPr>
                  <w:tcW w:w="276" w:type="pct"/>
                  <w:vMerge w:val="continue"/>
                  <w:vAlign w:val="center"/>
                </w:tcPr>
                <w:p>
                  <w:pPr>
                    <w:pStyle w:val="470"/>
                    <w:snapToGrid w:val="0"/>
                    <w:spacing w:line="240" w:lineRule="auto"/>
                    <w:rPr>
                      <w:rFonts w:ascii="Times New Roman" w:hAnsi="Times New Roman" w:eastAsia="宋体" w:cs="Times New Roman"/>
                      <w:color w:val="auto"/>
                      <w:sz w:val="20"/>
                      <w:szCs w:val="20"/>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exact"/>
                <w:jc w:val="center"/>
              </w:trPr>
              <w:tc>
                <w:tcPr>
                  <w:tcW w:w="775" w:type="pct"/>
                  <w:vAlign w:val="center"/>
                </w:tcPr>
                <w:p>
                  <w:pPr>
                    <w:adjustRightInd w:val="0"/>
                    <w:snapToGrid w:val="0"/>
                    <w:jc w:val="center"/>
                    <w:rPr>
                      <w:rFonts w:hint="eastAsia"/>
                      <w:bCs/>
                      <w:color w:val="auto"/>
                    </w:rPr>
                  </w:pPr>
                  <w:r>
                    <w:rPr>
                      <w:rFonts w:hint="eastAsia"/>
                      <w:bCs/>
                      <w:color w:val="auto"/>
                    </w:rPr>
                    <w:t>机油</w:t>
                  </w:r>
                </w:p>
              </w:tc>
              <w:tc>
                <w:tcPr>
                  <w:tcW w:w="444" w:type="pct"/>
                  <w:vAlign w:val="center"/>
                </w:tcPr>
                <w:p>
                  <w:pPr>
                    <w:adjustRightInd w:val="0"/>
                    <w:snapToGrid w:val="0"/>
                    <w:jc w:val="center"/>
                    <w:rPr>
                      <w:rFonts w:hint="eastAsia"/>
                      <w:bCs/>
                      <w:color w:val="auto"/>
                    </w:rPr>
                  </w:pPr>
                  <w:r>
                    <w:rPr>
                      <w:rFonts w:hint="eastAsia"/>
                      <w:bCs/>
                      <w:color w:val="auto"/>
                    </w:rPr>
                    <w:t>0.5t</w:t>
                  </w:r>
                </w:p>
              </w:tc>
              <w:tc>
                <w:tcPr>
                  <w:tcW w:w="473" w:type="pct"/>
                  <w:vAlign w:val="center"/>
                </w:tcPr>
                <w:p>
                  <w:pPr>
                    <w:adjustRightInd w:val="0"/>
                    <w:snapToGrid w:val="0"/>
                    <w:jc w:val="center"/>
                    <w:rPr>
                      <w:rFonts w:hint="eastAsia"/>
                      <w:bCs/>
                      <w:color w:val="auto"/>
                      <w:lang w:eastAsia="zh-CN"/>
                    </w:rPr>
                  </w:pPr>
                  <w:r>
                    <w:rPr>
                      <w:rFonts w:hint="eastAsia"/>
                      <w:bCs/>
                      <w:color w:val="auto"/>
                      <w:lang w:eastAsia="zh-CN"/>
                    </w:rPr>
                    <w:t>0.5t</w:t>
                  </w:r>
                </w:p>
              </w:tc>
              <w:tc>
                <w:tcPr>
                  <w:tcW w:w="454" w:type="pct"/>
                  <w:vAlign w:val="center"/>
                </w:tcPr>
                <w:p>
                  <w:pPr>
                    <w:adjustRightInd w:val="0"/>
                    <w:snapToGrid w:val="0"/>
                    <w:jc w:val="center"/>
                    <w:rPr>
                      <w:rFonts w:hint="eastAsia"/>
                      <w:bCs/>
                      <w:color w:val="auto"/>
                      <w:lang w:eastAsia="zh-CN"/>
                    </w:rPr>
                  </w:pPr>
                  <w:r>
                    <w:rPr>
                      <w:rFonts w:hint="eastAsia"/>
                      <w:bCs/>
                      <w:color w:val="auto"/>
                      <w:lang w:eastAsia="zh-CN"/>
                    </w:rPr>
                    <w:t>6个月</w:t>
                  </w:r>
                </w:p>
              </w:tc>
              <w:tc>
                <w:tcPr>
                  <w:tcW w:w="484" w:type="pct"/>
                  <w:vAlign w:val="center"/>
                </w:tcPr>
                <w:p>
                  <w:pPr>
                    <w:adjustRightInd w:val="0"/>
                    <w:snapToGrid w:val="0"/>
                    <w:jc w:val="center"/>
                    <w:rPr>
                      <w:rFonts w:hint="eastAsia"/>
                      <w:bCs/>
                      <w:color w:val="auto"/>
                      <w:lang w:eastAsia="zh-CN"/>
                    </w:rPr>
                  </w:pPr>
                  <w:r>
                    <w:rPr>
                      <w:rFonts w:hint="eastAsia"/>
                      <w:bCs/>
                      <w:color w:val="auto"/>
                      <w:lang w:eastAsia="zh-CN"/>
                    </w:rPr>
                    <w:t>桶装</w:t>
                  </w:r>
                </w:p>
              </w:tc>
              <w:tc>
                <w:tcPr>
                  <w:tcW w:w="1156" w:type="pct"/>
                  <w:vAlign w:val="center"/>
                </w:tcPr>
                <w:p>
                  <w:pPr>
                    <w:adjustRightInd w:val="0"/>
                    <w:snapToGrid w:val="0"/>
                    <w:jc w:val="center"/>
                    <w:rPr>
                      <w:rFonts w:hint="eastAsia"/>
                      <w:bCs/>
                      <w:color w:val="auto"/>
                      <w:lang w:eastAsia="zh-CN"/>
                    </w:rPr>
                  </w:pPr>
                  <w:r>
                    <w:rPr>
                      <w:rFonts w:hint="eastAsia"/>
                      <w:bCs/>
                      <w:color w:val="auto"/>
                      <w:lang w:eastAsia="zh-CN"/>
                    </w:rPr>
                    <w:t>100L/桶</w:t>
                  </w:r>
                </w:p>
              </w:tc>
              <w:tc>
                <w:tcPr>
                  <w:tcW w:w="461" w:type="pct"/>
                  <w:vAlign w:val="center"/>
                </w:tcPr>
                <w:p>
                  <w:pPr>
                    <w:adjustRightInd w:val="0"/>
                    <w:snapToGrid w:val="0"/>
                    <w:jc w:val="center"/>
                    <w:rPr>
                      <w:rFonts w:hint="eastAsia"/>
                      <w:bCs/>
                      <w:color w:val="auto"/>
                      <w:lang w:eastAsia="zh-CN"/>
                    </w:rPr>
                  </w:pPr>
                  <w:r>
                    <w:rPr>
                      <w:rFonts w:hint="eastAsia"/>
                      <w:bCs/>
                      <w:color w:val="auto"/>
                      <w:lang w:eastAsia="zh-CN"/>
                    </w:rPr>
                    <w:t>液态</w:t>
                  </w:r>
                </w:p>
              </w:tc>
              <w:tc>
                <w:tcPr>
                  <w:tcW w:w="473" w:type="pct"/>
                  <w:vAlign w:val="center"/>
                </w:tcPr>
                <w:p>
                  <w:pPr>
                    <w:adjustRightInd w:val="0"/>
                    <w:snapToGrid w:val="0"/>
                    <w:jc w:val="center"/>
                    <w:rPr>
                      <w:rFonts w:hint="eastAsia"/>
                      <w:bCs/>
                      <w:color w:val="auto"/>
                    </w:rPr>
                  </w:pPr>
                  <w:r>
                    <w:rPr>
                      <w:rFonts w:hint="eastAsia"/>
                      <w:bCs/>
                      <w:color w:val="auto"/>
                    </w:rPr>
                    <w:t>原料仓</w:t>
                  </w:r>
                </w:p>
              </w:tc>
              <w:tc>
                <w:tcPr>
                  <w:tcW w:w="276" w:type="pct"/>
                  <w:vMerge w:val="continue"/>
                  <w:vAlign w:val="center"/>
                </w:tcPr>
                <w:p>
                  <w:pPr>
                    <w:pStyle w:val="470"/>
                    <w:snapToGrid w:val="0"/>
                    <w:spacing w:line="240" w:lineRule="auto"/>
                    <w:rPr>
                      <w:rFonts w:ascii="Times New Roman" w:hAnsi="Times New Roman" w:eastAsia="宋体" w:cs="Times New Roman"/>
                      <w:color w:val="auto"/>
                      <w:sz w:val="20"/>
                      <w:szCs w:val="20"/>
                      <w:lang w:eastAsia="zh-CN"/>
                    </w:rPr>
                  </w:pPr>
                </w:p>
              </w:tc>
            </w:tr>
          </w:tbl>
          <w:p>
            <w:pPr>
              <w:widowControl/>
              <w:adjustRightInd w:val="0"/>
              <w:snapToGrid w:val="0"/>
              <w:spacing w:before="120" w:beforeLines="50" w:line="360" w:lineRule="auto"/>
              <w:ind w:firstLine="420"/>
              <w:rPr>
                <w:color w:val="auto"/>
              </w:rPr>
            </w:pPr>
            <w:r>
              <w:rPr>
                <w:color w:val="auto"/>
              </w:rPr>
              <w:t>原辅材料的理化性质说明：</w:t>
            </w:r>
          </w:p>
          <w:p>
            <w:pPr>
              <w:spacing w:line="360" w:lineRule="auto"/>
              <w:ind w:firstLine="422" w:firstLineChars="200"/>
              <w:rPr>
                <w:bCs/>
                <w:color w:val="auto"/>
              </w:rPr>
            </w:pPr>
            <w:r>
              <w:rPr>
                <w:b/>
                <w:color w:val="auto"/>
              </w:rPr>
              <w:t>全氟醚橡胶：</w:t>
            </w:r>
            <w:r>
              <w:rPr>
                <w:bCs/>
                <w:color w:val="auto"/>
              </w:rPr>
              <w:t>一种无异味的</w:t>
            </w:r>
            <w:r>
              <w:rPr>
                <w:color w:val="auto"/>
              </w:rPr>
              <w:t>半透明胶片，不易燃。是全氟化甲基乙烯基醋、四氟乙烯和全氟烯酷的一元共聚物。具有弹性和聚四氟乙烯的热稳定性与化学稳定性。长期工作温度－39～288℃，短期可达315℃。除了在氟代溶剂中溶胀外，对所有化学药品都稳定。</w:t>
            </w:r>
          </w:p>
          <w:p>
            <w:pPr>
              <w:spacing w:line="360" w:lineRule="auto"/>
              <w:ind w:firstLine="422" w:firstLineChars="200"/>
              <w:rPr>
                <w:color w:val="auto"/>
              </w:rPr>
            </w:pPr>
            <w:r>
              <w:rPr>
                <w:b/>
                <w:bCs/>
                <w:color w:val="auto"/>
              </w:rPr>
              <w:t>乙丙橡胶：</w:t>
            </w:r>
            <w:r>
              <w:rPr>
                <w:color w:val="auto"/>
              </w:rPr>
              <w:t>三元乙丙橡胶是乙烯、丙烯和非共轭二烯烃的三元共聚物。二烯烃具有特殊的结构，只有两键之一的才能共聚，不饱和的双键主要是作为交链处。另一个不饱和的不会成为聚合物主链，只会成为边侧链。三元乙丙的主要聚合物链是完全饱和的。这个特性使得三元乙丙可以抵抗热，光，氧气，尤其是臭氧。三元乙丙本质上是无极性的，对极性溶液和化学物具有抗性，吸水率低，具有良好的绝缘特性。</w:t>
            </w:r>
          </w:p>
          <w:p>
            <w:pPr>
              <w:spacing w:line="360" w:lineRule="auto"/>
              <w:ind w:firstLine="422" w:firstLineChars="200"/>
              <w:rPr>
                <w:color w:val="auto"/>
              </w:rPr>
            </w:pPr>
            <w:r>
              <w:rPr>
                <w:b/>
                <w:bCs/>
                <w:color w:val="auto"/>
              </w:rPr>
              <w:t>丁腈橡胶：</w:t>
            </w:r>
            <w:r>
              <w:rPr>
                <w:color w:val="auto"/>
              </w:rPr>
              <w:t>丁腈橡胶又称丁二烯一丙烯腈橡胶，简称NBR，平均分子量70万左右。灰白色至浅黄色块状或粉状固体，相对密度0.95～1.0。丙烯腈含量为26%的丁腈橡胶玻璃化温度Tg=-52℃，脆化温度Tb=-47℃，而丙烯腈含量为40%的丁腈橡胶玻璃化温度Tg=-22℃。溶解度参数δ=8.9～9.9，溶于醋酸乙酯、醋酸丁酯、氯苯、甲乙酮等。丁腈橡胶具有优良的耐油性，其耐油性仅次于聚硫橡胶和氟橡胶，并且具有的耐磨性和气密性。丁腈橡胶的缺点是不耐臭氧及芳香族、卤代烃、酮及酯类溶剂，不宜做绝缘材料。耐热性优于丁苯橡胶、氯丁橡胶，可在120℃长期工作。气密性仅次于丁基橡胶。丁腈橡胶的性能受丙烯腈含量影响，随着丙烯腈含量增加，拉伸强度、耐热性、耐油性、气密性、硬度提高，但弹性、耐寒性降低。丁腈橡胶耐臭氧性能和电绝缘性能不佳。耐水性较好。丁腈橡胶主要用于制作耐油制品，如耐油管、胶带、橡胶隔膜和大型油囊等，常用于制作各类耐油模压制品，如O形圈、油封、皮碗、膜片、活门、波纹管、胶管、密封件、发泡等，也用于制作胶板和耐磨零件。</w:t>
            </w:r>
          </w:p>
          <w:p>
            <w:pPr>
              <w:spacing w:line="360" w:lineRule="auto"/>
              <w:ind w:firstLine="422" w:firstLineChars="200"/>
              <w:rPr>
                <w:color w:val="auto"/>
                <w:szCs w:val="21"/>
              </w:rPr>
            </w:pPr>
            <w:r>
              <w:rPr>
                <w:b/>
                <w:bCs/>
                <w:color w:val="auto"/>
                <w:szCs w:val="21"/>
              </w:rPr>
              <w:t>炭黑：</w:t>
            </w:r>
            <w:r>
              <w:rPr>
                <w:color w:val="auto"/>
                <w:szCs w:val="21"/>
              </w:rPr>
              <w:t>橡胶炭黑属于炭黑，是为了区别于特种炭黑（用于油墨、涂料等），主要是在橡胶中起补强作用的。一般在橡胶中的用量占到生胶的20%~70%之间，根据不同的橡胶产品用量不同。用于橡胶制品中，可提高胶料的拉伸强度、弹性及撕裂强度，并可减少橡胶的用量，降低生产成本。</w:t>
            </w:r>
          </w:p>
          <w:p>
            <w:pPr>
              <w:spacing w:line="360" w:lineRule="auto"/>
              <w:ind w:firstLine="422" w:firstLineChars="200"/>
              <w:rPr>
                <w:color w:val="auto"/>
              </w:rPr>
            </w:pPr>
            <w:r>
              <w:rPr>
                <w:b/>
                <w:bCs/>
                <w:color w:val="auto"/>
                <w:szCs w:val="21"/>
              </w:rPr>
              <w:t>橡胶润滑油：</w:t>
            </w:r>
            <w:r>
              <w:rPr>
                <w:color w:val="auto"/>
                <w:szCs w:val="21"/>
              </w:rPr>
              <w:t>项目所用</w:t>
            </w:r>
            <w:r>
              <w:rPr>
                <w:rFonts w:hint="eastAsia"/>
                <w:color w:val="auto"/>
                <w:szCs w:val="21"/>
              </w:rPr>
              <w:t>的橡胶</w:t>
            </w:r>
            <w:r>
              <w:rPr>
                <w:color w:val="auto"/>
                <w:szCs w:val="21"/>
              </w:rPr>
              <w:t>润滑油</w:t>
            </w:r>
            <w:r>
              <w:rPr>
                <w:rFonts w:hint="eastAsia"/>
                <w:color w:val="auto"/>
                <w:szCs w:val="21"/>
              </w:rPr>
              <w:t>即</w:t>
            </w:r>
            <w:r>
              <w:rPr>
                <w:color w:val="auto"/>
                <w:szCs w:val="21"/>
              </w:rPr>
              <w:t>矿物油，是从原油分馏所得到的无色无味的混合物。它可以分成轻质矿物油及一般矿物油两种，而轻质矿物油的比重及黏稠度较低。由于矿物油具有低致敏性及不错的封闭性，有阻隔皮肤的水分蒸发的作用，所以常在婴儿油、乳液或乳霜中等护肤品种常被当作顺滑保湿剂来使用。此外，因为它具有良好的油溶性质，所以也会在出现在卸妆油或卸妆乳中当做卸妆之用。</w:t>
            </w:r>
          </w:p>
          <w:p>
            <w:pPr>
              <w:spacing w:line="360" w:lineRule="auto"/>
              <w:ind w:firstLine="422" w:firstLineChars="200"/>
              <w:rPr>
                <w:color w:val="auto"/>
                <w:szCs w:val="21"/>
              </w:rPr>
            </w:pPr>
            <w:r>
              <w:rPr>
                <w:b/>
                <w:bCs/>
                <w:color w:val="auto"/>
                <w:szCs w:val="21"/>
              </w:rPr>
              <w:t>碳酸钙：</w:t>
            </w:r>
            <w:r>
              <w:rPr>
                <w:color w:val="auto"/>
                <w:szCs w:val="21"/>
              </w:rPr>
              <w:t>碳酸钙是一种无机化合物，化学式为CaCO₃，是石灰石、大理石等的主要成分。碳酸钙基本上不溶于水，溶于盐酸（与盐酸反应）。它是地球上常见物质之一，存在于霰石、方解石、白垩、石灰岩、大理石、石灰华等岩石内，亦为某些动物骨骼或外壳的主要成分。碳酸钙也是重要的建筑材料，工业上用途甚广。 </w:t>
            </w:r>
          </w:p>
          <w:p>
            <w:pPr>
              <w:adjustRightInd w:val="0"/>
              <w:snapToGrid w:val="0"/>
              <w:spacing w:line="360" w:lineRule="auto"/>
              <w:ind w:firstLine="422" w:firstLineChars="200"/>
              <w:rPr>
                <w:b/>
                <w:color w:val="auto"/>
                <w:lang w:bidi="ar"/>
              </w:rPr>
            </w:pPr>
            <w:r>
              <w:rPr>
                <w:b/>
                <w:color w:val="auto"/>
                <w:lang w:bidi="ar"/>
              </w:rPr>
              <w:t>5、项目主要生产单元及生产设施一览表</w:t>
            </w:r>
          </w:p>
          <w:p>
            <w:pPr>
              <w:widowControl/>
              <w:spacing w:line="360" w:lineRule="auto"/>
              <w:ind w:firstLine="420" w:firstLineChars="200"/>
              <w:rPr>
                <w:b/>
                <w:bCs/>
                <w:color w:val="auto"/>
              </w:rPr>
            </w:pPr>
            <w:r>
              <w:rPr>
                <w:color w:val="auto"/>
              </w:rPr>
              <w:t>项目主要生产单元及生产设施见下表。</w:t>
            </w:r>
          </w:p>
          <w:p>
            <w:pPr>
              <w:widowControl/>
              <w:spacing w:line="360" w:lineRule="auto"/>
              <w:jc w:val="center"/>
              <w:rPr>
                <w:b/>
                <w:bCs/>
                <w:color w:val="auto"/>
              </w:rPr>
            </w:pPr>
            <w:r>
              <w:rPr>
                <w:b/>
                <w:bCs/>
                <w:color w:val="auto"/>
              </w:rPr>
              <w:t>表2-</w:t>
            </w:r>
            <w:r>
              <w:rPr>
                <w:rFonts w:hint="eastAsia"/>
                <w:b/>
                <w:bCs/>
                <w:color w:val="auto"/>
              </w:rPr>
              <w:t>6</w:t>
            </w:r>
            <w:r>
              <w:rPr>
                <w:b/>
                <w:bCs/>
                <w:color w:val="auto"/>
              </w:rPr>
              <w:t xml:space="preserve"> 项目主要生产设备一览表</w:t>
            </w:r>
          </w:p>
          <w:tbl>
            <w:tblPr>
              <w:tblStyle w:val="92"/>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88"/>
              <w:gridCol w:w="1601"/>
              <w:gridCol w:w="1206"/>
              <w:gridCol w:w="1826"/>
              <w:gridCol w:w="744"/>
              <w:gridCol w:w="1145"/>
              <w:gridCol w:w="917"/>
              <w:gridCol w:w="11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exact"/>
                <w:tblHeader/>
                <w:jc w:val="center"/>
              </w:trPr>
              <w:tc>
                <w:tcPr>
                  <w:tcW w:w="371" w:type="pct"/>
                  <w:vAlign w:val="center"/>
                </w:tcPr>
                <w:p>
                  <w:pPr>
                    <w:widowControl/>
                    <w:adjustRightInd w:val="0"/>
                    <w:snapToGrid w:val="0"/>
                    <w:jc w:val="center"/>
                    <w:rPr>
                      <w:b/>
                      <w:color w:val="auto"/>
                    </w:rPr>
                  </w:pPr>
                  <w:r>
                    <w:rPr>
                      <w:b/>
                      <w:color w:val="auto"/>
                    </w:rPr>
                    <w:t>序号</w:t>
                  </w:r>
                </w:p>
              </w:tc>
              <w:tc>
                <w:tcPr>
                  <w:tcW w:w="863" w:type="pct"/>
                  <w:vAlign w:val="center"/>
                </w:tcPr>
                <w:p>
                  <w:pPr>
                    <w:adjustRightInd w:val="0"/>
                    <w:snapToGrid w:val="0"/>
                    <w:jc w:val="center"/>
                    <w:rPr>
                      <w:b/>
                      <w:bCs/>
                      <w:color w:val="auto"/>
                    </w:rPr>
                  </w:pPr>
                  <w:r>
                    <w:rPr>
                      <w:b/>
                      <w:bCs/>
                      <w:color w:val="auto"/>
                    </w:rPr>
                    <w:t>主要生产单元</w:t>
                  </w:r>
                </w:p>
              </w:tc>
              <w:tc>
                <w:tcPr>
                  <w:tcW w:w="650" w:type="pct"/>
                  <w:vAlign w:val="center"/>
                </w:tcPr>
                <w:p>
                  <w:pPr>
                    <w:adjustRightInd w:val="0"/>
                    <w:snapToGrid w:val="0"/>
                    <w:jc w:val="center"/>
                    <w:rPr>
                      <w:b/>
                      <w:bCs/>
                      <w:color w:val="auto"/>
                    </w:rPr>
                  </w:pPr>
                  <w:r>
                    <w:rPr>
                      <w:b/>
                      <w:bCs/>
                      <w:color w:val="auto"/>
                    </w:rPr>
                    <w:t>生产工序</w:t>
                  </w:r>
                </w:p>
              </w:tc>
              <w:tc>
                <w:tcPr>
                  <w:tcW w:w="984" w:type="pct"/>
                  <w:vAlign w:val="center"/>
                </w:tcPr>
                <w:p>
                  <w:pPr>
                    <w:adjustRightInd w:val="0"/>
                    <w:snapToGrid w:val="0"/>
                    <w:jc w:val="center"/>
                    <w:rPr>
                      <w:b/>
                      <w:bCs/>
                      <w:color w:val="auto"/>
                    </w:rPr>
                  </w:pPr>
                  <w:r>
                    <w:rPr>
                      <w:b/>
                      <w:bCs/>
                      <w:color w:val="auto"/>
                    </w:rPr>
                    <w:t>设备名称</w:t>
                  </w:r>
                </w:p>
              </w:tc>
              <w:tc>
                <w:tcPr>
                  <w:tcW w:w="401" w:type="pct"/>
                  <w:vAlign w:val="center"/>
                </w:tcPr>
                <w:p>
                  <w:pPr>
                    <w:widowControl/>
                    <w:adjustRightInd w:val="0"/>
                    <w:snapToGrid w:val="0"/>
                    <w:jc w:val="center"/>
                    <w:rPr>
                      <w:b/>
                      <w:color w:val="auto"/>
                    </w:rPr>
                  </w:pPr>
                  <w:r>
                    <w:rPr>
                      <w:b/>
                      <w:color w:val="auto"/>
                    </w:rPr>
                    <w:t>数量</w:t>
                  </w:r>
                </w:p>
              </w:tc>
              <w:tc>
                <w:tcPr>
                  <w:tcW w:w="617" w:type="pct"/>
                  <w:vAlign w:val="center"/>
                </w:tcPr>
                <w:p>
                  <w:pPr>
                    <w:widowControl/>
                    <w:adjustRightInd w:val="0"/>
                    <w:snapToGrid w:val="0"/>
                    <w:jc w:val="center"/>
                    <w:rPr>
                      <w:b/>
                      <w:color w:val="auto"/>
                    </w:rPr>
                  </w:pPr>
                  <w:r>
                    <w:rPr>
                      <w:b/>
                      <w:color w:val="auto"/>
                    </w:rPr>
                    <w:t>设施参数</w:t>
                  </w:r>
                </w:p>
              </w:tc>
              <w:tc>
                <w:tcPr>
                  <w:tcW w:w="494" w:type="pct"/>
                  <w:vAlign w:val="center"/>
                </w:tcPr>
                <w:p>
                  <w:pPr>
                    <w:widowControl/>
                    <w:adjustRightInd w:val="0"/>
                    <w:snapToGrid w:val="0"/>
                    <w:jc w:val="center"/>
                    <w:rPr>
                      <w:b/>
                      <w:color w:val="auto"/>
                    </w:rPr>
                  </w:pPr>
                  <w:r>
                    <w:rPr>
                      <w:b/>
                      <w:color w:val="auto"/>
                    </w:rPr>
                    <w:t>参数值</w:t>
                  </w:r>
                </w:p>
              </w:tc>
              <w:tc>
                <w:tcPr>
                  <w:tcW w:w="617" w:type="pct"/>
                  <w:vAlign w:val="center"/>
                </w:tcPr>
                <w:p>
                  <w:pPr>
                    <w:widowControl/>
                    <w:adjustRightInd w:val="0"/>
                    <w:snapToGrid w:val="0"/>
                    <w:jc w:val="center"/>
                    <w:rPr>
                      <w:b/>
                      <w:color w:val="auto"/>
                    </w:rPr>
                  </w:pPr>
                  <w:r>
                    <w:rPr>
                      <w:b/>
                      <w:color w:val="auto"/>
                    </w:rPr>
                    <w:t>参数单位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 w:hRule="atLeast"/>
                <w:jc w:val="center"/>
              </w:trPr>
              <w:tc>
                <w:tcPr>
                  <w:tcW w:w="371" w:type="pct"/>
                  <w:vAlign w:val="center"/>
                </w:tcPr>
                <w:p>
                  <w:pPr>
                    <w:widowControl/>
                    <w:adjustRightInd w:val="0"/>
                    <w:snapToGrid w:val="0"/>
                    <w:jc w:val="center"/>
                    <w:rPr>
                      <w:color w:val="auto"/>
                    </w:rPr>
                  </w:pPr>
                  <w:r>
                    <w:rPr>
                      <w:rFonts w:hint="eastAsia"/>
                      <w:color w:val="auto"/>
                    </w:rPr>
                    <w:t>1</w:t>
                  </w:r>
                </w:p>
              </w:tc>
              <w:tc>
                <w:tcPr>
                  <w:tcW w:w="863" w:type="pct"/>
                  <w:vMerge w:val="restart"/>
                  <w:vAlign w:val="center"/>
                </w:tcPr>
                <w:p>
                  <w:pPr>
                    <w:widowControl/>
                    <w:adjustRightInd w:val="0"/>
                    <w:snapToGrid w:val="0"/>
                    <w:jc w:val="center"/>
                    <w:rPr>
                      <w:color w:val="auto"/>
                    </w:rPr>
                  </w:pPr>
                  <w:r>
                    <w:rPr>
                      <w:color w:val="auto"/>
                    </w:rPr>
                    <w:t>生产单元</w:t>
                  </w:r>
                </w:p>
              </w:tc>
              <w:tc>
                <w:tcPr>
                  <w:tcW w:w="650" w:type="pct"/>
                  <w:vMerge w:val="restart"/>
                  <w:vAlign w:val="center"/>
                </w:tcPr>
                <w:p>
                  <w:pPr>
                    <w:widowControl/>
                    <w:adjustRightInd w:val="0"/>
                    <w:snapToGrid w:val="0"/>
                    <w:jc w:val="center"/>
                    <w:rPr>
                      <w:bCs/>
                      <w:color w:val="auto"/>
                    </w:rPr>
                  </w:pPr>
                  <w:r>
                    <w:rPr>
                      <w:rFonts w:hint="eastAsia"/>
                      <w:bCs/>
                      <w:color w:val="auto"/>
                    </w:rPr>
                    <w:t>配料</w:t>
                  </w:r>
                </w:p>
              </w:tc>
              <w:tc>
                <w:tcPr>
                  <w:tcW w:w="984" w:type="pct"/>
                  <w:vAlign w:val="center"/>
                </w:tcPr>
                <w:p>
                  <w:pPr>
                    <w:widowControl/>
                    <w:adjustRightInd w:val="0"/>
                    <w:snapToGrid w:val="0"/>
                    <w:jc w:val="center"/>
                    <w:rPr>
                      <w:bCs/>
                      <w:color w:val="auto"/>
                    </w:rPr>
                  </w:pPr>
                  <w:r>
                    <w:rPr>
                      <w:rFonts w:hint="eastAsia"/>
                      <w:bCs/>
                      <w:color w:val="auto"/>
                    </w:rPr>
                    <w:t>提升机</w:t>
                  </w:r>
                </w:p>
              </w:tc>
              <w:tc>
                <w:tcPr>
                  <w:tcW w:w="401" w:type="pct"/>
                  <w:vAlign w:val="center"/>
                </w:tcPr>
                <w:p>
                  <w:pPr>
                    <w:widowControl/>
                    <w:adjustRightInd w:val="0"/>
                    <w:snapToGrid w:val="0"/>
                    <w:jc w:val="center"/>
                    <w:rPr>
                      <w:color w:val="auto"/>
                    </w:rPr>
                  </w:pPr>
                  <w:r>
                    <w:rPr>
                      <w:rFonts w:hint="eastAsia"/>
                      <w:color w:val="auto"/>
                    </w:rPr>
                    <w:t>6台</w:t>
                  </w:r>
                </w:p>
              </w:tc>
              <w:tc>
                <w:tcPr>
                  <w:tcW w:w="617" w:type="pct"/>
                  <w:vAlign w:val="center"/>
                </w:tcPr>
                <w:p>
                  <w:pPr>
                    <w:widowControl/>
                    <w:adjustRightInd w:val="0"/>
                    <w:snapToGrid w:val="0"/>
                    <w:jc w:val="center"/>
                    <w:rPr>
                      <w:color w:val="auto"/>
                    </w:rPr>
                  </w:pPr>
                  <w:r>
                    <w:rPr>
                      <w:rFonts w:hint="eastAsia"/>
                      <w:color w:val="auto"/>
                    </w:rPr>
                    <w:t>功率</w:t>
                  </w:r>
                </w:p>
              </w:tc>
              <w:tc>
                <w:tcPr>
                  <w:tcW w:w="494" w:type="pct"/>
                  <w:vAlign w:val="center"/>
                </w:tcPr>
                <w:p>
                  <w:pPr>
                    <w:widowControl/>
                    <w:adjustRightInd w:val="0"/>
                    <w:snapToGrid w:val="0"/>
                    <w:jc w:val="center"/>
                    <w:rPr>
                      <w:color w:val="auto"/>
                    </w:rPr>
                  </w:pPr>
                  <w:r>
                    <w:rPr>
                      <w:rFonts w:hint="eastAsia"/>
                      <w:color w:val="auto"/>
                    </w:rPr>
                    <w:t>5</w:t>
                  </w:r>
                </w:p>
              </w:tc>
              <w:tc>
                <w:tcPr>
                  <w:tcW w:w="617" w:type="pct"/>
                  <w:vAlign w:val="center"/>
                </w:tcPr>
                <w:p>
                  <w:pPr>
                    <w:widowControl/>
                    <w:adjustRightInd w:val="0"/>
                    <w:snapToGrid w:val="0"/>
                    <w:jc w:val="center"/>
                    <w:rPr>
                      <w:color w:val="auto"/>
                    </w:rPr>
                  </w:pPr>
                  <w:r>
                    <w:rPr>
                      <w:rFonts w:hint="eastAsia"/>
                      <w:color w:val="auto"/>
                    </w:rPr>
                    <w:t>kw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 w:hRule="atLeast"/>
                <w:jc w:val="center"/>
              </w:trPr>
              <w:tc>
                <w:tcPr>
                  <w:tcW w:w="371" w:type="pct"/>
                  <w:vAlign w:val="center"/>
                </w:tcPr>
                <w:p>
                  <w:pPr>
                    <w:widowControl/>
                    <w:adjustRightInd w:val="0"/>
                    <w:snapToGrid w:val="0"/>
                    <w:jc w:val="center"/>
                    <w:rPr>
                      <w:color w:val="auto"/>
                    </w:rPr>
                  </w:pPr>
                  <w:r>
                    <w:rPr>
                      <w:rFonts w:hint="eastAsia"/>
                      <w:color w:val="auto"/>
                    </w:rPr>
                    <w:t>2</w:t>
                  </w:r>
                </w:p>
              </w:tc>
              <w:tc>
                <w:tcPr>
                  <w:tcW w:w="863" w:type="pct"/>
                  <w:vMerge w:val="continue"/>
                  <w:vAlign w:val="center"/>
                </w:tcPr>
                <w:p>
                  <w:pPr>
                    <w:widowControl/>
                    <w:adjustRightInd w:val="0"/>
                    <w:snapToGrid w:val="0"/>
                    <w:jc w:val="center"/>
                    <w:rPr>
                      <w:color w:val="auto"/>
                    </w:rPr>
                  </w:pPr>
                </w:p>
              </w:tc>
              <w:tc>
                <w:tcPr>
                  <w:tcW w:w="650" w:type="pct"/>
                  <w:vMerge w:val="continue"/>
                  <w:vAlign w:val="center"/>
                </w:tcPr>
                <w:p>
                  <w:pPr>
                    <w:widowControl/>
                    <w:adjustRightInd w:val="0"/>
                    <w:snapToGrid w:val="0"/>
                    <w:jc w:val="center"/>
                    <w:rPr>
                      <w:bCs/>
                      <w:color w:val="auto"/>
                    </w:rPr>
                  </w:pPr>
                </w:p>
              </w:tc>
              <w:tc>
                <w:tcPr>
                  <w:tcW w:w="984" w:type="pct"/>
                  <w:vAlign w:val="center"/>
                </w:tcPr>
                <w:p>
                  <w:pPr>
                    <w:widowControl/>
                    <w:adjustRightInd w:val="0"/>
                    <w:snapToGrid w:val="0"/>
                    <w:jc w:val="center"/>
                    <w:rPr>
                      <w:bCs/>
                      <w:color w:val="auto"/>
                    </w:rPr>
                  </w:pPr>
                  <w:r>
                    <w:rPr>
                      <w:rFonts w:hint="eastAsia"/>
                      <w:bCs/>
                      <w:color w:val="auto"/>
                    </w:rPr>
                    <w:t>炭黑输送系统</w:t>
                  </w:r>
                </w:p>
              </w:tc>
              <w:tc>
                <w:tcPr>
                  <w:tcW w:w="401" w:type="pct"/>
                  <w:vAlign w:val="center"/>
                </w:tcPr>
                <w:p>
                  <w:pPr>
                    <w:widowControl/>
                    <w:adjustRightInd w:val="0"/>
                    <w:snapToGrid w:val="0"/>
                    <w:jc w:val="center"/>
                    <w:rPr>
                      <w:rFonts w:hint="eastAsia" w:eastAsia="宋体"/>
                      <w:color w:val="auto"/>
                      <w:lang w:val="en-US" w:eastAsia="zh-CN"/>
                    </w:rPr>
                  </w:pPr>
                  <w:r>
                    <w:rPr>
                      <w:rFonts w:hint="eastAsia"/>
                      <w:bCs/>
                      <w:color w:val="auto"/>
                    </w:rPr>
                    <w:t>1</w:t>
                  </w:r>
                  <w:r>
                    <w:rPr>
                      <w:rFonts w:hint="eastAsia"/>
                      <w:bCs/>
                      <w:color w:val="auto"/>
                      <w:lang w:val="en-US" w:eastAsia="zh-CN"/>
                    </w:rPr>
                    <w:t>套</w:t>
                  </w:r>
                </w:p>
              </w:tc>
              <w:tc>
                <w:tcPr>
                  <w:tcW w:w="617" w:type="pct"/>
                  <w:vAlign w:val="center"/>
                </w:tcPr>
                <w:p>
                  <w:pPr>
                    <w:widowControl/>
                    <w:adjustRightInd w:val="0"/>
                    <w:snapToGrid w:val="0"/>
                    <w:jc w:val="center"/>
                    <w:rPr>
                      <w:color w:val="auto"/>
                    </w:rPr>
                  </w:pPr>
                  <w:r>
                    <w:rPr>
                      <w:color w:val="auto"/>
                    </w:rPr>
                    <w:t>功率</w:t>
                  </w:r>
                </w:p>
              </w:tc>
              <w:tc>
                <w:tcPr>
                  <w:tcW w:w="494" w:type="pct"/>
                  <w:vAlign w:val="center"/>
                </w:tcPr>
                <w:p>
                  <w:pPr>
                    <w:widowControl/>
                    <w:adjustRightInd w:val="0"/>
                    <w:snapToGrid w:val="0"/>
                    <w:jc w:val="center"/>
                    <w:rPr>
                      <w:rFonts w:hint="eastAsia" w:eastAsia="宋体"/>
                      <w:color w:val="auto"/>
                      <w:lang w:val="en-US" w:eastAsia="zh-CN"/>
                    </w:rPr>
                  </w:pPr>
                  <w:r>
                    <w:rPr>
                      <w:rFonts w:hint="eastAsia"/>
                      <w:color w:val="auto"/>
                      <w:lang w:val="en-US" w:eastAsia="zh-CN"/>
                    </w:rPr>
                    <w:t>5</w:t>
                  </w:r>
                </w:p>
              </w:tc>
              <w:tc>
                <w:tcPr>
                  <w:tcW w:w="617" w:type="pct"/>
                  <w:vAlign w:val="center"/>
                </w:tcPr>
                <w:p>
                  <w:pPr>
                    <w:widowControl/>
                    <w:adjustRightInd w:val="0"/>
                    <w:snapToGrid w:val="0"/>
                    <w:jc w:val="center"/>
                    <w:rPr>
                      <w:color w:val="auto"/>
                    </w:rPr>
                  </w:pPr>
                  <w:r>
                    <w:rPr>
                      <w:rFonts w:hint="eastAsia"/>
                      <w:color w:val="auto"/>
                    </w:rPr>
                    <w:t>kw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 w:hRule="atLeast"/>
                <w:jc w:val="center"/>
              </w:trPr>
              <w:tc>
                <w:tcPr>
                  <w:tcW w:w="371" w:type="pct"/>
                  <w:vAlign w:val="center"/>
                </w:tcPr>
                <w:p>
                  <w:pPr>
                    <w:widowControl/>
                    <w:adjustRightInd w:val="0"/>
                    <w:snapToGrid w:val="0"/>
                    <w:jc w:val="center"/>
                    <w:rPr>
                      <w:color w:val="auto"/>
                    </w:rPr>
                  </w:pPr>
                  <w:r>
                    <w:rPr>
                      <w:rFonts w:hint="eastAsia"/>
                      <w:color w:val="auto"/>
                    </w:rPr>
                    <w:t>3</w:t>
                  </w:r>
                </w:p>
              </w:tc>
              <w:tc>
                <w:tcPr>
                  <w:tcW w:w="863" w:type="pct"/>
                  <w:vMerge w:val="continue"/>
                  <w:vAlign w:val="center"/>
                </w:tcPr>
                <w:p>
                  <w:pPr>
                    <w:widowControl/>
                    <w:adjustRightInd w:val="0"/>
                    <w:snapToGrid w:val="0"/>
                    <w:jc w:val="center"/>
                    <w:rPr>
                      <w:color w:val="auto"/>
                    </w:rPr>
                  </w:pPr>
                </w:p>
              </w:tc>
              <w:tc>
                <w:tcPr>
                  <w:tcW w:w="650" w:type="pct"/>
                  <w:vMerge w:val="continue"/>
                  <w:vAlign w:val="center"/>
                </w:tcPr>
                <w:p>
                  <w:pPr>
                    <w:widowControl/>
                    <w:adjustRightInd w:val="0"/>
                    <w:snapToGrid w:val="0"/>
                    <w:jc w:val="center"/>
                    <w:rPr>
                      <w:bCs/>
                      <w:color w:val="auto"/>
                    </w:rPr>
                  </w:pPr>
                </w:p>
              </w:tc>
              <w:tc>
                <w:tcPr>
                  <w:tcW w:w="984" w:type="pct"/>
                  <w:vAlign w:val="center"/>
                </w:tcPr>
                <w:p>
                  <w:pPr>
                    <w:adjustRightInd w:val="0"/>
                    <w:snapToGrid w:val="0"/>
                    <w:jc w:val="center"/>
                    <w:rPr>
                      <w:bCs/>
                      <w:color w:val="auto"/>
                    </w:rPr>
                  </w:pPr>
                  <w:r>
                    <w:rPr>
                      <w:rFonts w:hint="eastAsia"/>
                      <w:bCs/>
                      <w:color w:val="auto"/>
                    </w:rPr>
                    <w:t>半自动粒料分装</w:t>
                  </w:r>
                </w:p>
              </w:tc>
              <w:tc>
                <w:tcPr>
                  <w:tcW w:w="401" w:type="pct"/>
                  <w:vAlign w:val="center"/>
                </w:tcPr>
                <w:p>
                  <w:pPr>
                    <w:adjustRightInd w:val="0"/>
                    <w:snapToGrid w:val="0"/>
                    <w:jc w:val="center"/>
                    <w:rPr>
                      <w:color w:val="auto"/>
                    </w:rPr>
                  </w:pPr>
                  <w:r>
                    <w:rPr>
                      <w:rFonts w:hint="eastAsia"/>
                      <w:bCs/>
                      <w:color w:val="auto"/>
                    </w:rPr>
                    <w:t>1</w:t>
                  </w:r>
                  <w:r>
                    <w:rPr>
                      <w:bCs/>
                      <w:color w:val="auto"/>
                    </w:rPr>
                    <w:t>台</w:t>
                  </w:r>
                </w:p>
              </w:tc>
              <w:tc>
                <w:tcPr>
                  <w:tcW w:w="617" w:type="pct"/>
                  <w:vAlign w:val="center"/>
                </w:tcPr>
                <w:p>
                  <w:pPr>
                    <w:widowControl/>
                    <w:adjustRightInd w:val="0"/>
                    <w:snapToGrid w:val="0"/>
                    <w:jc w:val="center"/>
                    <w:rPr>
                      <w:color w:val="auto"/>
                    </w:rPr>
                  </w:pPr>
                  <w:r>
                    <w:rPr>
                      <w:color w:val="auto"/>
                    </w:rPr>
                    <w:t>功率</w:t>
                  </w:r>
                </w:p>
              </w:tc>
              <w:tc>
                <w:tcPr>
                  <w:tcW w:w="494" w:type="pct"/>
                  <w:vAlign w:val="center"/>
                </w:tcPr>
                <w:p>
                  <w:pPr>
                    <w:widowControl/>
                    <w:adjustRightInd w:val="0"/>
                    <w:snapToGrid w:val="0"/>
                    <w:jc w:val="center"/>
                    <w:rPr>
                      <w:color w:val="auto"/>
                    </w:rPr>
                  </w:pPr>
                  <w:r>
                    <w:rPr>
                      <w:rFonts w:hint="eastAsia"/>
                      <w:color w:val="auto"/>
                    </w:rPr>
                    <w:t>6</w:t>
                  </w:r>
                </w:p>
              </w:tc>
              <w:tc>
                <w:tcPr>
                  <w:tcW w:w="617" w:type="pct"/>
                  <w:vAlign w:val="center"/>
                </w:tcPr>
                <w:p>
                  <w:pPr>
                    <w:widowControl/>
                    <w:adjustRightInd w:val="0"/>
                    <w:snapToGrid w:val="0"/>
                    <w:jc w:val="center"/>
                    <w:rPr>
                      <w:color w:val="auto"/>
                    </w:rPr>
                  </w:pPr>
                  <w:r>
                    <w:rPr>
                      <w:rFonts w:hint="eastAsia"/>
                      <w:color w:val="auto"/>
                    </w:rPr>
                    <w:t>kw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 w:hRule="atLeast"/>
                <w:jc w:val="center"/>
              </w:trPr>
              <w:tc>
                <w:tcPr>
                  <w:tcW w:w="371" w:type="pct"/>
                  <w:vAlign w:val="center"/>
                </w:tcPr>
                <w:p>
                  <w:pPr>
                    <w:widowControl/>
                    <w:adjustRightInd w:val="0"/>
                    <w:snapToGrid w:val="0"/>
                    <w:jc w:val="center"/>
                    <w:rPr>
                      <w:color w:val="auto"/>
                    </w:rPr>
                  </w:pPr>
                  <w:r>
                    <w:rPr>
                      <w:rFonts w:hint="eastAsia"/>
                      <w:color w:val="auto"/>
                    </w:rPr>
                    <w:t>4</w:t>
                  </w:r>
                </w:p>
              </w:tc>
              <w:tc>
                <w:tcPr>
                  <w:tcW w:w="863" w:type="pct"/>
                  <w:vMerge w:val="continue"/>
                  <w:vAlign w:val="center"/>
                </w:tcPr>
                <w:p>
                  <w:pPr>
                    <w:widowControl/>
                    <w:adjustRightInd w:val="0"/>
                    <w:snapToGrid w:val="0"/>
                    <w:jc w:val="center"/>
                    <w:rPr>
                      <w:color w:val="auto"/>
                    </w:rPr>
                  </w:pPr>
                </w:p>
              </w:tc>
              <w:tc>
                <w:tcPr>
                  <w:tcW w:w="650" w:type="pct"/>
                  <w:vMerge w:val="continue"/>
                  <w:vAlign w:val="center"/>
                </w:tcPr>
                <w:p>
                  <w:pPr>
                    <w:widowControl/>
                    <w:adjustRightInd w:val="0"/>
                    <w:snapToGrid w:val="0"/>
                    <w:jc w:val="center"/>
                    <w:rPr>
                      <w:bCs/>
                      <w:color w:val="auto"/>
                    </w:rPr>
                  </w:pPr>
                </w:p>
              </w:tc>
              <w:tc>
                <w:tcPr>
                  <w:tcW w:w="984" w:type="pct"/>
                  <w:vAlign w:val="center"/>
                </w:tcPr>
                <w:p>
                  <w:pPr>
                    <w:adjustRightInd w:val="0"/>
                    <w:snapToGrid w:val="0"/>
                    <w:jc w:val="center"/>
                    <w:rPr>
                      <w:bCs/>
                      <w:color w:val="auto"/>
                    </w:rPr>
                  </w:pPr>
                  <w:r>
                    <w:rPr>
                      <w:rFonts w:hint="eastAsia"/>
                      <w:bCs/>
                      <w:color w:val="auto"/>
                    </w:rPr>
                    <w:t>半自动小料分装</w:t>
                  </w:r>
                </w:p>
              </w:tc>
              <w:tc>
                <w:tcPr>
                  <w:tcW w:w="401" w:type="pct"/>
                  <w:vAlign w:val="center"/>
                </w:tcPr>
                <w:p>
                  <w:pPr>
                    <w:adjustRightInd w:val="0"/>
                    <w:snapToGrid w:val="0"/>
                    <w:jc w:val="center"/>
                    <w:rPr>
                      <w:color w:val="auto"/>
                      <w:highlight w:val="yellow"/>
                    </w:rPr>
                  </w:pPr>
                  <w:r>
                    <w:rPr>
                      <w:rFonts w:hint="eastAsia"/>
                      <w:bCs/>
                      <w:color w:val="auto"/>
                    </w:rPr>
                    <w:t>1</w:t>
                  </w:r>
                  <w:r>
                    <w:rPr>
                      <w:bCs/>
                      <w:color w:val="auto"/>
                    </w:rPr>
                    <w:t>台</w:t>
                  </w:r>
                </w:p>
              </w:tc>
              <w:tc>
                <w:tcPr>
                  <w:tcW w:w="617" w:type="pct"/>
                  <w:vAlign w:val="center"/>
                </w:tcPr>
                <w:p>
                  <w:pPr>
                    <w:widowControl/>
                    <w:adjustRightInd w:val="0"/>
                    <w:snapToGrid w:val="0"/>
                    <w:jc w:val="center"/>
                    <w:rPr>
                      <w:color w:val="auto"/>
                    </w:rPr>
                  </w:pPr>
                  <w:r>
                    <w:rPr>
                      <w:color w:val="auto"/>
                    </w:rPr>
                    <w:t>功率</w:t>
                  </w:r>
                </w:p>
              </w:tc>
              <w:tc>
                <w:tcPr>
                  <w:tcW w:w="494" w:type="pct"/>
                  <w:vAlign w:val="center"/>
                </w:tcPr>
                <w:p>
                  <w:pPr>
                    <w:widowControl/>
                    <w:adjustRightInd w:val="0"/>
                    <w:snapToGrid w:val="0"/>
                    <w:jc w:val="center"/>
                    <w:rPr>
                      <w:color w:val="auto"/>
                    </w:rPr>
                  </w:pPr>
                  <w:r>
                    <w:rPr>
                      <w:rFonts w:hint="eastAsia"/>
                      <w:color w:val="auto"/>
                    </w:rPr>
                    <w:t>5</w:t>
                  </w:r>
                </w:p>
              </w:tc>
              <w:tc>
                <w:tcPr>
                  <w:tcW w:w="617" w:type="pct"/>
                  <w:vAlign w:val="center"/>
                </w:tcPr>
                <w:p>
                  <w:pPr>
                    <w:widowControl/>
                    <w:adjustRightInd w:val="0"/>
                    <w:snapToGrid w:val="0"/>
                    <w:jc w:val="center"/>
                    <w:rPr>
                      <w:color w:val="auto"/>
                    </w:rPr>
                  </w:pPr>
                  <w:r>
                    <w:rPr>
                      <w:rFonts w:hint="eastAsia"/>
                      <w:color w:val="auto"/>
                    </w:rPr>
                    <w:t>kw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 w:hRule="atLeast"/>
                <w:jc w:val="center"/>
              </w:trPr>
              <w:tc>
                <w:tcPr>
                  <w:tcW w:w="371" w:type="pct"/>
                  <w:vAlign w:val="center"/>
                </w:tcPr>
                <w:p>
                  <w:pPr>
                    <w:widowControl/>
                    <w:adjustRightInd w:val="0"/>
                    <w:snapToGrid w:val="0"/>
                    <w:jc w:val="center"/>
                    <w:rPr>
                      <w:rFonts w:hint="eastAsia" w:ascii="Times New Roman" w:hAnsi="Times New Roman" w:eastAsia="宋体" w:cs="Times New Roman"/>
                      <w:color w:val="auto"/>
                      <w:sz w:val="21"/>
                      <w:lang w:val="en-US" w:eastAsia="zh-CN" w:bidi="ar-SA"/>
                    </w:rPr>
                  </w:pPr>
                  <w:r>
                    <w:rPr>
                      <w:rFonts w:hint="eastAsia"/>
                      <w:color w:val="auto"/>
                    </w:rPr>
                    <w:t>5</w:t>
                  </w:r>
                </w:p>
              </w:tc>
              <w:tc>
                <w:tcPr>
                  <w:tcW w:w="863" w:type="pct"/>
                  <w:vMerge w:val="continue"/>
                  <w:vAlign w:val="center"/>
                </w:tcPr>
                <w:p>
                  <w:pPr>
                    <w:widowControl/>
                    <w:adjustRightInd w:val="0"/>
                    <w:snapToGrid w:val="0"/>
                    <w:jc w:val="center"/>
                    <w:rPr>
                      <w:color w:val="auto"/>
                    </w:rPr>
                  </w:pPr>
                </w:p>
              </w:tc>
              <w:tc>
                <w:tcPr>
                  <w:tcW w:w="650" w:type="pct"/>
                  <w:vMerge w:val="continue"/>
                  <w:vAlign w:val="center"/>
                </w:tcPr>
                <w:p>
                  <w:pPr>
                    <w:widowControl/>
                    <w:adjustRightInd w:val="0"/>
                    <w:snapToGrid w:val="0"/>
                    <w:jc w:val="center"/>
                    <w:rPr>
                      <w:bCs/>
                      <w:color w:val="auto"/>
                    </w:rPr>
                  </w:pPr>
                </w:p>
              </w:tc>
              <w:tc>
                <w:tcPr>
                  <w:tcW w:w="984" w:type="pct"/>
                  <w:vAlign w:val="center"/>
                </w:tcPr>
                <w:p>
                  <w:pPr>
                    <w:adjustRightInd w:val="0"/>
                    <w:snapToGrid w:val="0"/>
                    <w:jc w:val="center"/>
                    <w:rPr>
                      <w:bCs/>
                      <w:color w:val="auto"/>
                    </w:rPr>
                  </w:pPr>
                  <w:r>
                    <w:rPr>
                      <w:rFonts w:hint="eastAsia"/>
                      <w:bCs/>
                      <w:color w:val="auto"/>
                    </w:rPr>
                    <w:t>自动小料分装</w:t>
                  </w:r>
                </w:p>
              </w:tc>
              <w:tc>
                <w:tcPr>
                  <w:tcW w:w="401" w:type="pct"/>
                  <w:vAlign w:val="center"/>
                </w:tcPr>
                <w:p>
                  <w:pPr>
                    <w:adjustRightInd w:val="0"/>
                    <w:snapToGrid w:val="0"/>
                    <w:jc w:val="center"/>
                    <w:rPr>
                      <w:rFonts w:hint="eastAsia"/>
                      <w:color w:val="auto"/>
                    </w:rPr>
                  </w:pPr>
                  <w:r>
                    <w:rPr>
                      <w:rFonts w:hint="eastAsia"/>
                      <w:bCs/>
                      <w:color w:val="auto"/>
                    </w:rPr>
                    <w:t>1</w:t>
                  </w:r>
                  <w:r>
                    <w:rPr>
                      <w:bCs/>
                      <w:color w:val="auto"/>
                    </w:rPr>
                    <w:t>台</w:t>
                  </w:r>
                </w:p>
              </w:tc>
              <w:tc>
                <w:tcPr>
                  <w:tcW w:w="617" w:type="pct"/>
                  <w:vAlign w:val="center"/>
                </w:tcPr>
                <w:p>
                  <w:pPr>
                    <w:widowControl/>
                    <w:adjustRightInd w:val="0"/>
                    <w:snapToGrid w:val="0"/>
                    <w:jc w:val="center"/>
                    <w:rPr>
                      <w:rFonts w:hint="eastAsia"/>
                      <w:color w:val="auto"/>
                    </w:rPr>
                  </w:pPr>
                  <w:r>
                    <w:rPr>
                      <w:color w:val="auto"/>
                    </w:rPr>
                    <w:t>功率</w:t>
                  </w:r>
                </w:p>
              </w:tc>
              <w:tc>
                <w:tcPr>
                  <w:tcW w:w="494" w:type="pct"/>
                  <w:vAlign w:val="center"/>
                </w:tcPr>
                <w:p>
                  <w:pPr>
                    <w:widowControl/>
                    <w:adjustRightInd w:val="0"/>
                    <w:snapToGrid w:val="0"/>
                    <w:jc w:val="center"/>
                    <w:rPr>
                      <w:rFonts w:hint="eastAsia"/>
                      <w:color w:val="auto"/>
                    </w:rPr>
                  </w:pPr>
                  <w:r>
                    <w:rPr>
                      <w:rFonts w:hint="eastAsia"/>
                      <w:color w:val="auto"/>
                    </w:rPr>
                    <w:t>5</w:t>
                  </w:r>
                </w:p>
              </w:tc>
              <w:tc>
                <w:tcPr>
                  <w:tcW w:w="617" w:type="pct"/>
                  <w:vAlign w:val="center"/>
                </w:tcPr>
                <w:p>
                  <w:pPr>
                    <w:widowControl/>
                    <w:adjustRightInd w:val="0"/>
                    <w:snapToGrid w:val="0"/>
                    <w:jc w:val="center"/>
                    <w:rPr>
                      <w:rFonts w:hint="eastAsia"/>
                      <w:color w:val="auto"/>
                    </w:rPr>
                  </w:pPr>
                  <w:r>
                    <w:rPr>
                      <w:rFonts w:hint="eastAsia"/>
                      <w:color w:val="auto"/>
                    </w:rPr>
                    <w:t>kw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 w:hRule="atLeast"/>
                <w:jc w:val="center"/>
              </w:trPr>
              <w:tc>
                <w:tcPr>
                  <w:tcW w:w="371" w:type="pct"/>
                  <w:vAlign w:val="center"/>
                </w:tcPr>
                <w:p>
                  <w:pPr>
                    <w:widowControl/>
                    <w:adjustRightInd w:val="0"/>
                    <w:snapToGrid w:val="0"/>
                    <w:jc w:val="center"/>
                    <w:rPr>
                      <w:rFonts w:hint="default" w:eastAsia="宋体"/>
                      <w:color w:val="auto"/>
                      <w:lang w:val="en-US" w:eastAsia="zh-CN"/>
                    </w:rPr>
                  </w:pPr>
                  <w:r>
                    <w:rPr>
                      <w:rFonts w:hint="eastAsia"/>
                      <w:color w:val="auto"/>
                      <w:lang w:val="en-US" w:eastAsia="zh-CN"/>
                    </w:rPr>
                    <w:t>6</w:t>
                  </w:r>
                </w:p>
              </w:tc>
              <w:tc>
                <w:tcPr>
                  <w:tcW w:w="863" w:type="pct"/>
                  <w:vMerge w:val="continue"/>
                  <w:vAlign w:val="center"/>
                </w:tcPr>
                <w:p>
                  <w:pPr>
                    <w:widowControl/>
                    <w:adjustRightInd w:val="0"/>
                    <w:snapToGrid w:val="0"/>
                    <w:jc w:val="center"/>
                    <w:rPr>
                      <w:color w:val="auto"/>
                    </w:rPr>
                  </w:pPr>
                </w:p>
              </w:tc>
              <w:tc>
                <w:tcPr>
                  <w:tcW w:w="650" w:type="pct"/>
                  <w:vMerge w:val="continue"/>
                  <w:vAlign w:val="center"/>
                </w:tcPr>
                <w:p>
                  <w:pPr>
                    <w:widowControl/>
                    <w:adjustRightInd w:val="0"/>
                    <w:snapToGrid w:val="0"/>
                    <w:jc w:val="center"/>
                    <w:rPr>
                      <w:bCs/>
                      <w:color w:val="auto"/>
                    </w:rPr>
                  </w:pPr>
                </w:p>
              </w:tc>
              <w:tc>
                <w:tcPr>
                  <w:tcW w:w="984" w:type="pct"/>
                  <w:vAlign w:val="center"/>
                </w:tcPr>
                <w:p>
                  <w:pPr>
                    <w:widowControl/>
                    <w:adjustRightInd w:val="0"/>
                    <w:snapToGrid w:val="0"/>
                    <w:jc w:val="center"/>
                    <w:rPr>
                      <w:rFonts w:hint="eastAsia" w:eastAsia="宋体"/>
                      <w:bCs/>
                      <w:color w:val="auto"/>
                      <w:lang w:val="en-US" w:eastAsia="zh-CN"/>
                    </w:rPr>
                  </w:pPr>
                  <w:r>
                    <w:rPr>
                      <w:rFonts w:hint="eastAsia"/>
                      <w:bCs/>
                      <w:color w:val="auto"/>
                    </w:rPr>
                    <w:t>油料储</w:t>
                  </w:r>
                  <w:r>
                    <w:rPr>
                      <w:rStyle w:val="104"/>
                      <w:rFonts w:hint="eastAsia"/>
                      <w:color w:val="auto"/>
                      <w:lang w:val="en-US" w:eastAsia="zh-CN"/>
                    </w:rPr>
                    <w:t>槽</w:t>
                  </w:r>
                </w:p>
              </w:tc>
              <w:tc>
                <w:tcPr>
                  <w:tcW w:w="401" w:type="pct"/>
                  <w:vAlign w:val="center"/>
                </w:tcPr>
                <w:p>
                  <w:pPr>
                    <w:widowControl/>
                    <w:adjustRightInd w:val="0"/>
                    <w:snapToGrid w:val="0"/>
                    <w:jc w:val="center"/>
                    <w:rPr>
                      <w:color w:val="auto"/>
                      <w:highlight w:val="yellow"/>
                    </w:rPr>
                  </w:pPr>
                  <w:r>
                    <w:rPr>
                      <w:rFonts w:hint="eastAsia"/>
                      <w:color w:val="auto"/>
                      <w:sz w:val="20"/>
                      <w:lang w:val="en-US" w:eastAsia="zh-CN"/>
                    </w:rPr>
                    <w:t>4</w:t>
                  </w:r>
                  <w:r>
                    <w:rPr>
                      <w:rFonts w:hint="eastAsia"/>
                      <w:color w:val="auto"/>
                      <w:sz w:val="20"/>
                    </w:rPr>
                    <w:t>个</w:t>
                  </w:r>
                </w:p>
              </w:tc>
              <w:tc>
                <w:tcPr>
                  <w:tcW w:w="617" w:type="pct"/>
                  <w:vAlign w:val="center"/>
                </w:tcPr>
                <w:p>
                  <w:pPr>
                    <w:widowControl/>
                    <w:adjustRightInd w:val="0"/>
                    <w:snapToGrid w:val="0"/>
                    <w:jc w:val="center"/>
                    <w:rPr>
                      <w:color w:val="auto"/>
                    </w:rPr>
                  </w:pPr>
                  <w:r>
                    <w:rPr>
                      <w:rFonts w:hint="eastAsia"/>
                      <w:color w:val="auto"/>
                    </w:rPr>
                    <w:t>容量</w:t>
                  </w:r>
                </w:p>
              </w:tc>
              <w:tc>
                <w:tcPr>
                  <w:tcW w:w="494" w:type="pct"/>
                  <w:vAlign w:val="center"/>
                </w:tcPr>
                <w:p>
                  <w:pPr>
                    <w:widowControl/>
                    <w:adjustRightInd w:val="0"/>
                    <w:snapToGrid w:val="0"/>
                    <w:jc w:val="center"/>
                    <w:rPr>
                      <w:rFonts w:hint="default" w:eastAsia="宋体"/>
                      <w:color w:val="auto"/>
                      <w:lang w:val="en-US" w:eastAsia="zh-CN"/>
                    </w:rPr>
                  </w:pPr>
                  <w:r>
                    <w:rPr>
                      <w:rFonts w:hint="eastAsia"/>
                      <w:color w:val="auto"/>
                      <w:lang w:val="en-US" w:eastAsia="zh-CN"/>
                    </w:rPr>
                    <w:t>30</w:t>
                  </w:r>
                </w:p>
              </w:tc>
              <w:tc>
                <w:tcPr>
                  <w:tcW w:w="617" w:type="pct"/>
                  <w:vAlign w:val="center"/>
                </w:tcPr>
                <w:p>
                  <w:pPr>
                    <w:widowControl/>
                    <w:adjustRightInd w:val="0"/>
                    <w:snapToGrid w:val="0"/>
                    <w:jc w:val="center"/>
                    <w:rPr>
                      <w:color w:val="auto"/>
                    </w:rPr>
                  </w:pPr>
                  <w:r>
                    <w:rPr>
                      <w:rFonts w:hint="eastAsia"/>
                      <w:color w:val="auto"/>
                    </w:rPr>
                    <w:t>m</w:t>
                  </w:r>
                  <w:r>
                    <w:rPr>
                      <w:rFonts w:hint="eastAsia"/>
                      <w:color w:val="auto"/>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 w:hRule="atLeast"/>
                <w:jc w:val="center"/>
              </w:trPr>
              <w:tc>
                <w:tcPr>
                  <w:tcW w:w="371" w:type="pct"/>
                  <w:vAlign w:val="center"/>
                </w:tcPr>
                <w:p>
                  <w:pPr>
                    <w:widowControl/>
                    <w:adjustRightInd w:val="0"/>
                    <w:snapToGrid w:val="0"/>
                    <w:jc w:val="center"/>
                    <w:rPr>
                      <w:rFonts w:hint="default" w:ascii="Times New Roman" w:hAnsi="Times New Roman" w:eastAsia="宋体" w:cs="Times New Roman"/>
                      <w:color w:val="auto"/>
                      <w:sz w:val="21"/>
                      <w:lang w:val="en-US" w:eastAsia="zh-CN" w:bidi="ar-SA"/>
                    </w:rPr>
                  </w:pPr>
                  <w:r>
                    <w:rPr>
                      <w:rFonts w:hint="eastAsia" w:cs="Times New Roman"/>
                      <w:color w:val="auto"/>
                      <w:sz w:val="21"/>
                      <w:lang w:val="en-US" w:eastAsia="zh-CN" w:bidi="ar-SA"/>
                    </w:rPr>
                    <w:t>7</w:t>
                  </w:r>
                </w:p>
              </w:tc>
              <w:tc>
                <w:tcPr>
                  <w:tcW w:w="863" w:type="pct"/>
                  <w:vMerge w:val="continue"/>
                  <w:vAlign w:val="center"/>
                </w:tcPr>
                <w:p>
                  <w:pPr>
                    <w:widowControl/>
                    <w:adjustRightInd w:val="0"/>
                    <w:snapToGrid w:val="0"/>
                    <w:jc w:val="center"/>
                    <w:rPr>
                      <w:color w:val="auto"/>
                    </w:rPr>
                  </w:pPr>
                </w:p>
              </w:tc>
              <w:tc>
                <w:tcPr>
                  <w:tcW w:w="650" w:type="pct"/>
                  <w:vMerge w:val="restart"/>
                  <w:vAlign w:val="center"/>
                </w:tcPr>
                <w:p>
                  <w:pPr>
                    <w:widowControl/>
                    <w:adjustRightInd w:val="0"/>
                    <w:snapToGrid w:val="0"/>
                    <w:jc w:val="center"/>
                    <w:rPr>
                      <w:bCs/>
                      <w:color w:val="auto"/>
                    </w:rPr>
                  </w:pPr>
                  <w:r>
                    <w:rPr>
                      <w:rFonts w:hint="eastAsia"/>
                      <w:bCs/>
                      <w:color w:val="auto"/>
                    </w:rPr>
                    <w:t>密炼</w:t>
                  </w:r>
                </w:p>
              </w:tc>
              <w:tc>
                <w:tcPr>
                  <w:tcW w:w="984" w:type="pct"/>
                  <w:vAlign w:val="center"/>
                </w:tcPr>
                <w:p>
                  <w:pPr>
                    <w:widowControl/>
                    <w:adjustRightInd w:val="0"/>
                    <w:snapToGrid w:val="0"/>
                    <w:jc w:val="center"/>
                    <w:rPr>
                      <w:color w:val="auto"/>
                    </w:rPr>
                  </w:pPr>
                  <w:r>
                    <w:rPr>
                      <w:rFonts w:hint="eastAsia"/>
                      <w:bCs/>
                      <w:color w:val="auto"/>
                    </w:rPr>
                    <w:t>密炼机</w:t>
                  </w:r>
                </w:p>
              </w:tc>
              <w:tc>
                <w:tcPr>
                  <w:tcW w:w="401" w:type="pct"/>
                  <w:vAlign w:val="center"/>
                </w:tcPr>
                <w:p>
                  <w:pPr>
                    <w:widowControl/>
                    <w:adjustRightInd w:val="0"/>
                    <w:snapToGrid w:val="0"/>
                    <w:jc w:val="center"/>
                    <w:rPr>
                      <w:color w:val="auto"/>
                    </w:rPr>
                  </w:pPr>
                  <w:r>
                    <w:rPr>
                      <w:rFonts w:hint="eastAsia"/>
                      <w:color w:val="auto"/>
                    </w:rPr>
                    <w:t>2</w:t>
                  </w:r>
                  <w:r>
                    <w:rPr>
                      <w:color w:val="auto"/>
                    </w:rPr>
                    <w:t>台</w:t>
                  </w:r>
                </w:p>
              </w:tc>
              <w:tc>
                <w:tcPr>
                  <w:tcW w:w="617" w:type="pct"/>
                  <w:vAlign w:val="center"/>
                </w:tcPr>
                <w:p>
                  <w:pPr>
                    <w:widowControl/>
                    <w:adjustRightInd w:val="0"/>
                    <w:snapToGrid w:val="0"/>
                    <w:jc w:val="center"/>
                    <w:rPr>
                      <w:color w:val="auto"/>
                    </w:rPr>
                  </w:pPr>
                  <w:r>
                    <w:rPr>
                      <w:rFonts w:hint="eastAsia"/>
                      <w:color w:val="auto"/>
                    </w:rPr>
                    <w:t>密炼容量</w:t>
                  </w:r>
                </w:p>
              </w:tc>
              <w:tc>
                <w:tcPr>
                  <w:tcW w:w="494" w:type="pct"/>
                  <w:vAlign w:val="center"/>
                </w:tcPr>
                <w:p>
                  <w:pPr>
                    <w:widowControl/>
                    <w:adjustRightInd w:val="0"/>
                    <w:snapToGrid w:val="0"/>
                    <w:jc w:val="center"/>
                    <w:rPr>
                      <w:color w:val="auto"/>
                    </w:rPr>
                  </w:pPr>
                  <w:r>
                    <w:rPr>
                      <w:rFonts w:hint="eastAsia"/>
                      <w:color w:val="auto"/>
                    </w:rPr>
                    <w:t>135</w:t>
                  </w:r>
                </w:p>
              </w:tc>
              <w:tc>
                <w:tcPr>
                  <w:tcW w:w="617" w:type="pct"/>
                  <w:vAlign w:val="center"/>
                </w:tcPr>
                <w:p>
                  <w:pPr>
                    <w:widowControl/>
                    <w:adjustRightInd w:val="0"/>
                    <w:snapToGrid w:val="0"/>
                    <w:jc w:val="center"/>
                    <w:rPr>
                      <w:color w:val="auto"/>
                    </w:rPr>
                  </w:pPr>
                  <w:r>
                    <w:rPr>
                      <w:rFonts w:hint="eastAsia"/>
                      <w:color w:val="auto"/>
                    </w:rPr>
                    <w:t>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71" w:type="pct"/>
                  <w:vAlign w:val="center"/>
                </w:tcPr>
                <w:p>
                  <w:pPr>
                    <w:widowControl/>
                    <w:adjustRightInd w:val="0"/>
                    <w:snapToGrid w:val="0"/>
                    <w:jc w:val="center"/>
                    <w:rPr>
                      <w:rFonts w:ascii="Times New Roman" w:hAnsi="Times New Roman" w:eastAsia="宋体" w:cs="Times New Roman"/>
                      <w:color w:val="auto"/>
                      <w:sz w:val="21"/>
                      <w:lang w:val="en-US" w:eastAsia="zh-CN" w:bidi="ar-SA"/>
                    </w:rPr>
                  </w:pPr>
                  <w:r>
                    <w:rPr>
                      <w:color w:val="auto"/>
                    </w:rPr>
                    <w:t>8</w:t>
                  </w:r>
                </w:p>
              </w:tc>
              <w:tc>
                <w:tcPr>
                  <w:tcW w:w="863" w:type="pct"/>
                  <w:vMerge w:val="continue"/>
                  <w:vAlign w:val="center"/>
                </w:tcPr>
                <w:p>
                  <w:pPr>
                    <w:widowControl/>
                    <w:adjustRightInd w:val="0"/>
                    <w:snapToGrid w:val="0"/>
                    <w:jc w:val="center"/>
                    <w:rPr>
                      <w:color w:val="auto"/>
                    </w:rPr>
                  </w:pPr>
                </w:p>
              </w:tc>
              <w:tc>
                <w:tcPr>
                  <w:tcW w:w="650" w:type="pct"/>
                  <w:vMerge w:val="continue"/>
                  <w:vAlign w:val="center"/>
                </w:tcPr>
                <w:p>
                  <w:pPr>
                    <w:widowControl/>
                    <w:adjustRightInd w:val="0"/>
                    <w:snapToGrid w:val="0"/>
                    <w:jc w:val="center"/>
                    <w:rPr>
                      <w:color w:val="auto"/>
                    </w:rPr>
                  </w:pPr>
                </w:p>
              </w:tc>
              <w:tc>
                <w:tcPr>
                  <w:tcW w:w="984" w:type="pct"/>
                  <w:vAlign w:val="center"/>
                </w:tcPr>
                <w:p>
                  <w:pPr>
                    <w:widowControl/>
                    <w:adjustRightInd w:val="0"/>
                    <w:snapToGrid w:val="0"/>
                    <w:jc w:val="center"/>
                    <w:rPr>
                      <w:bCs/>
                      <w:color w:val="auto"/>
                    </w:rPr>
                  </w:pPr>
                  <w:r>
                    <w:rPr>
                      <w:rFonts w:hint="eastAsia"/>
                      <w:bCs/>
                      <w:color w:val="auto"/>
                    </w:rPr>
                    <w:t>密炼机</w:t>
                  </w:r>
                </w:p>
              </w:tc>
              <w:tc>
                <w:tcPr>
                  <w:tcW w:w="401" w:type="pct"/>
                  <w:vAlign w:val="center"/>
                </w:tcPr>
                <w:p>
                  <w:pPr>
                    <w:widowControl/>
                    <w:adjustRightInd w:val="0"/>
                    <w:snapToGrid w:val="0"/>
                    <w:jc w:val="center"/>
                    <w:rPr>
                      <w:bCs/>
                      <w:color w:val="auto"/>
                    </w:rPr>
                  </w:pPr>
                  <w:r>
                    <w:rPr>
                      <w:rFonts w:hint="eastAsia"/>
                      <w:color w:val="auto"/>
                    </w:rPr>
                    <w:t>2</w:t>
                  </w:r>
                  <w:r>
                    <w:rPr>
                      <w:color w:val="auto"/>
                    </w:rPr>
                    <w:t>台</w:t>
                  </w:r>
                </w:p>
              </w:tc>
              <w:tc>
                <w:tcPr>
                  <w:tcW w:w="617" w:type="pct"/>
                  <w:vAlign w:val="center"/>
                </w:tcPr>
                <w:p>
                  <w:pPr>
                    <w:widowControl/>
                    <w:adjustRightInd w:val="0"/>
                    <w:snapToGrid w:val="0"/>
                    <w:jc w:val="center"/>
                    <w:rPr>
                      <w:bCs/>
                      <w:color w:val="auto"/>
                    </w:rPr>
                  </w:pPr>
                  <w:r>
                    <w:rPr>
                      <w:rFonts w:hint="eastAsia"/>
                      <w:color w:val="auto"/>
                    </w:rPr>
                    <w:t>密炼容量</w:t>
                  </w:r>
                </w:p>
              </w:tc>
              <w:tc>
                <w:tcPr>
                  <w:tcW w:w="494" w:type="pct"/>
                  <w:vAlign w:val="center"/>
                </w:tcPr>
                <w:p>
                  <w:pPr>
                    <w:widowControl/>
                    <w:adjustRightInd w:val="0"/>
                    <w:snapToGrid w:val="0"/>
                    <w:jc w:val="center"/>
                    <w:rPr>
                      <w:bCs/>
                      <w:color w:val="auto"/>
                    </w:rPr>
                  </w:pPr>
                  <w:r>
                    <w:rPr>
                      <w:rFonts w:hint="eastAsia"/>
                      <w:bCs/>
                      <w:color w:val="auto"/>
                    </w:rPr>
                    <w:t>110</w:t>
                  </w:r>
                </w:p>
              </w:tc>
              <w:tc>
                <w:tcPr>
                  <w:tcW w:w="617" w:type="pct"/>
                  <w:vAlign w:val="center"/>
                </w:tcPr>
                <w:p>
                  <w:pPr>
                    <w:widowControl/>
                    <w:adjustRightInd w:val="0"/>
                    <w:snapToGrid w:val="0"/>
                    <w:jc w:val="center"/>
                    <w:rPr>
                      <w:bCs/>
                      <w:color w:val="auto"/>
                    </w:rPr>
                  </w:pPr>
                  <w:r>
                    <w:rPr>
                      <w:rFonts w:hint="eastAsia"/>
                      <w:color w:val="auto"/>
                    </w:rPr>
                    <w:t>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 w:hRule="atLeast"/>
                <w:jc w:val="center"/>
              </w:trPr>
              <w:tc>
                <w:tcPr>
                  <w:tcW w:w="371" w:type="pct"/>
                  <w:vAlign w:val="center"/>
                </w:tcPr>
                <w:p>
                  <w:pPr>
                    <w:widowControl/>
                    <w:adjustRightInd w:val="0"/>
                    <w:snapToGrid w:val="0"/>
                    <w:jc w:val="center"/>
                    <w:rPr>
                      <w:rFonts w:ascii="Times New Roman" w:hAnsi="Times New Roman" w:eastAsia="宋体" w:cs="Times New Roman"/>
                      <w:color w:val="auto"/>
                      <w:sz w:val="21"/>
                      <w:lang w:val="en-US" w:eastAsia="zh-CN" w:bidi="ar-SA"/>
                    </w:rPr>
                  </w:pPr>
                  <w:r>
                    <w:rPr>
                      <w:color w:val="auto"/>
                    </w:rPr>
                    <w:t>9</w:t>
                  </w:r>
                </w:p>
              </w:tc>
              <w:tc>
                <w:tcPr>
                  <w:tcW w:w="863" w:type="pct"/>
                  <w:vMerge w:val="continue"/>
                  <w:vAlign w:val="center"/>
                </w:tcPr>
                <w:p>
                  <w:pPr>
                    <w:widowControl/>
                    <w:adjustRightInd w:val="0"/>
                    <w:snapToGrid w:val="0"/>
                    <w:jc w:val="center"/>
                    <w:rPr>
                      <w:color w:val="auto"/>
                    </w:rPr>
                  </w:pPr>
                </w:p>
              </w:tc>
              <w:tc>
                <w:tcPr>
                  <w:tcW w:w="650" w:type="pct"/>
                  <w:vMerge w:val="continue"/>
                  <w:vAlign w:val="center"/>
                </w:tcPr>
                <w:p>
                  <w:pPr>
                    <w:widowControl/>
                    <w:adjustRightInd w:val="0"/>
                    <w:snapToGrid w:val="0"/>
                    <w:jc w:val="center"/>
                    <w:rPr>
                      <w:bCs/>
                      <w:color w:val="auto"/>
                    </w:rPr>
                  </w:pPr>
                </w:p>
              </w:tc>
              <w:tc>
                <w:tcPr>
                  <w:tcW w:w="984" w:type="pct"/>
                  <w:vAlign w:val="center"/>
                </w:tcPr>
                <w:p>
                  <w:pPr>
                    <w:widowControl/>
                    <w:adjustRightInd w:val="0"/>
                    <w:snapToGrid w:val="0"/>
                    <w:jc w:val="center"/>
                    <w:rPr>
                      <w:color w:val="auto"/>
                    </w:rPr>
                  </w:pPr>
                  <w:r>
                    <w:rPr>
                      <w:rFonts w:hint="eastAsia"/>
                      <w:bCs/>
                      <w:color w:val="auto"/>
                    </w:rPr>
                    <w:t>密炼机</w:t>
                  </w:r>
                </w:p>
              </w:tc>
              <w:tc>
                <w:tcPr>
                  <w:tcW w:w="401" w:type="pct"/>
                  <w:vAlign w:val="center"/>
                </w:tcPr>
                <w:p>
                  <w:pPr>
                    <w:widowControl/>
                    <w:adjustRightInd w:val="0"/>
                    <w:snapToGrid w:val="0"/>
                    <w:jc w:val="center"/>
                    <w:rPr>
                      <w:color w:val="auto"/>
                    </w:rPr>
                  </w:pPr>
                  <w:r>
                    <w:rPr>
                      <w:rFonts w:hint="eastAsia"/>
                      <w:color w:val="auto"/>
                    </w:rPr>
                    <w:t>2</w:t>
                  </w:r>
                  <w:r>
                    <w:rPr>
                      <w:color w:val="auto"/>
                    </w:rPr>
                    <w:t>台</w:t>
                  </w:r>
                </w:p>
              </w:tc>
              <w:tc>
                <w:tcPr>
                  <w:tcW w:w="617" w:type="pct"/>
                  <w:vAlign w:val="center"/>
                </w:tcPr>
                <w:p>
                  <w:pPr>
                    <w:widowControl/>
                    <w:adjustRightInd w:val="0"/>
                    <w:snapToGrid w:val="0"/>
                    <w:jc w:val="center"/>
                    <w:rPr>
                      <w:color w:val="auto"/>
                    </w:rPr>
                  </w:pPr>
                  <w:r>
                    <w:rPr>
                      <w:rFonts w:hint="eastAsia"/>
                      <w:color w:val="auto"/>
                    </w:rPr>
                    <w:t>密炼容量</w:t>
                  </w:r>
                </w:p>
              </w:tc>
              <w:tc>
                <w:tcPr>
                  <w:tcW w:w="494" w:type="pct"/>
                  <w:vAlign w:val="center"/>
                </w:tcPr>
                <w:p>
                  <w:pPr>
                    <w:widowControl/>
                    <w:adjustRightInd w:val="0"/>
                    <w:snapToGrid w:val="0"/>
                    <w:jc w:val="center"/>
                    <w:rPr>
                      <w:color w:val="auto"/>
                    </w:rPr>
                  </w:pPr>
                  <w:r>
                    <w:rPr>
                      <w:rFonts w:hint="eastAsia"/>
                      <w:color w:val="auto"/>
                    </w:rPr>
                    <w:t>75</w:t>
                  </w:r>
                </w:p>
              </w:tc>
              <w:tc>
                <w:tcPr>
                  <w:tcW w:w="617" w:type="pct"/>
                  <w:vAlign w:val="center"/>
                </w:tcPr>
                <w:p>
                  <w:pPr>
                    <w:widowControl/>
                    <w:adjustRightInd w:val="0"/>
                    <w:snapToGrid w:val="0"/>
                    <w:jc w:val="center"/>
                    <w:rPr>
                      <w:color w:val="auto"/>
                    </w:rPr>
                  </w:pPr>
                  <w:r>
                    <w:rPr>
                      <w:rFonts w:hint="eastAsia"/>
                      <w:color w:val="auto"/>
                    </w:rPr>
                    <w:t>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 w:hRule="atLeast"/>
                <w:jc w:val="center"/>
              </w:trPr>
              <w:tc>
                <w:tcPr>
                  <w:tcW w:w="371" w:type="pct"/>
                  <w:vAlign w:val="center"/>
                </w:tcPr>
                <w:p>
                  <w:pPr>
                    <w:widowControl/>
                    <w:adjustRightInd w:val="0"/>
                    <w:snapToGrid w:val="0"/>
                    <w:jc w:val="center"/>
                    <w:rPr>
                      <w:rFonts w:ascii="Times New Roman" w:hAnsi="Times New Roman" w:eastAsia="宋体" w:cs="Times New Roman"/>
                      <w:color w:val="auto"/>
                      <w:sz w:val="21"/>
                      <w:lang w:val="en-US" w:eastAsia="zh-CN" w:bidi="ar-SA"/>
                    </w:rPr>
                  </w:pPr>
                  <w:r>
                    <w:rPr>
                      <w:color w:val="auto"/>
                    </w:rPr>
                    <w:t>10</w:t>
                  </w:r>
                </w:p>
              </w:tc>
              <w:tc>
                <w:tcPr>
                  <w:tcW w:w="863" w:type="pct"/>
                  <w:vMerge w:val="continue"/>
                  <w:vAlign w:val="center"/>
                </w:tcPr>
                <w:p>
                  <w:pPr>
                    <w:widowControl/>
                    <w:adjustRightInd w:val="0"/>
                    <w:snapToGrid w:val="0"/>
                    <w:jc w:val="center"/>
                    <w:rPr>
                      <w:color w:val="auto"/>
                    </w:rPr>
                  </w:pPr>
                </w:p>
              </w:tc>
              <w:tc>
                <w:tcPr>
                  <w:tcW w:w="650" w:type="pct"/>
                  <w:vMerge w:val="continue"/>
                  <w:vAlign w:val="center"/>
                </w:tcPr>
                <w:p>
                  <w:pPr>
                    <w:widowControl/>
                    <w:adjustRightInd w:val="0"/>
                    <w:snapToGrid w:val="0"/>
                    <w:jc w:val="center"/>
                    <w:rPr>
                      <w:color w:val="auto"/>
                    </w:rPr>
                  </w:pPr>
                </w:p>
              </w:tc>
              <w:tc>
                <w:tcPr>
                  <w:tcW w:w="984" w:type="pct"/>
                  <w:vAlign w:val="center"/>
                </w:tcPr>
                <w:p>
                  <w:pPr>
                    <w:widowControl/>
                    <w:adjustRightInd w:val="0"/>
                    <w:snapToGrid w:val="0"/>
                    <w:jc w:val="center"/>
                    <w:rPr>
                      <w:bCs/>
                      <w:color w:val="auto"/>
                    </w:rPr>
                  </w:pPr>
                  <w:r>
                    <w:rPr>
                      <w:rFonts w:hint="eastAsia"/>
                      <w:bCs/>
                      <w:color w:val="auto"/>
                    </w:rPr>
                    <w:t>密炼机</w:t>
                  </w:r>
                </w:p>
              </w:tc>
              <w:tc>
                <w:tcPr>
                  <w:tcW w:w="401" w:type="pct"/>
                  <w:vAlign w:val="center"/>
                </w:tcPr>
                <w:p>
                  <w:pPr>
                    <w:widowControl/>
                    <w:adjustRightInd w:val="0"/>
                    <w:snapToGrid w:val="0"/>
                    <w:jc w:val="center"/>
                    <w:rPr>
                      <w:bCs/>
                      <w:color w:val="auto"/>
                    </w:rPr>
                  </w:pPr>
                  <w:r>
                    <w:rPr>
                      <w:color w:val="auto"/>
                    </w:rPr>
                    <w:t>1台</w:t>
                  </w:r>
                </w:p>
              </w:tc>
              <w:tc>
                <w:tcPr>
                  <w:tcW w:w="617" w:type="pct"/>
                  <w:vAlign w:val="center"/>
                </w:tcPr>
                <w:p>
                  <w:pPr>
                    <w:widowControl/>
                    <w:adjustRightInd w:val="0"/>
                    <w:snapToGrid w:val="0"/>
                    <w:jc w:val="center"/>
                    <w:rPr>
                      <w:bCs/>
                      <w:color w:val="auto"/>
                    </w:rPr>
                  </w:pPr>
                  <w:r>
                    <w:rPr>
                      <w:rFonts w:hint="eastAsia"/>
                      <w:color w:val="auto"/>
                    </w:rPr>
                    <w:t>密炼容量</w:t>
                  </w:r>
                </w:p>
              </w:tc>
              <w:tc>
                <w:tcPr>
                  <w:tcW w:w="494" w:type="pct"/>
                  <w:vAlign w:val="center"/>
                </w:tcPr>
                <w:p>
                  <w:pPr>
                    <w:widowControl/>
                    <w:adjustRightInd w:val="0"/>
                    <w:snapToGrid w:val="0"/>
                    <w:jc w:val="center"/>
                    <w:rPr>
                      <w:bCs/>
                      <w:color w:val="auto"/>
                    </w:rPr>
                  </w:pPr>
                  <w:r>
                    <w:rPr>
                      <w:rFonts w:hint="eastAsia"/>
                      <w:bCs/>
                      <w:color w:val="auto"/>
                    </w:rPr>
                    <w:t>35</w:t>
                  </w:r>
                </w:p>
              </w:tc>
              <w:tc>
                <w:tcPr>
                  <w:tcW w:w="617" w:type="pct"/>
                  <w:vAlign w:val="center"/>
                </w:tcPr>
                <w:p>
                  <w:pPr>
                    <w:widowControl/>
                    <w:adjustRightInd w:val="0"/>
                    <w:snapToGrid w:val="0"/>
                    <w:jc w:val="center"/>
                    <w:rPr>
                      <w:bCs/>
                      <w:color w:val="auto"/>
                    </w:rPr>
                  </w:pPr>
                  <w:r>
                    <w:rPr>
                      <w:rFonts w:hint="eastAsia"/>
                      <w:color w:val="auto"/>
                    </w:rPr>
                    <w:t>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 w:hRule="atLeast"/>
                <w:jc w:val="center"/>
              </w:trPr>
              <w:tc>
                <w:tcPr>
                  <w:tcW w:w="371" w:type="pct"/>
                  <w:vAlign w:val="center"/>
                </w:tcPr>
                <w:p>
                  <w:pPr>
                    <w:widowControl/>
                    <w:adjustRightInd w:val="0"/>
                    <w:snapToGrid w:val="0"/>
                    <w:jc w:val="center"/>
                    <w:rPr>
                      <w:rFonts w:ascii="Times New Roman" w:hAnsi="Times New Roman" w:eastAsia="宋体" w:cs="Times New Roman"/>
                      <w:color w:val="auto"/>
                      <w:sz w:val="21"/>
                      <w:lang w:val="en-US" w:eastAsia="zh-CN" w:bidi="ar-SA"/>
                    </w:rPr>
                  </w:pPr>
                  <w:r>
                    <w:rPr>
                      <w:color w:val="auto"/>
                    </w:rPr>
                    <w:t>11</w:t>
                  </w:r>
                </w:p>
              </w:tc>
              <w:tc>
                <w:tcPr>
                  <w:tcW w:w="863" w:type="pct"/>
                  <w:vMerge w:val="continue"/>
                  <w:vAlign w:val="center"/>
                </w:tcPr>
                <w:p>
                  <w:pPr>
                    <w:widowControl/>
                    <w:adjustRightInd w:val="0"/>
                    <w:snapToGrid w:val="0"/>
                    <w:jc w:val="center"/>
                    <w:rPr>
                      <w:color w:val="auto"/>
                    </w:rPr>
                  </w:pPr>
                </w:p>
              </w:tc>
              <w:tc>
                <w:tcPr>
                  <w:tcW w:w="650" w:type="pct"/>
                  <w:vMerge w:val="continue"/>
                  <w:vAlign w:val="center"/>
                </w:tcPr>
                <w:p>
                  <w:pPr>
                    <w:widowControl/>
                    <w:adjustRightInd w:val="0"/>
                    <w:snapToGrid w:val="0"/>
                    <w:jc w:val="center"/>
                    <w:rPr>
                      <w:bCs/>
                      <w:color w:val="auto"/>
                    </w:rPr>
                  </w:pPr>
                </w:p>
              </w:tc>
              <w:tc>
                <w:tcPr>
                  <w:tcW w:w="984" w:type="pct"/>
                  <w:vAlign w:val="center"/>
                </w:tcPr>
                <w:p>
                  <w:pPr>
                    <w:widowControl/>
                    <w:adjustRightInd w:val="0"/>
                    <w:snapToGrid w:val="0"/>
                    <w:jc w:val="center"/>
                    <w:rPr>
                      <w:color w:val="auto"/>
                    </w:rPr>
                  </w:pPr>
                  <w:r>
                    <w:rPr>
                      <w:rFonts w:hint="eastAsia"/>
                      <w:bCs/>
                      <w:color w:val="auto"/>
                    </w:rPr>
                    <w:t>密炼机</w:t>
                  </w:r>
                </w:p>
              </w:tc>
              <w:tc>
                <w:tcPr>
                  <w:tcW w:w="401" w:type="pct"/>
                  <w:vAlign w:val="center"/>
                </w:tcPr>
                <w:p>
                  <w:pPr>
                    <w:widowControl/>
                    <w:adjustRightInd w:val="0"/>
                    <w:snapToGrid w:val="0"/>
                    <w:jc w:val="center"/>
                    <w:rPr>
                      <w:color w:val="auto"/>
                    </w:rPr>
                  </w:pPr>
                  <w:r>
                    <w:rPr>
                      <w:color w:val="auto"/>
                    </w:rPr>
                    <w:t>1台</w:t>
                  </w:r>
                </w:p>
              </w:tc>
              <w:tc>
                <w:tcPr>
                  <w:tcW w:w="617" w:type="pct"/>
                  <w:vAlign w:val="center"/>
                </w:tcPr>
                <w:p>
                  <w:pPr>
                    <w:widowControl/>
                    <w:adjustRightInd w:val="0"/>
                    <w:snapToGrid w:val="0"/>
                    <w:jc w:val="center"/>
                    <w:rPr>
                      <w:color w:val="auto"/>
                    </w:rPr>
                  </w:pPr>
                  <w:r>
                    <w:rPr>
                      <w:rFonts w:hint="eastAsia"/>
                      <w:color w:val="auto"/>
                    </w:rPr>
                    <w:t>密炼容量</w:t>
                  </w:r>
                </w:p>
              </w:tc>
              <w:tc>
                <w:tcPr>
                  <w:tcW w:w="494" w:type="pct"/>
                  <w:vAlign w:val="center"/>
                </w:tcPr>
                <w:p>
                  <w:pPr>
                    <w:widowControl/>
                    <w:adjustRightInd w:val="0"/>
                    <w:snapToGrid w:val="0"/>
                    <w:jc w:val="center"/>
                    <w:rPr>
                      <w:color w:val="auto"/>
                    </w:rPr>
                  </w:pPr>
                  <w:r>
                    <w:rPr>
                      <w:rFonts w:hint="eastAsia"/>
                      <w:color w:val="auto"/>
                    </w:rPr>
                    <w:t>20</w:t>
                  </w:r>
                </w:p>
              </w:tc>
              <w:tc>
                <w:tcPr>
                  <w:tcW w:w="617" w:type="pct"/>
                  <w:vAlign w:val="center"/>
                </w:tcPr>
                <w:p>
                  <w:pPr>
                    <w:widowControl/>
                    <w:adjustRightInd w:val="0"/>
                    <w:snapToGrid w:val="0"/>
                    <w:jc w:val="center"/>
                    <w:rPr>
                      <w:color w:val="auto"/>
                    </w:rPr>
                  </w:pPr>
                  <w:r>
                    <w:rPr>
                      <w:rFonts w:hint="eastAsia"/>
                      <w:color w:val="auto"/>
                    </w:rPr>
                    <w:t>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 w:hRule="atLeast"/>
                <w:jc w:val="center"/>
              </w:trPr>
              <w:tc>
                <w:tcPr>
                  <w:tcW w:w="371" w:type="pct"/>
                  <w:vAlign w:val="center"/>
                </w:tcPr>
                <w:p>
                  <w:pPr>
                    <w:widowControl/>
                    <w:adjustRightInd w:val="0"/>
                    <w:snapToGrid w:val="0"/>
                    <w:jc w:val="center"/>
                    <w:rPr>
                      <w:rFonts w:ascii="Times New Roman" w:hAnsi="Times New Roman" w:eastAsia="宋体" w:cs="Times New Roman"/>
                      <w:color w:val="auto"/>
                      <w:sz w:val="21"/>
                      <w:lang w:val="en-US" w:eastAsia="zh-CN" w:bidi="ar-SA"/>
                    </w:rPr>
                  </w:pPr>
                  <w:r>
                    <w:rPr>
                      <w:color w:val="auto"/>
                    </w:rPr>
                    <w:t>12</w:t>
                  </w:r>
                </w:p>
              </w:tc>
              <w:tc>
                <w:tcPr>
                  <w:tcW w:w="863" w:type="pct"/>
                  <w:vMerge w:val="continue"/>
                  <w:vAlign w:val="center"/>
                </w:tcPr>
                <w:p>
                  <w:pPr>
                    <w:widowControl/>
                    <w:adjustRightInd w:val="0"/>
                    <w:snapToGrid w:val="0"/>
                    <w:jc w:val="center"/>
                    <w:rPr>
                      <w:color w:val="auto"/>
                    </w:rPr>
                  </w:pPr>
                </w:p>
              </w:tc>
              <w:tc>
                <w:tcPr>
                  <w:tcW w:w="650" w:type="pct"/>
                  <w:vMerge w:val="continue"/>
                  <w:vAlign w:val="center"/>
                </w:tcPr>
                <w:p>
                  <w:pPr>
                    <w:widowControl/>
                    <w:adjustRightInd w:val="0"/>
                    <w:snapToGrid w:val="0"/>
                    <w:jc w:val="center"/>
                    <w:rPr>
                      <w:color w:val="auto"/>
                    </w:rPr>
                  </w:pPr>
                </w:p>
              </w:tc>
              <w:tc>
                <w:tcPr>
                  <w:tcW w:w="984" w:type="pct"/>
                  <w:vAlign w:val="center"/>
                </w:tcPr>
                <w:p>
                  <w:pPr>
                    <w:widowControl/>
                    <w:adjustRightInd w:val="0"/>
                    <w:snapToGrid w:val="0"/>
                    <w:jc w:val="center"/>
                    <w:rPr>
                      <w:bCs/>
                      <w:color w:val="auto"/>
                    </w:rPr>
                  </w:pPr>
                  <w:r>
                    <w:rPr>
                      <w:rFonts w:hint="eastAsia"/>
                      <w:bCs/>
                      <w:color w:val="auto"/>
                    </w:rPr>
                    <w:t>密炼机</w:t>
                  </w:r>
                </w:p>
              </w:tc>
              <w:tc>
                <w:tcPr>
                  <w:tcW w:w="401" w:type="pct"/>
                  <w:vAlign w:val="center"/>
                </w:tcPr>
                <w:p>
                  <w:pPr>
                    <w:widowControl/>
                    <w:adjustRightInd w:val="0"/>
                    <w:snapToGrid w:val="0"/>
                    <w:jc w:val="center"/>
                    <w:rPr>
                      <w:bCs/>
                      <w:color w:val="auto"/>
                    </w:rPr>
                  </w:pPr>
                  <w:r>
                    <w:rPr>
                      <w:rFonts w:hint="eastAsia"/>
                      <w:color w:val="auto"/>
                    </w:rPr>
                    <w:t>2</w:t>
                  </w:r>
                  <w:r>
                    <w:rPr>
                      <w:color w:val="auto"/>
                    </w:rPr>
                    <w:t>台</w:t>
                  </w:r>
                </w:p>
              </w:tc>
              <w:tc>
                <w:tcPr>
                  <w:tcW w:w="617" w:type="pct"/>
                  <w:vAlign w:val="center"/>
                </w:tcPr>
                <w:p>
                  <w:pPr>
                    <w:widowControl/>
                    <w:adjustRightInd w:val="0"/>
                    <w:snapToGrid w:val="0"/>
                    <w:jc w:val="center"/>
                    <w:rPr>
                      <w:bCs/>
                      <w:color w:val="auto"/>
                    </w:rPr>
                  </w:pPr>
                  <w:r>
                    <w:rPr>
                      <w:rFonts w:hint="eastAsia"/>
                      <w:color w:val="auto"/>
                    </w:rPr>
                    <w:t>密炼容量</w:t>
                  </w:r>
                </w:p>
              </w:tc>
              <w:tc>
                <w:tcPr>
                  <w:tcW w:w="494" w:type="pct"/>
                  <w:vAlign w:val="center"/>
                </w:tcPr>
                <w:p>
                  <w:pPr>
                    <w:widowControl/>
                    <w:adjustRightInd w:val="0"/>
                    <w:snapToGrid w:val="0"/>
                    <w:jc w:val="center"/>
                    <w:rPr>
                      <w:bCs/>
                      <w:color w:val="auto"/>
                    </w:rPr>
                  </w:pPr>
                  <w:r>
                    <w:rPr>
                      <w:rFonts w:hint="eastAsia"/>
                      <w:bCs/>
                      <w:color w:val="auto"/>
                    </w:rPr>
                    <w:t>3</w:t>
                  </w:r>
                </w:p>
              </w:tc>
              <w:tc>
                <w:tcPr>
                  <w:tcW w:w="617" w:type="pct"/>
                  <w:vAlign w:val="center"/>
                </w:tcPr>
                <w:p>
                  <w:pPr>
                    <w:widowControl/>
                    <w:adjustRightInd w:val="0"/>
                    <w:snapToGrid w:val="0"/>
                    <w:jc w:val="center"/>
                    <w:rPr>
                      <w:bCs/>
                      <w:color w:val="auto"/>
                    </w:rPr>
                  </w:pPr>
                  <w:r>
                    <w:rPr>
                      <w:rFonts w:hint="eastAsia"/>
                      <w:color w:val="auto"/>
                    </w:rPr>
                    <w:t>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371" w:type="pct"/>
                  <w:vAlign w:val="center"/>
                </w:tcPr>
                <w:p>
                  <w:pPr>
                    <w:widowControl/>
                    <w:adjustRightInd w:val="0"/>
                    <w:snapToGrid w:val="0"/>
                    <w:jc w:val="center"/>
                    <w:rPr>
                      <w:rFonts w:ascii="Times New Roman" w:hAnsi="Times New Roman" w:eastAsia="宋体" w:cs="Times New Roman"/>
                      <w:color w:val="auto"/>
                      <w:sz w:val="21"/>
                      <w:lang w:val="en-US" w:eastAsia="zh-CN" w:bidi="ar-SA"/>
                    </w:rPr>
                  </w:pPr>
                  <w:r>
                    <w:rPr>
                      <w:color w:val="auto"/>
                    </w:rPr>
                    <w:t>13</w:t>
                  </w:r>
                </w:p>
              </w:tc>
              <w:tc>
                <w:tcPr>
                  <w:tcW w:w="863" w:type="pct"/>
                  <w:vMerge w:val="continue"/>
                  <w:vAlign w:val="center"/>
                </w:tcPr>
                <w:p>
                  <w:pPr>
                    <w:widowControl/>
                    <w:adjustRightInd w:val="0"/>
                    <w:snapToGrid w:val="0"/>
                    <w:jc w:val="center"/>
                    <w:rPr>
                      <w:color w:val="auto"/>
                    </w:rPr>
                  </w:pPr>
                </w:p>
              </w:tc>
              <w:tc>
                <w:tcPr>
                  <w:tcW w:w="650" w:type="pct"/>
                  <w:vMerge w:val="restart"/>
                  <w:vAlign w:val="center"/>
                </w:tcPr>
                <w:p>
                  <w:pPr>
                    <w:jc w:val="center"/>
                    <w:rPr>
                      <w:color w:val="auto"/>
                    </w:rPr>
                  </w:pPr>
                  <w:r>
                    <w:rPr>
                      <w:rFonts w:hint="eastAsia"/>
                      <w:color w:val="auto"/>
                    </w:rPr>
                    <w:t>开炼</w:t>
                  </w:r>
                </w:p>
              </w:tc>
              <w:tc>
                <w:tcPr>
                  <w:tcW w:w="984" w:type="pct"/>
                  <w:vAlign w:val="center"/>
                </w:tcPr>
                <w:p>
                  <w:pPr>
                    <w:widowControl/>
                    <w:adjustRightInd w:val="0"/>
                    <w:snapToGrid w:val="0"/>
                    <w:jc w:val="center"/>
                    <w:rPr>
                      <w:color w:val="auto"/>
                    </w:rPr>
                  </w:pPr>
                  <w:r>
                    <w:rPr>
                      <w:rFonts w:hint="eastAsia"/>
                      <w:color w:val="auto"/>
                    </w:rPr>
                    <w:t>开炼机</w:t>
                  </w:r>
                </w:p>
              </w:tc>
              <w:tc>
                <w:tcPr>
                  <w:tcW w:w="401" w:type="pct"/>
                  <w:vAlign w:val="center"/>
                </w:tcPr>
                <w:p>
                  <w:pPr>
                    <w:widowControl/>
                    <w:adjustRightInd w:val="0"/>
                    <w:snapToGrid w:val="0"/>
                    <w:jc w:val="center"/>
                    <w:rPr>
                      <w:color w:val="auto"/>
                    </w:rPr>
                  </w:pPr>
                  <w:r>
                    <w:rPr>
                      <w:rFonts w:hint="eastAsia"/>
                      <w:color w:val="auto"/>
                    </w:rPr>
                    <w:t>5</w:t>
                  </w:r>
                  <w:r>
                    <w:rPr>
                      <w:color w:val="auto"/>
                    </w:rPr>
                    <w:t>台</w:t>
                  </w:r>
                </w:p>
              </w:tc>
              <w:tc>
                <w:tcPr>
                  <w:tcW w:w="617" w:type="pct"/>
                  <w:vAlign w:val="center"/>
                </w:tcPr>
                <w:p>
                  <w:pPr>
                    <w:adjustRightInd w:val="0"/>
                    <w:snapToGrid w:val="0"/>
                    <w:jc w:val="center"/>
                    <w:rPr>
                      <w:color w:val="auto"/>
                    </w:rPr>
                  </w:pPr>
                  <w:r>
                    <w:rPr>
                      <w:rFonts w:hint="eastAsia"/>
                      <w:color w:val="auto"/>
                    </w:rPr>
                    <w:t>辊距</w:t>
                  </w:r>
                </w:p>
              </w:tc>
              <w:tc>
                <w:tcPr>
                  <w:tcW w:w="494" w:type="pct"/>
                  <w:vAlign w:val="center"/>
                </w:tcPr>
                <w:p>
                  <w:pPr>
                    <w:widowControl/>
                    <w:adjustRightInd w:val="0"/>
                    <w:snapToGrid w:val="0"/>
                    <w:jc w:val="center"/>
                    <w:rPr>
                      <w:color w:val="auto"/>
                    </w:rPr>
                  </w:pPr>
                  <w:r>
                    <w:rPr>
                      <w:rFonts w:hint="eastAsia"/>
                      <w:color w:val="auto"/>
                    </w:rPr>
                    <w:t>22</w:t>
                  </w:r>
                </w:p>
              </w:tc>
              <w:tc>
                <w:tcPr>
                  <w:tcW w:w="617" w:type="pct"/>
                  <w:vAlign w:val="center"/>
                </w:tcPr>
                <w:p>
                  <w:pPr>
                    <w:adjustRightInd w:val="0"/>
                    <w:snapToGrid w:val="0"/>
                    <w:jc w:val="center"/>
                    <w:rPr>
                      <w:color w:val="auto"/>
                    </w:rPr>
                  </w:pPr>
                  <w:r>
                    <w:rPr>
                      <w:rFonts w:hint="eastAsia"/>
                      <w:color w:val="auto"/>
                    </w:rPr>
                    <w:t>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371" w:type="pct"/>
                  <w:vAlign w:val="center"/>
                </w:tcPr>
                <w:p>
                  <w:pPr>
                    <w:widowControl/>
                    <w:adjustRightInd w:val="0"/>
                    <w:snapToGrid w:val="0"/>
                    <w:jc w:val="center"/>
                    <w:rPr>
                      <w:rFonts w:ascii="Times New Roman" w:hAnsi="Times New Roman" w:eastAsia="宋体" w:cs="Times New Roman"/>
                      <w:color w:val="auto"/>
                      <w:sz w:val="21"/>
                      <w:lang w:val="en-US" w:eastAsia="zh-CN" w:bidi="ar-SA"/>
                    </w:rPr>
                  </w:pPr>
                  <w:r>
                    <w:rPr>
                      <w:color w:val="auto"/>
                    </w:rPr>
                    <w:t>15</w:t>
                  </w:r>
                </w:p>
              </w:tc>
              <w:tc>
                <w:tcPr>
                  <w:tcW w:w="863" w:type="pct"/>
                  <w:vMerge w:val="continue"/>
                  <w:vAlign w:val="center"/>
                </w:tcPr>
                <w:p>
                  <w:pPr>
                    <w:widowControl/>
                    <w:adjustRightInd w:val="0"/>
                    <w:snapToGrid w:val="0"/>
                    <w:jc w:val="center"/>
                    <w:rPr>
                      <w:color w:val="auto"/>
                    </w:rPr>
                  </w:pPr>
                </w:p>
              </w:tc>
              <w:tc>
                <w:tcPr>
                  <w:tcW w:w="650" w:type="pct"/>
                  <w:vMerge w:val="continue"/>
                  <w:vAlign w:val="center"/>
                </w:tcPr>
                <w:p>
                  <w:pPr>
                    <w:widowControl/>
                    <w:adjustRightInd w:val="0"/>
                    <w:snapToGrid w:val="0"/>
                    <w:jc w:val="center"/>
                    <w:rPr>
                      <w:color w:val="auto"/>
                    </w:rPr>
                  </w:pPr>
                </w:p>
              </w:tc>
              <w:tc>
                <w:tcPr>
                  <w:tcW w:w="984" w:type="pct"/>
                  <w:vAlign w:val="center"/>
                </w:tcPr>
                <w:p>
                  <w:pPr>
                    <w:adjustRightInd w:val="0"/>
                    <w:snapToGrid w:val="0"/>
                    <w:jc w:val="center"/>
                    <w:rPr>
                      <w:bCs/>
                      <w:color w:val="auto"/>
                    </w:rPr>
                  </w:pPr>
                  <w:r>
                    <w:rPr>
                      <w:rFonts w:hint="eastAsia"/>
                      <w:color w:val="auto"/>
                    </w:rPr>
                    <w:t>开炼机</w:t>
                  </w:r>
                </w:p>
              </w:tc>
              <w:tc>
                <w:tcPr>
                  <w:tcW w:w="401" w:type="pct"/>
                  <w:vAlign w:val="center"/>
                </w:tcPr>
                <w:p>
                  <w:pPr>
                    <w:adjustRightInd w:val="0"/>
                    <w:snapToGrid w:val="0"/>
                    <w:jc w:val="center"/>
                    <w:rPr>
                      <w:bCs/>
                      <w:color w:val="auto"/>
                    </w:rPr>
                  </w:pPr>
                  <w:r>
                    <w:rPr>
                      <w:rFonts w:hint="eastAsia"/>
                      <w:bCs/>
                      <w:color w:val="auto"/>
                    </w:rPr>
                    <w:t>4</w:t>
                  </w:r>
                  <w:r>
                    <w:rPr>
                      <w:bCs/>
                      <w:color w:val="auto"/>
                    </w:rPr>
                    <w:t>台</w:t>
                  </w:r>
                </w:p>
              </w:tc>
              <w:tc>
                <w:tcPr>
                  <w:tcW w:w="617" w:type="pct"/>
                  <w:vAlign w:val="center"/>
                </w:tcPr>
                <w:p>
                  <w:pPr>
                    <w:adjustRightInd w:val="0"/>
                    <w:snapToGrid w:val="0"/>
                    <w:jc w:val="center"/>
                    <w:rPr>
                      <w:bCs/>
                      <w:color w:val="auto"/>
                    </w:rPr>
                  </w:pPr>
                  <w:r>
                    <w:rPr>
                      <w:rFonts w:hint="eastAsia"/>
                      <w:color w:val="auto"/>
                    </w:rPr>
                    <w:t>辊距</w:t>
                  </w:r>
                </w:p>
              </w:tc>
              <w:tc>
                <w:tcPr>
                  <w:tcW w:w="494" w:type="pct"/>
                  <w:vAlign w:val="center"/>
                </w:tcPr>
                <w:p>
                  <w:pPr>
                    <w:widowControl/>
                    <w:adjustRightInd w:val="0"/>
                    <w:snapToGrid w:val="0"/>
                    <w:jc w:val="center"/>
                    <w:rPr>
                      <w:color w:val="auto"/>
                    </w:rPr>
                  </w:pPr>
                  <w:r>
                    <w:rPr>
                      <w:rFonts w:hint="eastAsia"/>
                      <w:color w:val="auto"/>
                    </w:rPr>
                    <w:t>18</w:t>
                  </w:r>
                </w:p>
              </w:tc>
              <w:tc>
                <w:tcPr>
                  <w:tcW w:w="617" w:type="pct"/>
                  <w:vAlign w:val="center"/>
                </w:tcPr>
                <w:p>
                  <w:pPr>
                    <w:adjustRightInd w:val="0"/>
                    <w:snapToGrid w:val="0"/>
                    <w:jc w:val="center"/>
                    <w:rPr>
                      <w:bCs/>
                      <w:color w:val="auto"/>
                    </w:rPr>
                  </w:pPr>
                  <w:r>
                    <w:rPr>
                      <w:rFonts w:hint="eastAsia"/>
                      <w:color w:val="auto"/>
                    </w:rPr>
                    <w:t>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371" w:type="pct"/>
                  <w:vAlign w:val="center"/>
                </w:tcPr>
                <w:p>
                  <w:pPr>
                    <w:widowControl/>
                    <w:adjustRightInd w:val="0"/>
                    <w:snapToGrid w:val="0"/>
                    <w:jc w:val="center"/>
                    <w:rPr>
                      <w:rFonts w:ascii="Times New Roman" w:hAnsi="Times New Roman" w:eastAsia="宋体" w:cs="Times New Roman"/>
                      <w:color w:val="auto"/>
                      <w:sz w:val="21"/>
                      <w:lang w:val="en-US" w:eastAsia="zh-CN" w:bidi="ar-SA"/>
                    </w:rPr>
                  </w:pPr>
                  <w:r>
                    <w:rPr>
                      <w:color w:val="auto"/>
                    </w:rPr>
                    <w:t>16</w:t>
                  </w:r>
                </w:p>
              </w:tc>
              <w:tc>
                <w:tcPr>
                  <w:tcW w:w="863" w:type="pct"/>
                  <w:vMerge w:val="continue"/>
                  <w:vAlign w:val="center"/>
                </w:tcPr>
                <w:p>
                  <w:pPr>
                    <w:widowControl/>
                    <w:adjustRightInd w:val="0"/>
                    <w:snapToGrid w:val="0"/>
                    <w:jc w:val="center"/>
                    <w:rPr>
                      <w:color w:val="auto"/>
                    </w:rPr>
                  </w:pPr>
                </w:p>
              </w:tc>
              <w:tc>
                <w:tcPr>
                  <w:tcW w:w="650" w:type="pct"/>
                  <w:vMerge w:val="continue"/>
                  <w:vAlign w:val="center"/>
                </w:tcPr>
                <w:p>
                  <w:pPr>
                    <w:widowControl/>
                    <w:adjustRightInd w:val="0"/>
                    <w:snapToGrid w:val="0"/>
                    <w:jc w:val="center"/>
                    <w:rPr>
                      <w:color w:val="auto"/>
                    </w:rPr>
                  </w:pPr>
                </w:p>
              </w:tc>
              <w:tc>
                <w:tcPr>
                  <w:tcW w:w="984" w:type="pct"/>
                  <w:vAlign w:val="center"/>
                </w:tcPr>
                <w:p>
                  <w:pPr>
                    <w:adjustRightInd w:val="0"/>
                    <w:snapToGrid w:val="0"/>
                    <w:jc w:val="center"/>
                    <w:rPr>
                      <w:bCs/>
                      <w:color w:val="auto"/>
                    </w:rPr>
                  </w:pPr>
                  <w:r>
                    <w:rPr>
                      <w:rFonts w:hint="eastAsia"/>
                      <w:color w:val="auto"/>
                    </w:rPr>
                    <w:t>开炼机</w:t>
                  </w:r>
                </w:p>
              </w:tc>
              <w:tc>
                <w:tcPr>
                  <w:tcW w:w="401" w:type="pct"/>
                  <w:vAlign w:val="center"/>
                </w:tcPr>
                <w:p>
                  <w:pPr>
                    <w:widowControl/>
                    <w:adjustRightInd w:val="0"/>
                    <w:snapToGrid w:val="0"/>
                    <w:jc w:val="center"/>
                    <w:rPr>
                      <w:bCs/>
                      <w:color w:val="auto"/>
                    </w:rPr>
                  </w:pPr>
                  <w:r>
                    <w:rPr>
                      <w:rFonts w:hint="eastAsia"/>
                      <w:color w:val="auto"/>
                    </w:rPr>
                    <w:t>2</w:t>
                  </w:r>
                  <w:r>
                    <w:rPr>
                      <w:color w:val="auto"/>
                    </w:rPr>
                    <w:t>台</w:t>
                  </w:r>
                </w:p>
              </w:tc>
              <w:tc>
                <w:tcPr>
                  <w:tcW w:w="617" w:type="pct"/>
                  <w:vAlign w:val="center"/>
                </w:tcPr>
                <w:p>
                  <w:pPr>
                    <w:adjustRightInd w:val="0"/>
                    <w:snapToGrid w:val="0"/>
                    <w:jc w:val="center"/>
                    <w:rPr>
                      <w:color w:val="auto"/>
                    </w:rPr>
                  </w:pPr>
                  <w:r>
                    <w:rPr>
                      <w:rFonts w:hint="eastAsia"/>
                      <w:color w:val="auto"/>
                    </w:rPr>
                    <w:t>辊距</w:t>
                  </w:r>
                </w:p>
              </w:tc>
              <w:tc>
                <w:tcPr>
                  <w:tcW w:w="494" w:type="pct"/>
                  <w:vAlign w:val="center"/>
                </w:tcPr>
                <w:p>
                  <w:pPr>
                    <w:widowControl/>
                    <w:adjustRightInd w:val="0"/>
                    <w:snapToGrid w:val="0"/>
                    <w:jc w:val="center"/>
                    <w:rPr>
                      <w:color w:val="auto"/>
                    </w:rPr>
                  </w:pPr>
                  <w:r>
                    <w:rPr>
                      <w:rFonts w:hint="eastAsia"/>
                      <w:color w:val="auto"/>
                    </w:rPr>
                    <w:t>9</w:t>
                  </w:r>
                </w:p>
              </w:tc>
              <w:tc>
                <w:tcPr>
                  <w:tcW w:w="617" w:type="pct"/>
                  <w:vAlign w:val="center"/>
                </w:tcPr>
                <w:p>
                  <w:pPr>
                    <w:adjustRightInd w:val="0"/>
                    <w:snapToGrid w:val="0"/>
                    <w:jc w:val="center"/>
                    <w:rPr>
                      <w:bCs/>
                      <w:color w:val="auto"/>
                    </w:rPr>
                  </w:pPr>
                  <w:r>
                    <w:rPr>
                      <w:rFonts w:hint="eastAsia"/>
                      <w:color w:val="auto"/>
                    </w:rPr>
                    <w:t>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371" w:type="pct"/>
                  <w:vAlign w:val="center"/>
                </w:tcPr>
                <w:p>
                  <w:pPr>
                    <w:widowControl/>
                    <w:adjustRightInd w:val="0"/>
                    <w:snapToGrid w:val="0"/>
                    <w:jc w:val="center"/>
                    <w:rPr>
                      <w:rFonts w:ascii="Times New Roman" w:hAnsi="Times New Roman" w:eastAsia="宋体" w:cs="Times New Roman"/>
                      <w:color w:val="auto"/>
                      <w:sz w:val="21"/>
                      <w:lang w:val="en-US" w:eastAsia="zh-CN" w:bidi="ar-SA"/>
                    </w:rPr>
                  </w:pPr>
                  <w:r>
                    <w:rPr>
                      <w:color w:val="auto"/>
                    </w:rPr>
                    <w:t>17</w:t>
                  </w:r>
                </w:p>
              </w:tc>
              <w:tc>
                <w:tcPr>
                  <w:tcW w:w="863" w:type="pct"/>
                  <w:vMerge w:val="continue"/>
                  <w:vAlign w:val="center"/>
                </w:tcPr>
                <w:p>
                  <w:pPr>
                    <w:widowControl/>
                    <w:adjustRightInd w:val="0"/>
                    <w:snapToGrid w:val="0"/>
                    <w:jc w:val="center"/>
                    <w:rPr>
                      <w:color w:val="auto"/>
                    </w:rPr>
                  </w:pPr>
                </w:p>
              </w:tc>
              <w:tc>
                <w:tcPr>
                  <w:tcW w:w="650" w:type="pct"/>
                  <w:vMerge w:val="continue"/>
                  <w:vAlign w:val="center"/>
                </w:tcPr>
                <w:p>
                  <w:pPr>
                    <w:widowControl/>
                    <w:adjustRightInd w:val="0"/>
                    <w:snapToGrid w:val="0"/>
                    <w:jc w:val="center"/>
                    <w:rPr>
                      <w:color w:val="auto"/>
                    </w:rPr>
                  </w:pPr>
                </w:p>
              </w:tc>
              <w:tc>
                <w:tcPr>
                  <w:tcW w:w="984" w:type="pct"/>
                  <w:vAlign w:val="center"/>
                </w:tcPr>
                <w:p>
                  <w:pPr>
                    <w:adjustRightInd w:val="0"/>
                    <w:snapToGrid w:val="0"/>
                    <w:jc w:val="center"/>
                    <w:rPr>
                      <w:bCs/>
                      <w:color w:val="auto"/>
                    </w:rPr>
                  </w:pPr>
                  <w:r>
                    <w:rPr>
                      <w:rFonts w:hint="eastAsia"/>
                      <w:color w:val="auto"/>
                    </w:rPr>
                    <w:t>开炼机</w:t>
                  </w:r>
                </w:p>
              </w:tc>
              <w:tc>
                <w:tcPr>
                  <w:tcW w:w="401" w:type="pct"/>
                  <w:vAlign w:val="center"/>
                </w:tcPr>
                <w:p>
                  <w:pPr>
                    <w:widowControl/>
                    <w:adjustRightInd w:val="0"/>
                    <w:snapToGrid w:val="0"/>
                    <w:jc w:val="center"/>
                    <w:rPr>
                      <w:bCs/>
                      <w:color w:val="auto"/>
                    </w:rPr>
                  </w:pPr>
                  <w:r>
                    <w:rPr>
                      <w:rFonts w:hint="eastAsia"/>
                      <w:color w:val="auto"/>
                    </w:rPr>
                    <w:t>2</w:t>
                  </w:r>
                  <w:r>
                    <w:rPr>
                      <w:color w:val="auto"/>
                    </w:rPr>
                    <w:t>台</w:t>
                  </w:r>
                </w:p>
              </w:tc>
              <w:tc>
                <w:tcPr>
                  <w:tcW w:w="617" w:type="pct"/>
                  <w:vAlign w:val="center"/>
                </w:tcPr>
                <w:p>
                  <w:pPr>
                    <w:adjustRightInd w:val="0"/>
                    <w:snapToGrid w:val="0"/>
                    <w:jc w:val="center"/>
                    <w:rPr>
                      <w:color w:val="auto"/>
                    </w:rPr>
                  </w:pPr>
                  <w:r>
                    <w:rPr>
                      <w:rFonts w:hint="eastAsia"/>
                      <w:color w:val="auto"/>
                    </w:rPr>
                    <w:t>辊距</w:t>
                  </w:r>
                </w:p>
              </w:tc>
              <w:tc>
                <w:tcPr>
                  <w:tcW w:w="494" w:type="pct"/>
                  <w:vAlign w:val="center"/>
                </w:tcPr>
                <w:p>
                  <w:pPr>
                    <w:widowControl/>
                    <w:adjustRightInd w:val="0"/>
                    <w:snapToGrid w:val="0"/>
                    <w:jc w:val="center"/>
                    <w:rPr>
                      <w:color w:val="auto"/>
                    </w:rPr>
                  </w:pPr>
                  <w:r>
                    <w:rPr>
                      <w:rFonts w:hint="eastAsia"/>
                      <w:color w:val="auto"/>
                    </w:rPr>
                    <w:t>6</w:t>
                  </w:r>
                </w:p>
              </w:tc>
              <w:tc>
                <w:tcPr>
                  <w:tcW w:w="617" w:type="pct"/>
                  <w:vAlign w:val="center"/>
                </w:tcPr>
                <w:p>
                  <w:pPr>
                    <w:adjustRightInd w:val="0"/>
                    <w:snapToGrid w:val="0"/>
                    <w:jc w:val="center"/>
                    <w:rPr>
                      <w:bCs/>
                      <w:color w:val="auto"/>
                    </w:rPr>
                  </w:pPr>
                  <w:r>
                    <w:rPr>
                      <w:rFonts w:hint="eastAsia"/>
                      <w:color w:val="auto"/>
                    </w:rPr>
                    <w:t>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371" w:type="pct"/>
                  <w:vAlign w:val="center"/>
                </w:tcPr>
                <w:p>
                  <w:pPr>
                    <w:widowControl/>
                    <w:adjustRightInd w:val="0"/>
                    <w:snapToGrid w:val="0"/>
                    <w:jc w:val="center"/>
                    <w:rPr>
                      <w:rFonts w:hint="eastAsia" w:ascii="Times New Roman" w:hAnsi="Times New Roman" w:eastAsia="宋体" w:cs="Times New Roman"/>
                      <w:color w:val="auto"/>
                      <w:sz w:val="21"/>
                      <w:lang w:val="en-US" w:eastAsia="zh-CN" w:bidi="ar-SA"/>
                    </w:rPr>
                  </w:pPr>
                  <w:r>
                    <w:rPr>
                      <w:rFonts w:hint="eastAsia"/>
                      <w:color w:val="auto"/>
                    </w:rPr>
                    <w:t>18</w:t>
                  </w:r>
                </w:p>
              </w:tc>
              <w:tc>
                <w:tcPr>
                  <w:tcW w:w="863" w:type="pct"/>
                  <w:vMerge w:val="continue"/>
                  <w:vAlign w:val="center"/>
                </w:tcPr>
                <w:p>
                  <w:pPr>
                    <w:widowControl/>
                    <w:adjustRightInd w:val="0"/>
                    <w:snapToGrid w:val="0"/>
                    <w:jc w:val="center"/>
                    <w:rPr>
                      <w:color w:val="auto"/>
                    </w:rPr>
                  </w:pPr>
                </w:p>
              </w:tc>
              <w:tc>
                <w:tcPr>
                  <w:tcW w:w="650" w:type="pct"/>
                  <w:vMerge w:val="restart"/>
                  <w:vAlign w:val="center"/>
                </w:tcPr>
                <w:p>
                  <w:pPr>
                    <w:widowControl/>
                    <w:adjustRightInd w:val="0"/>
                    <w:snapToGrid w:val="0"/>
                    <w:jc w:val="center"/>
                    <w:rPr>
                      <w:rFonts w:hint="eastAsia"/>
                      <w:color w:val="auto"/>
                      <w:lang w:val="en-US" w:eastAsia="zh-CN"/>
                    </w:rPr>
                  </w:pPr>
                  <w:r>
                    <w:rPr>
                      <w:rFonts w:hint="eastAsia"/>
                      <w:color w:val="auto"/>
                      <w:lang w:val="en-US" w:eastAsia="zh-CN"/>
                    </w:rPr>
                    <w:t>过滤</w:t>
                  </w:r>
                </w:p>
              </w:tc>
              <w:tc>
                <w:tcPr>
                  <w:tcW w:w="984" w:type="pct"/>
                  <w:vAlign w:val="center"/>
                </w:tcPr>
                <w:p>
                  <w:pPr>
                    <w:adjustRightInd w:val="0"/>
                    <w:snapToGrid w:val="0"/>
                    <w:jc w:val="center"/>
                    <w:rPr>
                      <w:rFonts w:hint="eastAsia"/>
                      <w:bCs/>
                      <w:color w:val="auto"/>
                      <w:lang w:val="en-US" w:eastAsia="zh-CN"/>
                    </w:rPr>
                  </w:pPr>
                  <w:r>
                    <w:rPr>
                      <w:rFonts w:hint="eastAsia"/>
                      <w:bCs/>
                      <w:color w:val="auto"/>
                    </w:rPr>
                    <w:t>过滤机</w:t>
                  </w:r>
                </w:p>
              </w:tc>
              <w:tc>
                <w:tcPr>
                  <w:tcW w:w="401" w:type="pct"/>
                  <w:vAlign w:val="center"/>
                </w:tcPr>
                <w:p>
                  <w:pPr>
                    <w:adjustRightInd w:val="0"/>
                    <w:snapToGrid w:val="0"/>
                    <w:jc w:val="center"/>
                    <w:rPr>
                      <w:rFonts w:hint="eastAsia"/>
                      <w:bCs/>
                      <w:color w:val="auto"/>
                      <w:lang w:val="en-US" w:eastAsia="zh-CN"/>
                    </w:rPr>
                  </w:pPr>
                  <w:r>
                    <w:rPr>
                      <w:rFonts w:hint="eastAsia"/>
                      <w:bCs/>
                      <w:color w:val="auto"/>
                    </w:rPr>
                    <w:t>4</w:t>
                  </w:r>
                  <w:r>
                    <w:rPr>
                      <w:bCs/>
                      <w:color w:val="auto"/>
                    </w:rPr>
                    <w:t>台</w:t>
                  </w:r>
                </w:p>
              </w:tc>
              <w:tc>
                <w:tcPr>
                  <w:tcW w:w="617" w:type="pct"/>
                  <w:vAlign w:val="center"/>
                </w:tcPr>
                <w:p>
                  <w:pPr>
                    <w:widowControl/>
                    <w:adjustRightInd w:val="0"/>
                    <w:snapToGrid w:val="0"/>
                    <w:jc w:val="center"/>
                    <w:rPr>
                      <w:rFonts w:hint="eastAsia"/>
                      <w:color w:val="auto"/>
                    </w:rPr>
                  </w:pPr>
                  <w:r>
                    <w:rPr>
                      <w:rFonts w:hint="eastAsia"/>
                      <w:color w:val="auto"/>
                    </w:rPr>
                    <w:t>功率</w:t>
                  </w:r>
                </w:p>
              </w:tc>
              <w:tc>
                <w:tcPr>
                  <w:tcW w:w="494" w:type="pct"/>
                  <w:vAlign w:val="center"/>
                </w:tcPr>
                <w:p>
                  <w:pPr>
                    <w:widowControl/>
                    <w:adjustRightInd w:val="0"/>
                    <w:snapToGrid w:val="0"/>
                    <w:jc w:val="center"/>
                    <w:rPr>
                      <w:rFonts w:hint="eastAsia"/>
                      <w:color w:val="auto"/>
                      <w:lang w:val="en-US" w:eastAsia="zh-CN"/>
                    </w:rPr>
                  </w:pPr>
                  <w:r>
                    <w:rPr>
                      <w:rFonts w:hint="eastAsia"/>
                      <w:color w:val="auto"/>
                    </w:rPr>
                    <w:t>4</w:t>
                  </w:r>
                </w:p>
              </w:tc>
              <w:tc>
                <w:tcPr>
                  <w:tcW w:w="617" w:type="pct"/>
                  <w:vAlign w:val="center"/>
                </w:tcPr>
                <w:p>
                  <w:pPr>
                    <w:adjustRightInd w:val="0"/>
                    <w:snapToGrid w:val="0"/>
                    <w:jc w:val="center"/>
                    <w:rPr>
                      <w:rFonts w:hint="eastAsia"/>
                      <w:color w:val="auto"/>
                    </w:rPr>
                  </w:pPr>
                  <w:r>
                    <w:rPr>
                      <w:rFonts w:hint="eastAsia"/>
                      <w:color w:val="auto"/>
                    </w:rPr>
                    <w:t>kw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371" w:type="pct"/>
                  <w:vAlign w:val="center"/>
                </w:tcPr>
                <w:p>
                  <w:pPr>
                    <w:widowControl/>
                    <w:adjustRightInd w:val="0"/>
                    <w:snapToGrid w:val="0"/>
                    <w:jc w:val="center"/>
                    <w:rPr>
                      <w:rFonts w:hint="eastAsia" w:ascii="Times New Roman" w:hAnsi="Times New Roman" w:eastAsia="宋体" w:cs="Times New Roman"/>
                      <w:color w:val="auto"/>
                      <w:sz w:val="21"/>
                      <w:lang w:val="en-US" w:eastAsia="zh-CN" w:bidi="ar-SA"/>
                    </w:rPr>
                  </w:pPr>
                  <w:r>
                    <w:rPr>
                      <w:rFonts w:hint="eastAsia"/>
                      <w:color w:val="auto"/>
                    </w:rPr>
                    <w:t>19</w:t>
                  </w:r>
                </w:p>
              </w:tc>
              <w:tc>
                <w:tcPr>
                  <w:tcW w:w="863" w:type="pct"/>
                  <w:vMerge w:val="continue"/>
                  <w:vAlign w:val="center"/>
                </w:tcPr>
                <w:p>
                  <w:pPr>
                    <w:widowControl/>
                    <w:adjustRightInd w:val="0"/>
                    <w:snapToGrid w:val="0"/>
                    <w:jc w:val="center"/>
                    <w:rPr>
                      <w:color w:val="auto"/>
                    </w:rPr>
                  </w:pPr>
                </w:p>
              </w:tc>
              <w:tc>
                <w:tcPr>
                  <w:tcW w:w="650" w:type="pct"/>
                  <w:vMerge w:val="continue"/>
                  <w:vAlign w:val="center"/>
                </w:tcPr>
                <w:p>
                  <w:pPr>
                    <w:widowControl/>
                    <w:adjustRightInd w:val="0"/>
                    <w:snapToGrid w:val="0"/>
                    <w:jc w:val="center"/>
                    <w:rPr>
                      <w:rFonts w:hint="eastAsia"/>
                      <w:color w:val="auto"/>
                      <w:lang w:val="en-US" w:eastAsia="zh-CN"/>
                    </w:rPr>
                  </w:pPr>
                </w:p>
              </w:tc>
              <w:tc>
                <w:tcPr>
                  <w:tcW w:w="984" w:type="pct"/>
                  <w:vAlign w:val="center"/>
                </w:tcPr>
                <w:p>
                  <w:pPr>
                    <w:widowControl/>
                    <w:adjustRightInd w:val="0"/>
                    <w:snapToGrid w:val="0"/>
                    <w:jc w:val="center"/>
                    <w:rPr>
                      <w:rFonts w:hint="eastAsia"/>
                      <w:bCs/>
                      <w:color w:val="auto"/>
                      <w:lang w:val="en-US" w:eastAsia="zh-CN"/>
                    </w:rPr>
                  </w:pPr>
                  <w:r>
                    <w:rPr>
                      <w:rFonts w:hint="eastAsia"/>
                      <w:bCs/>
                      <w:color w:val="auto"/>
                    </w:rPr>
                    <w:t>过滤机</w:t>
                  </w:r>
                </w:p>
              </w:tc>
              <w:tc>
                <w:tcPr>
                  <w:tcW w:w="401" w:type="pct"/>
                  <w:vAlign w:val="center"/>
                </w:tcPr>
                <w:p>
                  <w:pPr>
                    <w:widowControl/>
                    <w:adjustRightInd w:val="0"/>
                    <w:snapToGrid w:val="0"/>
                    <w:jc w:val="center"/>
                    <w:rPr>
                      <w:rFonts w:hint="eastAsia"/>
                      <w:bCs/>
                      <w:color w:val="auto"/>
                      <w:lang w:val="en-US" w:eastAsia="zh-CN"/>
                    </w:rPr>
                  </w:pPr>
                  <w:r>
                    <w:rPr>
                      <w:rFonts w:hint="eastAsia"/>
                      <w:bCs/>
                      <w:color w:val="auto"/>
                    </w:rPr>
                    <w:t>2</w:t>
                  </w:r>
                  <w:r>
                    <w:rPr>
                      <w:bCs/>
                      <w:color w:val="auto"/>
                    </w:rPr>
                    <w:t>台</w:t>
                  </w:r>
                </w:p>
              </w:tc>
              <w:tc>
                <w:tcPr>
                  <w:tcW w:w="617" w:type="pct"/>
                  <w:vAlign w:val="center"/>
                </w:tcPr>
                <w:p>
                  <w:pPr>
                    <w:widowControl/>
                    <w:adjustRightInd w:val="0"/>
                    <w:snapToGrid w:val="0"/>
                    <w:jc w:val="center"/>
                    <w:rPr>
                      <w:rFonts w:hint="eastAsia"/>
                      <w:color w:val="auto"/>
                    </w:rPr>
                  </w:pPr>
                  <w:r>
                    <w:rPr>
                      <w:rFonts w:hint="eastAsia"/>
                      <w:color w:val="auto"/>
                    </w:rPr>
                    <w:t>功率</w:t>
                  </w:r>
                </w:p>
              </w:tc>
              <w:tc>
                <w:tcPr>
                  <w:tcW w:w="494" w:type="pct"/>
                  <w:vAlign w:val="center"/>
                </w:tcPr>
                <w:p>
                  <w:pPr>
                    <w:widowControl/>
                    <w:adjustRightInd w:val="0"/>
                    <w:snapToGrid w:val="0"/>
                    <w:jc w:val="center"/>
                    <w:rPr>
                      <w:rFonts w:hint="eastAsia"/>
                      <w:color w:val="auto"/>
                      <w:lang w:val="en-US" w:eastAsia="zh-CN"/>
                    </w:rPr>
                  </w:pPr>
                  <w:r>
                    <w:rPr>
                      <w:rFonts w:hint="eastAsia"/>
                      <w:color w:val="auto"/>
                    </w:rPr>
                    <w:t>4</w:t>
                  </w:r>
                </w:p>
              </w:tc>
              <w:tc>
                <w:tcPr>
                  <w:tcW w:w="617" w:type="pct"/>
                  <w:vAlign w:val="center"/>
                </w:tcPr>
                <w:p>
                  <w:pPr>
                    <w:widowControl/>
                    <w:adjustRightInd w:val="0"/>
                    <w:snapToGrid w:val="0"/>
                    <w:jc w:val="center"/>
                    <w:rPr>
                      <w:rFonts w:hint="eastAsia"/>
                      <w:color w:val="auto"/>
                    </w:rPr>
                  </w:pPr>
                  <w:r>
                    <w:rPr>
                      <w:rFonts w:hint="eastAsia"/>
                      <w:color w:val="auto"/>
                    </w:rPr>
                    <w:t>kw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371" w:type="pct"/>
                  <w:vAlign w:val="center"/>
                </w:tcPr>
                <w:p>
                  <w:pPr>
                    <w:widowControl/>
                    <w:adjustRightInd w:val="0"/>
                    <w:snapToGrid w:val="0"/>
                    <w:jc w:val="center"/>
                    <w:rPr>
                      <w:rFonts w:hint="eastAsia" w:ascii="Times New Roman" w:hAnsi="Times New Roman" w:eastAsia="宋体" w:cs="Times New Roman"/>
                      <w:color w:val="auto"/>
                      <w:sz w:val="21"/>
                      <w:lang w:val="en-US" w:eastAsia="zh-CN" w:bidi="ar-SA"/>
                    </w:rPr>
                  </w:pPr>
                  <w:r>
                    <w:rPr>
                      <w:color w:val="auto"/>
                    </w:rPr>
                    <w:t>2</w:t>
                  </w:r>
                  <w:r>
                    <w:rPr>
                      <w:rFonts w:hint="eastAsia"/>
                      <w:color w:val="auto"/>
                      <w:lang w:val="en-US" w:eastAsia="zh-CN"/>
                    </w:rPr>
                    <w:t>0</w:t>
                  </w:r>
                </w:p>
              </w:tc>
              <w:tc>
                <w:tcPr>
                  <w:tcW w:w="863" w:type="pct"/>
                  <w:vMerge w:val="continue"/>
                  <w:vAlign w:val="center"/>
                </w:tcPr>
                <w:p>
                  <w:pPr>
                    <w:widowControl/>
                    <w:adjustRightInd w:val="0"/>
                    <w:snapToGrid w:val="0"/>
                    <w:jc w:val="center"/>
                    <w:rPr>
                      <w:color w:val="auto"/>
                    </w:rPr>
                  </w:pPr>
                </w:p>
              </w:tc>
              <w:tc>
                <w:tcPr>
                  <w:tcW w:w="650" w:type="pct"/>
                  <w:vAlign w:val="center"/>
                </w:tcPr>
                <w:p>
                  <w:pPr>
                    <w:widowControl/>
                    <w:adjustRightInd w:val="0"/>
                    <w:snapToGrid w:val="0"/>
                    <w:jc w:val="center"/>
                    <w:rPr>
                      <w:color w:val="auto"/>
                    </w:rPr>
                  </w:pPr>
                  <w:r>
                    <w:rPr>
                      <w:rFonts w:hint="eastAsia"/>
                      <w:color w:val="auto"/>
                    </w:rPr>
                    <w:t>胶片冷却</w:t>
                  </w:r>
                </w:p>
              </w:tc>
              <w:tc>
                <w:tcPr>
                  <w:tcW w:w="984" w:type="pct"/>
                  <w:vAlign w:val="center"/>
                </w:tcPr>
                <w:p>
                  <w:pPr>
                    <w:adjustRightInd w:val="0"/>
                    <w:snapToGrid w:val="0"/>
                    <w:jc w:val="center"/>
                    <w:rPr>
                      <w:bCs/>
                      <w:color w:val="auto"/>
                    </w:rPr>
                  </w:pPr>
                  <w:r>
                    <w:rPr>
                      <w:rFonts w:hint="eastAsia"/>
                      <w:bCs/>
                      <w:color w:val="auto"/>
                    </w:rPr>
                    <w:t>胶片冷却机</w:t>
                  </w:r>
                </w:p>
              </w:tc>
              <w:tc>
                <w:tcPr>
                  <w:tcW w:w="401" w:type="pct"/>
                  <w:vAlign w:val="center"/>
                </w:tcPr>
                <w:p>
                  <w:pPr>
                    <w:adjustRightInd w:val="0"/>
                    <w:snapToGrid w:val="0"/>
                    <w:jc w:val="center"/>
                    <w:rPr>
                      <w:bCs/>
                      <w:color w:val="auto"/>
                    </w:rPr>
                  </w:pPr>
                  <w:r>
                    <w:rPr>
                      <w:rFonts w:hint="eastAsia"/>
                      <w:bCs/>
                      <w:color w:val="auto"/>
                    </w:rPr>
                    <w:t>8</w:t>
                  </w:r>
                  <w:r>
                    <w:rPr>
                      <w:bCs/>
                      <w:color w:val="auto"/>
                    </w:rPr>
                    <w:t>台</w:t>
                  </w:r>
                </w:p>
              </w:tc>
              <w:tc>
                <w:tcPr>
                  <w:tcW w:w="617" w:type="pct"/>
                  <w:vAlign w:val="center"/>
                </w:tcPr>
                <w:p>
                  <w:pPr>
                    <w:adjustRightInd w:val="0"/>
                    <w:snapToGrid w:val="0"/>
                    <w:jc w:val="center"/>
                    <w:rPr>
                      <w:color w:val="auto"/>
                    </w:rPr>
                  </w:pPr>
                  <w:r>
                    <w:rPr>
                      <w:rFonts w:hint="eastAsia"/>
                      <w:color w:val="auto"/>
                    </w:rPr>
                    <w:t>功率</w:t>
                  </w:r>
                </w:p>
              </w:tc>
              <w:tc>
                <w:tcPr>
                  <w:tcW w:w="494" w:type="pct"/>
                  <w:vAlign w:val="center"/>
                </w:tcPr>
                <w:p>
                  <w:pPr>
                    <w:widowControl/>
                    <w:adjustRightInd w:val="0"/>
                    <w:snapToGrid w:val="0"/>
                    <w:jc w:val="center"/>
                    <w:rPr>
                      <w:color w:val="auto"/>
                    </w:rPr>
                  </w:pPr>
                  <w:r>
                    <w:rPr>
                      <w:rFonts w:hint="eastAsia"/>
                      <w:color w:val="auto"/>
                    </w:rPr>
                    <w:t>10</w:t>
                  </w:r>
                </w:p>
              </w:tc>
              <w:tc>
                <w:tcPr>
                  <w:tcW w:w="617" w:type="pct"/>
                  <w:vAlign w:val="center"/>
                </w:tcPr>
                <w:p>
                  <w:pPr>
                    <w:adjustRightInd w:val="0"/>
                    <w:snapToGrid w:val="0"/>
                    <w:jc w:val="center"/>
                    <w:rPr>
                      <w:bCs/>
                      <w:color w:val="auto"/>
                    </w:rPr>
                  </w:pPr>
                  <w:r>
                    <w:rPr>
                      <w:rFonts w:hint="eastAsia"/>
                      <w:color w:val="auto"/>
                    </w:rPr>
                    <w:t>kw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371" w:type="pct"/>
                  <w:vAlign w:val="center"/>
                </w:tcPr>
                <w:p>
                  <w:pPr>
                    <w:widowControl/>
                    <w:adjustRightInd w:val="0"/>
                    <w:snapToGrid w:val="0"/>
                    <w:jc w:val="center"/>
                    <w:rPr>
                      <w:rFonts w:hint="eastAsia" w:ascii="Times New Roman" w:hAnsi="Times New Roman" w:eastAsia="宋体" w:cs="Times New Roman"/>
                      <w:color w:val="auto"/>
                      <w:sz w:val="21"/>
                      <w:lang w:val="en-US" w:eastAsia="zh-CN" w:bidi="ar-SA"/>
                    </w:rPr>
                  </w:pPr>
                  <w:r>
                    <w:rPr>
                      <w:color w:val="auto"/>
                    </w:rPr>
                    <w:t>2</w:t>
                  </w:r>
                  <w:r>
                    <w:rPr>
                      <w:rFonts w:hint="eastAsia"/>
                      <w:color w:val="auto"/>
                      <w:lang w:val="en-US" w:eastAsia="zh-CN"/>
                    </w:rPr>
                    <w:t>1</w:t>
                  </w:r>
                </w:p>
              </w:tc>
              <w:tc>
                <w:tcPr>
                  <w:tcW w:w="863" w:type="pct"/>
                  <w:vMerge w:val="continue"/>
                  <w:vAlign w:val="center"/>
                </w:tcPr>
                <w:p>
                  <w:pPr>
                    <w:widowControl/>
                    <w:adjustRightInd w:val="0"/>
                    <w:snapToGrid w:val="0"/>
                    <w:jc w:val="center"/>
                    <w:rPr>
                      <w:color w:val="auto"/>
                    </w:rPr>
                  </w:pPr>
                </w:p>
              </w:tc>
              <w:tc>
                <w:tcPr>
                  <w:tcW w:w="650" w:type="pct"/>
                  <w:vAlign w:val="center"/>
                </w:tcPr>
                <w:p>
                  <w:pPr>
                    <w:widowControl/>
                    <w:adjustRightInd w:val="0"/>
                    <w:snapToGrid w:val="0"/>
                    <w:jc w:val="center"/>
                    <w:rPr>
                      <w:color w:val="auto"/>
                    </w:rPr>
                  </w:pPr>
                  <w:r>
                    <w:rPr>
                      <w:rFonts w:hint="eastAsia"/>
                      <w:color w:val="auto"/>
                    </w:rPr>
                    <w:t>测试</w:t>
                  </w:r>
                </w:p>
              </w:tc>
              <w:tc>
                <w:tcPr>
                  <w:tcW w:w="984" w:type="pct"/>
                  <w:vAlign w:val="center"/>
                </w:tcPr>
                <w:p>
                  <w:pPr>
                    <w:widowControl/>
                    <w:adjustRightInd w:val="0"/>
                    <w:snapToGrid w:val="0"/>
                    <w:jc w:val="center"/>
                    <w:rPr>
                      <w:color w:val="auto"/>
                    </w:rPr>
                  </w:pPr>
                  <w:r>
                    <w:rPr>
                      <w:rFonts w:hint="eastAsia"/>
                      <w:color w:val="auto"/>
                    </w:rPr>
                    <w:t>实验老化机</w:t>
                  </w:r>
                </w:p>
              </w:tc>
              <w:tc>
                <w:tcPr>
                  <w:tcW w:w="401" w:type="pct"/>
                  <w:vAlign w:val="center"/>
                </w:tcPr>
                <w:p>
                  <w:pPr>
                    <w:widowControl/>
                    <w:adjustRightInd w:val="0"/>
                    <w:snapToGrid w:val="0"/>
                    <w:jc w:val="center"/>
                    <w:rPr>
                      <w:color w:val="auto"/>
                    </w:rPr>
                  </w:pPr>
                  <w:r>
                    <w:rPr>
                      <w:rFonts w:hint="eastAsia"/>
                      <w:bCs/>
                      <w:color w:val="auto"/>
                    </w:rPr>
                    <w:t>12</w:t>
                  </w:r>
                  <w:r>
                    <w:rPr>
                      <w:bCs/>
                      <w:color w:val="auto"/>
                    </w:rPr>
                    <w:t>台</w:t>
                  </w:r>
                </w:p>
              </w:tc>
              <w:tc>
                <w:tcPr>
                  <w:tcW w:w="617" w:type="pct"/>
                  <w:vAlign w:val="center"/>
                </w:tcPr>
                <w:p>
                  <w:pPr>
                    <w:widowControl/>
                    <w:adjustRightInd w:val="0"/>
                    <w:snapToGrid w:val="0"/>
                    <w:jc w:val="center"/>
                    <w:rPr>
                      <w:color w:val="auto"/>
                    </w:rPr>
                  </w:pPr>
                  <w:r>
                    <w:rPr>
                      <w:rFonts w:hint="eastAsia"/>
                      <w:color w:val="auto"/>
                    </w:rPr>
                    <w:t>功率</w:t>
                  </w:r>
                </w:p>
              </w:tc>
              <w:tc>
                <w:tcPr>
                  <w:tcW w:w="494" w:type="pct"/>
                  <w:vAlign w:val="center"/>
                </w:tcPr>
                <w:p>
                  <w:pPr>
                    <w:widowControl/>
                    <w:adjustRightInd w:val="0"/>
                    <w:snapToGrid w:val="0"/>
                    <w:jc w:val="center"/>
                    <w:rPr>
                      <w:color w:val="auto"/>
                    </w:rPr>
                  </w:pPr>
                  <w:r>
                    <w:rPr>
                      <w:rFonts w:hint="eastAsia"/>
                      <w:color w:val="auto"/>
                    </w:rPr>
                    <w:t>1.8</w:t>
                  </w:r>
                </w:p>
              </w:tc>
              <w:tc>
                <w:tcPr>
                  <w:tcW w:w="617" w:type="pct"/>
                  <w:vAlign w:val="center"/>
                </w:tcPr>
                <w:p>
                  <w:pPr>
                    <w:widowControl/>
                    <w:adjustRightInd w:val="0"/>
                    <w:snapToGrid w:val="0"/>
                    <w:jc w:val="center"/>
                    <w:rPr>
                      <w:color w:val="auto"/>
                    </w:rPr>
                  </w:pPr>
                  <w:r>
                    <w:rPr>
                      <w:rFonts w:hint="eastAsia"/>
                      <w:color w:val="auto"/>
                    </w:rPr>
                    <w:t>kw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371" w:type="pct"/>
                  <w:vAlign w:val="center"/>
                </w:tcPr>
                <w:p>
                  <w:pPr>
                    <w:widowControl/>
                    <w:adjustRightInd w:val="0"/>
                    <w:snapToGrid w:val="0"/>
                    <w:jc w:val="center"/>
                    <w:rPr>
                      <w:rFonts w:hint="eastAsia"/>
                      <w:color w:val="auto"/>
                      <w:lang w:val="en-US" w:eastAsia="zh-CN"/>
                    </w:rPr>
                  </w:pPr>
                  <w:r>
                    <w:rPr>
                      <w:rFonts w:hint="eastAsia"/>
                      <w:color w:val="auto"/>
                    </w:rPr>
                    <w:t>25</w:t>
                  </w:r>
                </w:p>
              </w:tc>
              <w:tc>
                <w:tcPr>
                  <w:tcW w:w="863" w:type="pct"/>
                  <w:vMerge w:val="continue"/>
                  <w:vAlign w:val="center"/>
                </w:tcPr>
                <w:p>
                  <w:pPr>
                    <w:widowControl/>
                    <w:adjustRightInd w:val="0"/>
                    <w:snapToGrid w:val="0"/>
                    <w:jc w:val="center"/>
                    <w:rPr>
                      <w:color w:val="auto"/>
                    </w:rPr>
                  </w:pPr>
                </w:p>
              </w:tc>
              <w:tc>
                <w:tcPr>
                  <w:tcW w:w="650" w:type="pct"/>
                  <w:vAlign w:val="center"/>
                </w:tcPr>
                <w:p>
                  <w:pPr>
                    <w:widowControl/>
                    <w:adjustRightInd w:val="0"/>
                    <w:snapToGrid w:val="0"/>
                    <w:jc w:val="center"/>
                    <w:rPr>
                      <w:rFonts w:hint="eastAsia"/>
                      <w:color w:val="auto"/>
                    </w:rPr>
                  </w:pPr>
                  <w:r>
                    <w:rPr>
                      <w:rFonts w:hint="eastAsia"/>
                      <w:color w:val="auto"/>
                      <w:lang w:val="en-US" w:eastAsia="zh-CN"/>
                    </w:rPr>
                    <w:t>切胶</w:t>
                  </w:r>
                </w:p>
              </w:tc>
              <w:tc>
                <w:tcPr>
                  <w:tcW w:w="984" w:type="pct"/>
                  <w:vAlign w:val="center"/>
                </w:tcPr>
                <w:p>
                  <w:pPr>
                    <w:adjustRightInd w:val="0"/>
                    <w:snapToGrid w:val="0"/>
                    <w:jc w:val="center"/>
                    <w:rPr>
                      <w:rFonts w:hint="eastAsia"/>
                      <w:bCs/>
                      <w:color w:val="auto"/>
                    </w:rPr>
                  </w:pPr>
                  <w:r>
                    <w:rPr>
                      <w:rFonts w:hint="eastAsia"/>
                      <w:bCs/>
                      <w:color w:val="auto"/>
                      <w:lang w:val="en-US" w:eastAsia="zh-CN"/>
                    </w:rPr>
                    <w:t>切条机</w:t>
                  </w:r>
                </w:p>
              </w:tc>
              <w:tc>
                <w:tcPr>
                  <w:tcW w:w="401" w:type="pct"/>
                  <w:vAlign w:val="center"/>
                </w:tcPr>
                <w:p>
                  <w:pPr>
                    <w:adjustRightInd w:val="0"/>
                    <w:snapToGrid w:val="0"/>
                    <w:jc w:val="center"/>
                    <w:rPr>
                      <w:rFonts w:hint="eastAsia"/>
                      <w:bCs/>
                      <w:color w:val="auto"/>
                    </w:rPr>
                  </w:pPr>
                  <w:r>
                    <w:rPr>
                      <w:rFonts w:hint="eastAsia"/>
                      <w:bCs/>
                      <w:color w:val="auto"/>
                      <w:lang w:val="en-US" w:eastAsia="zh-CN"/>
                    </w:rPr>
                    <w:t>1台</w:t>
                  </w:r>
                </w:p>
              </w:tc>
              <w:tc>
                <w:tcPr>
                  <w:tcW w:w="617" w:type="pct"/>
                  <w:vAlign w:val="center"/>
                </w:tcPr>
                <w:p>
                  <w:pPr>
                    <w:adjustRightInd w:val="0"/>
                    <w:snapToGrid w:val="0"/>
                    <w:jc w:val="center"/>
                    <w:rPr>
                      <w:rFonts w:hint="eastAsia"/>
                      <w:color w:val="auto"/>
                    </w:rPr>
                  </w:pPr>
                  <w:r>
                    <w:rPr>
                      <w:rFonts w:hint="eastAsia"/>
                      <w:color w:val="auto"/>
                    </w:rPr>
                    <w:t>功率</w:t>
                  </w:r>
                </w:p>
              </w:tc>
              <w:tc>
                <w:tcPr>
                  <w:tcW w:w="494" w:type="pct"/>
                  <w:vAlign w:val="center"/>
                </w:tcPr>
                <w:p>
                  <w:pPr>
                    <w:widowControl/>
                    <w:adjustRightInd w:val="0"/>
                    <w:snapToGrid w:val="0"/>
                    <w:jc w:val="center"/>
                    <w:rPr>
                      <w:rFonts w:hint="eastAsia"/>
                      <w:color w:val="auto"/>
                    </w:rPr>
                  </w:pPr>
                  <w:r>
                    <w:rPr>
                      <w:rFonts w:hint="eastAsia"/>
                      <w:color w:val="auto"/>
                      <w:lang w:val="en-US" w:eastAsia="zh-CN"/>
                    </w:rPr>
                    <w:t>3</w:t>
                  </w:r>
                </w:p>
              </w:tc>
              <w:tc>
                <w:tcPr>
                  <w:tcW w:w="617" w:type="pct"/>
                  <w:vAlign w:val="center"/>
                </w:tcPr>
                <w:p>
                  <w:pPr>
                    <w:adjustRightInd w:val="0"/>
                    <w:snapToGrid w:val="0"/>
                    <w:jc w:val="center"/>
                    <w:rPr>
                      <w:rFonts w:hint="eastAsia"/>
                      <w:color w:val="auto"/>
                    </w:rPr>
                  </w:pPr>
                  <w:r>
                    <w:rPr>
                      <w:rFonts w:hint="eastAsia"/>
                      <w:color w:val="auto"/>
                    </w:rPr>
                    <w:t>kw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371" w:type="pct"/>
                  <w:vAlign w:val="center"/>
                </w:tcPr>
                <w:p>
                  <w:pPr>
                    <w:widowControl/>
                    <w:adjustRightInd w:val="0"/>
                    <w:snapToGrid w:val="0"/>
                    <w:jc w:val="center"/>
                    <w:rPr>
                      <w:rFonts w:hint="default" w:ascii="Times New Roman" w:hAnsi="Times New Roman" w:eastAsia="宋体" w:cs="Times New Roman"/>
                      <w:color w:val="auto"/>
                      <w:sz w:val="21"/>
                      <w:lang w:val="en-US" w:eastAsia="zh-CN" w:bidi="ar-SA"/>
                    </w:rPr>
                  </w:pPr>
                  <w:r>
                    <w:rPr>
                      <w:rFonts w:hint="eastAsia"/>
                      <w:color w:val="auto"/>
                      <w:lang w:val="en-US" w:eastAsia="zh-CN"/>
                    </w:rPr>
                    <w:t>26</w:t>
                  </w:r>
                </w:p>
              </w:tc>
              <w:tc>
                <w:tcPr>
                  <w:tcW w:w="863" w:type="pct"/>
                  <w:vMerge w:val="continue"/>
                  <w:vAlign w:val="center"/>
                </w:tcPr>
                <w:p>
                  <w:pPr>
                    <w:widowControl/>
                    <w:adjustRightInd w:val="0"/>
                    <w:snapToGrid w:val="0"/>
                    <w:jc w:val="center"/>
                    <w:rPr>
                      <w:color w:val="auto"/>
                    </w:rPr>
                  </w:pPr>
                </w:p>
              </w:tc>
              <w:tc>
                <w:tcPr>
                  <w:tcW w:w="650" w:type="pct"/>
                  <w:vMerge w:val="restart"/>
                  <w:vAlign w:val="center"/>
                </w:tcPr>
                <w:p>
                  <w:pPr>
                    <w:widowControl/>
                    <w:adjustRightInd w:val="0"/>
                    <w:snapToGrid w:val="0"/>
                    <w:jc w:val="center"/>
                    <w:rPr>
                      <w:color w:val="auto"/>
                    </w:rPr>
                  </w:pPr>
                  <w:r>
                    <w:rPr>
                      <w:rFonts w:hint="eastAsia"/>
                      <w:color w:val="auto"/>
                    </w:rPr>
                    <w:t>模压</w:t>
                  </w:r>
                </w:p>
              </w:tc>
              <w:tc>
                <w:tcPr>
                  <w:tcW w:w="984" w:type="pct"/>
                  <w:vAlign w:val="center"/>
                </w:tcPr>
                <w:p>
                  <w:pPr>
                    <w:adjustRightInd w:val="0"/>
                    <w:snapToGrid w:val="0"/>
                    <w:jc w:val="center"/>
                    <w:rPr>
                      <w:bCs/>
                      <w:color w:val="auto"/>
                    </w:rPr>
                  </w:pPr>
                  <w:r>
                    <w:rPr>
                      <w:rFonts w:hint="eastAsia"/>
                      <w:bCs/>
                      <w:color w:val="auto"/>
                    </w:rPr>
                    <w:t>模压机</w:t>
                  </w:r>
                </w:p>
              </w:tc>
              <w:tc>
                <w:tcPr>
                  <w:tcW w:w="401" w:type="pct"/>
                  <w:vAlign w:val="center"/>
                </w:tcPr>
                <w:p>
                  <w:pPr>
                    <w:adjustRightInd w:val="0"/>
                    <w:snapToGrid w:val="0"/>
                    <w:jc w:val="center"/>
                    <w:rPr>
                      <w:bCs/>
                      <w:color w:val="auto"/>
                    </w:rPr>
                  </w:pPr>
                  <w:r>
                    <w:rPr>
                      <w:rFonts w:hint="eastAsia"/>
                      <w:bCs/>
                      <w:color w:val="auto"/>
                    </w:rPr>
                    <w:t>2台</w:t>
                  </w:r>
                </w:p>
              </w:tc>
              <w:tc>
                <w:tcPr>
                  <w:tcW w:w="617" w:type="pct"/>
                  <w:vAlign w:val="center"/>
                </w:tcPr>
                <w:p>
                  <w:pPr>
                    <w:widowControl/>
                    <w:adjustRightInd w:val="0"/>
                    <w:snapToGrid w:val="0"/>
                    <w:jc w:val="center"/>
                    <w:rPr>
                      <w:color w:val="auto"/>
                    </w:rPr>
                  </w:pPr>
                  <w:r>
                    <w:rPr>
                      <w:rFonts w:hint="eastAsia"/>
                      <w:color w:val="auto"/>
                    </w:rPr>
                    <w:t>工作压力</w:t>
                  </w:r>
                </w:p>
              </w:tc>
              <w:tc>
                <w:tcPr>
                  <w:tcW w:w="494" w:type="pct"/>
                  <w:vAlign w:val="center"/>
                </w:tcPr>
                <w:p>
                  <w:pPr>
                    <w:widowControl/>
                    <w:adjustRightInd w:val="0"/>
                    <w:snapToGrid w:val="0"/>
                    <w:jc w:val="center"/>
                    <w:rPr>
                      <w:color w:val="auto"/>
                    </w:rPr>
                  </w:pPr>
                  <w:r>
                    <w:rPr>
                      <w:rFonts w:hint="eastAsia"/>
                      <w:color w:val="auto"/>
                    </w:rPr>
                    <w:t>500</w:t>
                  </w:r>
                </w:p>
              </w:tc>
              <w:tc>
                <w:tcPr>
                  <w:tcW w:w="617" w:type="pct"/>
                  <w:vAlign w:val="center"/>
                </w:tcPr>
                <w:p>
                  <w:pPr>
                    <w:widowControl/>
                    <w:adjustRightInd w:val="0"/>
                    <w:snapToGrid w:val="0"/>
                    <w:jc w:val="center"/>
                    <w:rPr>
                      <w:color w:val="auto"/>
                    </w:rPr>
                  </w:pPr>
                  <w:r>
                    <w:rPr>
                      <w:rFonts w:hint="eastAsia"/>
                      <w:color w:val="auto"/>
                    </w:rPr>
                    <w:t>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371" w:type="pct"/>
                  <w:vAlign w:val="center"/>
                </w:tcPr>
                <w:p>
                  <w:pPr>
                    <w:widowControl/>
                    <w:adjustRightInd w:val="0"/>
                    <w:snapToGrid w:val="0"/>
                    <w:jc w:val="center"/>
                    <w:rPr>
                      <w:rFonts w:hint="eastAsia" w:ascii="Times New Roman" w:hAnsi="Times New Roman" w:eastAsia="宋体" w:cs="Times New Roman"/>
                      <w:color w:val="auto"/>
                      <w:sz w:val="21"/>
                      <w:lang w:val="en-US" w:eastAsia="zh-CN" w:bidi="ar-SA"/>
                    </w:rPr>
                  </w:pPr>
                  <w:r>
                    <w:rPr>
                      <w:rFonts w:hint="eastAsia"/>
                      <w:color w:val="auto"/>
                    </w:rPr>
                    <w:t>2</w:t>
                  </w:r>
                  <w:r>
                    <w:rPr>
                      <w:rFonts w:hint="eastAsia"/>
                      <w:color w:val="auto"/>
                      <w:lang w:val="en-US" w:eastAsia="zh-CN"/>
                    </w:rPr>
                    <w:t>7</w:t>
                  </w:r>
                </w:p>
              </w:tc>
              <w:tc>
                <w:tcPr>
                  <w:tcW w:w="863" w:type="pct"/>
                  <w:vMerge w:val="continue"/>
                  <w:vAlign w:val="center"/>
                </w:tcPr>
                <w:p>
                  <w:pPr>
                    <w:widowControl/>
                    <w:adjustRightInd w:val="0"/>
                    <w:snapToGrid w:val="0"/>
                    <w:jc w:val="center"/>
                    <w:rPr>
                      <w:color w:val="auto"/>
                    </w:rPr>
                  </w:pPr>
                </w:p>
              </w:tc>
              <w:tc>
                <w:tcPr>
                  <w:tcW w:w="650" w:type="pct"/>
                  <w:vMerge w:val="continue"/>
                  <w:vAlign w:val="center"/>
                </w:tcPr>
                <w:p>
                  <w:pPr>
                    <w:widowControl/>
                    <w:adjustRightInd w:val="0"/>
                    <w:snapToGrid w:val="0"/>
                    <w:jc w:val="center"/>
                    <w:rPr>
                      <w:color w:val="auto"/>
                    </w:rPr>
                  </w:pPr>
                </w:p>
              </w:tc>
              <w:tc>
                <w:tcPr>
                  <w:tcW w:w="984" w:type="pct"/>
                  <w:vAlign w:val="center"/>
                </w:tcPr>
                <w:p>
                  <w:pPr>
                    <w:adjustRightInd w:val="0"/>
                    <w:snapToGrid w:val="0"/>
                    <w:jc w:val="center"/>
                    <w:rPr>
                      <w:bCs/>
                      <w:color w:val="auto"/>
                    </w:rPr>
                  </w:pPr>
                  <w:r>
                    <w:rPr>
                      <w:rFonts w:hint="eastAsia"/>
                      <w:bCs/>
                      <w:color w:val="auto"/>
                    </w:rPr>
                    <w:t>模压机</w:t>
                  </w:r>
                </w:p>
              </w:tc>
              <w:tc>
                <w:tcPr>
                  <w:tcW w:w="401" w:type="pct"/>
                  <w:vAlign w:val="center"/>
                </w:tcPr>
                <w:p>
                  <w:pPr>
                    <w:adjustRightInd w:val="0"/>
                    <w:snapToGrid w:val="0"/>
                    <w:jc w:val="center"/>
                    <w:rPr>
                      <w:bCs/>
                      <w:color w:val="auto"/>
                    </w:rPr>
                  </w:pPr>
                  <w:r>
                    <w:rPr>
                      <w:rFonts w:hint="eastAsia"/>
                      <w:bCs/>
                      <w:color w:val="auto"/>
                    </w:rPr>
                    <w:t>10台</w:t>
                  </w:r>
                </w:p>
              </w:tc>
              <w:tc>
                <w:tcPr>
                  <w:tcW w:w="617" w:type="pct"/>
                  <w:vAlign w:val="center"/>
                </w:tcPr>
                <w:p>
                  <w:pPr>
                    <w:widowControl/>
                    <w:adjustRightInd w:val="0"/>
                    <w:snapToGrid w:val="0"/>
                    <w:jc w:val="center"/>
                    <w:rPr>
                      <w:color w:val="auto"/>
                    </w:rPr>
                  </w:pPr>
                  <w:r>
                    <w:rPr>
                      <w:rFonts w:hint="eastAsia"/>
                      <w:color w:val="auto"/>
                    </w:rPr>
                    <w:t>工作压力</w:t>
                  </w:r>
                </w:p>
              </w:tc>
              <w:tc>
                <w:tcPr>
                  <w:tcW w:w="494" w:type="pct"/>
                  <w:vAlign w:val="center"/>
                </w:tcPr>
                <w:p>
                  <w:pPr>
                    <w:widowControl/>
                    <w:adjustRightInd w:val="0"/>
                    <w:snapToGrid w:val="0"/>
                    <w:jc w:val="center"/>
                    <w:rPr>
                      <w:color w:val="auto"/>
                    </w:rPr>
                  </w:pPr>
                  <w:r>
                    <w:rPr>
                      <w:rFonts w:hint="eastAsia"/>
                      <w:color w:val="auto"/>
                    </w:rPr>
                    <w:t>250</w:t>
                  </w:r>
                </w:p>
              </w:tc>
              <w:tc>
                <w:tcPr>
                  <w:tcW w:w="617" w:type="pct"/>
                  <w:vAlign w:val="center"/>
                </w:tcPr>
                <w:p>
                  <w:pPr>
                    <w:widowControl/>
                    <w:adjustRightInd w:val="0"/>
                    <w:snapToGrid w:val="0"/>
                    <w:jc w:val="center"/>
                    <w:rPr>
                      <w:color w:val="auto"/>
                    </w:rPr>
                  </w:pPr>
                  <w:r>
                    <w:rPr>
                      <w:rFonts w:hint="eastAsia"/>
                      <w:color w:val="auto"/>
                    </w:rPr>
                    <w:t>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371" w:type="pct"/>
                  <w:vAlign w:val="center"/>
                </w:tcPr>
                <w:p>
                  <w:pPr>
                    <w:widowControl/>
                    <w:adjustRightInd w:val="0"/>
                    <w:snapToGrid w:val="0"/>
                    <w:jc w:val="center"/>
                    <w:rPr>
                      <w:rFonts w:hint="eastAsia" w:ascii="Times New Roman" w:hAnsi="Times New Roman" w:eastAsia="宋体" w:cs="Times New Roman"/>
                      <w:color w:val="auto"/>
                      <w:sz w:val="21"/>
                      <w:lang w:val="en-US" w:eastAsia="zh-CN" w:bidi="ar-SA"/>
                    </w:rPr>
                  </w:pPr>
                  <w:r>
                    <w:rPr>
                      <w:rFonts w:hint="eastAsia"/>
                      <w:color w:val="auto"/>
                    </w:rPr>
                    <w:t>2</w:t>
                  </w:r>
                  <w:r>
                    <w:rPr>
                      <w:rFonts w:hint="eastAsia"/>
                      <w:color w:val="auto"/>
                      <w:lang w:val="en-US" w:eastAsia="zh-CN"/>
                    </w:rPr>
                    <w:t>8</w:t>
                  </w:r>
                </w:p>
              </w:tc>
              <w:tc>
                <w:tcPr>
                  <w:tcW w:w="863" w:type="pct"/>
                  <w:vMerge w:val="continue"/>
                  <w:vAlign w:val="center"/>
                </w:tcPr>
                <w:p>
                  <w:pPr>
                    <w:widowControl/>
                    <w:adjustRightInd w:val="0"/>
                    <w:snapToGrid w:val="0"/>
                    <w:jc w:val="center"/>
                    <w:rPr>
                      <w:color w:val="auto"/>
                    </w:rPr>
                  </w:pPr>
                </w:p>
              </w:tc>
              <w:tc>
                <w:tcPr>
                  <w:tcW w:w="650" w:type="pct"/>
                  <w:vMerge w:val="continue"/>
                  <w:vAlign w:val="center"/>
                </w:tcPr>
                <w:p>
                  <w:pPr>
                    <w:widowControl/>
                    <w:adjustRightInd w:val="0"/>
                    <w:snapToGrid w:val="0"/>
                    <w:jc w:val="center"/>
                    <w:rPr>
                      <w:color w:val="auto"/>
                    </w:rPr>
                  </w:pPr>
                </w:p>
              </w:tc>
              <w:tc>
                <w:tcPr>
                  <w:tcW w:w="984" w:type="pct"/>
                  <w:vAlign w:val="center"/>
                </w:tcPr>
                <w:p>
                  <w:pPr>
                    <w:adjustRightInd w:val="0"/>
                    <w:snapToGrid w:val="0"/>
                    <w:jc w:val="center"/>
                    <w:rPr>
                      <w:bCs/>
                      <w:color w:val="auto"/>
                    </w:rPr>
                  </w:pPr>
                  <w:r>
                    <w:rPr>
                      <w:rFonts w:hint="eastAsia"/>
                      <w:bCs/>
                      <w:color w:val="auto"/>
                    </w:rPr>
                    <w:t>模压机</w:t>
                  </w:r>
                </w:p>
              </w:tc>
              <w:tc>
                <w:tcPr>
                  <w:tcW w:w="401" w:type="pct"/>
                  <w:vAlign w:val="center"/>
                </w:tcPr>
                <w:p>
                  <w:pPr>
                    <w:adjustRightInd w:val="0"/>
                    <w:snapToGrid w:val="0"/>
                    <w:jc w:val="center"/>
                    <w:rPr>
                      <w:bCs/>
                      <w:color w:val="auto"/>
                    </w:rPr>
                  </w:pPr>
                  <w:r>
                    <w:rPr>
                      <w:rFonts w:hint="eastAsia"/>
                      <w:bCs/>
                      <w:color w:val="auto"/>
                    </w:rPr>
                    <w:t>20台</w:t>
                  </w:r>
                </w:p>
              </w:tc>
              <w:tc>
                <w:tcPr>
                  <w:tcW w:w="617" w:type="pct"/>
                  <w:vAlign w:val="center"/>
                </w:tcPr>
                <w:p>
                  <w:pPr>
                    <w:widowControl/>
                    <w:adjustRightInd w:val="0"/>
                    <w:snapToGrid w:val="0"/>
                    <w:jc w:val="center"/>
                    <w:rPr>
                      <w:color w:val="auto"/>
                    </w:rPr>
                  </w:pPr>
                  <w:r>
                    <w:rPr>
                      <w:rFonts w:hint="eastAsia"/>
                      <w:color w:val="auto"/>
                    </w:rPr>
                    <w:t>工作压力</w:t>
                  </w:r>
                </w:p>
              </w:tc>
              <w:tc>
                <w:tcPr>
                  <w:tcW w:w="494" w:type="pct"/>
                  <w:vAlign w:val="center"/>
                </w:tcPr>
                <w:p>
                  <w:pPr>
                    <w:widowControl/>
                    <w:adjustRightInd w:val="0"/>
                    <w:snapToGrid w:val="0"/>
                    <w:jc w:val="center"/>
                    <w:rPr>
                      <w:color w:val="auto"/>
                    </w:rPr>
                  </w:pPr>
                  <w:r>
                    <w:rPr>
                      <w:rFonts w:hint="eastAsia"/>
                      <w:color w:val="auto"/>
                    </w:rPr>
                    <w:t>200</w:t>
                  </w:r>
                </w:p>
              </w:tc>
              <w:tc>
                <w:tcPr>
                  <w:tcW w:w="617" w:type="pct"/>
                  <w:vAlign w:val="center"/>
                </w:tcPr>
                <w:p>
                  <w:pPr>
                    <w:widowControl/>
                    <w:adjustRightInd w:val="0"/>
                    <w:snapToGrid w:val="0"/>
                    <w:jc w:val="center"/>
                    <w:rPr>
                      <w:color w:val="auto"/>
                    </w:rPr>
                  </w:pPr>
                  <w:r>
                    <w:rPr>
                      <w:rFonts w:hint="eastAsia"/>
                      <w:color w:val="auto"/>
                    </w:rPr>
                    <w:t>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371" w:type="pct"/>
                  <w:vAlign w:val="center"/>
                </w:tcPr>
                <w:p>
                  <w:pPr>
                    <w:widowControl/>
                    <w:adjustRightInd w:val="0"/>
                    <w:snapToGrid w:val="0"/>
                    <w:jc w:val="center"/>
                    <w:rPr>
                      <w:rFonts w:hint="eastAsia" w:ascii="Times New Roman" w:hAnsi="Times New Roman" w:eastAsia="宋体" w:cs="Times New Roman"/>
                      <w:color w:val="auto"/>
                      <w:sz w:val="21"/>
                      <w:lang w:val="en-US" w:eastAsia="zh-CN" w:bidi="ar-SA"/>
                    </w:rPr>
                  </w:pPr>
                  <w:r>
                    <w:rPr>
                      <w:rFonts w:hint="eastAsia"/>
                      <w:color w:val="auto"/>
                    </w:rPr>
                    <w:t>29</w:t>
                  </w:r>
                </w:p>
              </w:tc>
              <w:tc>
                <w:tcPr>
                  <w:tcW w:w="863" w:type="pct"/>
                  <w:vMerge w:val="continue"/>
                  <w:vAlign w:val="center"/>
                </w:tcPr>
                <w:p>
                  <w:pPr>
                    <w:widowControl/>
                    <w:adjustRightInd w:val="0"/>
                    <w:snapToGrid w:val="0"/>
                    <w:jc w:val="center"/>
                    <w:rPr>
                      <w:color w:val="auto"/>
                    </w:rPr>
                  </w:pPr>
                </w:p>
              </w:tc>
              <w:tc>
                <w:tcPr>
                  <w:tcW w:w="650" w:type="pct"/>
                  <w:vAlign w:val="center"/>
                </w:tcPr>
                <w:p>
                  <w:pPr>
                    <w:widowControl/>
                    <w:adjustRightInd w:val="0"/>
                    <w:snapToGrid w:val="0"/>
                    <w:jc w:val="center"/>
                    <w:rPr>
                      <w:rFonts w:hint="default" w:eastAsia="宋体"/>
                      <w:color w:val="auto"/>
                      <w:lang w:val="en-US" w:eastAsia="zh-CN"/>
                    </w:rPr>
                  </w:pPr>
                  <w:r>
                    <w:rPr>
                      <w:rFonts w:hint="eastAsia"/>
                      <w:color w:val="auto"/>
                      <w:lang w:val="en-US" w:eastAsia="zh-CN"/>
                    </w:rPr>
                    <w:t>修边</w:t>
                  </w:r>
                </w:p>
              </w:tc>
              <w:tc>
                <w:tcPr>
                  <w:tcW w:w="984" w:type="pct"/>
                  <w:vAlign w:val="center"/>
                </w:tcPr>
                <w:p>
                  <w:pPr>
                    <w:adjustRightInd w:val="0"/>
                    <w:snapToGrid w:val="0"/>
                    <w:jc w:val="center"/>
                    <w:rPr>
                      <w:rFonts w:hint="eastAsia"/>
                      <w:bCs/>
                      <w:color w:val="auto"/>
                    </w:rPr>
                  </w:pPr>
                  <w:r>
                    <w:rPr>
                      <w:rFonts w:hint="eastAsia"/>
                      <w:bCs/>
                      <w:color w:val="auto"/>
                      <w:lang w:val="en-US" w:eastAsia="zh-CN"/>
                    </w:rPr>
                    <w:t>修边机</w:t>
                  </w:r>
                </w:p>
              </w:tc>
              <w:tc>
                <w:tcPr>
                  <w:tcW w:w="401" w:type="pct"/>
                  <w:vAlign w:val="center"/>
                </w:tcPr>
                <w:p>
                  <w:pPr>
                    <w:adjustRightInd w:val="0"/>
                    <w:snapToGrid w:val="0"/>
                    <w:jc w:val="center"/>
                    <w:rPr>
                      <w:rFonts w:hint="default" w:eastAsia="宋体"/>
                      <w:bCs/>
                      <w:color w:val="auto"/>
                      <w:lang w:val="en-US" w:eastAsia="zh-CN"/>
                    </w:rPr>
                  </w:pPr>
                  <w:r>
                    <w:rPr>
                      <w:rFonts w:hint="eastAsia"/>
                      <w:bCs/>
                      <w:color w:val="auto"/>
                      <w:lang w:val="en-US" w:eastAsia="zh-CN"/>
                    </w:rPr>
                    <w:t>1台</w:t>
                  </w:r>
                </w:p>
              </w:tc>
              <w:tc>
                <w:tcPr>
                  <w:tcW w:w="617" w:type="pct"/>
                  <w:vAlign w:val="center"/>
                </w:tcPr>
                <w:p>
                  <w:pPr>
                    <w:adjustRightInd w:val="0"/>
                    <w:snapToGrid w:val="0"/>
                    <w:jc w:val="center"/>
                    <w:rPr>
                      <w:rFonts w:hint="eastAsia" w:ascii="Times New Roman" w:hAnsi="Times New Roman" w:eastAsia="宋体" w:cs="Times New Roman"/>
                      <w:color w:val="auto"/>
                      <w:sz w:val="21"/>
                      <w:lang w:val="en-US" w:eastAsia="zh-CN" w:bidi="ar-SA"/>
                    </w:rPr>
                  </w:pPr>
                  <w:r>
                    <w:rPr>
                      <w:rFonts w:hint="eastAsia"/>
                      <w:color w:val="auto"/>
                    </w:rPr>
                    <w:t>功率</w:t>
                  </w:r>
                </w:p>
              </w:tc>
              <w:tc>
                <w:tcPr>
                  <w:tcW w:w="494" w:type="pct"/>
                  <w:vAlign w:val="center"/>
                </w:tcPr>
                <w:p>
                  <w:pPr>
                    <w:widowControl/>
                    <w:adjustRightInd w:val="0"/>
                    <w:snapToGrid w:val="0"/>
                    <w:jc w:val="center"/>
                    <w:rPr>
                      <w:rFonts w:hint="default" w:ascii="Times New Roman" w:hAnsi="Times New Roman" w:eastAsia="宋体" w:cs="Times New Roman"/>
                      <w:color w:val="auto"/>
                      <w:sz w:val="21"/>
                      <w:lang w:val="en-US" w:eastAsia="zh-CN" w:bidi="ar-SA"/>
                    </w:rPr>
                  </w:pPr>
                  <w:r>
                    <w:rPr>
                      <w:rFonts w:hint="eastAsia" w:cs="Times New Roman"/>
                      <w:color w:val="auto"/>
                      <w:sz w:val="21"/>
                      <w:lang w:val="en-US" w:eastAsia="zh-CN" w:bidi="ar-SA"/>
                    </w:rPr>
                    <w:t>5</w:t>
                  </w:r>
                </w:p>
              </w:tc>
              <w:tc>
                <w:tcPr>
                  <w:tcW w:w="617" w:type="pct"/>
                  <w:vAlign w:val="center"/>
                </w:tcPr>
                <w:p>
                  <w:pPr>
                    <w:adjustRightInd w:val="0"/>
                    <w:snapToGrid w:val="0"/>
                    <w:jc w:val="center"/>
                    <w:rPr>
                      <w:rFonts w:hint="eastAsia" w:ascii="Times New Roman" w:hAnsi="Times New Roman" w:eastAsia="宋体" w:cs="Times New Roman"/>
                      <w:color w:val="auto"/>
                      <w:sz w:val="21"/>
                      <w:lang w:val="en-US" w:eastAsia="zh-CN" w:bidi="ar-SA"/>
                    </w:rPr>
                  </w:pPr>
                  <w:r>
                    <w:rPr>
                      <w:rFonts w:hint="eastAsia"/>
                      <w:color w:val="auto"/>
                    </w:rPr>
                    <w:t>kw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371" w:type="pct"/>
                  <w:vAlign w:val="center"/>
                </w:tcPr>
                <w:p>
                  <w:pPr>
                    <w:widowControl/>
                    <w:adjustRightInd w:val="0"/>
                    <w:snapToGrid w:val="0"/>
                    <w:jc w:val="center"/>
                    <w:rPr>
                      <w:rFonts w:hint="eastAsia" w:ascii="Times New Roman" w:hAnsi="Times New Roman" w:eastAsia="宋体" w:cs="Times New Roman"/>
                      <w:color w:val="auto"/>
                      <w:sz w:val="21"/>
                      <w:lang w:val="en-US" w:eastAsia="zh-CN" w:bidi="ar-SA"/>
                    </w:rPr>
                  </w:pPr>
                  <w:r>
                    <w:rPr>
                      <w:rFonts w:hint="eastAsia"/>
                      <w:color w:val="auto"/>
                    </w:rPr>
                    <w:t>30</w:t>
                  </w:r>
                </w:p>
              </w:tc>
              <w:tc>
                <w:tcPr>
                  <w:tcW w:w="863" w:type="pct"/>
                  <w:vMerge w:val="restart"/>
                  <w:vAlign w:val="center"/>
                </w:tcPr>
                <w:p>
                  <w:pPr>
                    <w:widowControl/>
                    <w:adjustRightInd w:val="0"/>
                    <w:snapToGrid w:val="0"/>
                    <w:jc w:val="center"/>
                    <w:rPr>
                      <w:color w:val="auto"/>
                    </w:rPr>
                  </w:pPr>
                  <w:r>
                    <w:rPr>
                      <w:color w:val="auto"/>
                    </w:rPr>
                    <w:t>公用单元</w:t>
                  </w:r>
                </w:p>
              </w:tc>
              <w:tc>
                <w:tcPr>
                  <w:tcW w:w="650" w:type="pct"/>
                  <w:vMerge w:val="restart"/>
                  <w:vAlign w:val="center"/>
                </w:tcPr>
                <w:p>
                  <w:pPr>
                    <w:widowControl/>
                    <w:adjustRightInd w:val="0"/>
                    <w:snapToGrid w:val="0"/>
                    <w:jc w:val="center"/>
                    <w:rPr>
                      <w:color w:val="auto"/>
                    </w:rPr>
                  </w:pPr>
                  <w:r>
                    <w:rPr>
                      <w:color w:val="auto"/>
                    </w:rPr>
                    <w:t>储压</w:t>
                  </w:r>
                </w:p>
              </w:tc>
              <w:tc>
                <w:tcPr>
                  <w:tcW w:w="984" w:type="pct"/>
                  <w:vAlign w:val="center"/>
                </w:tcPr>
                <w:p>
                  <w:pPr>
                    <w:widowControl/>
                    <w:adjustRightInd w:val="0"/>
                    <w:snapToGrid w:val="0"/>
                    <w:jc w:val="center"/>
                    <w:rPr>
                      <w:color w:val="auto"/>
                    </w:rPr>
                  </w:pPr>
                  <w:r>
                    <w:rPr>
                      <w:bCs/>
                      <w:color w:val="auto"/>
                    </w:rPr>
                    <w:t>空压机</w:t>
                  </w:r>
                </w:p>
              </w:tc>
              <w:tc>
                <w:tcPr>
                  <w:tcW w:w="401" w:type="pct"/>
                  <w:vAlign w:val="center"/>
                </w:tcPr>
                <w:p>
                  <w:pPr>
                    <w:widowControl/>
                    <w:adjustRightInd w:val="0"/>
                    <w:snapToGrid w:val="0"/>
                    <w:jc w:val="center"/>
                    <w:rPr>
                      <w:color w:val="auto"/>
                    </w:rPr>
                  </w:pPr>
                  <w:r>
                    <w:rPr>
                      <w:rFonts w:hint="eastAsia"/>
                      <w:color w:val="auto"/>
                    </w:rPr>
                    <w:t>2</w:t>
                  </w:r>
                  <w:r>
                    <w:rPr>
                      <w:color w:val="auto"/>
                    </w:rPr>
                    <w:t>台</w:t>
                  </w:r>
                </w:p>
              </w:tc>
              <w:tc>
                <w:tcPr>
                  <w:tcW w:w="617" w:type="pct"/>
                  <w:vAlign w:val="center"/>
                </w:tcPr>
                <w:p>
                  <w:pPr>
                    <w:widowControl/>
                    <w:adjustRightInd w:val="0"/>
                    <w:snapToGrid w:val="0"/>
                    <w:jc w:val="center"/>
                    <w:rPr>
                      <w:color w:val="auto"/>
                    </w:rPr>
                  </w:pPr>
                  <w:r>
                    <w:rPr>
                      <w:color w:val="auto"/>
                    </w:rPr>
                    <w:t>功率</w:t>
                  </w:r>
                </w:p>
              </w:tc>
              <w:tc>
                <w:tcPr>
                  <w:tcW w:w="494" w:type="pct"/>
                  <w:vAlign w:val="center"/>
                </w:tcPr>
                <w:p>
                  <w:pPr>
                    <w:widowControl/>
                    <w:adjustRightInd w:val="0"/>
                    <w:snapToGrid w:val="0"/>
                    <w:jc w:val="center"/>
                    <w:rPr>
                      <w:color w:val="auto"/>
                    </w:rPr>
                  </w:pPr>
                  <w:r>
                    <w:rPr>
                      <w:rFonts w:hint="eastAsia"/>
                      <w:color w:val="auto"/>
                    </w:rPr>
                    <w:t>55</w:t>
                  </w:r>
                </w:p>
              </w:tc>
              <w:tc>
                <w:tcPr>
                  <w:tcW w:w="617" w:type="pct"/>
                  <w:vAlign w:val="center"/>
                </w:tcPr>
                <w:p>
                  <w:pPr>
                    <w:widowControl/>
                    <w:adjustRightInd w:val="0"/>
                    <w:snapToGrid w:val="0"/>
                    <w:jc w:val="center"/>
                    <w:rPr>
                      <w:color w:val="auto"/>
                    </w:rPr>
                  </w:pPr>
                  <w:r>
                    <w:rPr>
                      <w:color w:val="auto"/>
                    </w:rPr>
                    <w:t>kw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371" w:type="pct"/>
                  <w:vAlign w:val="center"/>
                </w:tcPr>
                <w:p>
                  <w:pPr>
                    <w:widowControl/>
                    <w:adjustRightInd w:val="0"/>
                    <w:snapToGrid w:val="0"/>
                    <w:jc w:val="center"/>
                    <w:rPr>
                      <w:rFonts w:hint="eastAsia" w:eastAsia="宋体"/>
                      <w:color w:val="auto"/>
                      <w:lang w:val="en-US" w:eastAsia="zh-CN"/>
                    </w:rPr>
                  </w:pPr>
                  <w:r>
                    <w:rPr>
                      <w:rFonts w:hint="eastAsia"/>
                      <w:color w:val="auto"/>
                    </w:rPr>
                    <w:t>3</w:t>
                  </w:r>
                  <w:r>
                    <w:rPr>
                      <w:rFonts w:hint="eastAsia"/>
                      <w:color w:val="auto"/>
                      <w:lang w:val="en-US" w:eastAsia="zh-CN"/>
                    </w:rPr>
                    <w:t>1</w:t>
                  </w:r>
                </w:p>
              </w:tc>
              <w:tc>
                <w:tcPr>
                  <w:tcW w:w="863" w:type="pct"/>
                  <w:vMerge w:val="continue"/>
                  <w:vAlign w:val="center"/>
                </w:tcPr>
                <w:p>
                  <w:pPr>
                    <w:widowControl/>
                    <w:adjustRightInd w:val="0"/>
                    <w:snapToGrid w:val="0"/>
                    <w:jc w:val="center"/>
                    <w:rPr>
                      <w:color w:val="auto"/>
                    </w:rPr>
                  </w:pPr>
                </w:p>
              </w:tc>
              <w:tc>
                <w:tcPr>
                  <w:tcW w:w="650" w:type="pct"/>
                  <w:vMerge w:val="continue"/>
                  <w:vAlign w:val="center"/>
                </w:tcPr>
                <w:p>
                  <w:pPr>
                    <w:widowControl/>
                    <w:adjustRightInd w:val="0"/>
                    <w:snapToGrid w:val="0"/>
                    <w:jc w:val="center"/>
                    <w:rPr>
                      <w:color w:val="auto"/>
                    </w:rPr>
                  </w:pPr>
                </w:p>
              </w:tc>
              <w:tc>
                <w:tcPr>
                  <w:tcW w:w="984" w:type="pct"/>
                  <w:vAlign w:val="center"/>
                </w:tcPr>
                <w:p>
                  <w:pPr>
                    <w:widowControl/>
                    <w:adjustRightInd w:val="0"/>
                    <w:snapToGrid w:val="0"/>
                    <w:jc w:val="center"/>
                    <w:rPr>
                      <w:bCs/>
                      <w:color w:val="auto"/>
                    </w:rPr>
                  </w:pPr>
                  <w:r>
                    <w:rPr>
                      <w:bCs/>
                      <w:color w:val="auto"/>
                    </w:rPr>
                    <w:t>空压机</w:t>
                  </w:r>
                </w:p>
              </w:tc>
              <w:tc>
                <w:tcPr>
                  <w:tcW w:w="401" w:type="pct"/>
                  <w:vAlign w:val="center"/>
                </w:tcPr>
                <w:p>
                  <w:pPr>
                    <w:widowControl/>
                    <w:adjustRightInd w:val="0"/>
                    <w:snapToGrid w:val="0"/>
                    <w:jc w:val="center"/>
                    <w:rPr>
                      <w:color w:val="auto"/>
                    </w:rPr>
                  </w:pPr>
                  <w:r>
                    <w:rPr>
                      <w:rFonts w:hint="eastAsia"/>
                      <w:color w:val="auto"/>
                    </w:rPr>
                    <w:t>2</w:t>
                  </w:r>
                  <w:r>
                    <w:rPr>
                      <w:color w:val="auto"/>
                    </w:rPr>
                    <w:t>台</w:t>
                  </w:r>
                </w:p>
              </w:tc>
              <w:tc>
                <w:tcPr>
                  <w:tcW w:w="617" w:type="pct"/>
                  <w:vAlign w:val="center"/>
                </w:tcPr>
                <w:p>
                  <w:pPr>
                    <w:widowControl/>
                    <w:adjustRightInd w:val="0"/>
                    <w:snapToGrid w:val="0"/>
                    <w:jc w:val="center"/>
                    <w:rPr>
                      <w:color w:val="auto"/>
                    </w:rPr>
                  </w:pPr>
                  <w:r>
                    <w:rPr>
                      <w:color w:val="auto"/>
                    </w:rPr>
                    <w:t>功率</w:t>
                  </w:r>
                </w:p>
              </w:tc>
              <w:tc>
                <w:tcPr>
                  <w:tcW w:w="494" w:type="pct"/>
                  <w:vAlign w:val="center"/>
                </w:tcPr>
                <w:p>
                  <w:pPr>
                    <w:widowControl/>
                    <w:adjustRightInd w:val="0"/>
                    <w:snapToGrid w:val="0"/>
                    <w:jc w:val="center"/>
                    <w:rPr>
                      <w:color w:val="auto"/>
                    </w:rPr>
                  </w:pPr>
                  <w:r>
                    <w:rPr>
                      <w:rFonts w:hint="eastAsia"/>
                      <w:color w:val="auto"/>
                    </w:rPr>
                    <w:t>20</w:t>
                  </w:r>
                </w:p>
              </w:tc>
              <w:tc>
                <w:tcPr>
                  <w:tcW w:w="617" w:type="pct"/>
                  <w:vAlign w:val="center"/>
                </w:tcPr>
                <w:p>
                  <w:pPr>
                    <w:widowControl/>
                    <w:adjustRightInd w:val="0"/>
                    <w:snapToGrid w:val="0"/>
                    <w:jc w:val="center"/>
                    <w:rPr>
                      <w:color w:val="auto"/>
                    </w:rPr>
                  </w:pPr>
                  <w:r>
                    <w:rPr>
                      <w:color w:val="auto"/>
                    </w:rPr>
                    <w:t>kw</w:t>
                  </w:r>
                </w:p>
              </w:tc>
            </w:tr>
          </w:tbl>
          <w:p>
            <w:pPr>
              <w:widowControl/>
              <w:adjustRightInd w:val="0"/>
              <w:snapToGrid w:val="0"/>
              <w:spacing w:before="120" w:beforeLines="50" w:line="360" w:lineRule="auto"/>
              <w:ind w:firstLine="422" w:firstLineChars="200"/>
              <w:rPr>
                <w:color w:val="auto"/>
              </w:rPr>
            </w:pPr>
            <w:r>
              <w:rPr>
                <w:b/>
                <w:bCs/>
                <w:color w:val="auto"/>
              </w:rPr>
              <w:t>6、给排水和供电</w:t>
            </w:r>
          </w:p>
          <w:p>
            <w:pPr>
              <w:widowControl/>
              <w:adjustRightInd w:val="0"/>
              <w:snapToGrid w:val="0"/>
              <w:spacing w:line="360" w:lineRule="auto"/>
              <w:ind w:firstLine="422" w:firstLineChars="200"/>
              <w:rPr>
                <w:b/>
                <w:color w:val="auto"/>
              </w:rPr>
            </w:pPr>
            <w:r>
              <w:rPr>
                <w:b/>
                <w:color w:val="auto"/>
              </w:rPr>
              <w:t>（1）给排水</w:t>
            </w:r>
          </w:p>
          <w:p>
            <w:pPr>
              <w:widowControl/>
              <w:adjustRightInd w:val="0"/>
              <w:snapToGrid w:val="0"/>
              <w:spacing w:line="360" w:lineRule="auto"/>
              <w:ind w:firstLine="420" w:firstLineChars="200"/>
              <w:rPr>
                <w:color w:val="auto"/>
              </w:rPr>
            </w:pPr>
            <w:r>
              <w:rPr>
                <w:color w:val="auto"/>
              </w:rPr>
              <w:t>项目用水由附近市政供水管网接入，运营期用水主要有冷却用</w:t>
            </w:r>
            <w:r>
              <w:rPr>
                <w:rFonts w:hint="eastAsia"/>
                <w:color w:val="auto"/>
              </w:rPr>
              <w:t>水、</w:t>
            </w:r>
            <w:r>
              <w:rPr>
                <w:color w:val="auto"/>
              </w:rPr>
              <w:t>员工生活用水。</w:t>
            </w:r>
          </w:p>
          <w:p>
            <w:pPr>
              <w:widowControl/>
              <w:adjustRightInd w:val="0"/>
              <w:snapToGrid w:val="0"/>
              <w:spacing w:line="360" w:lineRule="auto"/>
              <w:ind w:firstLine="422" w:firstLineChars="200"/>
              <w:rPr>
                <w:b/>
                <w:bCs/>
                <w:color w:val="auto"/>
                <w:szCs w:val="21"/>
              </w:rPr>
            </w:pPr>
            <w:r>
              <w:rPr>
                <w:b/>
                <w:bCs/>
                <w:color w:val="auto"/>
              </w:rPr>
              <w:t>①冷却</w:t>
            </w:r>
            <w:r>
              <w:rPr>
                <w:b/>
                <w:bCs/>
                <w:color w:val="auto"/>
                <w:szCs w:val="21"/>
              </w:rPr>
              <w:t>用水</w:t>
            </w:r>
          </w:p>
          <w:p>
            <w:pPr>
              <w:pStyle w:val="12"/>
              <w:spacing w:line="360" w:lineRule="auto"/>
              <w:ind w:left="0" w:leftChars="0" w:firstLine="420" w:firstLineChars="200"/>
              <w:rPr>
                <w:color w:val="auto"/>
              </w:rPr>
            </w:pPr>
            <w:r>
              <w:rPr>
                <w:rFonts w:hint="eastAsia" w:ascii="Times New Roman" w:hAnsi="Times New Roman"/>
                <w:color w:val="auto"/>
                <w:lang w:eastAsia="zh-CN"/>
              </w:rPr>
              <w:t>橡胶混炼完成后</w:t>
            </w:r>
            <w:r>
              <w:rPr>
                <w:rFonts w:ascii="Times New Roman" w:hAnsi="Times New Roman"/>
                <w:color w:val="auto"/>
                <w:lang w:eastAsia="zh-CN"/>
              </w:rPr>
              <w:t>需要</w:t>
            </w:r>
            <w:r>
              <w:rPr>
                <w:rFonts w:hint="eastAsia" w:ascii="Times New Roman" w:hAnsi="Times New Roman"/>
                <w:color w:val="auto"/>
                <w:lang w:eastAsia="zh-CN"/>
              </w:rPr>
              <w:t>对混炼胶进行</w:t>
            </w:r>
            <w:r>
              <w:rPr>
                <w:rFonts w:ascii="Times New Roman" w:hAnsi="Times New Roman"/>
                <w:color w:val="auto"/>
                <w:lang w:eastAsia="zh-CN"/>
              </w:rPr>
              <w:t>冷却，</w:t>
            </w:r>
            <w:r>
              <w:rPr>
                <w:rFonts w:hint="eastAsia" w:ascii="Times New Roman" w:hAnsi="Times New Roman"/>
                <w:color w:val="auto"/>
                <w:lang w:eastAsia="zh-CN"/>
              </w:rPr>
              <w:t>项目</w:t>
            </w:r>
            <w:r>
              <w:rPr>
                <w:rFonts w:ascii="Times New Roman" w:hAnsi="Times New Roman"/>
                <w:color w:val="auto"/>
                <w:lang w:eastAsia="zh-CN"/>
              </w:rPr>
              <w:t>配</w:t>
            </w:r>
            <w:r>
              <w:rPr>
                <w:rFonts w:hint="eastAsia" w:ascii="Times New Roman" w:hAnsi="Times New Roman"/>
                <w:color w:val="auto"/>
                <w:lang w:eastAsia="zh-CN"/>
              </w:rPr>
              <w:t>制8台冷却机</w:t>
            </w:r>
            <w:r>
              <w:rPr>
                <w:rFonts w:ascii="Times New Roman" w:hAnsi="Times New Roman"/>
                <w:color w:val="auto"/>
                <w:lang w:eastAsia="zh-CN"/>
              </w:rPr>
              <w:t>，</w:t>
            </w:r>
            <w:r>
              <w:rPr>
                <w:rFonts w:hint="eastAsia" w:ascii="Times New Roman" w:hAnsi="Times New Roman"/>
                <w:color w:val="auto"/>
                <w:lang w:eastAsia="zh-CN"/>
              </w:rPr>
              <w:t>使用风机和冷却水进行间接冷却，</w:t>
            </w:r>
            <w:r>
              <w:rPr>
                <w:rFonts w:ascii="Times New Roman" w:hAnsi="Times New Roman"/>
                <w:color w:val="auto"/>
                <w:lang w:eastAsia="zh-CN"/>
              </w:rPr>
              <w:t>冷却水为普通自来水，循环使用不外排，在循环使用过程中存在少量的损耗，需要补给新鲜水。根据建设单位提供的资料，项目冷却</w:t>
            </w:r>
            <w:r>
              <w:rPr>
                <w:rFonts w:hint="eastAsia" w:ascii="Times New Roman" w:hAnsi="Times New Roman"/>
                <w:color w:val="auto"/>
                <w:lang w:eastAsia="zh-CN"/>
              </w:rPr>
              <w:t>机</w:t>
            </w:r>
            <w:r>
              <w:rPr>
                <w:rFonts w:ascii="Times New Roman" w:hAnsi="Times New Roman"/>
                <w:color w:val="auto"/>
                <w:lang w:eastAsia="zh-CN"/>
              </w:rPr>
              <w:t>配套水泵的循环流量为</w:t>
            </w:r>
            <w:r>
              <w:rPr>
                <w:rFonts w:hint="eastAsia" w:ascii="Times New Roman" w:hAnsi="Times New Roman"/>
                <w:color w:val="auto"/>
                <w:lang w:eastAsia="zh-CN"/>
              </w:rPr>
              <w:t>3</w:t>
            </w:r>
            <w:r>
              <w:rPr>
                <w:rFonts w:ascii="Times New Roman" w:hAnsi="Times New Roman"/>
                <w:color w:val="auto"/>
                <w:lang w:eastAsia="zh-CN"/>
              </w:rPr>
              <w:t>m</w:t>
            </w:r>
            <w:r>
              <w:rPr>
                <w:rFonts w:ascii="Times New Roman" w:hAnsi="Times New Roman"/>
                <w:color w:val="auto"/>
                <w:vertAlign w:val="superscript"/>
                <w:lang w:eastAsia="zh-CN"/>
              </w:rPr>
              <w:t>3</w:t>
            </w:r>
            <w:r>
              <w:rPr>
                <w:rFonts w:ascii="Times New Roman" w:hAnsi="Times New Roman"/>
                <w:color w:val="auto"/>
                <w:lang w:eastAsia="zh-CN"/>
              </w:rPr>
              <w:t>/h，即年循环水量合计为</w:t>
            </w:r>
            <w:r>
              <w:rPr>
                <w:rFonts w:hint="eastAsia" w:ascii="Times New Roman" w:hAnsi="Times New Roman"/>
                <w:color w:val="auto"/>
                <w:lang w:eastAsia="zh-CN"/>
              </w:rPr>
              <w:t>7200</w:t>
            </w:r>
            <w:r>
              <w:rPr>
                <w:rFonts w:ascii="Times New Roman" w:hAnsi="Times New Roman"/>
                <w:color w:val="auto"/>
                <w:lang w:eastAsia="zh-CN"/>
              </w:rPr>
              <w:t>m</w:t>
            </w:r>
            <w:r>
              <w:rPr>
                <w:rFonts w:ascii="Times New Roman" w:hAnsi="Times New Roman"/>
                <w:color w:val="auto"/>
                <w:vertAlign w:val="superscript"/>
                <w:lang w:eastAsia="zh-CN"/>
              </w:rPr>
              <w:t>3</w:t>
            </w:r>
            <w:r>
              <w:rPr>
                <w:rFonts w:ascii="Times New Roman" w:hAnsi="Times New Roman"/>
                <w:color w:val="auto"/>
                <w:lang w:eastAsia="zh-CN"/>
              </w:rPr>
              <w:t>/a（</w:t>
            </w:r>
            <w:r>
              <w:rPr>
                <w:rFonts w:hint="eastAsia" w:ascii="Times New Roman" w:hAnsi="Times New Roman"/>
                <w:color w:val="auto"/>
                <w:lang w:eastAsia="zh-CN"/>
              </w:rPr>
              <w:t>24</w:t>
            </w:r>
            <w:r>
              <w:rPr>
                <w:rFonts w:ascii="Times New Roman" w:hAnsi="Times New Roman"/>
                <w:color w:val="auto"/>
                <w:lang w:eastAsia="zh-CN"/>
              </w:rPr>
              <w:t>m</w:t>
            </w:r>
            <w:r>
              <w:rPr>
                <w:rFonts w:ascii="Times New Roman" w:hAnsi="Times New Roman"/>
                <w:color w:val="auto"/>
                <w:vertAlign w:val="superscript"/>
                <w:lang w:eastAsia="zh-CN"/>
              </w:rPr>
              <w:t>3</w:t>
            </w:r>
            <w:r>
              <w:rPr>
                <w:rFonts w:ascii="Times New Roman" w:hAnsi="Times New Roman"/>
                <w:color w:val="auto"/>
                <w:lang w:eastAsia="zh-CN"/>
              </w:rPr>
              <w:t>/d），参考《建筑给水排水设计标准》（GB50015-2019）3.11.14，冷却补充水量应按循环水量的1~2%计算，本项目取2%，</w:t>
            </w:r>
            <w:r>
              <w:rPr>
                <w:rFonts w:hint="eastAsia" w:ascii="Times New Roman" w:hAnsi="Times New Roman"/>
                <w:color w:val="auto"/>
                <w:lang w:eastAsia="zh-CN"/>
              </w:rPr>
              <w:t>冷却</w:t>
            </w:r>
            <w:r>
              <w:rPr>
                <w:rFonts w:ascii="Times New Roman" w:hAnsi="Times New Roman"/>
                <w:color w:val="auto"/>
                <w:lang w:eastAsia="zh-CN"/>
              </w:rPr>
              <w:t>机设备年运行300天，每天运行</w:t>
            </w:r>
            <w:r>
              <w:rPr>
                <w:rFonts w:hint="eastAsia" w:ascii="Times New Roman" w:hAnsi="Times New Roman"/>
                <w:color w:val="auto"/>
                <w:lang w:eastAsia="zh-CN"/>
              </w:rPr>
              <w:t>8</w:t>
            </w:r>
            <w:r>
              <w:rPr>
                <w:rFonts w:ascii="Times New Roman" w:hAnsi="Times New Roman"/>
                <w:color w:val="auto"/>
                <w:lang w:eastAsia="zh-CN"/>
              </w:rPr>
              <w:t>小时，则补充损耗水量为0.</w:t>
            </w:r>
            <w:r>
              <w:rPr>
                <w:rFonts w:hint="eastAsia" w:ascii="Times New Roman" w:hAnsi="Times New Roman"/>
                <w:color w:val="auto"/>
                <w:lang w:eastAsia="zh-CN"/>
              </w:rPr>
              <w:t>48</w:t>
            </w:r>
            <w:r>
              <w:rPr>
                <w:rFonts w:ascii="Times New Roman" w:hAnsi="Times New Roman"/>
                <w:color w:val="auto"/>
                <w:lang w:eastAsia="zh-CN"/>
              </w:rPr>
              <w:t>m</w:t>
            </w:r>
            <w:r>
              <w:rPr>
                <w:rFonts w:ascii="Times New Roman" w:hAnsi="Times New Roman"/>
                <w:color w:val="auto"/>
                <w:vertAlign w:val="superscript"/>
                <w:lang w:eastAsia="zh-CN"/>
              </w:rPr>
              <w:t>3</w:t>
            </w:r>
            <w:r>
              <w:rPr>
                <w:rFonts w:ascii="Times New Roman" w:hAnsi="Times New Roman"/>
                <w:color w:val="auto"/>
                <w:lang w:eastAsia="zh-CN"/>
              </w:rPr>
              <w:t>/d（</w:t>
            </w:r>
            <w:r>
              <w:rPr>
                <w:rFonts w:hint="eastAsia" w:ascii="Times New Roman" w:hAnsi="Times New Roman"/>
                <w:color w:val="auto"/>
                <w:lang w:eastAsia="zh-CN"/>
              </w:rPr>
              <w:t>144</w:t>
            </w:r>
            <w:r>
              <w:rPr>
                <w:rFonts w:ascii="Times New Roman" w:hAnsi="Times New Roman"/>
                <w:color w:val="auto"/>
                <w:lang w:eastAsia="zh-CN"/>
              </w:rPr>
              <w:t>m</w:t>
            </w:r>
            <w:r>
              <w:rPr>
                <w:rFonts w:ascii="Times New Roman" w:hAnsi="Times New Roman"/>
                <w:color w:val="auto"/>
                <w:vertAlign w:val="superscript"/>
                <w:lang w:eastAsia="zh-CN"/>
              </w:rPr>
              <w:t>3</w:t>
            </w:r>
            <w:r>
              <w:rPr>
                <w:rFonts w:ascii="Times New Roman" w:hAnsi="Times New Roman"/>
                <w:color w:val="auto"/>
                <w:lang w:eastAsia="zh-CN"/>
              </w:rPr>
              <w:t>/a）。</w:t>
            </w:r>
          </w:p>
          <w:p>
            <w:pPr>
              <w:pStyle w:val="12"/>
              <w:spacing w:line="360" w:lineRule="auto"/>
              <w:ind w:left="0" w:leftChars="0" w:firstLine="422" w:firstLineChars="200"/>
              <w:rPr>
                <w:b/>
                <w:bCs/>
                <w:color w:val="auto"/>
                <w:szCs w:val="21"/>
              </w:rPr>
            </w:pPr>
            <w:r>
              <w:rPr>
                <w:rFonts w:ascii="Times New Roman" w:hAnsi="Times New Roman" w:eastAsia="宋体" w:cs="Times New Roman"/>
                <w:b/>
                <w:bCs/>
                <w:color w:val="auto"/>
                <w:sz w:val="21"/>
                <w:lang w:val="en-US" w:eastAsia="zh-CN" w:bidi="ar-SA"/>
              </w:rPr>
              <w:t>②员工生</w:t>
            </w:r>
            <w:r>
              <w:rPr>
                <w:b/>
                <w:bCs/>
                <w:color w:val="auto"/>
                <w:szCs w:val="21"/>
              </w:rPr>
              <w:t>活用水</w:t>
            </w:r>
          </w:p>
          <w:p>
            <w:pPr>
              <w:pStyle w:val="12"/>
              <w:spacing w:line="360" w:lineRule="auto"/>
              <w:ind w:left="0" w:leftChars="0" w:firstLine="420" w:firstLineChars="200"/>
              <w:rPr>
                <w:rFonts w:ascii="Times New Roman" w:hAnsi="Times New Roman"/>
                <w:color w:val="auto"/>
                <w:lang w:eastAsia="zh-CN"/>
              </w:rPr>
            </w:pPr>
            <w:r>
              <w:rPr>
                <w:rFonts w:ascii="Times New Roman" w:hAnsi="Times New Roman"/>
                <w:color w:val="auto"/>
                <w:lang w:eastAsia="zh-CN"/>
              </w:rPr>
              <w:t>项目员工</w:t>
            </w:r>
            <w:r>
              <w:rPr>
                <w:rFonts w:hint="eastAsia" w:ascii="Times New Roman" w:hAnsi="Times New Roman"/>
                <w:color w:val="auto"/>
                <w:lang w:eastAsia="zh-CN"/>
              </w:rPr>
              <w:t>180</w:t>
            </w:r>
            <w:r>
              <w:rPr>
                <w:rFonts w:ascii="Times New Roman" w:hAnsi="Times New Roman"/>
                <w:color w:val="auto"/>
                <w:lang w:eastAsia="zh-CN"/>
              </w:rPr>
              <w:t>人，</w:t>
            </w:r>
            <w:r>
              <w:rPr>
                <w:rFonts w:hint="eastAsia" w:ascii="Times New Roman" w:hAnsi="Times New Roman"/>
                <w:color w:val="auto"/>
                <w:lang w:eastAsia="zh-CN"/>
              </w:rPr>
              <w:t>均在厂区食宿，</w:t>
            </w:r>
            <w:r>
              <w:rPr>
                <w:rFonts w:ascii="Times New Roman" w:hAnsi="Times New Roman"/>
                <w:color w:val="auto"/>
                <w:lang w:eastAsia="zh-CN"/>
              </w:rPr>
              <w:t>参照《用水定额 第3部分：生活》（DB44/T1461.3-2021，2021年6月6日起实施），国家机构（9</w:t>
            </w:r>
            <w:r>
              <w:rPr>
                <w:rFonts w:hint="eastAsia" w:ascii="Times New Roman" w:hAnsi="Times New Roman"/>
                <w:color w:val="auto"/>
                <w:lang w:eastAsia="zh-CN"/>
              </w:rPr>
              <w:t>2）</w:t>
            </w:r>
            <w:r>
              <w:rPr>
                <w:rFonts w:ascii="Times New Roman" w:hAnsi="Times New Roman"/>
                <w:color w:val="auto"/>
                <w:lang w:eastAsia="zh-CN"/>
              </w:rPr>
              <w:t>-国家行政机构（922）-办公楼-</w:t>
            </w:r>
            <w:r>
              <w:rPr>
                <w:rFonts w:hint="eastAsia" w:ascii="Times New Roman" w:hAnsi="Times New Roman"/>
                <w:color w:val="auto"/>
                <w:lang w:eastAsia="zh-CN"/>
              </w:rPr>
              <w:t>有</w:t>
            </w:r>
            <w:r>
              <w:rPr>
                <w:rFonts w:ascii="Times New Roman" w:hAnsi="Times New Roman"/>
                <w:color w:val="auto"/>
                <w:lang w:eastAsia="zh-CN"/>
              </w:rPr>
              <w:t>食堂和浴室</w:t>
            </w:r>
            <w:r>
              <w:rPr>
                <w:rFonts w:hint="eastAsia" w:ascii="Times New Roman" w:hAnsi="Times New Roman"/>
                <w:color w:val="auto"/>
                <w:lang w:eastAsia="zh-CN"/>
              </w:rPr>
              <w:t>先进值</w:t>
            </w:r>
            <w:r>
              <w:rPr>
                <w:rFonts w:ascii="Times New Roman" w:hAnsi="Times New Roman"/>
                <w:color w:val="auto"/>
                <w:lang w:eastAsia="zh-CN"/>
              </w:rPr>
              <w:t>用水定额为1</w:t>
            </w:r>
            <w:r>
              <w:rPr>
                <w:rFonts w:hint="eastAsia" w:ascii="Times New Roman" w:hAnsi="Times New Roman"/>
                <w:color w:val="auto"/>
                <w:lang w:eastAsia="zh-CN"/>
              </w:rPr>
              <w:t>5</w:t>
            </w:r>
            <w:r>
              <w:rPr>
                <w:rFonts w:ascii="Times New Roman" w:hAnsi="Times New Roman"/>
                <w:color w:val="auto"/>
                <w:lang w:eastAsia="zh-CN"/>
              </w:rPr>
              <w:t>m</w:t>
            </w:r>
            <w:r>
              <w:rPr>
                <w:rFonts w:ascii="Times New Roman" w:hAnsi="Times New Roman"/>
                <w:color w:val="auto"/>
                <w:vertAlign w:val="superscript"/>
                <w:lang w:eastAsia="zh-CN"/>
              </w:rPr>
              <w:t>3</w:t>
            </w:r>
            <w:r>
              <w:rPr>
                <w:rFonts w:ascii="Times New Roman" w:hAnsi="Times New Roman"/>
                <w:color w:val="auto"/>
                <w:lang w:eastAsia="zh-CN"/>
              </w:rPr>
              <w:t>/人•a，则项目生活用水量为</w:t>
            </w:r>
            <w:r>
              <w:rPr>
                <w:rFonts w:hint="eastAsia" w:ascii="Times New Roman" w:hAnsi="Times New Roman"/>
                <w:color w:val="auto"/>
                <w:lang w:eastAsia="zh-CN"/>
              </w:rPr>
              <w:t>2700</w:t>
            </w:r>
            <w:r>
              <w:rPr>
                <w:rFonts w:ascii="Times New Roman" w:hAnsi="Times New Roman"/>
                <w:color w:val="auto"/>
                <w:lang w:eastAsia="zh-CN"/>
              </w:rPr>
              <w:t>m</w:t>
            </w:r>
            <w:r>
              <w:rPr>
                <w:rFonts w:ascii="Times New Roman" w:hAnsi="Times New Roman"/>
                <w:color w:val="auto"/>
                <w:vertAlign w:val="superscript"/>
                <w:lang w:eastAsia="zh-CN"/>
              </w:rPr>
              <w:t>3</w:t>
            </w:r>
            <w:r>
              <w:rPr>
                <w:rFonts w:ascii="Times New Roman" w:hAnsi="Times New Roman"/>
                <w:color w:val="auto"/>
                <w:lang w:eastAsia="zh-CN"/>
              </w:rPr>
              <w:t>/a</w:t>
            </w:r>
            <w:r>
              <w:rPr>
                <w:rFonts w:hint="eastAsia" w:ascii="Times New Roman" w:hAnsi="Times New Roman"/>
                <w:color w:val="auto"/>
                <w:lang w:eastAsia="zh-CN"/>
              </w:rPr>
              <w:t>（9</w:t>
            </w:r>
            <w:r>
              <w:rPr>
                <w:rFonts w:ascii="Times New Roman" w:hAnsi="Times New Roman"/>
                <w:color w:val="auto"/>
                <w:lang w:eastAsia="zh-CN"/>
              </w:rPr>
              <w:t>m</w:t>
            </w:r>
            <w:r>
              <w:rPr>
                <w:rFonts w:ascii="Times New Roman" w:hAnsi="Times New Roman"/>
                <w:color w:val="auto"/>
                <w:vertAlign w:val="superscript"/>
                <w:lang w:eastAsia="zh-CN"/>
              </w:rPr>
              <w:t>3</w:t>
            </w:r>
            <w:r>
              <w:rPr>
                <w:rFonts w:ascii="Times New Roman" w:hAnsi="Times New Roman"/>
                <w:color w:val="auto"/>
                <w:lang w:eastAsia="zh-CN"/>
              </w:rPr>
              <w:t>/</w:t>
            </w:r>
            <w:r>
              <w:rPr>
                <w:rFonts w:hint="eastAsia" w:ascii="Times New Roman" w:hAnsi="Times New Roman"/>
                <w:color w:val="auto"/>
                <w:lang w:eastAsia="zh-CN"/>
              </w:rPr>
              <w:t>d）</w:t>
            </w:r>
            <w:r>
              <w:rPr>
                <w:rFonts w:ascii="Times New Roman" w:hAnsi="Times New Roman"/>
                <w:color w:val="auto"/>
                <w:lang w:eastAsia="zh-CN"/>
              </w:rPr>
              <w:t>。</w:t>
            </w:r>
          </w:p>
          <w:p>
            <w:pPr>
              <w:adjustRightInd w:val="0"/>
              <w:snapToGrid w:val="0"/>
              <w:spacing w:line="360" w:lineRule="auto"/>
              <w:ind w:firstLine="420" w:firstLineChars="200"/>
              <w:rPr>
                <w:bCs/>
                <w:color w:val="auto"/>
              </w:rPr>
            </w:pPr>
            <w:r>
              <w:rPr>
                <w:color w:val="auto"/>
              </w:rPr>
              <w:t>项目不外排生产废水，主要外排废水为员工生活污水，生活污水产污系数按0.9计，则项目生活污水产生量为</w:t>
            </w:r>
            <w:r>
              <w:rPr>
                <w:rFonts w:hint="eastAsia"/>
                <w:color w:val="auto"/>
              </w:rPr>
              <w:t>2430</w:t>
            </w:r>
            <w:r>
              <w:rPr>
                <w:color w:val="auto"/>
              </w:rPr>
              <w:t>m</w:t>
            </w:r>
            <w:r>
              <w:rPr>
                <w:color w:val="auto"/>
                <w:vertAlign w:val="superscript"/>
              </w:rPr>
              <w:t>3</w:t>
            </w:r>
            <w:r>
              <w:rPr>
                <w:color w:val="auto"/>
              </w:rPr>
              <w:t>/a，生活污水经</w:t>
            </w:r>
            <w:r>
              <w:rPr>
                <w:rFonts w:hint="eastAsia"/>
                <w:color w:val="auto"/>
              </w:rPr>
              <w:t>隔油隔渣池、</w:t>
            </w:r>
            <w:r>
              <w:rPr>
                <w:color w:val="auto"/>
              </w:rPr>
              <w:t>三级化粪池预处理后，经市政集污管网</w:t>
            </w:r>
            <w:r>
              <w:rPr>
                <w:bCs/>
                <w:color w:val="auto"/>
              </w:rPr>
              <w:t>排入</w:t>
            </w:r>
            <w:r>
              <w:rPr>
                <w:rFonts w:hint="eastAsia"/>
                <w:color w:val="auto"/>
              </w:rPr>
              <w:t>杨侨镇生活污水处理厂</w:t>
            </w:r>
            <w:r>
              <w:rPr>
                <w:rFonts w:hint="eastAsia"/>
                <w:color w:val="auto"/>
                <w:szCs w:val="21"/>
              </w:rPr>
              <w:t>处理达标后排入南蛇沥，汇入公庄河，最终排入东江</w:t>
            </w:r>
            <w:r>
              <w:rPr>
                <w:color w:val="auto"/>
              </w:rPr>
              <w:t>。</w:t>
            </w:r>
          </w:p>
          <w:p>
            <w:pPr>
              <w:pStyle w:val="12"/>
              <w:spacing w:line="360" w:lineRule="auto"/>
              <w:ind w:left="0" w:leftChars="0" w:firstLine="420" w:firstLineChars="200"/>
              <w:rPr>
                <w:rFonts w:ascii="Times New Roman" w:hAnsi="Times New Roman"/>
                <w:color w:val="auto"/>
                <w:lang w:eastAsia="zh-CN"/>
              </w:rPr>
            </w:pPr>
            <w:r>
              <w:rPr>
                <w:rFonts w:ascii="Times New Roman" w:hAnsi="Times New Roman"/>
                <w:color w:val="auto"/>
                <w:lang w:eastAsia="zh-CN"/>
              </w:rPr>
              <w:t>项目水平衡如下图所示。</w:t>
            </w:r>
          </w:p>
          <w:p>
            <w:pPr>
              <w:pStyle w:val="106"/>
              <w:rPr>
                <w:rFonts w:ascii="Times New Roman" w:hAnsi="Times New Roman" w:cs="Times New Roman"/>
                <w:color w:val="auto"/>
              </w:rPr>
            </w:pPr>
            <w:r>
              <w:rPr>
                <w:rFonts w:ascii="Times New Roman" w:hAnsi="Times New Roman" w:cs="Times New Roman"/>
                <w:b/>
                <w:color w:val="auto"/>
                <w:szCs w:val="21"/>
              </w:rPr>
              <mc:AlternateContent>
                <mc:Choice Requires="wpc">
                  <w:drawing>
                    <wp:inline distT="0" distB="0" distL="114300" distR="114300">
                      <wp:extent cx="5898515" cy="1819275"/>
                      <wp:effectExtent l="0" t="0" r="0" b="0"/>
                      <wp:docPr id="173" name="画布 173"/>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13" name="矩形 13"/>
                              <wps:cNvSpPr/>
                              <wps:spPr>
                                <a:xfrm>
                                  <a:off x="66040" y="548005"/>
                                  <a:ext cx="327660" cy="604520"/>
                                </a:xfrm>
                                <a:prstGeom prst="rect">
                                  <a:avLst/>
                                </a:prstGeom>
                                <a:noFill/>
                                <a:ln>
                                  <a:noFill/>
                                </a:ln>
                              </wps:spPr>
                              <wps:txbx>
                                <w:txbxContent>
                                  <w:p>
                                    <w:pPr>
                                      <w:adjustRightInd w:val="0"/>
                                      <w:snapToGrid w:val="0"/>
                                      <w:jc w:val="center"/>
                                    </w:pPr>
                                    <w:r>
                                      <w:rPr>
                                        <w:rFonts w:hint="eastAsia"/>
                                      </w:rPr>
                                      <w:t>新鲜水</w:t>
                                    </w:r>
                                  </w:p>
                                </w:txbxContent>
                              </wps:txbx>
                              <wps:bodyPr upright="1"/>
                            </wps:wsp>
                            <wps:wsp>
                              <wps:cNvPr id="14" name="直接连接符 14"/>
                              <wps:cNvCnPr/>
                              <wps:spPr>
                                <a:xfrm>
                                  <a:off x="474980" y="848360"/>
                                  <a:ext cx="502285" cy="635"/>
                                </a:xfrm>
                                <a:prstGeom prst="line">
                                  <a:avLst/>
                                </a:prstGeom>
                                <a:ln w="9525" cap="flat" cmpd="sng">
                                  <a:solidFill>
                                    <a:srgbClr val="000000"/>
                                  </a:solidFill>
                                  <a:prstDash val="solid"/>
                                  <a:headEnd type="none" w="med" len="med"/>
                                  <a:tailEnd type="triangle" w="med" len="med"/>
                                </a:ln>
                              </wps:spPr>
                              <wps:bodyPr/>
                            </wps:wsp>
                            <wps:wsp>
                              <wps:cNvPr id="15" name="矩形 15"/>
                              <wps:cNvSpPr/>
                              <wps:spPr>
                                <a:xfrm>
                                  <a:off x="374650" y="563245"/>
                                  <a:ext cx="523240" cy="273050"/>
                                </a:xfrm>
                                <a:prstGeom prst="rect">
                                  <a:avLst/>
                                </a:prstGeom>
                                <a:noFill/>
                                <a:ln>
                                  <a:noFill/>
                                </a:ln>
                              </wps:spPr>
                              <wps:txbx>
                                <w:txbxContent>
                                  <w:p>
                                    <w:pPr>
                                      <w:adjustRightInd w:val="0"/>
                                      <w:snapToGrid w:val="0"/>
                                    </w:pPr>
                                    <w:r>
                                      <w:rPr>
                                        <w:rFonts w:hint="eastAsia"/>
                                      </w:rPr>
                                      <w:t>9.48</w:t>
                                    </w:r>
                                  </w:p>
                                  <w:p>
                                    <w:pPr>
                                      <w:pStyle w:val="106"/>
                                      <w:jc w:val="both"/>
                                    </w:pPr>
                                  </w:p>
                                </w:txbxContent>
                              </wps:txbx>
                              <wps:bodyPr upright="1"/>
                            </wps:wsp>
                            <wps:wsp>
                              <wps:cNvPr id="91" name="直接连接符 91"/>
                              <wps:cNvCnPr/>
                              <wps:spPr>
                                <a:xfrm>
                                  <a:off x="969645" y="448945"/>
                                  <a:ext cx="612140" cy="635"/>
                                </a:xfrm>
                                <a:prstGeom prst="line">
                                  <a:avLst/>
                                </a:prstGeom>
                                <a:ln w="9525" cap="flat" cmpd="sng">
                                  <a:solidFill>
                                    <a:srgbClr val="000000"/>
                                  </a:solidFill>
                                  <a:prstDash val="solid"/>
                                  <a:headEnd type="none" w="med" len="med"/>
                                  <a:tailEnd type="triangle" w="med" len="med"/>
                                </a:ln>
                              </wps:spPr>
                              <wps:bodyPr/>
                            </wps:wsp>
                            <wps:wsp>
                              <wps:cNvPr id="163" name="矩形 163"/>
                              <wps:cNvSpPr/>
                              <wps:spPr>
                                <a:xfrm>
                                  <a:off x="2890520" y="965835"/>
                                  <a:ext cx="875665" cy="64643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adjustRightInd w:val="0"/>
                                      <w:snapToGrid w:val="0"/>
                                      <w:jc w:val="center"/>
                                      <w:rPr>
                                        <w:color w:val="auto"/>
                                      </w:rPr>
                                    </w:pPr>
                                    <w:r>
                                      <w:rPr>
                                        <w:rFonts w:hint="eastAsia"/>
                                        <w:color w:val="auto"/>
                                      </w:rPr>
                                      <w:t>隔油隔渣池、三级化粪池</w:t>
                                    </w:r>
                                  </w:p>
                                </w:txbxContent>
                              </wps:txbx>
                              <wps:bodyPr upright="1"/>
                            </wps:wsp>
                            <wps:wsp>
                              <wps:cNvPr id="170" name="直接连接符 170"/>
                              <wps:cNvCnPr/>
                              <wps:spPr>
                                <a:xfrm flipV="1">
                                  <a:off x="2495550" y="457835"/>
                                  <a:ext cx="389255" cy="635"/>
                                </a:xfrm>
                                <a:prstGeom prst="line">
                                  <a:avLst/>
                                </a:prstGeom>
                                <a:ln w="9525" cap="flat" cmpd="sng">
                                  <a:solidFill>
                                    <a:srgbClr val="000000"/>
                                  </a:solidFill>
                                  <a:prstDash val="solid"/>
                                  <a:headEnd type="none" w="med" len="med"/>
                                  <a:tailEnd type="none" w="med" len="med"/>
                                </a:ln>
                              </wps:spPr>
                              <wps:bodyPr/>
                            </wps:wsp>
                            <wps:wsp>
                              <wps:cNvPr id="171" name="直接连接符 171"/>
                              <wps:cNvCnPr/>
                              <wps:spPr>
                                <a:xfrm>
                                  <a:off x="976630" y="455295"/>
                                  <a:ext cx="1270" cy="833755"/>
                                </a:xfrm>
                                <a:prstGeom prst="line">
                                  <a:avLst/>
                                </a:prstGeom>
                                <a:ln w="9525" cap="flat" cmpd="sng">
                                  <a:solidFill>
                                    <a:srgbClr val="000000"/>
                                  </a:solidFill>
                                  <a:prstDash val="solid"/>
                                  <a:headEnd type="none" w="med" len="med"/>
                                  <a:tailEnd type="none" w="med" len="med"/>
                                </a:ln>
                              </wps:spPr>
                              <wps:bodyPr/>
                            </wps:wsp>
                            <wps:wsp>
                              <wps:cNvPr id="175" name="直接连接符 175"/>
                              <wps:cNvCnPr/>
                              <wps:spPr>
                                <a:xfrm>
                                  <a:off x="2884170" y="466725"/>
                                  <a:ext cx="0" cy="244475"/>
                                </a:xfrm>
                                <a:prstGeom prst="line">
                                  <a:avLst/>
                                </a:prstGeom>
                                <a:ln w="9525" cap="flat" cmpd="sng">
                                  <a:solidFill>
                                    <a:srgbClr val="000000"/>
                                  </a:solidFill>
                                  <a:prstDash val="solid"/>
                                  <a:headEnd type="none" w="med" len="med"/>
                                  <a:tailEnd type="none" w="med" len="med"/>
                                </a:ln>
                              </wps:spPr>
                              <wps:bodyPr/>
                            </wps:wsp>
                            <wps:wsp>
                              <wps:cNvPr id="176" name="矩形 176"/>
                              <wps:cNvSpPr/>
                              <wps:spPr>
                                <a:xfrm>
                                  <a:off x="1607820" y="335280"/>
                                  <a:ext cx="880110" cy="26035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adjustRightInd w:val="0"/>
                                      <w:snapToGrid w:val="0"/>
                                      <w:jc w:val="center"/>
                                    </w:pPr>
                                    <w:r>
                                      <w:rPr>
                                        <w:rFonts w:hint="eastAsia"/>
                                      </w:rPr>
                                      <w:t>冷却用水</w:t>
                                    </w:r>
                                  </w:p>
                                </w:txbxContent>
                              </wps:txbx>
                              <wps:bodyPr upright="1"/>
                            </wps:wsp>
                            <wps:wsp>
                              <wps:cNvPr id="180" name="直接连接符 180"/>
                              <wps:cNvCnPr/>
                              <wps:spPr>
                                <a:xfrm>
                                  <a:off x="981075" y="1283970"/>
                                  <a:ext cx="612140" cy="635"/>
                                </a:xfrm>
                                <a:prstGeom prst="line">
                                  <a:avLst/>
                                </a:prstGeom>
                                <a:ln w="9525" cap="flat" cmpd="sng">
                                  <a:solidFill>
                                    <a:srgbClr val="000000"/>
                                  </a:solidFill>
                                  <a:prstDash val="solid"/>
                                  <a:headEnd type="none" w="med" len="med"/>
                                  <a:tailEnd type="triangle" w="med" len="med"/>
                                </a:ln>
                              </wps:spPr>
                              <wps:bodyPr/>
                            </wps:wsp>
                            <wps:wsp>
                              <wps:cNvPr id="216" name="矩形 216"/>
                              <wps:cNvSpPr/>
                              <wps:spPr>
                                <a:xfrm>
                                  <a:off x="1598930" y="1165225"/>
                                  <a:ext cx="880110" cy="26035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adjustRightInd w:val="0"/>
                                      <w:snapToGrid w:val="0"/>
                                      <w:jc w:val="center"/>
                                    </w:pPr>
                                    <w:r>
                                      <w:rPr>
                                        <w:rFonts w:hint="eastAsia"/>
                                      </w:rPr>
                                      <w:t>生活用水</w:t>
                                    </w:r>
                                  </w:p>
                                </w:txbxContent>
                              </wps:txbx>
                              <wps:bodyPr upright="1"/>
                            </wps:wsp>
                            <wps:wsp>
                              <wps:cNvPr id="217" name="直接连接符 217"/>
                              <wps:cNvCnPr/>
                              <wps:spPr>
                                <a:xfrm>
                                  <a:off x="2081530" y="707390"/>
                                  <a:ext cx="794385" cy="4445"/>
                                </a:xfrm>
                                <a:prstGeom prst="line">
                                  <a:avLst/>
                                </a:prstGeom>
                                <a:ln w="9525" cap="flat" cmpd="sng">
                                  <a:solidFill>
                                    <a:srgbClr val="000000"/>
                                  </a:solidFill>
                                  <a:prstDash val="solid"/>
                                  <a:headEnd type="none" w="med" len="med"/>
                                  <a:tailEnd type="none" w="med" len="med"/>
                                </a:ln>
                              </wps:spPr>
                              <wps:bodyPr/>
                            </wps:wsp>
                            <wps:wsp>
                              <wps:cNvPr id="218" name="直接连接符 218"/>
                              <wps:cNvCnPr/>
                              <wps:spPr>
                                <a:xfrm flipH="1" flipV="1">
                                  <a:off x="2077720" y="603885"/>
                                  <a:ext cx="3175" cy="103505"/>
                                </a:xfrm>
                                <a:prstGeom prst="line">
                                  <a:avLst/>
                                </a:prstGeom>
                                <a:ln w="9525" cap="flat" cmpd="sng">
                                  <a:solidFill>
                                    <a:srgbClr val="000000"/>
                                  </a:solidFill>
                                  <a:prstDash val="solid"/>
                                  <a:headEnd type="none" w="med" len="med"/>
                                  <a:tailEnd type="triangle" w="med" len="med"/>
                                </a:ln>
                              </wps:spPr>
                              <wps:bodyPr/>
                            </wps:wsp>
                            <wps:wsp>
                              <wps:cNvPr id="266" name="矩形 266"/>
                              <wps:cNvSpPr/>
                              <wps:spPr>
                                <a:xfrm>
                                  <a:off x="2982595" y="438150"/>
                                  <a:ext cx="421005" cy="273050"/>
                                </a:xfrm>
                                <a:prstGeom prst="rect">
                                  <a:avLst/>
                                </a:prstGeom>
                                <a:noFill/>
                                <a:ln>
                                  <a:noFill/>
                                </a:ln>
                              </wps:spPr>
                              <wps:txbx>
                                <w:txbxContent>
                                  <w:p>
                                    <w:pPr>
                                      <w:adjustRightInd w:val="0"/>
                                      <w:snapToGrid w:val="0"/>
                                    </w:pPr>
                                    <w:r>
                                      <w:rPr>
                                        <w:rFonts w:hint="eastAsia"/>
                                      </w:rPr>
                                      <w:t>24</w:t>
                                    </w:r>
                                  </w:p>
                                </w:txbxContent>
                              </wps:txbx>
                              <wps:bodyPr upright="1"/>
                            </wps:wsp>
                            <wps:wsp>
                              <wps:cNvPr id="267" name="曲线连接符 267"/>
                              <wps:cNvCnPr/>
                              <wps:spPr>
                                <a:xfrm flipV="1">
                                  <a:off x="1792605" y="207645"/>
                                  <a:ext cx="368300" cy="114300"/>
                                </a:xfrm>
                                <a:prstGeom prst="curvedConnector3">
                                  <a:avLst>
                                    <a:gd name="adj1" fmla="val 50083"/>
                                  </a:avLst>
                                </a:prstGeom>
                                <a:ln w="9525" cap="flat" cmpd="sng">
                                  <a:solidFill>
                                    <a:srgbClr val="000000"/>
                                  </a:solidFill>
                                  <a:prstDash val="dash"/>
                                  <a:headEnd type="none" w="med" len="med"/>
                                  <a:tailEnd type="triangle" w="med" len="med"/>
                                </a:ln>
                              </wps:spPr>
                              <wps:bodyPr/>
                            </wps:wsp>
                            <wps:wsp>
                              <wps:cNvPr id="302" name="矩形 302"/>
                              <wps:cNvSpPr/>
                              <wps:spPr>
                                <a:xfrm>
                                  <a:off x="2164715" y="78740"/>
                                  <a:ext cx="571500" cy="266700"/>
                                </a:xfrm>
                                <a:prstGeom prst="rect">
                                  <a:avLst/>
                                </a:prstGeom>
                                <a:noFill/>
                                <a:ln>
                                  <a:noFill/>
                                </a:ln>
                              </wps:spPr>
                              <wps:txbx>
                                <w:txbxContent>
                                  <w:p>
                                    <w:pPr>
                                      <w:adjustRightInd w:val="0"/>
                                      <w:snapToGrid w:val="0"/>
                                    </w:pPr>
                                    <w:r>
                                      <w:rPr>
                                        <w:rFonts w:hint="eastAsia"/>
                                      </w:rPr>
                                      <w:t>0.48</w:t>
                                    </w:r>
                                  </w:p>
                                </w:txbxContent>
                              </wps:txbx>
                              <wps:bodyPr upright="1"/>
                            </wps:wsp>
                            <wps:wsp>
                              <wps:cNvPr id="338" name="直接连接符 338"/>
                              <wps:cNvCnPr/>
                              <wps:spPr>
                                <a:xfrm>
                                  <a:off x="2482215" y="1288415"/>
                                  <a:ext cx="401955" cy="2540"/>
                                </a:xfrm>
                                <a:prstGeom prst="line">
                                  <a:avLst/>
                                </a:prstGeom>
                                <a:ln w="9525" cap="flat" cmpd="sng">
                                  <a:solidFill>
                                    <a:srgbClr val="000000"/>
                                  </a:solidFill>
                                  <a:prstDash val="solid"/>
                                  <a:headEnd type="none" w="med" len="med"/>
                                  <a:tailEnd type="triangle" w="med" len="med"/>
                                </a:ln>
                              </wps:spPr>
                              <wps:bodyPr/>
                            </wps:wsp>
                            <wps:wsp>
                              <wps:cNvPr id="339" name="直接连接符 339"/>
                              <wps:cNvCnPr/>
                              <wps:spPr>
                                <a:xfrm>
                                  <a:off x="3768725" y="1286510"/>
                                  <a:ext cx="401955" cy="2540"/>
                                </a:xfrm>
                                <a:prstGeom prst="line">
                                  <a:avLst/>
                                </a:prstGeom>
                                <a:ln w="9525" cap="flat" cmpd="sng">
                                  <a:solidFill>
                                    <a:srgbClr val="000000"/>
                                  </a:solidFill>
                                  <a:prstDash val="solid"/>
                                  <a:headEnd type="none" w="med" len="med"/>
                                  <a:tailEnd type="triangle" w="med" len="med"/>
                                </a:ln>
                              </wps:spPr>
                              <wps:bodyPr/>
                            </wps:wsp>
                            <wps:wsp>
                              <wps:cNvPr id="340" name="矩形 340"/>
                              <wps:cNvSpPr/>
                              <wps:spPr>
                                <a:xfrm>
                                  <a:off x="4173220" y="1056005"/>
                                  <a:ext cx="902970" cy="47815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adjustRightInd w:val="0"/>
                                      <w:snapToGrid w:val="0"/>
                                    </w:pPr>
                                    <w:r>
                                      <w:rPr>
                                        <w:rFonts w:hint="eastAsia"/>
                                      </w:rPr>
                                      <w:t>杨侨镇生活污水处理厂</w:t>
                                    </w:r>
                                  </w:p>
                                </w:txbxContent>
                              </wps:txbx>
                              <wps:bodyPr upright="1"/>
                            </wps:wsp>
                            <wps:wsp>
                              <wps:cNvPr id="341" name="矩形 341"/>
                              <wps:cNvSpPr/>
                              <wps:spPr>
                                <a:xfrm>
                                  <a:off x="2491105" y="1041400"/>
                                  <a:ext cx="416560" cy="245110"/>
                                </a:xfrm>
                                <a:prstGeom prst="rect">
                                  <a:avLst/>
                                </a:prstGeom>
                                <a:noFill/>
                                <a:ln>
                                  <a:noFill/>
                                </a:ln>
                              </wps:spPr>
                              <wps:txbx>
                                <w:txbxContent>
                                  <w:p>
                                    <w:pPr>
                                      <w:adjustRightInd w:val="0"/>
                                      <w:snapToGrid w:val="0"/>
                                    </w:pPr>
                                    <w:r>
                                      <w:rPr>
                                        <w:rFonts w:hint="eastAsia"/>
                                      </w:rPr>
                                      <w:t>8.9</w:t>
                                    </w:r>
                                  </w:p>
                                </w:txbxContent>
                              </wps:txbx>
                              <wps:bodyPr upright="1"/>
                            </wps:wsp>
                            <wps:wsp>
                              <wps:cNvPr id="342" name="矩形 342"/>
                              <wps:cNvSpPr/>
                              <wps:spPr>
                                <a:xfrm>
                                  <a:off x="3776345" y="1038225"/>
                                  <a:ext cx="429260" cy="245110"/>
                                </a:xfrm>
                                <a:prstGeom prst="rect">
                                  <a:avLst/>
                                </a:prstGeom>
                                <a:noFill/>
                                <a:ln>
                                  <a:noFill/>
                                </a:ln>
                              </wps:spPr>
                              <wps:txbx>
                                <w:txbxContent>
                                  <w:p>
                                    <w:pPr>
                                      <w:adjustRightInd w:val="0"/>
                                      <w:snapToGrid w:val="0"/>
                                    </w:pPr>
                                    <w:r>
                                      <w:rPr>
                                        <w:rFonts w:hint="eastAsia"/>
                                      </w:rPr>
                                      <w:t>8.9</w:t>
                                    </w:r>
                                  </w:p>
                                </w:txbxContent>
                              </wps:txbx>
                              <wps:bodyPr upright="1"/>
                            </wps:wsp>
                            <wps:wsp>
                              <wps:cNvPr id="346" name="曲线连接符 346"/>
                              <wps:cNvCnPr/>
                              <wps:spPr>
                                <a:xfrm flipV="1">
                                  <a:off x="1750060" y="1047750"/>
                                  <a:ext cx="368300" cy="114300"/>
                                </a:xfrm>
                                <a:prstGeom prst="curvedConnector3">
                                  <a:avLst>
                                    <a:gd name="adj1" fmla="val 50083"/>
                                  </a:avLst>
                                </a:prstGeom>
                                <a:ln w="9525" cap="flat" cmpd="sng">
                                  <a:solidFill>
                                    <a:srgbClr val="000000"/>
                                  </a:solidFill>
                                  <a:prstDash val="dash"/>
                                  <a:headEnd type="none" w="med" len="med"/>
                                  <a:tailEnd type="triangle" w="med" len="med"/>
                                </a:ln>
                              </wps:spPr>
                              <wps:bodyPr/>
                            </wps:wsp>
                            <wps:wsp>
                              <wps:cNvPr id="151" name="矩形 151"/>
                              <wps:cNvSpPr/>
                              <wps:spPr>
                                <a:xfrm>
                                  <a:off x="2124075" y="929005"/>
                                  <a:ext cx="383540" cy="245110"/>
                                </a:xfrm>
                                <a:prstGeom prst="rect">
                                  <a:avLst/>
                                </a:prstGeom>
                                <a:noFill/>
                                <a:ln>
                                  <a:noFill/>
                                </a:ln>
                              </wps:spPr>
                              <wps:txbx>
                                <w:txbxContent>
                                  <w:p>
                                    <w:pPr>
                                      <w:adjustRightInd w:val="0"/>
                                      <w:snapToGrid w:val="0"/>
                                    </w:pPr>
                                    <w:r>
                                      <w:rPr>
                                        <w:rFonts w:hint="eastAsia"/>
                                      </w:rPr>
                                      <w:t>0.9</w:t>
                                    </w:r>
                                  </w:p>
                                </w:txbxContent>
                              </wps:txbx>
                              <wps:bodyPr upright="1"/>
                            </wps:wsp>
                            <wps:wsp>
                              <wps:cNvPr id="76" name="矩形 76"/>
                              <wps:cNvSpPr/>
                              <wps:spPr>
                                <a:xfrm>
                                  <a:off x="1077595" y="992505"/>
                                  <a:ext cx="346075" cy="273050"/>
                                </a:xfrm>
                                <a:prstGeom prst="rect">
                                  <a:avLst/>
                                </a:prstGeom>
                                <a:noFill/>
                                <a:ln>
                                  <a:noFill/>
                                </a:ln>
                              </wps:spPr>
                              <wps:txbx>
                                <w:txbxContent>
                                  <w:p>
                                    <w:pPr>
                                      <w:adjustRightInd w:val="0"/>
                                      <w:snapToGrid w:val="0"/>
                                    </w:pPr>
                                    <w:r>
                                      <w:rPr>
                                        <w:rFonts w:hint="eastAsia"/>
                                      </w:rPr>
                                      <w:t>9</w:t>
                                    </w:r>
                                  </w:p>
                                  <w:p>
                                    <w:pPr>
                                      <w:pStyle w:val="106"/>
                                      <w:jc w:val="both"/>
                                    </w:pPr>
                                  </w:p>
                                </w:txbxContent>
                              </wps:txbx>
                              <wps:bodyPr upright="1"/>
                            </wps:wsp>
                            <wps:wsp>
                              <wps:cNvPr id="80" name="矩形 80"/>
                              <wps:cNvSpPr/>
                              <wps:spPr>
                                <a:xfrm>
                                  <a:off x="1069340" y="162560"/>
                                  <a:ext cx="431800" cy="273050"/>
                                </a:xfrm>
                                <a:prstGeom prst="rect">
                                  <a:avLst/>
                                </a:prstGeom>
                                <a:noFill/>
                                <a:ln>
                                  <a:noFill/>
                                </a:ln>
                              </wps:spPr>
                              <wps:txbx>
                                <w:txbxContent>
                                  <w:p>
                                    <w:pPr>
                                      <w:adjustRightInd w:val="0"/>
                                      <w:snapToGrid w:val="0"/>
                                    </w:pPr>
                                    <w:r>
                                      <w:rPr>
                                        <w:rFonts w:hint="eastAsia"/>
                                      </w:rPr>
                                      <w:t>0.48</w:t>
                                    </w:r>
                                  </w:p>
                                  <w:p>
                                    <w:pPr>
                                      <w:pStyle w:val="106"/>
                                      <w:jc w:val="both"/>
                                    </w:pPr>
                                  </w:p>
                                </w:txbxContent>
                              </wps:txbx>
                              <wps:bodyPr upright="1"/>
                            </wps:wsp>
                          </wpc:wpc>
                        </a:graphicData>
                      </a:graphic>
                    </wp:inline>
                  </w:drawing>
                </mc:Choice>
                <mc:Fallback>
                  <w:pict>
                    <v:group id="_x0000_s1026" o:spid="_x0000_s1026" o:spt="203" style="height:143.25pt;width:464.45pt;" coordsize="5898515,1819275" editas="canvas" o:gfxdata="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">
                      <o:lock v:ext="edit" aspectratio="f"/>
                      <v:shape id="_x0000_s1026" o:spid="_x0000_s1026" style="position:absolute;left:0;top:0;height:1819275;width:5898515;" filled="f" stroked="f" coordsize="21600,21600" o:gfxdata="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">
                        <v:fill on="f" focussize="0,0"/>
                        <v:stroke on="f"/>
                        <v:imagedata o:title=""/>
                        <o:lock v:ext="edit" aspectratio="t"/>
                      </v:shape>
                      <v:rect id="_x0000_s1026" o:spid="_x0000_s1026" o:spt="1" style="position:absolute;left:66040;top:548005;height:604520;width:327660;" filled="f" stroked="f" coordsize="21600,21600" o:gfxdata="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AasgcL1wAA&#10;AAUBAAAPAAAAAAAAAAEAIAAAACIAAABkcnMvZG93bnJldi54bWxQSwECFAAUAAAACACHTuJAefud&#10;rK0BAABLAwAADgAAAAAAAAABACAAAAAmAQAAZHJzL2Uyb0RvYy54bWxQSwUGAAAAAAYABgBZAQAA&#10;RQUAAAAA&#10;">
                        <v:fill on="f" focussize="0,0"/>
                        <v:stroke on="f"/>
                        <v:imagedata o:title=""/>
                        <o:lock v:ext="edit" aspectratio="f"/>
                        <v:textbox>
                          <w:txbxContent>
                            <w:p>
                              <w:pPr>
                                <w:adjustRightInd w:val="0"/>
                                <w:snapToGrid w:val="0"/>
                                <w:jc w:val="center"/>
                              </w:pPr>
                              <w:r>
                                <w:rPr>
                                  <w:rFonts w:hint="eastAsia"/>
                                </w:rPr>
                                <w:t>新鲜水</w:t>
                              </w:r>
                            </w:p>
                          </w:txbxContent>
                        </v:textbox>
                      </v:rect>
                      <v:line id="_x0000_s1026" o:spid="_x0000_s1026" o:spt="20" style="position:absolute;left:474980;top:848360;height:635;width:502285;" filled="f" stroked="t" coordsize="21600,21600" o:gfxdata="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l8KaFNgAAAAFAQAADwAAAAAAAAABACAAAAAiAAAAZHJzL2Rv&#10;d25yZXYueG1sUEsBAhQAFAAAAAgAh07iQB4gbE8BAgAA6QMAAA4AAAAAAAAAAQAgAAAAJwEAAGRy&#10;cy9lMm9Eb2MueG1sUEsFBgAAAAAGAAYAWQEAAJoFAAAAAA==&#10;">
                        <v:fill on="f" focussize="0,0"/>
                        <v:stroke color="#000000" joinstyle="round" endarrow="block"/>
                        <v:imagedata o:title=""/>
                        <o:lock v:ext="edit" aspectratio="f"/>
                      </v:line>
                      <v:rect id="_x0000_s1026" o:spid="_x0000_s1026" o:spt="1" style="position:absolute;left:374650;top:563245;height:273050;width:523240;" filled="f" stroked="f" coordsize="21600,21600" o:gfxdata="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GrIHC9cA&#10;AAAFAQAADwAAAAAAAAABACAAAAAiAAAAZHJzL2Rvd25yZXYueG1sUEsBAhQAFAAAAAgAh07iQECr&#10;7fyuAQAATAMAAA4AAAAAAAAAAQAgAAAAJgEAAGRycy9lMm9Eb2MueG1sUEsFBgAAAAAGAAYAWQEA&#10;AEYFAAAAAA==&#10;">
                        <v:fill on="f" focussize="0,0"/>
                        <v:stroke on="f"/>
                        <v:imagedata o:title=""/>
                        <o:lock v:ext="edit" aspectratio="f"/>
                        <v:textbox>
                          <w:txbxContent>
                            <w:p>
                              <w:pPr>
                                <w:adjustRightInd w:val="0"/>
                                <w:snapToGrid w:val="0"/>
                              </w:pPr>
                              <w:r>
                                <w:rPr>
                                  <w:rFonts w:hint="eastAsia"/>
                                </w:rPr>
                                <w:t>9.48</w:t>
                              </w:r>
                            </w:p>
                            <w:p>
                              <w:pPr>
                                <w:pStyle w:val="106"/>
                                <w:jc w:val="both"/>
                              </w:pPr>
                            </w:p>
                          </w:txbxContent>
                        </v:textbox>
                      </v:rect>
                      <v:line id="_x0000_s1026" o:spid="_x0000_s1026" o:spt="20" style="position:absolute;left:969645;top:448945;height:635;width:612140;" filled="f" stroked="t" coordsize="21600,21600" o:gfxdata="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l8KaFNgAAAAFAQAADwAAAAAAAAABACAAAAAiAAAAZHJzL2Rv&#10;d25yZXYueG1sUEsBAhQAFAAAAAgAh07iQLNXe+EBAgAA6QMAAA4AAAAAAAAAAQAgAAAAJwEAAGRy&#10;cy9lMm9Eb2MueG1sUEsFBgAAAAAGAAYAWQEAAJoFAAAAAA==&#10;">
                        <v:fill on="f" focussize="0,0"/>
                        <v:stroke color="#000000" joinstyle="round" endarrow="block"/>
                        <v:imagedata o:title=""/>
                        <o:lock v:ext="edit" aspectratio="f"/>
                      </v:line>
                      <v:rect id="_x0000_s1026" o:spid="_x0000_s1026" o:spt="1" style="position:absolute;left:2890520;top:965835;height:646430;width:875665;" fillcolor="#FFFFFF" filled="t" stroked="t" coordsize="21600,21600" o:gfxdata="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N/SHd7VAAAABQEAAA8AAAAAAAAAAQAg&#10;AAAAIgAAAGRycy9kb3ducmV2LnhtbFBLAQIUABQAAAAIAIdO4kCjyKMQEQIAADcEAAAOAAAAAAAA&#10;AAEAIAAAACQBAABkcnMvZTJvRG9jLnhtbFBLBQYAAAAABgAGAFkBAACnBQAAAAA=&#10;">
                        <v:fill on="t" focussize="0,0"/>
                        <v:stroke color="#000000" joinstyle="miter"/>
                        <v:imagedata o:title=""/>
                        <o:lock v:ext="edit" aspectratio="f"/>
                        <v:textbox>
                          <w:txbxContent>
                            <w:p>
                              <w:pPr>
                                <w:adjustRightInd w:val="0"/>
                                <w:snapToGrid w:val="0"/>
                                <w:jc w:val="center"/>
                                <w:rPr>
                                  <w:color w:val="auto"/>
                                </w:rPr>
                              </w:pPr>
                              <w:r>
                                <w:rPr>
                                  <w:rFonts w:hint="eastAsia"/>
                                  <w:color w:val="auto"/>
                                </w:rPr>
                                <w:t>隔油隔渣池、三级化粪池</w:t>
                              </w:r>
                            </w:p>
                          </w:txbxContent>
                        </v:textbox>
                      </v:rect>
                      <v:line id="_x0000_s1026" o:spid="_x0000_s1026" o:spt="20" style="position:absolute;left:2495550;top:457835;flip:y;height:635;width:389255;" filled="f" stroked="t" coordsize="21600,21600" o:gfxdata="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CogDba1AAAAAUBAAAPAAAAAAAAAAEAIAAAACIAAABkcnMvZG93&#10;bnJldi54bWxQSwECFAAUAAAACACHTuJASt1/JgQCAADyAwAADgAAAAAAAAABACAAAAAjAQAAZHJz&#10;L2Uyb0RvYy54bWxQSwUGAAAAAAYABgBZAQAAmQUAAAAA&#10;">
                        <v:fill on="f" focussize="0,0"/>
                        <v:stroke color="#000000" joinstyle="round"/>
                        <v:imagedata o:title=""/>
                        <o:lock v:ext="edit" aspectratio="f"/>
                      </v:line>
                      <v:line id="_x0000_s1026" o:spid="_x0000_s1026" o:spt="20" style="position:absolute;left:976630;top:455295;height:833755;width:1270;" filled="f" stroked="t" coordsize="21600,21600" o:gfxdata="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ktjl01QAAAAUBAAAPAAAAAAAAAAEAIAAAACIAAABkcnMvZG93bnJldi54&#10;bWxQSwECFAAUAAAACACHTuJAgKn+Dv0BAADoAwAADgAAAAAAAAABACAAAAAkAQAAZHJzL2Uyb0Rv&#10;Yy54bWxQSwUGAAAAAAYABgBZAQAAkwUAAAAA&#10;">
                        <v:fill on="f" focussize="0,0"/>
                        <v:stroke color="#000000" joinstyle="round"/>
                        <v:imagedata o:title=""/>
                        <o:lock v:ext="edit" aspectratio="f"/>
                      </v:line>
                      <v:line id="_x0000_s1026" o:spid="_x0000_s1026" o:spt="20" style="position:absolute;left:2884170;top:466725;height:244475;width:0;" filled="f" stroked="t" coordsize="21600,21600" o:gfxdata="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pLY5dNUAAAAFAQAADwAAAAAAAAABACAAAAAiAAAAZHJzL2Rvd25yZXYueG1s&#10;UEsBAhQAFAAAAAgAh07iQA1Nw2P7AQAA5gMAAA4AAAAAAAAAAQAgAAAAJAEAAGRycy9lMm9Eb2Mu&#10;eG1sUEsFBgAAAAAGAAYAWQEAAJEFAAAAAA==&#10;">
                        <v:fill on="f" focussize="0,0"/>
                        <v:stroke color="#000000" joinstyle="round"/>
                        <v:imagedata o:title=""/>
                        <o:lock v:ext="edit" aspectratio="f"/>
                      </v:line>
                      <v:rect id="_x0000_s1026" o:spid="_x0000_s1026" o:spt="1" style="position:absolute;left:1607820;top:335280;height:260350;width:880110;" fillcolor="#FFFFFF" filled="t" stroked="t" coordsize="21600,21600" o:gfxdata="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39Id3tUAAAAFAQAADwAAAAAAAAABACAA&#10;AAAiAAAAZHJzL2Rvd25yZXYueG1sUEsBAhQAFAAAAAgAh07iQNe5RaUQAgAANwQAAA4AAAAAAAAA&#10;AQAgAAAAJAEAAGRycy9lMm9Eb2MueG1sUEsFBgAAAAAGAAYAWQEAAKYFAAAAAA==&#10;">
                        <v:fill on="t" focussize="0,0"/>
                        <v:stroke color="#000000" joinstyle="miter"/>
                        <v:imagedata o:title=""/>
                        <o:lock v:ext="edit" aspectratio="f"/>
                        <v:textbox>
                          <w:txbxContent>
                            <w:p>
                              <w:pPr>
                                <w:adjustRightInd w:val="0"/>
                                <w:snapToGrid w:val="0"/>
                                <w:jc w:val="center"/>
                              </w:pPr>
                              <w:r>
                                <w:rPr>
                                  <w:rFonts w:hint="eastAsia"/>
                                </w:rPr>
                                <w:t>冷却用水</w:t>
                              </w:r>
                            </w:p>
                          </w:txbxContent>
                        </v:textbox>
                      </v:rect>
                      <v:line id="_x0000_s1026" o:spid="_x0000_s1026" o:spt="20" style="position:absolute;left:981075;top:1283970;height:635;width:612140;" filled="f" stroked="t" coordsize="21600,21600" o:gfxdata="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l8KaFNgAAAAFAQAADwAAAAAAAAABACAAAAAiAAAAZHJzL2Rv&#10;d25yZXYueG1sUEsBAhQAFAAAAAgAh07iQLP2O3IBAgAA7AMAAA4AAAAAAAAAAQAgAAAAJwEAAGRy&#10;cy9lMm9Eb2MueG1sUEsFBgAAAAAGAAYAWQEAAJoFAAAAAA==&#10;">
                        <v:fill on="f" focussize="0,0"/>
                        <v:stroke color="#000000" joinstyle="round" endarrow="block"/>
                        <v:imagedata o:title=""/>
                        <o:lock v:ext="edit" aspectratio="f"/>
                      </v:line>
                      <v:rect id="_x0000_s1026" o:spid="_x0000_s1026" o:spt="1" style="position:absolute;left:1598930;top:1165225;height:260350;width:880110;" fillcolor="#FFFFFF" filled="t" stroked="t" coordsize="21600,21600" o:gfxdata="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Df0h3e1QAAAAUBAAAPAAAAAAAAAAEAIAAA&#10;ACIAAABkcnMvZG93bnJldi54bWxQSwECFAAUAAAACACHTuJAHnwJ0g8CAAA4BAAADgAAAAAAAAAB&#10;ACAAAAAkAQAAZHJzL2Uyb0RvYy54bWxQSwUGAAAAAAYABgBZAQAApQUAAAAA&#10;">
                        <v:fill on="t" focussize="0,0"/>
                        <v:stroke color="#000000" joinstyle="miter"/>
                        <v:imagedata o:title=""/>
                        <o:lock v:ext="edit" aspectratio="f"/>
                        <v:textbox>
                          <w:txbxContent>
                            <w:p>
                              <w:pPr>
                                <w:adjustRightInd w:val="0"/>
                                <w:snapToGrid w:val="0"/>
                                <w:jc w:val="center"/>
                              </w:pPr>
                              <w:r>
                                <w:rPr>
                                  <w:rFonts w:hint="eastAsia"/>
                                </w:rPr>
                                <w:t>生活用水</w:t>
                              </w:r>
                            </w:p>
                          </w:txbxContent>
                        </v:textbox>
                      </v:rect>
                      <v:line id="_x0000_s1026" o:spid="_x0000_s1026" o:spt="20" style="position:absolute;left:2081530;top:707390;height:4445;width:794385;" filled="f" stroked="t" coordsize="21600,21600" o:gfxdata="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pLY5dNUAAAAFAQAADwAAAAAAAAABACAAAAAiAAAAZHJzL2Rvd25yZXYueG1s&#10;UEsBAhQAFAAAAAgAh07iQJzBPPT7AQAA6QMAAA4AAAAAAAAAAQAgAAAAJAEAAGRycy9lMm9Eb2Mu&#10;eG1sUEsFBgAAAAAGAAYAWQEAAJEFAAAAAA==&#10;">
                        <v:fill on="f" focussize="0,0"/>
                        <v:stroke color="#000000" joinstyle="round"/>
                        <v:imagedata o:title=""/>
                        <o:lock v:ext="edit" aspectratio="f"/>
                      </v:line>
                      <v:line id="_x0000_s1026" o:spid="_x0000_s1026" o:spt="20" style="position:absolute;left:2077720;top:603885;flip:x y;height:103505;width:3175;" filled="f" stroked="t" coordsize="21600,21600" o:gfxdata="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xfXax1gAAAAUBAAAPAAAAAAAAAAEA&#10;IAAAACIAAABkcnMvZG93bnJldi54bWxQSwECFAAUAAAACACHTuJAiv1u6hECAAABBAAADgAAAAAA&#10;AAABACAAAAAlAQAAZHJzL2Uyb0RvYy54bWxQSwUGAAAAAAYABgBZAQAAqAUAAAAA&#10;">
                        <v:fill on="f" focussize="0,0"/>
                        <v:stroke color="#000000" joinstyle="round" endarrow="block"/>
                        <v:imagedata o:title=""/>
                        <o:lock v:ext="edit" aspectratio="f"/>
                      </v:line>
                      <v:rect id="_x0000_s1026" o:spid="_x0000_s1026" o:spt="1" style="position:absolute;left:2982595;top:438150;height:273050;width:421005;" filled="f" stroked="f" coordsize="21600,21600" o:gfxdata="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BqyBwvX&#10;AAAABQEAAA8AAAAAAAAAAQAgAAAAIgAAAGRycy9kb3ducmV2LnhtbFBLAQIUABQAAAAIAIdO4kBi&#10;XfT1rwEAAE8DAAAOAAAAAAAAAAEAIAAAACYBAABkcnMvZTJvRG9jLnhtbFBLBQYAAAAABgAGAFkB&#10;AABHBQAAAAA=&#10;">
                        <v:fill on="f" focussize="0,0"/>
                        <v:stroke on="f"/>
                        <v:imagedata o:title=""/>
                        <o:lock v:ext="edit" aspectratio="f"/>
                        <v:textbox>
                          <w:txbxContent>
                            <w:p>
                              <w:pPr>
                                <w:adjustRightInd w:val="0"/>
                                <w:snapToGrid w:val="0"/>
                              </w:pPr>
                              <w:r>
                                <w:rPr>
                                  <w:rFonts w:hint="eastAsia"/>
                                </w:rPr>
                                <w:t>24</w:t>
                              </w:r>
                            </w:p>
                          </w:txbxContent>
                        </v:textbox>
                      </v:rect>
                      <v:shape id="_x0000_s1026" o:spid="_x0000_s1026" o:spt="38" type="#_x0000_t38" style="position:absolute;left:1792605;top:207645;flip:y;height:114300;width:368300;" filled="f" stroked="t" coordsize="21600,21600" o:gfxdata="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JrFtePVAAAABQEAAA8AAAAAAAAAAQAgAAAAIgAAAGRycy9kb3ducmV2LnhtbFBLAQIU&#10;ABQAAAAIAIdO4kBSOhadLwIAADEEAAAOAAAAAAAAAAEAIAAAACQBAABkcnMvZTJvRG9jLnhtbFBL&#10;BQYAAAAABgAGAFkBAADFBQAAAAA=&#10;" adj="10818">
                        <v:fill on="f" focussize="0,0"/>
                        <v:stroke color="#000000" joinstyle="round" dashstyle="dash" endarrow="block"/>
                        <v:imagedata o:title=""/>
                        <o:lock v:ext="edit" aspectratio="f"/>
                      </v:shape>
                      <v:rect id="_x0000_s1026" o:spid="_x0000_s1026" o:spt="1" style="position:absolute;left:2164715;top:78740;height:266700;width:571500;" filled="f" stroked="f" coordsize="21600,21600" o:gfxdata="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AasgcL1wAA&#10;AAUBAAAPAAAAAAAAAAEAIAAAACIAAABkcnMvZG93bnJldi54bWxQSwECFAAUAAAACACHTuJABTNl&#10;FK0BAABOAwAADgAAAAAAAAABACAAAAAmAQAAZHJzL2Uyb0RvYy54bWxQSwUGAAAAAAYABgBZAQAA&#10;RQUAAAAA&#10;">
                        <v:fill on="f" focussize="0,0"/>
                        <v:stroke on="f"/>
                        <v:imagedata o:title=""/>
                        <o:lock v:ext="edit" aspectratio="f"/>
                        <v:textbox>
                          <w:txbxContent>
                            <w:p>
                              <w:pPr>
                                <w:adjustRightInd w:val="0"/>
                                <w:snapToGrid w:val="0"/>
                              </w:pPr>
                              <w:r>
                                <w:rPr>
                                  <w:rFonts w:hint="eastAsia"/>
                                </w:rPr>
                                <w:t>0.48</w:t>
                              </w:r>
                            </w:p>
                          </w:txbxContent>
                        </v:textbox>
                      </v:rect>
                      <v:line id="_x0000_s1026" o:spid="_x0000_s1026" o:spt="20" style="position:absolute;left:2482215;top:1288415;height:2540;width:401955;" filled="f" stroked="t" coordsize="21600,21600" o:gfxdata="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&#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JfCmhTYAAAABQEAAA8AAAAAAAAAAQAgAAAAIgAAAGRy&#10;cy9kb3ducmV2LnhtbFBLAQIUABQAAAAIAIdO4kBbEjYNBQIAAO4DAAAOAAAAAAAAAAEAIAAAACcB&#10;AABkcnMvZTJvRG9jLnhtbFBLBQYAAAAABgAGAFkBAACeBQAAAAA=&#10;">
                        <v:fill on="f" focussize="0,0"/>
                        <v:stroke color="#000000" joinstyle="round" endarrow="block"/>
                        <v:imagedata o:title=""/>
                        <o:lock v:ext="edit" aspectratio="f"/>
                      </v:line>
                      <v:line id="_x0000_s1026" o:spid="_x0000_s1026" o:spt="20" style="position:absolute;left:3768725;top:1286510;height:2540;width:401955;" filled="f" stroked="t" coordsize="21600,21600" o:gfxdata="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JfCmhTYAAAABQEAAA8AAAAAAAAAAQAgAAAAIgAAAGRy&#10;cy9kb3ducmV2LnhtbFBLAQIUABQAAAAIAIdO4kBlqS5hBQIAAO4DAAAOAAAAAAAAAAEAIAAAACcB&#10;AABkcnMvZTJvRG9jLnhtbFBLBQYAAAAABgAGAFkBAACeBQAAAAA=&#10;">
                        <v:fill on="f" focussize="0,0"/>
                        <v:stroke color="#000000" joinstyle="round" endarrow="block"/>
                        <v:imagedata o:title=""/>
                        <o:lock v:ext="edit" aspectratio="f"/>
                      </v:line>
                      <v:rect id="_x0000_s1026" o:spid="_x0000_s1026" o:spt="1" style="position:absolute;left:4173220;top:1056005;height:478155;width:902970;" fillcolor="#FFFFFF" filled="t" stroked="t" coordsize="21600,21600" o:gfxdata="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39Id3tUAAAAFAQAADwAAAAAAAAABACAA&#10;AAAiAAAAZHJzL2Rvd25yZXYueG1sUEsBAhQAFAAAAAgAh07iQNSVD2EQAgAAOAQAAA4AAAAAAAAA&#10;AQAgAAAAJAEAAGRycy9lMm9Eb2MueG1sUEsFBgAAAAAGAAYAWQEAAKYFAAAAAA==&#10;">
                        <v:fill on="t" focussize="0,0"/>
                        <v:stroke color="#000000" joinstyle="miter"/>
                        <v:imagedata o:title=""/>
                        <o:lock v:ext="edit" aspectratio="f"/>
                        <v:textbox>
                          <w:txbxContent>
                            <w:p>
                              <w:pPr>
                                <w:adjustRightInd w:val="0"/>
                                <w:snapToGrid w:val="0"/>
                              </w:pPr>
                              <w:r>
                                <w:rPr>
                                  <w:rFonts w:hint="eastAsia"/>
                                </w:rPr>
                                <w:t>杨侨镇生活污水处理厂</w:t>
                              </w:r>
                            </w:p>
                          </w:txbxContent>
                        </v:textbox>
                      </v:rect>
                      <v:rect id="_x0000_s1026" o:spid="_x0000_s1026" o:spt="1" style="position:absolute;left:2491105;top:1041400;height:245110;width:416560;" filled="f" stroked="f" coordsize="21600,21600" o:gfxdata="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GrIHC9cA&#10;AAAFAQAADwAAAAAAAAABACAAAAAiAAAAZHJzL2Rvd25yZXYueG1sUEsBAhQAFAAAAAgAh07iQDiG&#10;LHGuAQAAUAMAAA4AAAAAAAAAAQAgAAAAJgEAAGRycy9lMm9Eb2MueG1sUEsFBgAAAAAGAAYAWQEA&#10;AEYFAAAAAA==&#10;">
                        <v:fill on="f" focussize="0,0"/>
                        <v:stroke on="f"/>
                        <v:imagedata o:title=""/>
                        <o:lock v:ext="edit" aspectratio="f"/>
                        <v:textbox>
                          <w:txbxContent>
                            <w:p>
                              <w:pPr>
                                <w:adjustRightInd w:val="0"/>
                                <w:snapToGrid w:val="0"/>
                              </w:pPr>
                              <w:r>
                                <w:rPr>
                                  <w:rFonts w:hint="eastAsia"/>
                                </w:rPr>
                                <w:t>8.9</w:t>
                              </w:r>
                            </w:p>
                          </w:txbxContent>
                        </v:textbox>
                      </v:rect>
                      <v:rect id="_x0000_s1026" o:spid="_x0000_s1026" o:spt="1" style="position:absolute;left:3776345;top:1038225;height:245110;width:429260;" filled="f" stroked="f" coordsize="21600,21600" o:gfxdata="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GrIH&#10;C9cAAAAFAQAADwAAAAAAAAABACAAAAAiAAAAZHJzL2Rvd25yZXYueG1sUEsBAhQAFAAAAAgAh07i&#10;QK1PNpSxAQAAUAMAAA4AAAAAAAAAAQAgAAAAJgEAAGRycy9lMm9Eb2MueG1sUEsFBgAAAAAGAAYA&#10;WQEAAEkFAAAAAA==&#10;">
                        <v:fill on="f" focussize="0,0"/>
                        <v:stroke on="f"/>
                        <v:imagedata o:title=""/>
                        <o:lock v:ext="edit" aspectratio="f"/>
                        <v:textbox>
                          <w:txbxContent>
                            <w:p>
                              <w:pPr>
                                <w:adjustRightInd w:val="0"/>
                                <w:snapToGrid w:val="0"/>
                              </w:pPr>
                              <w:r>
                                <w:rPr>
                                  <w:rFonts w:hint="eastAsia"/>
                                </w:rPr>
                                <w:t>8.9</w:t>
                              </w:r>
                            </w:p>
                          </w:txbxContent>
                        </v:textbox>
                      </v:rect>
                      <v:shape id="_x0000_s1026" o:spid="_x0000_s1026" o:spt="38" type="#_x0000_t38" style="position:absolute;left:1750060;top:1047750;flip:y;height:114300;width:368300;" filled="f" stroked="t" coordsize="21600,21600" o:gfxdata="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msW149UAAAAFAQAADwAAAAAAAAABACAAAAAiAAAAZHJzL2Rvd25yZXYueG1sUEsBAhQAFAAA&#10;AAgAh07iQBLDhq8rAgAAMgQAAA4AAAAAAAAAAQAgAAAAJAEAAGRycy9lMm9Eb2MueG1sUEsFBgAA&#10;AAAGAAYAWQEAAMEFAAAAAA==&#10;" adj="10818">
                        <v:fill on="f" focussize="0,0"/>
                        <v:stroke color="#000000" joinstyle="round" dashstyle="dash" endarrow="block"/>
                        <v:imagedata o:title=""/>
                        <o:lock v:ext="edit" aspectratio="f"/>
                      </v:shape>
                      <v:rect id="_x0000_s1026" o:spid="_x0000_s1026" o:spt="1" style="position:absolute;left:2124075;top:929005;height:245110;width:383540;" filled="f" stroked="f" coordsize="21600,21600" o:gfxdata="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AasgcL&#10;1wAAAAUBAAAPAAAAAAAAAAEAIAAAACIAAABkcnMvZG93bnJldi54bWxQSwECFAAUAAAACACHTuJA&#10;W0FoFbABAABPAwAADgAAAAAAAAABACAAAAAmAQAAZHJzL2Uyb0RvYy54bWxQSwUGAAAAAAYABgBZ&#10;AQAASAUAAAAA&#10;">
                        <v:fill on="f" focussize="0,0"/>
                        <v:stroke on="f"/>
                        <v:imagedata o:title=""/>
                        <o:lock v:ext="edit" aspectratio="f"/>
                        <v:textbox>
                          <w:txbxContent>
                            <w:p>
                              <w:pPr>
                                <w:adjustRightInd w:val="0"/>
                                <w:snapToGrid w:val="0"/>
                              </w:pPr>
                              <w:r>
                                <w:rPr>
                                  <w:rFonts w:hint="eastAsia"/>
                                </w:rPr>
                                <w:t>0.9</w:t>
                              </w:r>
                            </w:p>
                          </w:txbxContent>
                        </v:textbox>
                      </v:rect>
                      <v:rect id="_x0000_s1026" o:spid="_x0000_s1026" o:spt="1" style="position:absolute;left:1077595;top:992505;height:273050;width:346075;" filled="f" stroked="f" coordsize="21600,21600" o:gfxdata="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AasgcL&#10;1wAAAAUBAAAPAAAAAAAAAAEAIAAAACIAAABkcnMvZG93bnJldi54bWxQSwECFAAUAAAACACHTuJA&#10;z2xYKrABAABNAwAADgAAAAAAAAABACAAAAAmAQAAZHJzL2Uyb0RvYy54bWxQSwUGAAAAAAYABgBZ&#10;AQAASAUAAAAA&#10;">
                        <v:fill on="f" focussize="0,0"/>
                        <v:stroke on="f"/>
                        <v:imagedata o:title=""/>
                        <o:lock v:ext="edit" aspectratio="f"/>
                        <v:textbox>
                          <w:txbxContent>
                            <w:p>
                              <w:pPr>
                                <w:adjustRightInd w:val="0"/>
                                <w:snapToGrid w:val="0"/>
                              </w:pPr>
                              <w:r>
                                <w:rPr>
                                  <w:rFonts w:hint="eastAsia"/>
                                </w:rPr>
                                <w:t>9</w:t>
                              </w:r>
                            </w:p>
                            <w:p>
                              <w:pPr>
                                <w:pStyle w:val="106"/>
                                <w:jc w:val="both"/>
                              </w:pPr>
                            </w:p>
                          </w:txbxContent>
                        </v:textbox>
                      </v:rect>
                      <v:rect id="_x0000_s1026" o:spid="_x0000_s1026" o:spt="1" style="position:absolute;left:1069340;top:162560;height:273050;width:431800;" filled="f" stroked="f" coordsize="21600,21600" o:gfxdata="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AasgcL1wAA&#10;AAUBAAAPAAAAAAAAAAEAIAAAACIAAABkcnMvZG93bnJldi54bWxQSwECFAAUAAAACACHTuJAkVhP&#10;8q0BAABNAwAADgAAAAAAAAABACAAAAAmAQAAZHJzL2Uyb0RvYy54bWxQSwUGAAAAAAYABgBZAQAA&#10;RQUAAAAA&#10;">
                        <v:fill on="f" focussize="0,0"/>
                        <v:stroke on="f"/>
                        <v:imagedata o:title=""/>
                        <o:lock v:ext="edit" aspectratio="f"/>
                        <v:textbox>
                          <w:txbxContent>
                            <w:p>
                              <w:pPr>
                                <w:adjustRightInd w:val="0"/>
                                <w:snapToGrid w:val="0"/>
                              </w:pPr>
                              <w:r>
                                <w:rPr>
                                  <w:rFonts w:hint="eastAsia"/>
                                </w:rPr>
                                <w:t>0.48</w:t>
                              </w:r>
                            </w:p>
                            <w:p>
                              <w:pPr>
                                <w:pStyle w:val="106"/>
                                <w:jc w:val="both"/>
                              </w:pPr>
                            </w:p>
                          </w:txbxContent>
                        </v:textbox>
                      </v:rect>
                      <w10:wrap type="none"/>
                      <w10:anchorlock/>
                    </v:group>
                  </w:pict>
                </mc:Fallback>
              </mc:AlternateContent>
            </w:r>
          </w:p>
          <w:p>
            <w:pPr>
              <w:widowControl/>
              <w:adjustRightInd w:val="0"/>
              <w:snapToGrid w:val="0"/>
              <w:spacing w:line="360" w:lineRule="auto"/>
              <w:jc w:val="center"/>
              <w:rPr>
                <w:b/>
                <w:color w:val="auto"/>
              </w:rPr>
            </w:pPr>
            <w:r>
              <w:rPr>
                <w:b/>
                <w:color w:val="auto"/>
              </w:rPr>
              <w:t>图2-1 项目水平衡示意图 单位m</w:t>
            </w:r>
            <w:r>
              <w:rPr>
                <w:b/>
                <w:color w:val="auto"/>
                <w:vertAlign w:val="superscript"/>
              </w:rPr>
              <w:t>3</w:t>
            </w:r>
            <w:r>
              <w:rPr>
                <w:b/>
                <w:color w:val="auto"/>
              </w:rPr>
              <w:t>/d</w:t>
            </w:r>
          </w:p>
          <w:p>
            <w:pPr>
              <w:widowControl/>
              <w:numPr>
                <w:ilvl w:val="0"/>
                <w:numId w:val="13"/>
              </w:numPr>
              <w:adjustRightInd w:val="0"/>
              <w:snapToGrid w:val="0"/>
              <w:spacing w:line="360" w:lineRule="auto"/>
              <w:ind w:firstLine="422" w:firstLineChars="200"/>
              <w:rPr>
                <w:b/>
                <w:color w:val="auto"/>
              </w:rPr>
            </w:pPr>
            <w:r>
              <w:rPr>
                <w:b/>
                <w:color w:val="auto"/>
              </w:rPr>
              <w:t>供电</w:t>
            </w:r>
          </w:p>
          <w:p>
            <w:pPr>
              <w:widowControl/>
              <w:adjustRightInd w:val="0"/>
              <w:snapToGrid w:val="0"/>
              <w:spacing w:line="360" w:lineRule="auto"/>
              <w:ind w:firstLine="420" w:firstLineChars="200"/>
              <w:rPr>
                <w:color w:val="auto"/>
              </w:rPr>
            </w:pPr>
            <w:r>
              <w:rPr>
                <w:rFonts w:hint="eastAsia" w:cs="宋体"/>
                <w:color w:val="auto"/>
                <w:lang w:bidi="ar"/>
              </w:rPr>
              <w:t>本项目用电由当地市政电网供应，年用电量约120万kw•h</w:t>
            </w:r>
            <w:r>
              <w:rPr>
                <w:color w:val="auto"/>
              </w:rPr>
              <w:t>。</w:t>
            </w:r>
          </w:p>
          <w:p>
            <w:pPr>
              <w:widowControl/>
              <w:spacing w:line="360" w:lineRule="auto"/>
              <w:ind w:firstLine="422" w:firstLineChars="200"/>
              <w:rPr>
                <w:b/>
                <w:bCs/>
                <w:color w:val="auto"/>
              </w:rPr>
            </w:pPr>
            <w:r>
              <w:rPr>
                <w:b/>
                <w:bCs/>
                <w:color w:val="auto"/>
              </w:rPr>
              <w:t>7、劳动定员及工作制度</w:t>
            </w:r>
          </w:p>
          <w:p>
            <w:pPr>
              <w:adjustRightInd w:val="0"/>
              <w:snapToGrid w:val="0"/>
              <w:spacing w:line="360" w:lineRule="auto"/>
              <w:ind w:firstLine="420" w:firstLineChars="200"/>
              <w:jc w:val="left"/>
              <w:rPr>
                <w:color w:val="auto"/>
              </w:rPr>
            </w:pPr>
            <w:r>
              <w:rPr>
                <w:color w:val="auto"/>
              </w:rPr>
              <w:t>本项目员工</w:t>
            </w:r>
            <w:r>
              <w:rPr>
                <w:rFonts w:hint="eastAsia"/>
                <w:color w:val="auto"/>
              </w:rPr>
              <w:t>180</w:t>
            </w:r>
            <w:r>
              <w:rPr>
                <w:color w:val="auto"/>
              </w:rPr>
              <w:t>人，均在厂内食宿，日</w:t>
            </w:r>
            <w:r>
              <w:rPr>
                <w:rFonts w:hint="eastAsia"/>
                <w:color w:val="auto"/>
              </w:rPr>
              <w:t>工作8</w:t>
            </w:r>
            <w:r>
              <w:rPr>
                <w:color w:val="auto"/>
              </w:rPr>
              <w:t>小时，年运行</w:t>
            </w:r>
            <w:r>
              <w:rPr>
                <w:rFonts w:hint="eastAsia"/>
                <w:color w:val="auto"/>
              </w:rPr>
              <w:t>300</w:t>
            </w:r>
            <w:r>
              <w:rPr>
                <w:color w:val="auto"/>
              </w:rPr>
              <w:t>天。</w:t>
            </w:r>
          </w:p>
          <w:p>
            <w:pPr>
              <w:spacing w:line="360" w:lineRule="auto"/>
              <w:ind w:firstLine="422" w:firstLineChars="200"/>
              <w:jc w:val="left"/>
              <w:rPr>
                <w:color w:val="auto"/>
              </w:rPr>
            </w:pPr>
            <w:r>
              <w:rPr>
                <w:b/>
                <w:bCs/>
                <w:color w:val="auto"/>
              </w:rPr>
              <w:t>8、四置情况及平面布局</w:t>
            </w:r>
          </w:p>
          <w:p>
            <w:pPr>
              <w:tabs>
                <w:tab w:val="left" w:pos="5109"/>
              </w:tabs>
              <w:adjustRightInd w:val="0"/>
              <w:snapToGrid w:val="0"/>
              <w:spacing w:line="360" w:lineRule="auto"/>
              <w:ind w:firstLine="420" w:firstLineChars="200"/>
              <w:rPr>
                <w:color w:val="auto"/>
              </w:rPr>
            </w:pPr>
            <w:r>
              <w:rPr>
                <w:color w:val="auto"/>
              </w:rPr>
              <w:t>本项目位于惠州市博罗县</w:t>
            </w:r>
            <w:r>
              <w:rPr>
                <w:rFonts w:hint="eastAsia"/>
                <w:color w:val="auto"/>
              </w:rPr>
              <w:t>杨侨镇大坑办事处桔子路武高段（土名）</w:t>
            </w:r>
            <w:r>
              <w:rPr>
                <w:color w:val="auto"/>
              </w:rPr>
              <w:t>。项目</w:t>
            </w:r>
            <w:r>
              <w:rPr>
                <w:rFonts w:hint="eastAsia"/>
                <w:color w:val="auto"/>
              </w:rPr>
              <w:t>西</w:t>
            </w:r>
            <w:r>
              <w:rPr>
                <w:color w:val="auto"/>
              </w:rPr>
              <w:t>北面</w:t>
            </w:r>
            <w:r>
              <w:rPr>
                <w:rFonts w:hint="eastAsia"/>
                <w:color w:val="auto"/>
                <w:lang w:val="en-US" w:eastAsia="zh-CN"/>
              </w:rPr>
              <w:t>42</w:t>
            </w:r>
            <w:r>
              <w:rPr>
                <w:color w:val="auto"/>
              </w:rPr>
              <w:t>米为</w:t>
            </w:r>
            <w:r>
              <w:rPr>
                <w:rFonts w:hint="eastAsia"/>
                <w:color w:val="auto"/>
              </w:rPr>
              <w:t>废弃办公楼</w:t>
            </w:r>
            <w:r>
              <w:rPr>
                <w:color w:val="auto"/>
              </w:rPr>
              <w:t>；西</w:t>
            </w:r>
            <w:r>
              <w:rPr>
                <w:rFonts w:hint="eastAsia"/>
                <w:color w:val="auto"/>
              </w:rPr>
              <w:t>南</w:t>
            </w:r>
            <w:r>
              <w:rPr>
                <w:color w:val="auto"/>
              </w:rPr>
              <w:t>面</w:t>
            </w:r>
            <w:r>
              <w:rPr>
                <w:rFonts w:hint="eastAsia"/>
                <w:color w:val="auto"/>
                <w:lang w:val="en-US" w:eastAsia="zh-CN"/>
              </w:rPr>
              <w:t>7米</w:t>
            </w:r>
            <w:r>
              <w:rPr>
                <w:rFonts w:hint="eastAsia"/>
                <w:color w:val="auto"/>
              </w:rPr>
              <w:t>为宝信达（惠州）包装制品有限公司</w:t>
            </w:r>
            <w:r>
              <w:rPr>
                <w:color w:val="auto"/>
              </w:rPr>
              <w:t>；东</w:t>
            </w:r>
            <w:r>
              <w:rPr>
                <w:rFonts w:hint="eastAsia"/>
                <w:color w:val="auto"/>
              </w:rPr>
              <w:t>北</w:t>
            </w:r>
            <w:r>
              <w:rPr>
                <w:color w:val="auto"/>
              </w:rPr>
              <w:t>面</w:t>
            </w:r>
            <w:r>
              <w:rPr>
                <w:rFonts w:hint="eastAsia"/>
                <w:color w:val="auto"/>
                <w:lang w:val="en-US" w:eastAsia="zh-CN"/>
              </w:rPr>
              <w:t>31米</w:t>
            </w:r>
            <w:r>
              <w:rPr>
                <w:rFonts w:hint="eastAsia"/>
                <w:color w:val="auto"/>
              </w:rPr>
              <w:t>为惠州市金宣发智能包装科技有限公司</w:t>
            </w:r>
            <w:r>
              <w:rPr>
                <w:color w:val="auto"/>
              </w:rPr>
              <w:t>；</w:t>
            </w:r>
            <w:r>
              <w:rPr>
                <w:rFonts w:hint="eastAsia"/>
                <w:color w:val="auto"/>
              </w:rPr>
              <w:t>东南</w:t>
            </w:r>
            <w:r>
              <w:rPr>
                <w:color w:val="auto"/>
              </w:rPr>
              <w:t>面</w:t>
            </w:r>
            <w:r>
              <w:rPr>
                <w:rFonts w:hint="eastAsia"/>
                <w:color w:val="auto"/>
                <w:lang w:val="en-US" w:eastAsia="zh-CN"/>
              </w:rPr>
              <w:t>9米</w:t>
            </w:r>
            <w:r>
              <w:rPr>
                <w:color w:val="auto"/>
              </w:rPr>
              <w:t>为</w:t>
            </w:r>
            <w:r>
              <w:rPr>
                <w:rFonts w:hint="eastAsia"/>
                <w:color w:val="auto"/>
              </w:rPr>
              <w:t>广东宝丽虹新材料有限公司</w:t>
            </w:r>
            <w:r>
              <w:rPr>
                <w:color w:val="auto"/>
              </w:rPr>
              <w:t>。项目卫星影像及四至情况见附图2，现场勘查见附图3，项目总平面布置图见附图4，车间平面布局见附图5、附图6。</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693" w:hRule="atLeast"/>
          <w:jc w:val="center"/>
        </w:trPr>
        <w:tc>
          <w:tcPr>
            <w:tcW w:w="233" w:type="pct"/>
            <w:vAlign w:val="center"/>
          </w:tcPr>
          <w:p>
            <w:pPr>
              <w:pStyle w:val="85"/>
              <w:adjustRightInd w:val="0"/>
              <w:snapToGrid w:val="0"/>
              <w:spacing w:before="0" w:beforeAutospacing="0" w:after="0" w:afterAutospacing="0"/>
              <w:jc w:val="center"/>
              <w:rPr>
                <w:rFonts w:ascii="Times New Roman" w:hAnsi="Times New Roman"/>
                <w:color w:val="auto"/>
                <w:sz w:val="21"/>
                <w:szCs w:val="21"/>
              </w:rPr>
            </w:pPr>
            <w:r>
              <w:rPr>
                <w:rFonts w:ascii="Times New Roman" w:hAnsi="Times New Roman"/>
                <w:color w:val="auto"/>
                <w:sz w:val="21"/>
                <w:szCs w:val="21"/>
              </w:rPr>
              <w:t>工艺流程和产排污环节</w:t>
            </w:r>
          </w:p>
        </w:tc>
        <w:tc>
          <w:tcPr>
            <w:tcW w:w="4766" w:type="pct"/>
          </w:tcPr>
          <w:p>
            <w:pPr>
              <w:autoSpaceDE w:val="0"/>
              <w:autoSpaceDN w:val="0"/>
              <w:adjustRightInd w:val="0"/>
              <w:snapToGrid w:val="0"/>
              <w:spacing w:before="120" w:beforeLines="50" w:line="360" w:lineRule="auto"/>
              <w:rPr>
                <w:b/>
                <w:color w:val="auto"/>
              </w:rPr>
            </w:pPr>
            <w:r>
              <w:rPr>
                <w:rFonts w:hint="eastAsia"/>
                <w:b/>
                <w:color w:val="auto"/>
              </w:rPr>
              <w:t>生产工艺流程</w:t>
            </w:r>
          </w:p>
          <w:p>
            <w:pPr>
              <w:adjustRightInd w:val="0"/>
              <w:snapToGrid w:val="0"/>
              <w:spacing w:line="360" w:lineRule="auto"/>
              <w:ind w:firstLine="422" w:firstLineChars="200"/>
              <w:rPr>
                <w:b/>
                <w:bCs/>
                <w:color w:val="auto"/>
              </w:rPr>
            </w:pPr>
            <w:r>
              <w:rPr>
                <w:rFonts w:hint="eastAsia"/>
                <w:b/>
                <w:bCs/>
                <w:color w:val="auto"/>
              </w:rPr>
              <w:t>一、施工期</w:t>
            </w:r>
          </w:p>
          <w:p>
            <w:pPr>
              <w:adjustRightInd w:val="0"/>
              <w:snapToGrid w:val="0"/>
              <w:spacing w:line="360" w:lineRule="auto"/>
              <w:ind w:firstLine="420" w:firstLineChars="200"/>
              <w:rPr>
                <w:bCs/>
                <w:color w:val="auto"/>
              </w:rPr>
            </w:pPr>
            <w:r>
              <w:rPr>
                <w:rFonts w:hint="eastAsia"/>
                <w:bCs/>
                <w:color w:val="auto"/>
              </w:rPr>
              <w:t>本项目施工期工艺主要包括简单的土建施工和设备安装。施工工艺如下：</w:t>
            </w:r>
          </w:p>
          <w:p>
            <w:pPr>
              <w:autoSpaceDE w:val="0"/>
              <w:autoSpaceDN w:val="0"/>
              <w:adjustRightInd w:val="0"/>
              <w:snapToGrid w:val="0"/>
              <w:spacing w:before="120" w:beforeLines="50" w:line="360" w:lineRule="auto"/>
              <w:ind w:firstLine="482"/>
              <w:jc w:val="center"/>
              <w:rPr>
                <w:b/>
                <w:color w:val="auto"/>
              </w:rPr>
            </w:pPr>
            <w:r>
              <w:rPr>
                <w:color w:val="auto"/>
              </w:rPr>
              <mc:AlternateContent>
                <mc:Choice Requires="wpc">
                  <w:drawing>
                    <wp:inline distT="0" distB="0" distL="114300" distR="114300">
                      <wp:extent cx="4852035" cy="1708150"/>
                      <wp:effectExtent l="0" t="0" r="0" b="0"/>
                      <wp:docPr id="142" name="画布 142"/>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w="9525" cap="flat" cmpd="sng">
                                <a:noFill/>
                                <a:prstDash val="solid"/>
                                <a:miter/>
                                <a:headEnd type="none" w="med" len="med"/>
                                <a:tailEnd type="none" w="med" len="med"/>
                              </a:ln>
                            </wpc:whole>
                            <wps:wsp>
                              <wps:cNvPr id="100" name="文本框 100"/>
                              <wps:cNvSpPr txBox="1"/>
                              <wps:spPr>
                                <a:xfrm>
                                  <a:off x="168275" y="498475"/>
                                  <a:ext cx="730250" cy="315595"/>
                                </a:xfrm>
                                <a:prstGeom prst="rect">
                                  <a:avLst/>
                                </a:prstGeom>
                                <a:noFill/>
                                <a:ln w="6350" cap="flat" cmpd="sng">
                                  <a:solidFill>
                                    <a:srgbClr val="000000"/>
                                  </a:solidFill>
                                  <a:prstDash val="solid"/>
                                  <a:miter/>
                                  <a:headEnd type="none" w="med" len="med"/>
                                  <a:tailEnd type="none" w="med" len="med"/>
                                </a:ln>
                              </wps:spPr>
                              <wps:txbx>
                                <w:txbxContent>
                                  <w:p>
                                    <w:pPr>
                                      <w:jc w:val="center"/>
                                      <w:rPr>
                                        <w:szCs w:val="21"/>
                                      </w:rPr>
                                    </w:pPr>
                                    <w:r>
                                      <w:rPr>
                                        <w:rFonts w:hint="eastAsia"/>
                                        <w:szCs w:val="21"/>
                                      </w:rPr>
                                      <w:t>场地</w:t>
                                    </w:r>
                                    <w:r>
                                      <w:rPr>
                                        <w:szCs w:val="21"/>
                                      </w:rPr>
                                      <w:t>平整</w:t>
                                    </w:r>
                                  </w:p>
                                </w:txbxContent>
                              </wps:txbx>
                              <wps:bodyPr upright="1"/>
                            </wps:wsp>
                            <wps:wsp>
                              <wps:cNvPr id="101" name="直接箭头连接符 101"/>
                              <wps:cNvCnPr/>
                              <wps:spPr>
                                <a:xfrm>
                                  <a:off x="902335" y="660400"/>
                                  <a:ext cx="215900" cy="1270"/>
                                </a:xfrm>
                                <a:prstGeom prst="straightConnector1">
                                  <a:avLst/>
                                </a:prstGeom>
                                <a:ln w="6350" cap="flat" cmpd="sng">
                                  <a:solidFill>
                                    <a:srgbClr val="000000"/>
                                  </a:solidFill>
                                  <a:prstDash val="solid"/>
                                  <a:headEnd type="none" w="med" len="med"/>
                                  <a:tailEnd type="triangle" w="med" len="med"/>
                                </a:ln>
                              </wps:spPr>
                              <wps:bodyPr/>
                            </wps:wsp>
                            <wps:wsp>
                              <wps:cNvPr id="102" name="文本框 102"/>
                              <wps:cNvSpPr txBox="1"/>
                              <wps:spPr>
                                <a:xfrm>
                                  <a:off x="134620" y="1116330"/>
                                  <a:ext cx="896620" cy="318770"/>
                                </a:xfrm>
                                <a:prstGeom prst="rect">
                                  <a:avLst/>
                                </a:prstGeom>
                                <a:noFill/>
                                <a:ln w="6350" cap="flat" cmpd="sng">
                                  <a:solidFill>
                                    <a:srgbClr val="000000"/>
                                  </a:solidFill>
                                  <a:prstDash val="dash"/>
                                  <a:miter/>
                                  <a:headEnd type="none" w="med" len="med"/>
                                  <a:tailEnd type="none" w="med" len="med"/>
                                </a:ln>
                              </wps:spPr>
                              <wps:txbx>
                                <w:txbxContent>
                                  <w:p>
                                    <w:pPr>
                                      <w:rPr>
                                        <w:szCs w:val="21"/>
                                      </w:rPr>
                                    </w:pPr>
                                    <w:r>
                                      <w:rPr>
                                        <w:rFonts w:hint="eastAsia"/>
                                        <w:szCs w:val="21"/>
                                      </w:rPr>
                                      <w:t>扬尘、</w:t>
                                    </w:r>
                                    <w:r>
                                      <w:rPr>
                                        <w:szCs w:val="21"/>
                                      </w:rPr>
                                      <w:t>噪声</w:t>
                                    </w:r>
                                  </w:p>
                                  <w:p/>
                                </w:txbxContent>
                              </wps:txbx>
                              <wps:bodyPr upright="1"/>
                            </wps:wsp>
                            <wps:wsp>
                              <wps:cNvPr id="116" name="文本框 116"/>
                              <wps:cNvSpPr txBox="1"/>
                              <wps:spPr>
                                <a:xfrm>
                                  <a:off x="1115695" y="502285"/>
                                  <a:ext cx="730250" cy="315595"/>
                                </a:xfrm>
                                <a:prstGeom prst="rect">
                                  <a:avLst/>
                                </a:prstGeom>
                                <a:noFill/>
                                <a:ln w="6350" cap="flat" cmpd="sng">
                                  <a:solidFill>
                                    <a:srgbClr val="000000"/>
                                  </a:solidFill>
                                  <a:prstDash val="solid"/>
                                  <a:miter/>
                                  <a:headEnd type="none" w="med" len="med"/>
                                  <a:tailEnd type="none" w="med" len="med"/>
                                </a:ln>
                              </wps:spPr>
                              <wps:txbx>
                                <w:txbxContent>
                                  <w:p>
                                    <w:pPr>
                                      <w:jc w:val="center"/>
                                      <w:rPr>
                                        <w:szCs w:val="21"/>
                                      </w:rPr>
                                    </w:pPr>
                                    <w:r>
                                      <w:rPr>
                                        <w:rFonts w:hint="eastAsia"/>
                                        <w:szCs w:val="21"/>
                                      </w:rPr>
                                      <w:t>基础施</w:t>
                                    </w:r>
                                    <w:r>
                                      <w:rPr>
                                        <w:szCs w:val="21"/>
                                      </w:rPr>
                                      <w:t>工</w:t>
                                    </w:r>
                                  </w:p>
                                </w:txbxContent>
                              </wps:txbx>
                              <wps:bodyPr upright="1"/>
                            </wps:wsp>
                            <wps:wsp>
                              <wps:cNvPr id="121" name="直接箭头连接符 121"/>
                              <wps:cNvCnPr/>
                              <wps:spPr>
                                <a:xfrm>
                                  <a:off x="1874520" y="661670"/>
                                  <a:ext cx="215900" cy="1270"/>
                                </a:xfrm>
                                <a:prstGeom prst="straightConnector1">
                                  <a:avLst/>
                                </a:prstGeom>
                                <a:ln w="6350" cap="flat" cmpd="sng">
                                  <a:solidFill>
                                    <a:srgbClr val="000000"/>
                                  </a:solidFill>
                                  <a:prstDash val="solid"/>
                                  <a:headEnd type="none" w="med" len="med"/>
                                  <a:tailEnd type="triangle" w="med" len="med"/>
                                </a:ln>
                              </wps:spPr>
                              <wps:bodyPr/>
                            </wps:wsp>
                            <wps:wsp>
                              <wps:cNvPr id="122" name="文本框 122"/>
                              <wps:cNvSpPr txBox="1"/>
                              <wps:spPr>
                                <a:xfrm>
                                  <a:off x="2102485" y="502920"/>
                                  <a:ext cx="730250" cy="315595"/>
                                </a:xfrm>
                                <a:prstGeom prst="rect">
                                  <a:avLst/>
                                </a:prstGeom>
                                <a:noFill/>
                                <a:ln w="6350" cap="flat" cmpd="sng">
                                  <a:solidFill>
                                    <a:srgbClr val="000000"/>
                                  </a:solidFill>
                                  <a:prstDash val="solid"/>
                                  <a:miter/>
                                  <a:headEnd type="none" w="med" len="med"/>
                                  <a:tailEnd type="none" w="med" len="med"/>
                                </a:ln>
                              </wps:spPr>
                              <wps:txbx>
                                <w:txbxContent>
                                  <w:p>
                                    <w:pPr>
                                      <w:jc w:val="center"/>
                                      <w:rPr>
                                        <w:szCs w:val="21"/>
                                      </w:rPr>
                                    </w:pPr>
                                    <w:r>
                                      <w:rPr>
                                        <w:rFonts w:hint="eastAsia"/>
                                        <w:szCs w:val="21"/>
                                      </w:rPr>
                                      <w:t>主体施</w:t>
                                    </w:r>
                                    <w:r>
                                      <w:rPr>
                                        <w:szCs w:val="21"/>
                                      </w:rPr>
                                      <w:t>工</w:t>
                                    </w:r>
                                  </w:p>
                                </w:txbxContent>
                              </wps:txbx>
                              <wps:bodyPr upright="1"/>
                            </wps:wsp>
                            <wps:wsp>
                              <wps:cNvPr id="123" name="直接箭头连接符 123"/>
                              <wps:cNvCnPr/>
                              <wps:spPr>
                                <a:xfrm>
                                  <a:off x="2816860" y="659130"/>
                                  <a:ext cx="215900" cy="1270"/>
                                </a:xfrm>
                                <a:prstGeom prst="straightConnector1">
                                  <a:avLst/>
                                </a:prstGeom>
                                <a:ln w="6350" cap="flat" cmpd="sng">
                                  <a:solidFill>
                                    <a:srgbClr val="000000"/>
                                  </a:solidFill>
                                  <a:prstDash val="solid"/>
                                  <a:headEnd type="none" w="med" len="med"/>
                                  <a:tailEnd type="triangle" w="med" len="med"/>
                                </a:ln>
                              </wps:spPr>
                              <wps:bodyPr/>
                            </wps:wsp>
                            <wps:wsp>
                              <wps:cNvPr id="124" name="文本框 124"/>
                              <wps:cNvSpPr txBox="1"/>
                              <wps:spPr>
                                <a:xfrm>
                                  <a:off x="3014345" y="508635"/>
                                  <a:ext cx="730250" cy="315595"/>
                                </a:xfrm>
                                <a:prstGeom prst="rect">
                                  <a:avLst/>
                                </a:prstGeom>
                                <a:noFill/>
                                <a:ln w="6350" cap="flat" cmpd="sng">
                                  <a:solidFill>
                                    <a:srgbClr val="000000"/>
                                  </a:solidFill>
                                  <a:prstDash val="solid"/>
                                  <a:miter/>
                                  <a:headEnd type="none" w="med" len="med"/>
                                  <a:tailEnd type="none" w="med" len="med"/>
                                </a:ln>
                              </wps:spPr>
                              <wps:txbx>
                                <w:txbxContent>
                                  <w:p>
                                    <w:pPr>
                                      <w:jc w:val="center"/>
                                      <w:rPr>
                                        <w:szCs w:val="21"/>
                                      </w:rPr>
                                    </w:pPr>
                                    <w:r>
                                      <w:rPr>
                                        <w:rFonts w:hint="eastAsia"/>
                                        <w:szCs w:val="21"/>
                                      </w:rPr>
                                      <w:t>装修工</w:t>
                                    </w:r>
                                    <w:r>
                                      <w:rPr>
                                        <w:szCs w:val="21"/>
                                      </w:rPr>
                                      <w:t>程</w:t>
                                    </w:r>
                                  </w:p>
                                </w:txbxContent>
                              </wps:txbx>
                              <wps:bodyPr upright="1"/>
                            </wps:wsp>
                            <wps:wsp>
                              <wps:cNvPr id="126" name="直接箭头连接符 126"/>
                              <wps:cNvCnPr/>
                              <wps:spPr>
                                <a:xfrm>
                                  <a:off x="3744595" y="662940"/>
                                  <a:ext cx="215900" cy="1270"/>
                                </a:xfrm>
                                <a:prstGeom prst="straightConnector1">
                                  <a:avLst/>
                                </a:prstGeom>
                                <a:ln w="6350" cap="flat" cmpd="sng">
                                  <a:solidFill>
                                    <a:srgbClr val="000000"/>
                                  </a:solidFill>
                                  <a:prstDash val="solid"/>
                                  <a:headEnd type="none" w="med" len="med"/>
                                  <a:tailEnd type="triangle" w="med" len="med"/>
                                </a:ln>
                              </wps:spPr>
                              <wps:bodyPr/>
                            </wps:wsp>
                            <wps:wsp>
                              <wps:cNvPr id="127" name="文本框 127"/>
                              <wps:cNvSpPr txBox="1"/>
                              <wps:spPr>
                                <a:xfrm>
                                  <a:off x="3942080" y="512445"/>
                                  <a:ext cx="730250" cy="315595"/>
                                </a:xfrm>
                                <a:prstGeom prst="rect">
                                  <a:avLst/>
                                </a:prstGeom>
                                <a:noFill/>
                                <a:ln w="6350" cap="flat" cmpd="sng">
                                  <a:solidFill>
                                    <a:srgbClr val="000000"/>
                                  </a:solidFill>
                                  <a:prstDash val="solid"/>
                                  <a:miter/>
                                  <a:headEnd type="none" w="med" len="med"/>
                                  <a:tailEnd type="none" w="med" len="med"/>
                                </a:ln>
                              </wps:spPr>
                              <wps:txbx>
                                <w:txbxContent>
                                  <w:p>
                                    <w:pPr>
                                      <w:jc w:val="center"/>
                                      <w:rPr>
                                        <w:szCs w:val="21"/>
                                      </w:rPr>
                                    </w:pPr>
                                    <w:r>
                                      <w:rPr>
                                        <w:rFonts w:hint="eastAsia"/>
                                        <w:szCs w:val="21"/>
                                      </w:rPr>
                                      <w:t>设备安</w:t>
                                    </w:r>
                                    <w:r>
                                      <w:rPr>
                                        <w:szCs w:val="21"/>
                                      </w:rPr>
                                      <w:t>装</w:t>
                                    </w:r>
                                  </w:p>
                                </w:txbxContent>
                              </wps:txbx>
                              <wps:bodyPr upright="1"/>
                            </wps:wsp>
                            <wps:wsp>
                              <wps:cNvPr id="128" name="直接箭头连接符 128"/>
                              <wps:cNvCnPr/>
                              <wps:spPr>
                                <a:xfrm>
                                  <a:off x="495300" y="828040"/>
                                  <a:ext cx="121285" cy="257175"/>
                                </a:xfrm>
                                <a:prstGeom prst="straightConnector1">
                                  <a:avLst/>
                                </a:prstGeom>
                                <a:ln w="6350" cap="flat" cmpd="sng">
                                  <a:solidFill>
                                    <a:srgbClr val="000000"/>
                                  </a:solidFill>
                                  <a:prstDash val="dash"/>
                                  <a:headEnd type="none" w="med" len="med"/>
                                  <a:tailEnd type="triangle" w="med" len="med"/>
                                </a:ln>
                              </wps:spPr>
                              <wps:bodyPr/>
                            </wps:wsp>
                            <wps:wsp>
                              <wps:cNvPr id="129" name="文本框 129"/>
                              <wps:cNvSpPr txBox="1"/>
                              <wps:spPr>
                                <a:xfrm>
                                  <a:off x="1511300" y="1116330"/>
                                  <a:ext cx="1351280" cy="318770"/>
                                </a:xfrm>
                                <a:prstGeom prst="rect">
                                  <a:avLst/>
                                </a:prstGeom>
                                <a:noFill/>
                                <a:ln w="6350" cap="flat" cmpd="sng">
                                  <a:solidFill>
                                    <a:srgbClr val="000000"/>
                                  </a:solidFill>
                                  <a:prstDash val="dash"/>
                                  <a:miter/>
                                  <a:headEnd type="none" w="med" len="med"/>
                                  <a:tailEnd type="none" w="med" len="med"/>
                                </a:ln>
                              </wps:spPr>
                              <wps:txbx>
                                <w:txbxContent>
                                  <w:p>
                                    <w:pPr>
                                      <w:rPr>
                                        <w:szCs w:val="21"/>
                                      </w:rPr>
                                    </w:pPr>
                                    <w:r>
                                      <w:rPr>
                                        <w:rFonts w:hint="eastAsia"/>
                                        <w:szCs w:val="21"/>
                                      </w:rPr>
                                      <w:t>废水、</w:t>
                                    </w:r>
                                    <w:r>
                                      <w:rPr>
                                        <w:szCs w:val="21"/>
                                      </w:rPr>
                                      <w:t>固</w:t>
                                    </w:r>
                                    <w:r>
                                      <w:rPr>
                                        <w:rFonts w:hint="eastAsia"/>
                                        <w:szCs w:val="21"/>
                                      </w:rPr>
                                      <w:t>废、</w:t>
                                    </w:r>
                                    <w:r>
                                      <w:rPr>
                                        <w:szCs w:val="21"/>
                                      </w:rPr>
                                      <w:t>噪声</w:t>
                                    </w:r>
                                  </w:p>
                                  <w:p/>
                                </w:txbxContent>
                              </wps:txbx>
                              <wps:bodyPr upright="1"/>
                            </wps:wsp>
                            <wps:wsp>
                              <wps:cNvPr id="131" name="直接箭头连接符 131"/>
                              <wps:cNvCnPr/>
                              <wps:spPr>
                                <a:xfrm>
                                  <a:off x="1551305" y="824230"/>
                                  <a:ext cx="121285" cy="257175"/>
                                </a:xfrm>
                                <a:prstGeom prst="straightConnector1">
                                  <a:avLst/>
                                </a:prstGeom>
                                <a:ln w="6350" cap="flat" cmpd="sng">
                                  <a:solidFill>
                                    <a:srgbClr val="000000"/>
                                  </a:solidFill>
                                  <a:prstDash val="dash"/>
                                  <a:headEnd type="none" w="med" len="med"/>
                                  <a:tailEnd type="triangle" w="med" len="med"/>
                                </a:ln>
                              </wps:spPr>
                              <wps:bodyPr/>
                            </wps:wsp>
                            <wps:wsp>
                              <wps:cNvPr id="135" name="直接箭头连接符 135"/>
                              <wps:cNvCnPr/>
                              <wps:spPr>
                                <a:xfrm>
                                  <a:off x="2357755" y="828040"/>
                                  <a:ext cx="121285" cy="257175"/>
                                </a:xfrm>
                                <a:prstGeom prst="straightConnector1">
                                  <a:avLst/>
                                </a:prstGeom>
                                <a:ln w="6350" cap="flat" cmpd="sng">
                                  <a:solidFill>
                                    <a:srgbClr val="000000"/>
                                  </a:solidFill>
                                  <a:prstDash val="dash"/>
                                  <a:headEnd type="none" w="med" len="med"/>
                                  <a:tailEnd type="triangle" w="med" len="med"/>
                                </a:ln>
                              </wps:spPr>
                              <wps:bodyPr/>
                            </wps:wsp>
                            <wps:wsp>
                              <wps:cNvPr id="136" name="文本框 136"/>
                              <wps:cNvSpPr txBox="1"/>
                              <wps:spPr>
                                <a:xfrm>
                                  <a:off x="3157220" y="1108075"/>
                                  <a:ext cx="1351280" cy="318770"/>
                                </a:xfrm>
                                <a:prstGeom prst="rect">
                                  <a:avLst/>
                                </a:prstGeom>
                                <a:noFill/>
                                <a:ln w="6350" cap="flat" cmpd="sng">
                                  <a:solidFill>
                                    <a:srgbClr val="000000"/>
                                  </a:solidFill>
                                  <a:prstDash val="dash"/>
                                  <a:miter/>
                                  <a:headEnd type="none" w="med" len="med"/>
                                  <a:tailEnd type="none" w="med" len="med"/>
                                </a:ln>
                              </wps:spPr>
                              <wps:txbx>
                                <w:txbxContent>
                                  <w:p>
                                    <w:pPr>
                                      <w:rPr>
                                        <w:szCs w:val="21"/>
                                      </w:rPr>
                                    </w:pPr>
                                    <w:r>
                                      <w:rPr>
                                        <w:rFonts w:hint="eastAsia"/>
                                        <w:szCs w:val="21"/>
                                      </w:rPr>
                                      <w:t>废气、</w:t>
                                    </w:r>
                                    <w:r>
                                      <w:rPr>
                                        <w:szCs w:val="21"/>
                                      </w:rPr>
                                      <w:t>固</w:t>
                                    </w:r>
                                    <w:r>
                                      <w:rPr>
                                        <w:rFonts w:hint="eastAsia"/>
                                        <w:szCs w:val="21"/>
                                      </w:rPr>
                                      <w:t>废、</w:t>
                                    </w:r>
                                    <w:r>
                                      <w:rPr>
                                        <w:szCs w:val="21"/>
                                      </w:rPr>
                                      <w:t>噪声</w:t>
                                    </w:r>
                                  </w:p>
                                  <w:p/>
                                </w:txbxContent>
                              </wps:txbx>
                              <wps:bodyPr upright="1"/>
                            </wps:wsp>
                            <wps:wsp>
                              <wps:cNvPr id="138" name="直接箭头连接符 138"/>
                              <wps:cNvCnPr/>
                              <wps:spPr>
                                <a:xfrm>
                                  <a:off x="3361055" y="828040"/>
                                  <a:ext cx="121285" cy="257175"/>
                                </a:xfrm>
                                <a:prstGeom prst="straightConnector1">
                                  <a:avLst/>
                                </a:prstGeom>
                                <a:ln w="6350" cap="flat" cmpd="sng">
                                  <a:solidFill>
                                    <a:srgbClr val="000000"/>
                                  </a:solidFill>
                                  <a:prstDash val="dash"/>
                                  <a:headEnd type="none" w="med" len="med"/>
                                  <a:tailEnd type="triangle" w="med" len="med"/>
                                </a:ln>
                              </wps:spPr>
                              <wps:bodyPr/>
                            </wps:wsp>
                            <wps:wsp>
                              <wps:cNvPr id="141" name="直接箭头连接符 141"/>
                              <wps:cNvCnPr/>
                              <wps:spPr>
                                <a:xfrm>
                                  <a:off x="4167505" y="831850"/>
                                  <a:ext cx="121285" cy="257175"/>
                                </a:xfrm>
                                <a:prstGeom prst="straightConnector1">
                                  <a:avLst/>
                                </a:prstGeom>
                                <a:ln w="6350" cap="flat" cmpd="sng">
                                  <a:solidFill>
                                    <a:srgbClr val="000000"/>
                                  </a:solidFill>
                                  <a:prstDash val="dash"/>
                                  <a:headEnd type="none" w="med" len="med"/>
                                  <a:tailEnd type="triangle" w="med" len="med"/>
                                </a:ln>
                              </wps:spPr>
                              <wps:bodyPr/>
                            </wps:wsp>
                          </wpc:wpc>
                        </a:graphicData>
                      </a:graphic>
                    </wp:inline>
                  </w:drawing>
                </mc:Choice>
                <mc:Fallback>
                  <w:pict>
                    <v:group id="_x0000_s1026" o:spid="_x0000_s1026" o:spt="203" style="height:134.5pt;width:382.05pt;" coordsize="4852035,1708150" editas="canvas" o:gfxdata="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">
                      <o:lock v:ext="edit" aspectratio="f"/>
                      <v:shape id="_x0000_s1026" o:spid="_x0000_s1026" style="position:absolute;left:0;top:0;height:1708150;width:4852035;" filled="f" stroked="f" coordsize="21600,21600" o:gfxdata="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">
                        <v:fill on="f" focussize="0,0"/>
                        <v:stroke on="f" joinstyle="miter"/>
                        <v:imagedata o:title=""/>
                        <o:lock v:ext="edit" aspectratio="t"/>
                      </v:shape>
                      <v:shape id="_x0000_s1026" o:spid="_x0000_s1026" o:spt="202" type="#_x0000_t202" style="position:absolute;left:168275;top:498475;height:315595;width:730250;" filled="f" stroked="t" coordsize="21600,21600" o:gfxdata="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DiPVGM1wAAAAUBAAAPAAAAAAAAAAEA&#10;IAAAACIAAABkcnMvZG93bnJldi54bWxQSwECFAAUAAAACACHTuJAzCxEDxACAAAaBAAADgAAAAAA&#10;AAABACAAAAAmAQAAZHJzL2Uyb0RvYy54bWxQSwUGAAAAAAYABgBZAQAAqAUAAAAA&#10;">
                        <v:fill on="f" focussize="0,0"/>
                        <v:stroke weight="0.5pt" color="#000000" joinstyle="miter"/>
                        <v:imagedata o:title=""/>
                        <o:lock v:ext="edit" aspectratio="f"/>
                        <v:textbox>
                          <w:txbxContent>
                            <w:p>
                              <w:pPr>
                                <w:jc w:val="center"/>
                                <w:rPr>
                                  <w:szCs w:val="21"/>
                                </w:rPr>
                              </w:pPr>
                              <w:r>
                                <w:rPr>
                                  <w:rFonts w:hint="eastAsia"/>
                                  <w:szCs w:val="21"/>
                                </w:rPr>
                                <w:t>场地</w:t>
                              </w:r>
                              <w:r>
                                <w:rPr>
                                  <w:szCs w:val="21"/>
                                </w:rPr>
                                <w:t>平整</w:t>
                              </w:r>
                            </w:p>
                          </w:txbxContent>
                        </v:textbox>
                      </v:shape>
                      <v:shape id="_x0000_s1026" o:spid="_x0000_s1026" o:spt="32" type="#_x0000_t32" style="position:absolute;left:902335;top:660400;height:1270;width:215900;" filled="f" stroked="t" coordsize="21600,21600" o:gfxdata="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0DSaWdUAAAAFAQAADwAAAAAAAAAB&#10;ACAAAAAiAAAAZHJzL2Rvd25yZXYueG1sUEsBAhQAFAAAAAgAh07iQJFKiOgTAgAAAAQAAA4AAAAA&#10;AAAAAQAgAAAAJAEAAGRycy9lMm9Eb2MueG1sUEsFBgAAAAAGAAYAWQEAAKkFAAAAAA==&#10;">
                        <v:fill on="f" focussize="0,0"/>
                        <v:stroke weight="0.5pt" color="#000000" joinstyle="round" endarrow="block"/>
                        <v:imagedata o:title=""/>
                        <o:lock v:ext="edit" aspectratio="f"/>
                      </v:shape>
                      <v:shape id="_x0000_s1026" o:spid="_x0000_s1026" o:spt="202" type="#_x0000_t202" style="position:absolute;left:134620;top:1116330;height:318770;width:896620;" filled="f" stroked="t" coordsize="21600,21600" o:gfxdata="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jqhJXtYAAAAFAQAADwAAAAAAAAABACAA&#10;AAAiAAAAZHJzL2Rvd25yZXYueG1sUEsBAhQAFAAAAAgAh07iQFfLsSIPAgAAGgQAAA4AAAAAAAAA&#10;AQAgAAAAJQEAAGRycy9lMm9Eb2MueG1sUEsFBgAAAAAGAAYAWQEAAKYFAAAAAA==&#10;">
                        <v:fill on="f" focussize="0,0"/>
                        <v:stroke weight="0.5pt" color="#000000" joinstyle="miter" dashstyle="dash"/>
                        <v:imagedata o:title=""/>
                        <o:lock v:ext="edit" aspectratio="f"/>
                        <v:textbox>
                          <w:txbxContent>
                            <w:p>
                              <w:pPr>
                                <w:rPr>
                                  <w:szCs w:val="21"/>
                                </w:rPr>
                              </w:pPr>
                              <w:r>
                                <w:rPr>
                                  <w:rFonts w:hint="eastAsia"/>
                                  <w:szCs w:val="21"/>
                                </w:rPr>
                                <w:t>扬尘、</w:t>
                              </w:r>
                              <w:r>
                                <w:rPr>
                                  <w:szCs w:val="21"/>
                                </w:rPr>
                                <w:t>噪声</w:t>
                              </w:r>
                            </w:p>
                            <w:p/>
                          </w:txbxContent>
                        </v:textbox>
                      </v:shape>
                      <v:shape id="_x0000_s1026" o:spid="_x0000_s1026" o:spt="202" type="#_x0000_t202" style="position:absolute;left:1115695;top:502285;height:315595;width:730250;" filled="f" stroked="t" coordsize="21600,21600" o:gfxdata="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DiPVGM1wAAAAUBAAAPAAAAAAAAAAEAIAAA&#10;ACIAAABkcnMvZG93bnJldi54bWxQSwECFAAUAAAACACHTuJAnwYPiQ0CAAAbBAAADgAAAAAAAAAB&#10;ACAAAAAmAQAAZHJzL2Uyb0RvYy54bWxQSwUGAAAAAAYABgBZAQAApQUAAAAA&#10;">
                        <v:fill on="f" focussize="0,0"/>
                        <v:stroke weight="0.5pt" color="#000000" joinstyle="miter"/>
                        <v:imagedata o:title=""/>
                        <o:lock v:ext="edit" aspectratio="f"/>
                        <v:textbox>
                          <w:txbxContent>
                            <w:p>
                              <w:pPr>
                                <w:jc w:val="center"/>
                                <w:rPr>
                                  <w:szCs w:val="21"/>
                                </w:rPr>
                              </w:pPr>
                              <w:r>
                                <w:rPr>
                                  <w:rFonts w:hint="eastAsia"/>
                                  <w:szCs w:val="21"/>
                                </w:rPr>
                                <w:t>基础施</w:t>
                              </w:r>
                              <w:r>
                                <w:rPr>
                                  <w:szCs w:val="21"/>
                                </w:rPr>
                                <w:t>工</w:t>
                              </w:r>
                            </w:p>
                          </w:txbxContent>
                        </v:textbox>
                      </v:shape>
                      <v:shape id="_x0000_s1026" o:spid="_x0000_s1026" o:spt="32" type="#_x0000_t32" style="position:absolute;left:1874520;top:661670;height:1270;width:215900;" filled="f" stroked="t" coordsize="21600,21600" o:gfxdata="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DQNJpZ1QAAAAUBAAAPAAAAAAAAAAEA&#10;IAAAACIAAABkcnMvZG93bnJldi54bWxQSwECFAAUAAAACACHTuJAJSx6mBICAAABBAAADgAAAAAA&#10;AAABACAAAAAkAQAAZHJzL2Uyb0RvYy54bWxQSwUGAAAAAAYABgBZAQAAqAUAAAAA&#10;">
                        <v:fill on="f" focussize="0,0"/>
                        <v:stroke weight="0.5pt" color="#000000" joinstyle="round" endarrow="block"/>
                        <v:imagedata o:title=""/>
                        <o:lock v:ext="edit" aspectratio="f"/>
                      </v:shape>
                      <v:shape id="_x0000_s1026" o:spid="_x0000_s1026" o:spt="202" type="#_x0000_t202" style="position:absolute;left:2102485;top:502920;height:315595;width:730250;" filled="f" stroked="t" coordsize="21600,21600" o:gfxdata="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DiPVGM1wAAAAUBAAAPAAAAAAAAAAEA&#10;IAAAACIAAABkcnMvZG93bnJldi54bWxQSwECFAAUAAAACACHTuJAjnKvURACAAAbBAAADgAAAAAA&#10;AAABACAAAAAmAQAAZHJzL2Uyb0RvYy54bWxQSwUGAAAAAAYABgBZAQAAqAUAAAAA&#10;">
                        <v:fill on="f" focussize="0,0"/>
                        <v:stroke weight="0.5pt" color="#000000" joinstyle="miter"/>
                        <v:imagedata o:title=""/>
                        <o:lock v:ext="edit" aspectratio="f"/>
                        <v:textbox>
                          <w:txbxContent>
                            <w:p>
                              <w:pPr>
                                <w:jc w:val="center"/>
                                <w:rPr>
                                  <w:szCs w:val="21"/>
                                </w:rPr>
                              </w:pPr>
                              <w:r>
                                <w:rPr>
                                  <w:rFonts w:hint="eastAsia"/>
                                  <w:szCs w:val="21"/>
                                </w:rPr>
                                <w:t>主体施</w:t>
                              </w:r>
                              <w:r>
                                <w:rPr>
                                  <w:szCs w:val="21"/>
                                </w:rPr>
                                <w:t>工</w:t>
                              </w:r>
                            </w:p>
                          </w:txbxContent>
                        </v:textbox>
                      </v:shape>
                      <v:shape id="_x0000_s1026" o:spid="_x0000_s1026" o:spt="32" type="#_x0000_t32" style="position:absolute;left:2816860;top:659130;height:1270;width:215900;" filled="f" stroked="t" coordsize="21600,21600" o:gfxdata="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0DSaWdUAAAAFAQAADwAAAAAAAAAB&#10;ACAAAAAiAAAAZHJzL2Rvd25yZXYueG1sUEsBAhQAFAAAAAgAh07iQPky+WsTAgAAAQQAAA4AAAAA&#10;AAAAAQAgAAAAJAEAAGRycy9lMm9Eb2MueG1sUEsFBgAAAAAGAAYAWQEAAKkFAAAAAA==&#10;">
                        <v:fill on="f" focussize="0,0"/>
                        <v:stroke weight="0.5pt" color="#000000" joinstyle="round" endarrow="block"/>
                        <v:imagedata o:title=""/>
                        <o:lock v:ext="edit" aspectratio="f"/>
                      </v:shape>
                      <v:shape id="_x0000_s1026" o:spid="_x0000_s1026" o:spt="202" type="#_x0000_t202" style="position:absolute;left:3014345;top:508635;height:315595;width:730250;" filled="f" stroked="t" coordsize="21600,21600" o:gfxdata="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OI9UYzXAAAABQEAAA8AAAAAAAAA&#10;AQAgAAAAIgAAAGRycy9kb3ducmV2LnhtbFBLAQIUABQAAAAIAIdO4kAP5kD1EgIAABsEAAAOAAAA&#10;AAAAAAEAIAAAACYBAABkcnMvZTJvRG9jLnhtbFBLBQYAAAAABgAGAFkBAACqBQAAAAA=&#10;">
                        <v:fill on="f" focussize="0,0"/>
                        <v:stroke weight="0.5pt" color="#000000" joinstyle="miter"/>
                        <v:imagedata o:title=""/>
                        <o:lock v:ext="edit" aspectratio="f"/>
                        <v:textbox>
                          <w:txbxContent>
                            <w:p>
                              <w:pPr>
                                <w:jc w:val="center"/>
                                <w:rPr>
                                  <w:szCs w:val="21"/>
                                </w:rPr>
                              </w:pPr>
                              <w:r>
                                <w:rPr>
                                  <w:rFonts w:hint="eastAsia"/>
                                  <w:szCs w:val="21"/>
                                </w:rPr>
                                <w:t>装修工</w:t>
                              </w:r>
                              <w:r>
                                <w:rPr>
                                  <w:szCs w:val="21"/>
                                </w:rPr>
                                <w:t>程</w:t>
                              </w:r>
                            </w:p>
                          </w:txbxContent>
                        </v:textbox>
                      </v:shape>
                      <v:shape id="_x0000_s1026" o:spid="_x0000_s1026" o:spt="32" type="#_x0000_t32" style="position:absolute;left:3744595;top:662940;height:1270;width:215900;" filled="f" stroked="t" coordsize="21600,21600" o:gfxdata="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0DSaWdUAAAAFAQAADwAAAAAA&#10;AAABACAAAAAiAAAAZHJzL2Rvd25yZXYueG1sUEsBAhQAFAAAAAgAh07iQLdCAqAWAgAAAQQAAA4A&#10;AAAAAAAAAQAgAAAAJAEAAGRycy9lMm9Eb2MueG1sUEsFBgAAAAAGAAYAWQEAAKwFAAAAAA==&#10;">
                        <v:fill on="f" focussize="0,0"/>
                        <v:stroke weight="0.5pt" color="#000000" joinstyle="round" endarrow="block"/>
                        <v:imagedata o:title=""/>
                        <o:lock v:ext="edit" aspectratio="f"/>
                      </v:shape>
                      <v:shape id="_x0000_s1026" o:spid="_x0000_s1026" o:spt="202" type="#_x0000_t202" style="position:absolute;left:3942080;top:512445;height:315595;width:730250;" filled="f" stroked="t" coordsize="21600,21600" o:gfxdata="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4j1RjNcAAAAFAQAADwAAAAAAAAAB&#10;ACAAAAAiAAAAZHJzL2Rvd25yZXYueG1sUEsBAhQAFAAAAAgAh07iQADwySURAgAAGwQAAA4AAAAA&#10;AAAAAQAgAAAAJgEAAGRycy9lMm9Eb2MueG1sUEsFBgAAAAAGAAYAWQEAAKkFAAAAAA==&#10;">
                        <v:fill on="f" focussize="0,0"/>
                        <v:stroke weight="0.5pt" color="#000000" joinstyle="miter"/>
                        <v:imagedata o:title=""/>
                        <o:lock v:ext="edit" aspectratio="f"/>
                        <v:textbox>
                          <w:txbxContent>
                            <w:p>
                              <w:pPr>
                                <w:jc w:val="center"/>
                                <w:rPr>
                                  <w:szCs w:val="21"/>
                                </w:rPr>
                              </w:pPr>
                              <w:r>
                                <w:rPr>
                                  <w:rFonts w:hint="eastAsia"/>
                                  <w:szCs w:val="21"/>
                                </w:rPr>
                                <w:t>设备安</w:t>
                              </w:r>
                              <w:r>
                                <w:rPr>
                                  <w:szCs w:val="21"/>
                                </w:rPr>
                                <w:t>装</w:t>
                              </w:r>
                            </w:p>
                          </w:txbxContent>
                        </v:textbox>
                      </v:shape>
                      <v:shape id="_x0000_s1026" o:spid="_x0000_s1026" o:spt="32" type="#_x0000_t32" style="position:absolute;left:495300;top:828040;height:257175;width:121285;" filled="f" stroked="t" coordsize="21600,21600" o:gfxdata="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DVgLs/XAAAABQEAAA8AAAAA&#10;AAAAAQAgAAAAIgAAAGRycy9kb3ducmV2LnhtbFBLAQIUABQAAAAIAIdO4kBSZMJ1FQIAAAEEAAAO&#10;AAAAAAAAAAEAIAAAACYBAABkcnMvZTJvRG9jLnhtbFBLBQYAAAAABgAGAFkBAACtBQAAAAA=&#10;">
                        <v:fill on="f" focussize="0,0"/>
                        <v:stroke weight="0.5pt" color="#000000" joinstyle="round" dashstyle="dash" endarrow="block"/>
                        <v:imagedata o:title=""/>
                        <o:lock v:ext="edit" aspectratio="f"/>
                      </v:shape>
                      <v:shape id="_x0000_s1026" o:spid="_x0000_s1026" o:spt="202" type="#_x0000_t202" style="position:absolute;left:1511300;top:1116330;height:318770;width:1351280;" filled="f" stroked="t" coordsize="21600,21600" o:gfxdata="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OqEle1gAAAAUBAAAPAAAAAAAAAAEA&#10;IAAAACIAAABkcnMvZG93bnJldi54bWxQSwECFAAUAAAACACHTuJAMR7PDxECAAAcBAAADgAAAAAA&#10;AAABACAAAAAlAQAAZHJzL2Uyb0RvYy54bWxQSwUGAAAAAAYABgBZAQAAqAUAAAAA&#10;">
                        <v:fill on="f" focussize="0,0"/>
                        <v:stroke weight="0.5pt" color="#000000" joinstyle="miter" dashstyle="dash"/>
                        <v:imagedata o:title=""/>
                        <o:lock v:ext="edit" aspectratio="f"/>
                        <v:textbox>
                          <w:txbxContent>
                            <w:p>
                              <w:pPr>
                                <w:rPr>
                                  <w:szCs w:val="21"/>
                                </w:rPr>
                              </w:pPr>
                              <w:r>
                                <w:rPr>
                                  <w:rFonts w:hint="eastAsia"/>
                                  <w:szCs w:val="21"/>
                                </w:rPr>
                                <w:t>废水、</w:t>
                              </w:r>
                              <w:r>
                                <w:rPr>
                                  <w:szCs w:val="21"/>
                                </w:rPr>
                                <w:t>固</w:t>
                              </w:r>
                              <w:r>
                                <w:rPr>
                                  <w:rFonts w:hint="eastAsia"/>
                                  <w:szCs w:val="21"/>
                                </w:rPr>
                                <w:t>废、</w:t>
                              </w:r>
                              <w:r>
                                <w:rPr>
                                  <w:szCs w:val="21"/>
                                </w:rPr>
                                <w:t>噪声</w:t>
                              </w:r>
                            </w:p>
                            <w:p/>
                          </w:txbxContent>
                        </v:textbox>
                      </v:shape>
                      <v:shape id="_x0000_s1026" o:spid="_x0000_s1026" o:spt="32" type="#_x0000_t32" style="position:absolute;left:1551305;top:824230;height:257175;width:121285;" filled="f" stroked="t" coordsize="21600,21600" o:gfxdata="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NWAuz9cAAAAFAQAADwAAAAAA&#10;AAABACAAAAAiAAAAZHJzL2Rvd25yZXYueG1sUEsBAhQAFAAAAAgAh07iQE/W0lgUAgAAAgQAAA4A&#10;AAAAAAAAAQAgAAAAJgEAAGRycy9lMm9Eb2MueG1sUEsFBgAAAAAGAAYAWQEAAKwFAAAAAA==&#10;">
                        <v:fill on="f" focussize="0,0"/>
                        <v:stroke weight="0.5pt" color="#000000" joinstyle="round" dashstyle="dash" endarrow="block"/>
                        <v:imagedata o:title=""/>
                        <o:lock v:ext="edit" aspectratio="f"/>
                      </v:shape>
                      <v:shape id="_x0000_s1026" o:spid="_x0000_s1026" o:spt="32" type="#_x0000_t32" style="position:absolute;left:2357755;top:828040;height:257175;width:121285;" filled="f" stroked="t" coordsize="21600,21600" o:gfxdata="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DVgLs/XAAAABQEAAA8A&#10;AAAAAAAAAQAgAAAAIgAAAGRycy9kb3ducmV2LnhtbFBLAQIUABQAAAAIAIdO4kB1/SEJGAIAAAIE&#10;AAAOAAAAAAAAAAEAIAAAACYBAABkcnMvZTJvRG9jLnhtbFBLBQYAAAAABgAGAFkBAACwBQAAAAA=&#10;">
                        <v:fill on="f" focussize="0,0"/>
                        <v:stroke weight="0.5pt" color="#000000" joinstyle="round" dashstyle="dash" endarrow="block"/>
                        <v:imagedata o:title=""/>
                        <o:lock v:ext="edit" aspectratio="f"/>
                      </v:shape>
                      <v:shape id="_x0000_s1026" o:spid="_x0000_s1026" o:spt="202" type="#_x0000_t202" style="position:absolute;left:3157220;top:1108075;height:318770;width:1351280;" filled="f" stroked="t" coordsize="21600,21600" o:gfxdata="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I6oSV7WAAAABQEAAA8AAAAAAAAA&#10;AQAgAAAAIgAAAGRycy9kb3ducmV2LnhtbFBLAQIUABQAAAAIAIdO4kDuIkUVEwIAABwEAAAOAAAA&#10;AAAAAAEAIAAAACUBAABkcnMvZTJvRG9jLnhtbFBLBQYAAAAABgAGAFkBAACqBQAAAAA=&#10;">
                        <v:fill on="f" focussize="0,0"/>
                        <v:stroke weight="0.5pt" color="#000000" joinstyle="miter" dashstyle="dash"/>
                        <v:imagedata o:title=""/>
                        <o:lock v:ext="edit" aspectratio="f"/>
                        <v:textbox>
                          <w:txbxContent>
                            <w:p>
                              <w:pPr>
                                <w:rPr>
                                  <w:szCs w:val="21"/>
                                </w:rPr>
                              </w:pPr>
                              <w:r>
                                <w:rPr>
                                  <w:rFonts w:hint="eastAsia"/>
                                  <w:szCs w:val="21"/>
                                </w:rPr>
                                <w:t>废气、</w:t>
                              </w:r>
                              <w:r>
                                <w:rPr>
                                  <w:szCs w:val="21"/>
                                </w:rPr>
                                <w:t>固</w:t>
                              </w:r>
                              <w:r>
                                <w:rPr>
                                  <w:rFonts w:hint="eastAsia"/>
                                  <w:szCs w:val="21"/>
                                </w:rPr>
                                <w:t>废、</w:t>
                              </w:r>
                              <w:r>
                                <w:rPr>
                                  <w:szCs w:val="21"/>
                                </w:rPr>
                                <w:t>噪声</w:t>
                              </w:r>
                            </w:p>
                            <w:p/>
                          </w:txbxContent>
                        </v:textbox>
                      </v:shape>
                      <v:shape id="_x0000_s1026" o:spid="_x0000_s1026" o:spt="32" type="#_x0000_t32" style="position:absolute;left:3361055;top:828040;height:257175;width:121285;" filled="f" stroked="t" coordsize="21600,21600" o:gfxdata="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A1YC7P1wAAAAUBAAAPAAAA&#10;AAAAAAEAIAAAACIAAABkcnMvZG93bnJldi54bWxQSwECFAAUAAAACACHTuJAKnrWbhYCAAACBAAA&#10;DgAAAAAAAAABACAAAAAmAQAAZHJzL2Uyb0RvYy54bWxQSwUGAAAAAAYABgBZAQAArgUAAAAA&#10;">
                        <v:fill on="f" focussize="0,0"/>
                        <v:stroke weight="0.5pt" color="#000000" joinstyle="round" dashstyle="dash" endarrow="block"/>
                        <v:imagedata o:title=""/>
                        <o:lock v:ext="edit" aspectratio="f"/>
                      </v:shape>
                      <v:shape id="_x0000_s1026" o:spid="_x0000_s1026" o:spt="32" type="#_x0000_t32" style="position:absolute;left:4167505;top:831850;height:257175;width:121285;" filled="f" stroked="t" coordsize="21600,21600" o:gfxdata="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A1YC7P1wAAAAUBAAAPAAAA&#10;AAAAAAEAIAAAACIAAABkcnMvZG93bnJldi54bWxQSwECFAAUAAAACACHTuJA68MDkBYCAAACBAAA&#10;DgAAAAAAAAABACAAAAAmAQAAZHJzL2Uyb0RvYy54bWxQSwUGAAAAAAYABgBZAQAArgUAAAAA&#10;">
                        <v:fill on="f" focussize="0,0"/>
                        <v:stroke weight="0.5pt" color="#000000" joinstyle="round" dashstyle="dash" endarrow="block"/>
                        <v:imagedata o:title=""/>
                        <o:lock v:ext="edit" aspectratio="f"/>
                      </v:shape>
                      <w10:wrap type="none"/>
                      <w10:anchorlock/>
                    </v:group>
                  </w:pict>
                </mc:Fallback>
              </mc:AlternateContent>
            </w:r>
          </w:p>
          <w:p>
            <w:pPr>
              <w:autoSpaceDE w:val="0"/>
              <w:autoSpaceDN w:val="0"/>
              <w:adjustRightInd w:val="0"/>
              <w:jc w:val="center"/>
              <w:rPr>
                <w:b/>
                <w:bCs/>
                <w:color w:val="auto"/>
              </w:rPr>
            </w:pPr>
            <w:r>
              <w:rPr>
                <w:b/>
                <w:bCs/>
                <w:color w:val="auto"/>
              </w:rPr>
              <w:t>图2-</w:t>
            </w:r>
            <w:r>
              <w:rPr>
                <w:rFonts w:hint="eastAsia"/>
                <w:b/>
                <w:bCs/>
                <w:color w:val="auto"/>
              </w:rPr>
              <w:t>2</w:t>
            </w:r>
            <w:r>
              <w:rPr>
                <w:b/>
                <w:bCs/>
                <w:color w:val="auto"/>
              </w:rPr>
              <w:t xml:space="preserve"> </w:t>
            </w:r>
            <w:r>
              <w:rPr>
                <w:rFonts w:hint="eastAsia"/>
                <w:b/>
                <w:bCs/>
                <w:color w:val="auto"/>
              </w:rPr>
              <w:t>施工期</w:t>
            </w:r>
            <w:r>
              <w:rPr>
                <w:b/>
                <w:bCs/>
                <w:color w:val="auto"/>
              </w:rPr>
              <w:t>工艺流程图</w:t>
            </w:r>
          </w:p>
          <w:p>
            <w:pPr>
              <w:adjustRightInd w:val="0"/>
              <w:snapToGrid w:val="0"/>
              <w:spacing w:line="360" w:lineRule="auto"/>
              <w:ind w:firstLine="422" w:firstLineChars="200"/>
              <w:rPr>
                <w:b/>
                <w:bCs/>
                <w:color w:val="auto"/>
              </w:rPr>
            </w:pPr>
            <w:r>
              <w:rPr>
                <w:rFonts w:hint="eastAsia"/>
                <w:b/>
                <w:bCs/>
                <w:color w:val="auto"/>
              </w:rPr>
              <w:t>二、营运期</w:t>
            </w:r>
          </w:p>
          <w:p>
            <w:pPr>
              <w:autoSpaceDE w:val="0"/>
              <w:autoSpaceDN w:val="0"/>
              <w:adjustRightInd w:val="0"/>
              <w:snapToGrid w:val="0"/>
              <w:spacing w:before="120" w:beforeLines="50" w:line="360" w:lineRule="auto"/>
              <w:ind w:firstLine="482"/>
              <w:jc w:val="left"/>
              <w:rPr>
                <w:b/>
                <w:color w:val="auto"/>
              </w:rPr>
            </w:pPr>
            <w:r>
              <w:rPr>
                <w:rFonts w:hint="eastAsia"/>
                <w:color w:val="auto"/>
              </w:rPr>
              <w:t>本</w:t>
            </w:r>
            <w:r>
              <w:rPr>
                <w:color w:val="auto"/>
              </w:rPr>
              <w:t>项目</w:t>
            </w:r>
            <w:r>
              <w:rPr>
                <w:rFonts w:hint="eastAsia"/>
                <w:color w:val="auto"/>
              </w:rPr>
              <w:t>营</w:t>
            </w:r>
            <w:r>
              <w:rPr>
                <w:color w:val="auto"/>
              </w:rPr>
              <w:t>运期生产工艺流程如下图所示：</w:t>
            </w:r>
          </w:p>
          <w:p>
            <w:pPr>
              <w:autoSpaceDE w:val="0"/>
              <w:autoSpaceDN w:val="0"/>
              <w:adjustRightInd w:val="0"/>
              <w:snapToGrid w:val="0"/>
              <w:spacing w:before="120" w:beforeLines="50" w:line="360" w:lineRule="auto"/>
              <w:ind w:firstLine="482"/>
              <w:jc w:val="left"/>
              <w:rPr>
                <w:b/>
                <w:color w:val="auto"/>
              </w:rPr>
            </w:pPr>
            <w:r>
              <w:rPr>
                <w:b/>
                <w:color w:val="auto"/>
              </w:rPr>
              <w:t>1、</w:t>
            </w:r>
            <w:r>
              <w:rPr>
                <w:rFonts w:hint="eastAsia"/>
                <w:b/>
                <w:color w:val="auto"/>
              </w:rPr>
              <w:t>橡胶混炼胶</w:t>
            </w:r>
            <w:r>
              <w:rPr>
                <w:b/>
                <w:color w:val="auto"/>
              </w:rPr>
              <w:t>生产工艺流程及产污环节如下：</w:t>
            </w:r>
          </w:p>
          <w:p>
            <w:pPr>
              <w:autoSpaceDE w:val="0"/>
              <w:autoSpaceDN w:val="0"/>
              <w:adjustRightInd w:val="0"/>
              <w:jc w:val="center"/>
              <w:rPr>
                <w:color w:val="auto"/>
              </w:rPr>
            </w:pPr>
            <w:r>
              <w:rPr>
                <w:color w:val="auto"/>
              </w:rPr>
              <mc:AlternateContent>
                <mc:Choice Requires="wpc">
                  <w:drawing>
                    <wp:inline distT="0" distB="0" distL="114300" distR="114300">
                      <wp:extent cx="5676265" cy="4733925"/>
                      <wp:effectExtent l="0" t="0" r="0" b="0"/>
                      <wp:docPr id="137" name="画布 137"/>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w="9525" cap="flat" cmpd="sng">
                                <a:noFill/>
                                <a:prstDash val="solid"/>
                                <a:miter/>
                                <a:headEnd type="none" w="med" len="med"/>
                                <a:tailEnd type="none" w="med" len="med"/>
                              </a:ln>
                            </wpc:whole>
                            <wps:wsp>
                              <wps:cNvPr id="188" name="文本框 118"/>
                              <wps:cNvSpPr txBox="1">
                                <a:spLocks noChangeArrowheads="1"/>
                              </wps:cNvSpPr>
                              <wps:spPr bwMode="auto">
                                <a:xfrm>
                                  <a:off x="3134995" y="73660"/>
                                  <a:ext cx="722630" cy="276225"/>
                                </a:xfrm>
                                <a:prstGeom prst="rect">
                                  <a:avLst/>
                                </a:prstGeom>
                                <a:noFill/>
                                <a:ln>
                                  <a:noFill/>
                                </a:ln>
                                <a:effectLst/>
                              </wps:spPr>
                              <wps:txbx>
                                <w:txbxContent>
                                  <w:p>
                                    <w:pPr>
                                      <w:adjustRightInd w:val="0"/>
                                      <w:snapToGrid w:val="0"/>
                                      <w:jc w:val="center"/>
                                    </w:pPr>
                                    <w:r>
                                      <w:rPr>
                                        <w:rFonts w:hint="eastAsia"/>
                                        <w:lang w:val="en-US" w:eastAsia="zh-CN"/>
                                      </w:rPr>
                                      <w:t>橡胶</w:t>
                                    </w:r>
                                    <w:r>
                                      <w:rPr>
                                        <w:rFonts w:hint="eastAsia"/>
                                      </w:rPr>
                                      <w:t>生胶</w:t>
                                    </w:r>
                                  </w:p>
                                </w:txbxContent>
                              </wps:txbx>
                              <wps:bodyPr rot="0" vert="horz" wrap="square" lIns="91440" tIns="45720" rIns="91440" bIns="45720" anchor="t" anchorCtr="0" upright="1">
                                <a:noAutofit/>
                              </wps:bodyPr>
                            </wps:wsp>
                            <wps:wsp>
                              <wps:cNvPr id="191" name="文本框 121"/>
                              <wps:cNvSpPr txBox="1">
                                <a:spLocks noChangeArrowheads="1"/>
                              </wps:cNvSpPr>
                              <wps:spPr bwMode="auto">
                                <a:xfrm>
                                  <a:off x="3144520" y="1182370"/>
                                  <a:ext cx="769620" cy="248285"/>
                                </a:xfrm>
                                <a:prstGeom prst="rect">
                                  <a:avLst/>
                                </a:prstGeom>
                                <a:noFill/>
                                <a:ln w="6350">
                                  <a:solidFill>
                                    <a:srgbClr val="000000"/>
                                  </a:solidFill>
                                  <a:miter lim="800000"/>
                                </a:ln>
                                <a:effectLst/>
                              </wps:spPr>
                              <wps:txbx>
                                <w:txbxContent>
                                  <w:p>
                                    <w:pPr>
                                      <w:adjustRightInd w:val="0"/>
                                      <w:snapToGrid w:val="0"/>
                                      <w:jc w:val="center"/>
                                    </w:pPr>
                                    <w:r>
                                      <w:rPr>
                                        <w:rFonts w:hint="eastAsia"/>
                                      </w:rPr>
                                      <w:t>密炼</w:t>
                                    </w:r>
                                  </w:p>
                                </w:txbxContent>
                              </wps:txbx>
                              <wps:bodyPr rot="0" vert="horz" wrap="square" lIns="91440" tIns="45720" rIns="91440" bIns="45720" anchor="t" anchorCtr="0" upright="1">
                                <a:noAutofit/>
                              </wps:bodyPr>
                            </wps:wsp>
                            <wps:wsp>
                              <wps:cNvPr id="194" name="直接箭头连接符 124"/>
                              <wps:cNvCnPr>
                                <a:cxnSpLocks noChangeShapeType="1"/>
                              </wps:cNvCnPr>
                              <wps:spPr bwMode="auto">
                                <a:xfrm flipV="1">
                                  <a:off x="3916680" y="1303655"/>
                                  <a:ext cx="574675" cy="2540"/>
                                </a:xfrm>
                                <a:prstGeom prst="straightConnector1">
                                  <a:avLst/>
                                </a:prstGeom>
                                <a:noFill/>
                                <a:ln w="6350">
                                  <a:solidFill>
                                    <a:srgbClr val="000000"/>
                                  </a:solidFill>
                                  <a:prstDash val="dash"/>
                                  <a:round/>
                                  <a:tailEnd type="triangle" w="med" len="med"/>
                                </a:ln>
                                <a:effectLst/>
                              </wps:spPr>
                              <wps:bodyPr/>
                            </wps:wsp>
                            <wps:wsp>
                              <wps:cNvPr id="198" name="直接箭头连接符 130"/>
                              <wps:cNvCnPr>
                                <a:cxnSpLocks noChangeShapeType="1"/>
                              </wps:cNvCnPr>
                              <wps:spPr bwMode="auto">
                                <a:xfrm>
                                  <a:off x="3518535" y="3101340"/>
                                  <a:ext cx="0" cy="178435"/>
                                </a:xfrm>
                                <a:prstGeom prst="straightConnector1">
                                  <a:avLst/>
                                </a:prstGeom>
                                <a:noFill/>
                                <a:ln w="6350">
                                  <a:solidFill>
                                    <a:srgbClr val="000000"/>
                                  </a:solidFill>
                                  <a:round/>
                                  <a:tailEnd type="triangle" w="med" len="med"/>
                                </a:ln>
                                <a:effectLst/>
                              </wps:spPr>
                              <wps:bodyPr/>
                            </wps:wsp>
                            <wps:wsp>
                              <wps:cNvPr id="220" name="文本框 142"/>
                              <wps:cNvSpPr txBox="1">
                                <a:spLocks noChangeArrowheads="1"/>
                              </wps:cNvSpPr>
                              <wps:spPr bwMode="auto">
                                <a:xfrm>
                                  <a:off x="4445000" y="1175385"/>
                                  <a:ext cx="1193800" cy="495300"/>
                                </a:xfrm>
                                <a:prstGeom prst="rect">
                                  <a:avLst/>
                                </a:prstGeom>
                                <a:noFill/>
                                <a:ln w="6350">
                                  <a:noFill/>
                                  <a:prstDash val="dash"/>
                                  <a:miter lim="800000"/>
                                </a:ln>
                                <a:effectLst/>
                              </wps:spPr>
                              <wps:txbx>
                                <w:txbxContent>
                                  <w:p>
                                    <w:pPr>
                                      <w:jc w:val="left"/>
                                    </w:pPr>
                                    <w:r>
                                      <w:rPr>
                                        <w:rFonts w:hint="eastAsia"/>
                                        <w:color w:val="auto"/>
                                        <w:lang w:val="en-US" w:eastAsia="zh-CN"/>
                                      </w:rPr>
                                      <w:t>粉尘、</w:t>
                                    </w:r>
                                    <w:r>
                                      <w:rPr>
                                        <w:rFonts w:hint="eastAsia"/>
                                        <w:lang w:val="en-US" w:eastAsia="zh-CN"/>
                                      </w:rPr>
                                      <w:t>有机废气、</w:t>
                                    </w:r>
                                    <w:r>
                                      <w:rPr>
                                        <w:rFonts w:hint="eastAsia"/>
                                      </w:rPr>
                                      <w:t>噪声</w:t>
                                    </w:r>
                                  </w:p>
                                </w:txbxContent>
                              </wps:txbx>
                              <wps:bodyPr rot="0" vert="horz" wrap="square" lIns="91440" tIns="45720" rIns="91440" bIns="45720" anchor="t" anchorCtr="0" upright="1">
                                <a:noAutofit/>
                              </wps:bodyPr>
                            </wps:wsp>
                            <wps:wsp>
                              <wps:cNvPr id="34" name="文本框 119"/>
                              <wps:cNvSpPr txBox="1">
                                <a:spLocks noChangeArrowheads="1"/>
                              </wps:cNvSpPr>
                              <wps:spPr bwMode="auto">
                                <a:xfrm>
                                  <a:off x="3147695" y="4298950"/>
                                  <a:ext cx="857250" cy="254000"/>
                                </a:xfrm>
                                <a:prstGeom prst="rect">
                                  <a:avLst/>
                                </a:prstGeom>
                                <a:noFill/>
                                <a:ln w="6350">
                                  <a:noFill/>
                                  <a:prstDash val="dash"/>
                                  <a:miter lim="800000"/>
                                </a:ln>
                                <a:effectLst/>
                              </wps:spPr>
                              <wps:txbx>
                                <w:txbxContent>
                                  <w:p>
                                    <w:pPr>
                                      <w:adjustRightInd w:val="0"/>
                                      <w:snapToGrid w:val="0"/>
                                      <w:jc w:val="left"/>
                                    </w:pPr>
                                    <w:r>
                                      <w:rPr>
                                        <w:rFonts w:hint="eastAsia"/>
                                      </w:rPr>
                                      <w:t>橡胶混炼胶</w:t>
                                    </w:r>
                                  </w:p>
                                </w:txbxContent>
                              </wps:txbx>
                              <wps:bodyPr rot="0" vert="horz" wrap="square" lIns="91440" tIns="45720" rIns="91440" bIns="45720" anchor="t" anchorCtr="0" upright="1">
                                <a:noAutofit/>
                              </wps:bodyPr>
                            </wps:wsp>
                            <wps:wsp>
                              <wps:cNvPr id="46" name="文本框 119"/>
                              <wps:cNvSpPr txBox="1">
                                <a:spLocks noChangeArrowheads="1"/>
                              </wps:cNvSpPr>
                              <wps:spPr bwMode="auto">
                                <a:xfrm>
                                  <a:off x="3968115" y="2666365"/>
                                  <a:ext cx="788670" cy="230505"/>
                                </a:xfrm>
                                <a:prstGeom prst="rect">
                                  <a:avLst/>
                                </a:prstGeom>
                                <a:noFill/>
                                <a:ln w="6350">
                                  <a:noFill/>
                                  <a:prstDash val="dash"/>
                                  <a:miter lim="800000"/>
                                </a:ln>
                                <a:effectLst/>
                              </wps:spPr>
                              <wps:txbx>
                                <w:txbxContent>
                                  <w:p>
                                    <w:pPr>
                                      <w:adjustRightInd w:val="0"/>
                                      <w:snapToGrid w:val="0"/>
                                      <w:jc w:val="left"/>
                                      <w:rPr>
                                        <w:sz w:val="18"/>
                                        <w:szCs w:val="16"/>
                                      </w:rPr>
                                    </w:pPr>
                                    <w:r>
                                      <w:rPr>
                                        <w:rFonts w:hint="eastAsia"/>
                                        <w:sz w:val="18"/>
                                        <w:szCs w:val="16"/>
                                      </w:rPr>
                                      <w:t>循环冷却水</w:t>
                                    </w:r>
                                  </w:p>
                                </w:txbxContent>
                              </wps:txbx>
                              <wps:bodyPr rot="0" vert="horz" wrap="square" lIns="91440" tIns="45720" rIns="91440" bIns="45720" anchor="t" anchorCtr="0" upright="1">
                                <a:noAutofit/>
                              </wps:bodyPr>
                            </wps:wsp>
                            <wps:wsp>
                              <wps:cNvPr id="78" name="直接连接符 78"/>
                              <wps:cNvCnPr/>
                              <wps:spPr>
                                <a:xfrm flipH="1">
                                  <a:off x="3653790" y="2626995"/>
                                  <a:ext cx="113220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19" name="文本框 142"/>
                              <wps:cNvSpPr txBox="1">
                                <a:spLocks noChangeArrowheads="1"/>
                              </wps:cNvSpPr>
                              <wps:spPr bwMode="auto">
                                <a:xfrm>
                                  <a:off x="815340" y="3164840"/>
                                  <a:ext cx="771525" cy="302895"/>
                                </a:xfrm>
                                <a:prstGeom prst="rect">
                                  <a:avLst/>
                                </a:prstGeom>
                                <a:noFill/>
                                <a:ln w="6350">
                                  <a:noFill/>
                                  <a:prstDash val="dash"/>
                                  <a:miter lim="800000"/>
                                </a:ln>
                                <a:effectLst/>
                              </wps:spPr>
                              <wps:txbx>
                                <w:txbxContent>
                                  <w:p>
                                    <w:pPr>
                                      <w:jc w:val="left"/>
                                    </w:pPr>
                                    <w:r>
                                      <w:rPr>
                                        <w:rFonts w:hint="eastAsia"/>
                                      </w:rPr>
                                      <w:t>配料粉尘</w:t>
                                    </w:r>
                                  </w:p>
                                </w:txbxContent>
                              </wps:txbx>
                              <wps:bodyPr rot="0" vert="horz" wrap="square" lIns="91440" tIns="45720" rIns="91440" bIns="45720" anchor="t" anchorCtr="0" upright="1">
                                <a:noAutofit/>
                              </wps:bodyPr>
                            </wps:wsp>
                            <wps:wsp>
                              <wps:cNvPr id="140" name="直接连接符 140"/>
                              <wps:cNvCnPr/>
                              <wps:spPr>
                                <a:xfrm flipH="1" flipV="1">
                                  <a:off x="2858135" y="1181735"/>
                                  <a:ext cx="5715" cy="158051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45" name="文本框 119"/>
                              <wps:cNvSpPr txBox="1">
                                <a:spLocks noChangeArrowheads="1"/>
                              </wps:cNvSpPr>
                              <wps:spPr bwMode="auto">
                                <a:xfrm>
                                  <a:off x="4026535" y="1907540"/>
                                  <a:ext cx="671195" cy="250825"/>
                                </a:xfrm>
                                <a:prstGeom prst="rect">
                                  <a:avLst/>
                                </a:prstGeom>
                                <a:noFill/>
                                <a:ln w="6350">
                                  <a:noFill/>
                                  <a:prstDash val="dash"/>
                                  <a:miter lim="800000"/>
                                </a:ln>
                                <a:effectLst/>
                              </wps:spPr>
                              <wps:txbx>
                                <w:txbxContent>
                                  <w:p>
                                    <w:pPr>
                                      <w:adjustRightInd w:val="0"/>
                                      <w:snapToGrid w:val="0"/>
                                      <w:jc w:val="left"/>
                                      <w:rPr>
                                        <w:sz w:val="18"/>
                                        <w:szCs w:val="16"/>
                                      </w:rPr>
                                    </w:pPr>
                                    <w:r>
                                      <w:rPr>
                                        <w:rFonts w:hint="eastAsia"/>
                                        <w:sz w:val="18"/>
                                        <w:szCs w:val="16"/>
                                      </w:rPr>
                                      <w:t>不合格品</w:t>
                                    </w:r>
                                  </w:p>
                                </w:txbxContent>
                              </wps:txbx>
                              <wps:bodyPr rot="0" vert="horz" wrap="square" lIns="91440" tIns="45720" rIns="91440" bIns="45720" anchor="t" anchorCtr="0" upright="1">
                                <a:noAutofit/>
                              </wps:bodyPr>
                            </wps:wsp>
                            <wps:wsp>
                              <wps:cNvPr id="105" name="文本框 119"/>
                              <wps:cNvSpPr txBox="1">
                                <a:spLocks noChangeArrowheads="1"/>
                              </wps:cNvSpPr>
                              <wps:spPr bwMode="auto">
                                <a:xfrm>
                                  <a:off x="800100" y="278130"/>
                                  <a:ext cx="455930" cy="258445"/>
                                </a:xfrm>
                                <a:prstGeom prst="rect">
                                  <a:avLst/>
                                </a:prstGeom>
                                <a:noFill/>
                                <a:ln w="6350">
                                  <a:noFill/>
                                  <a:prstDash val="dash"/>
                                  <a:miter lim="800000"/>
                                </a:ln>
                                <a:effectLst/>
                              </wps:spPr>
                              <wps:txbx>
                                <w:txbxContent>
                                  <w:p>
                                    <w:pPr>
                                      <w:adjustRightInd w:val="0"/>
                                      <w:snapToGrid w:val="0"/>
                                      <w:jc w:val="left"/>
                                    </w:pPr>
                                    <w:r>
                                      <w:rPr>
                                        <w:rFonts w:hint="eastAsia"/>
                                      </w:rPr>
                                      <w:t>油料</w:t>
                                    </w:r>
                                  </w:p>
                                </w:txbxContent>
                              </wps:txbx>
                              <wps:bodyPr rot="0" vert="horz" wrap="square" lIns="91440" tIns="45720" rIns="91440" bIns="45720" anchor="t" anchorCtr="0" upright="1">
                                <a:noAutofit/>
                              </wps:bodyPr>
                            </wps:wsp>
                            <wps:wsp>
                              <wps:cNvPr id="109" name="文本框 121"/>
                              <wps:cNvSpPr txBox="1">
                                <a:spLocks noChangeArrowheads="1"/>
                              </wps:cNvSpPr>
                              <wps:spPr bwMode="auto">
                                <a:xfrm>
                                  <a:off x="1675765" y="249555"/>
                                  <a:ext cx="626110" cy="248285"/>
                                </a:xfrm>
                                <a:prstGeom prst="rect">
                                  <a:avLst/>
                                </a:prstGeom>
                                <a:noFill/>
                                <a:ln w="6350">
                                  <a:solidFill>
                                    <a:srgbClr val="000000"/>
                                  </a:solidFill>
                                  <a:miter lim="800000"/>
                                </a:ln>
                                <a:effectLst/>
                              </wps:spPr>
                              <wps:txbx>
                                <w:txbxContent>
                                  <w:p>
                                    <w:pPr>
                                      <w:adjustRightInd w:val="0"/>
                                      <w:snapToGrid w:val="0"/>
                                      <w:rPr>
                                        <w:rFonts w:hint="eastAsia" w:eastAsia="宋体"/>
                                        <w:lang w:val="en-US" w:eastAsia="zh-CN"/>
                                      </w:rPr>
                                    </w:pPr>
                                    <w:r>
                                      <w:rPr>
                                        <w:rFonts w:hint="eastAsia"/>
                                      </w:rPr>
                                      <w:t>储油</w:t>
                                    </w:r>
                                    <w:r>
                                      <w:rPr>
                                        <w:rFonts w:hint="eastAsia"/>
                                        <w:lang w:val="en-US" w:eastAsia="zh-CN"/>
                                      </w:rPr>
                                      <w:t>槽</w:t>
                                    </w:r>
                                  </w:p>
                                </w:txbxContent>
                              </wps:txbx>
                              <wps:bodyPr rot="0" vert="horz" wrap="square" lIns="91440" tIns="45720" rIns="91440" bIns="45720" anchor="t" anchorCtr="0" upright="1">
                                <a:noAutofit/>
                              </wps:bodyPr>
                            </wps:wsp>
                            <wps:wsp>
                              <wps:cNvPr id="130" name="文本框 121"/>
                              <wps:cNvSpPr txBox="1">
                                <a:spLocks noChangeArrowheads="1"/>
                              </wps:cNvSpPr>
                              <wps:spPr bwMode="auto">
                                <a:xfrm>
                                  <a:off x="1501140" y="648335"/>
                                  <a:ext cx="994410" cy="280035"/>
                                </a:xfrm>
                                <a:prstGeom prst="rect">
                                  <a:avLst/>
                                </a:prstGeom>
                                <a:noFill/>
                                <a:ln w="6350">
                                  <a:solidFill>
                                    <a:srgbClr val="000000"/>
                                  </a:solidFill>
                                  <a:miter lim="800000"/>
                                </a:ln>
                                <a:effectLst/>
                              </wps:spPr>
                              <wps:txbx>
                                <w:txbxContent>
                                  <w:p>
                                    <w:pPr>
                                      <w:adjustRightInd w:val="0"/>
                                      <w:snapToGrid w:val="0"/>
                                    </w:pPr>
                                    <w:r>
                                      <w:rPr>
                                        <w:rFonts w:hint="eastAsia"/>
                                      </w:rPr>
                                      <w:t>油料输送系统</w:t>
                                    </w:r>
                                  </w:p>
                                </w:txbxContent>
                              </wps:txbx>
                              <wps:bodyPr rot="0" vert="horz" wrap="square" lIns="91440" tIns="45720" rIns="91440" bIns="45720" anchor="t" anchorCtr="0" upright="1">
                                <a:noAutofit/>
                              </wps:bodyPr>
                            </wps:wsp>
                            <wps:wsp>
                              <wps:cNvPr id="165" name="文本框 121"/>
                              <wps:cNvSpPr txBox="1">
                                <a:spLocks noChangeArrowheads="1"/>
                              </wps:cNvSpPr>
                              <wps:spPr bwMode="auto">
                                <a:xfrm>
                                  <a:off x="1634490" y="1071245"/>
                                  <a:ext cx="727075" cy="248285"/>
                                </a:xfrm>
                                <a:prstGeom prst="rect">
                                  <a:avLst/>
                                </a:prstGeom>
                                <a:noFill/>
                                <a:ln w="6350">
                                  <a:solidFill>
                                    <a:srgbClr val="000000"/>
                                  </a:solidFill>
                                  <a:miter lim="800000"/>
                                </a:ln>
                                <a:effectLst/>
                              </wps:spPr>
                              <wps:txbx>
                                <w:txbxContent>
                                  <w:p>
                                    <w:pPr>
                                      <w:adjustRightInd w:val="0"/>
                                      <w:snapToGrid w:val="0"/>
                                    </w:pPr>
                                    <w:r>
                                      <w:rPr>
                                        <w:rFonts w:hint="eastAsia"/>
                                      </w:rPr>
                                      <w:t>自动称量</w:t>
                                    </w:r>
                                  </w:p>
                                </w:txbxContent>
                              </wps:txbx>
                              <wps:bodyPr rot="0" vert="horz" wrap="square" lIns="91440" tIns="45720" rIns="91440" bIns="45720" anchor="t" anchorCtr="0" upright="1">
                                <a:noAutofit/>
                              </wps:bodyPr>
                            </wps:wsp>
                            <wps:wsp>
                              <wps:cNvPr id="166" name="文本框 119"/>
                              <wps:cNvSpPr txBox="1">
                                <a:spLocks noChangeArrowheads="1"/>
                              </wps:cNvSpPr>
                              <wps:spPr bwMode="auto">
                                <a:xfrm>
                                  <a:off x="361315" y="1479550"/>
                                  <a:ext cx="594360" cy="255905"/>
                                </a:xfrm>
                                <a:prstGeom prst="rect">
                                  <a:avLst/>
                                </a:prstGeom>
                                <a:noFill/>
                                <a:ln w="6350">
                                  <a:noFill/>
                                  <a:prstDash val="dash"/>
                                  <a:miter lim="800000"/>
                                </a:ln>
                                <a:effectLst/>
                              </wps:spPr>
                              <wps:txbx>
                                <w:txbxContent>
                                  <w:p>
                                    <w:pPr>
                                      <w:adjustRightInd w:val="0"/>
                                      <w:snapToGrid w:val="0"/>
                                      <w:jc w:val="left"/>
                                      <w:rPr>
                                        <w:rFonts w:hint="eastAsia" w:eastAsia="宋体"/>
                                        <w:lang w:val="en-US" w:eastAsia="zh-CN"/>
                                      </w:rPr>
                                    </w:pPr>
                                    <w:r>
                                      <w:rPr>
                                        <w:rFonts w:hint="eastAsia"/>
                                        <w:lang w:val="en-US" w:eastAsia="zh-CN"/>
                                      </w:rPr>
                                      <w:t>碳酸钙</w:t>
                                    </w:r>
                                  </w:p>
                                </w:txbxContent>
                              </wps:txbx>
                              <wps:bodyPr rot="0" vert="horz" wrap="square" lIns="91440" tIns="45720" rIns="91440" bIns="45720" anchor="t" anchorCtr="0" upright="1">
                                <a:noAutofit/>
                              </wps:bodyPr>
                            </wps:wsp>
                            <wps:wsp>
                              <wps:cNvPr id="168" name="文本框 121"/>
                              <wps:cNvSpPr txBox="1">
                                <a:spLocks noChangeArrowheads="1"/>
                              </wps:cNvSpPr>
                              <wps:spPr bwMode="auto">
                                <a:xfrm>
                                  <a:off x="1165225" y="1457325"/>
                                  <a:ext cx="1138555" cy="292735"/>
                                </a:xfrm>
                                <a:prstGeom prst="rect">
                                  <a:avLst/>
                                </a:prstGeom>
                                <a:noFill/>
                                <a:ln w="6350">
                                  <a:solidFill>
                                    <a:srgbClr val="000000"/>
                                  </a:solidFill>
                                  <a:miter lim="800000"/>
                                </a:ln>
                                <a:effectLst/>
                              </wps:spPr>
                              <wps:txbx>
                                <w:txbxContent>
                                  <w:p>
                                    <w:pPr>
                                      <w:adjustRightInd w:val="0"/>
                                      <w:snapToGrid w:val="0"/>
                                    </w:pPr>
                                    <w:r>
                                      <w:rPr>
                                        <w:rFonts w:hint="eastAsia"/>
                                      </w:rPr>
                                      <w:t>半自动小料分装</w:t>
                                    </w:r>
                                  </w:p>
                                </w:txbxContent>
                              </wps:txbx>
                              <wps:bodyPr rot="0" vert="horz" wrap="square" lIns="91440" tIns="45720" rIns="91440" bIns="45720" anchor="t" anchorCtr="0" upright="1">
                                <a:noAutofit/>
                              </wps:bodyPr>
                            </wps:wsp>
                            <wps:wsp>
                              <wps:cNvPr id="169" name="文本框 119"/>
                              <wps:cNvSpPr txBox="1">
                                <a:spLocks noChangeArrowheads="1"/>
                              </wps:cNvSpPr>
                              <wps:spPr bwMode="auto">
                                <a:xfrm>
                                  <a:off x="612775" y="2179955"/>
                                  <a:ext cx="615315" cy="254000"/>
                                </a:xfrm>
                                <a:prstGeom prst="rect">
                                  <a:avLst/>
                                </a:prstGeom>
                                <a:noFill/>
                                <a:ln w="6350">
                                  <a:noFill/>
                                  <a:prstDash val="dash"/>
                                  <a:miter lim="800000"/>
                                </a:ln>
                                <a:effectLst/>
                              </wps:spPr>
                              <wps:txbx>
                                <w:txbxContent>
                                  <w:p>
                                    <w:pPr>
                                      <w:adjustRightInd w:val="0"/>
                                      <w:snapToGrid w:val="0"/>
                                      <w:jc w:val="left"/>
                                    </w:pPr>
                                    <w:r>
                                      <w:rPr>
                                        <w:rFonts w:hint="eastAsia"/>
                                      </w:rPr>
                                      <w:t>大粒料</w:t>
                                    </w:r>
                                  </w:p>
                                </w:txbxContent>
                              </wps:txbx>
                              <wps:bodyPr rot="0" vert="horz" wrap="square" lIns="91440" tIns="45720" rIns="91440" bIns="45720" anchor="t" anchorCtr="0" upright="1">
                                <a:noAutofit/>
                              </wps:bodyPr>
                            </wps:wsp>
                            <wps:wsp>
                              <wps:cNvPr id="177" name="文本框 121"/>
                              <wps:cNvSpPr txBox="1">
                                <a:spLocks noChangeArrowheads="1"/>
                              </wps:cNvSpPr>
                              <wps:spPr bwMode="auto">
                                <a:xfrm>
                                  <a:off x="1391285" y="2192020"/>
                                  <a:ext cx="1067435" cy="248285"/>
                                </a:xfrm>
                                <a:prstGeom prst="rect">
                                  <a:avLst/>
                                </a:prstGeom>
                                <a:noFill/>
                                <a:ln w="6350">
                                  <a:solidFill>
                                    <a:srgbClr val="000000"/>
                                  </a:solidFill>
                                  <a:miter lim="800000"/>
                                </a:ln>
                                <a:effectLst/>
                              </wps:spPr>
                              <wps:txbx>
                                <w:txbxContent>
                                  <w:p>
                                    <w:pPr>
                                      <w:adjustRightInd w:val="0"/>
                                      <w:snapToGrid w:val="0"/>
                                    </w:pPr>
                                    <w:r>
                                      <w:rPr>
                                        <w:rFonts w:hint="eastAsia"/>
                                      </w:rPr>
                                      <w:t>自动小料分装</w:t>
                                    </w:r>
                                  </w:p>
                                </w:txbxContent>
                              </wps:txbx>
                              <wps:bodyPr rot="0" vert="horz" wrap="square" lIns="91440" tIns="45720" rIns="91440" bIns="45720" anchor="t" anchorCtr="0" upright="1">
                                <a:noAutofit/>
                              </wps:bodyPr>
                            </wps:wsp>
                            <wps:wsp>
                              <wps:cNvPr id="178" name="文本框 119"/>
                              <wps:cNvSpPr txBox="1">
                                <a:spLocks noChangeArrowheads="1"/>
                              </wps:cNvSpPr>
                              <wps:spPr bwMode="auto">
                                <a:xfrm>
                                  <a:off x="18415" y="2623185"/>
                                  <a:ext cx="458470" cy="330835"/>
                                </a:xfrm>
                                <a:prstGeom prst="rect">
                                  <a:avLst/>
                                </a:prstGeom>
                                <a:noFill/>
                                <a:ln w="6350">
                                  <a:noFill/>
                                  <a:prstDash val="dash"/>
                                  <a:miter lim="800000"/>
                                </a:ln>
                                <a:effectLst/>
                              </wps:spPr>
                              <wps:txbx>
                                <w:txbxContent>
                                  <w:p>
                                    <w:pPr>
                                      <w:adjustRightInd w:val="0"/>
                                      <w:snapToGrid w:val="0"/>
                                      <w:jc w:val="left"/>
                                    </w:pPr>
                                    <w:r>
                                      <w:rPr>
                                        <w:rFonts w:hint="eastAsia"/>
                                      </w:rPr>
                                      <w:t>炭黑</w:t>
                                    </w:r>
                                  </w:p>
                                </w:txbxContent>
                              </wps:txbx>
                              <wps:bodyPr rot="0" vert="horz" wrap="square" lIns="91440" tIns="45720" rIns="91440" bIns="45720" anchor="t" anchorCtr="0" upright="1">
                                <a:noAutofit/>
                              </wps:bodyPr>
                            </wps:wsp>
                            <wps:wsp>
                              <wps:cNvPr id="179" name="直接箭头连接符 143"/>
                              <wps:cNvCnPr>
                                <a:cxnSpLocks noChangeShapeType="1"/>
                              </wps:cNvCnPr>
                              <wps:spPr bwMode="auto">
                                <a:xfrm flipV="1">
                                  <a:off x="377190" y="2753995"/>
                                  <a:ext cx="219710" cy="3810"/>
                                </a:xfrm>
                                <a:prstGeom prst="straightConnector1">
                                  <a:avLst/>
                                </a:prstGeom>
                                <a:noFill/>
                                <a:ln w="6350" cmpd="sng">
                                  <a:solidFill>
                                    <a:schemeClr val="tx1"/>
                                  </a:solidFill>
                                  <a:prstDash val="solid"/>
                                  <a:round/>
                                  <a:tailEnd type="triangle" w="med" len="med"/>
                                </a:ln>
                                <a:effectLst/>
                              </wps:spPr>
                              <wps:bodyPr/>
                            </wps:wsp>
                            <wps:wsp>
                              <wps:cNvPr id="184" name="文本框 121"/>
                              <wps:cNvSpPr txBox="1">
                                <a:spLocks noChangeArrowheads="1"/>
                              </wps:cNvSpPr>
                              <wps:spPr bwMode="auto">
                                <a:xfrm>
                                  <a:off x="608330" y="2635250"/>
                                  <a:ext cx="1143635" cy="285115"/>
                                </a:xfrm>
                                <a:prstGeom prst="rect">
                                  <a:avLst/>
                                </a:prstGeom>
                                <a:noFill/>
                                <a:ln w="6350">
                                  <a:solidFill>
                                    <a:srgbClr val="000000"/>
                                  </a:solidFill>
                                  <a:miter lim="800000"/>
                                </a:ln>
                                <a:effectLst/>
                              </wps:spPr>
                              <wps:txbx>
                                <w:txbxContent>
                                  <w:p>
                                    <w:pPr>
                                      <w:adjustRightInd w:val="0"/>
                                      <w:snapToGrid w:val="0"/>
                                    </w:pPr>
                                    <w:r>
                                      <w:rPr>
                                        <w:rFonts w:hint="eastAsia"/>
                                      </w:rPr>
                                      <w:t>半自动粉体分装</w:t>
                                    </w:r>
                                  </w:p>
                                </w:txbxContent>
                              </wps:txbx>
                              <wps:bodyPr rot="0" vert="horz" wrap="square" lIns="91440" tIns="45720" rIns="91440" bIns="45720" anchor="t" anchorCtr="0" upright="1">
                                <a:noAutofit/>
                              </wps:bodyPr>
                            </wps:wsp>
                            <wps:wsp>
                              <wps:cNvPr id="195" name="文本框 121"/>
                              <wps:cNvSpPr txBox="1">
                                <a:spLocks noChangeArrowheads="1"/>
                              </wps:cNvSpPr>
                              <wps:spPr bwMode="auto">
                                <a:xfrm>
                                  <a:off x="1975485" y="2649220"/>
                                  <a:ext cx="482600" cy="260350"/>
                                </a:xfrm>
                                <a:prstGeom prst="rect">
                                  <a:avLst/>
                                </a:prstGeom>
                                <a:noFill/>
                                <a:ln w="6350">
                                  <a:solidFill>
                                    <a:srgbClr val="000000"/>
                                  </a:solidFill>
                                  <a:miter lim="800000"/>
                                </a:ln>
                                <a:effectLst/>
                              </wps:spPr>
                              <wps:txbx>
                                <w:txbxContent>
                                  <w:p>
                                    <w:pPr>
                                      <w:adjustRightInd w:val="0"/>
                                      <w:snapToGrid w:val="0"/>
                                    </w:pPr>
                                    <w:r>
                                      <w:rPr>
                                        <w:rFonts w:hint="eastAsia"/>
                                      </w:rPr>
                                      <w:t>称量</w:t>
                                    </w:r>
                                  </w:p>
                                </w:txbxContent>
                              </wps:txbx>
                              <wps:bodyPr rot="0" vert="horz" wrap="square" lIns="91440" tIns="45720" rIns="91440" bIns="45720" anchor="t" anchorCtr="0" upright="1">
                                <a:noAutofit/>
                              </wps:bodyPr>
                            </wps:wsp>
                            <wps:wsp>
                              <wps:cNvPr id="199" name="直接箭头连接符 126"/>
                              <wps:cNvCnPr>
                                <a:cxnSpLocks noChangeShapeType="1"/>
                              </wps:cNvCnPr>
                              <wps:spPr bwMode="auto">
                                <a:xfrm>
                                  <a:off x="2001520" y="516255"/>
                                  <a:ext cx="635" cy="148590"/>
                                </a:xfrm>
                                <a:prstGeom prst="straightConnector1">
                                  <a:avLst/>
                                </a:prstGeom>
                                <a:noFill/>
                                <a:ln w="6350">
                                  <a:solidFill>
                                    <a:srgbClr val="000000"/>
                                  </a:solidFill>
                                  <a:round/>
                                  <a:tailEnd type="triangle" w="med" len="med"/>
                                </a:ln>
                                <a:effectLst/>
                              </wps:spPr>
                              <wps:bodyPr/>
                            </wps:wsp>
                            <wps:wsp>
                              <wps:cNvPr id="201" name="直接箭头连接符 126"/>
                              <wps:cNvCnPr>
                                <a:cxnSpLocks noChangeShapeType="1"/>
                              </wps:cNvCnPr>
                              <wps:spPr bwMode="auto">
                                <a:xfrm>
                                  <a:off x="2011045" y="927100"/>
                                  <a:ext cx="635" cy="148590"/>
                                </a:xfrm>
                                <a:prstGeom prst="straightConnector1">
                                  <a:avLst/>
                                </a:prstGeom>
                                <a:noFill/>
                                <a:ln w="6350">
                                  <a:solidFill>
                                    <a:srgbClr val="000000"/>
                                  </a:solidFill>
                                  <a:round/>
                                  <a:tailEnd type="triangle" w="med" len="med"/>
                                </a:ln>
                                <a:effectLst/>
                              </wps:spPr>
                              <wps:bodyPr/>
                            </wps:wsp>
                            <wps:wsp>
                              <wps:cNvPr id="202" name="直接箭头连接符 143"/>
                              <wps:cNvCnPr>
                                <a:cxnSpLocks noChangeShapeType="1"/>
                              </wps:cNvCnPr>
                              <wps:spPr bwMode="auto">
                                <a:xfrm flipV="1">
                                  <a:off x="1750695" y="2757805"/>
                                  <a:ext cx="219710" cy="3810"/>
                                </a:xfrm>
                                <a:prstGeom prst="straightConnector1">
                                  <a:avLst/>
                                </a:prstGeom>
                                <a:noFill/>
                                <a:ln w="6350" cmpd="sng">
                                  <a:solidFill>
                                    <a:schemeClr val="tx1"/>
                                  </a:solidFill>
                                  <a:prstDash val="solid"/>
                                  <a:round/>
                                  <a:tailEnd type="triangle" w="med" len="med"/>
                                </a:ln>
                                <a:effectLst/>
                              </wps:spPr>
                              <wps:bodyPr/>
                            </wps:wsp>
                            <wps:wsp>
                              <wps:cNvPr id="203" name="直接箭头连接符 143"/>
                              <wps:cNvCnPr>
                                <a:cxnSpLocks noChangeShapeType="1"/>
                              </wps:cNvCnPr>
                              <wps:spPr bwMode="auto">
                                <a:xfrm flipV="1">
                                  <a:off x="1165860" y="2313305"/>
                                  <a:ext cx="219710" cy="3810"/>
                                </a:xfrm>
                                <a:prstGeom prst="straightConnector1">
                                  <a:avLst/>
                                </a:prstGeom>
                                <a:noFill/>
                                <a:ln w="6350" cmpd="sng">
                                  <a:solidFill>
                                    <a:schemeClr val="tx1"/>
                                  </a:solidFill>
                                  <a:prstDash val="solid"/>
                                  <a:round/>
                                  <a:tailEnd type="triangle" w="med" len="med"/>
                                </a:ln>
                                <a:effectLst/>
                              </wps:spPr>
                              <wps:bodyPr/>
                            </wps:wsp>
                            <wps:wsp>
                              <wps:cNvPr id="204" name="直接箭头连接符 143"/>
                              <wps:cNvCnPr>
                                <a:cxnSpLocks noChangeShapeType="1"/>
                              </wps:cNvCnPr>
                              <wps:spPr bwMode="auto">
                                <a:xfrm flipV="1">
                                  <a:off x="909320" y="1605915"/>
                                  <a:ext cx="219710" cy="3810"/>
                                </a:xfrm>
                                <a:prstGeom prst="straightConnector1">
                                  <a:avLst/>
                                </a:prstGeom>
                                <a:noFill/>
                                <a:ln w="6350" cmpd="sng">
                                  <a:solidFill>
                                    <a:schemeClr val="tx1"/>
                                  </a:solidFill>
                                  <a:prstDash val="solid"/>
                                  <a:round/>
                                  <a:tailEnd type="triangle" w="med" len="med"/>
                                </a:ln>
                                <a:effectLst/>
                              </wps:spPr>
                              <wps:bodyPr/>
                            </wps:wsp>
                            <wps:wsp>
                              <wps:cNvPr id="205" name="直接箭头连接符 143"/>
                              <wps:cNvCnPr>
                                <a:cxnSpLocks noChangeShapeType="1"/>
                              </wps:cNvCnPr>
                              <wps:spPr bwMode="auto">
                                <a:xfrm flipV="1">
                                  <a:off x="1454150" y="376555"/>
                                  <a:ext cx="219710" cy="3810"/>
                                </a:xfrm>
                                <a:prstGeom prst="straightConnector1">
                                  <a:avLst/>
                                </a:prstGeom>
                                <a:noFill/>
                                <a:ln w="6350" cmpd="sng">
                                  <a:solidFill>
                                    <a:schemeClr val="tx1"/>
                                  </a:solidFill>
                                  <a:prstDash val="solid"/>
                                  <a:round/>
                                  <a:tailEnd type="triangle" w="med" len="med"/>
                                </a:ln>
                                <a:effectLst/>
                              </wps:spPr>
                              <wps:bodyPr/>
                            </wps:wsp>
                            <wps:wsp>
                              <wps:cNvPr id="207" name="直接箭头连接符 120"/>
                              <wps:cNvCnPr>
                                <a:cxnSpLocks noChangeShapeType="1"/>
                              </wps:cNvCnPr>
                              <wps:spPr bwMode="auto">
                                <a:xfrm>
                                  <a:off x="2390140" y="1188720"/>
                                  <a:ext cx="468630" cy="2540"/>
                                </a:xfrm>
                                <a:prstGeom prst="straightConnector1">
                                  <a:avLst/>
                                </a:prstGeom>
                                <a:noFill/>
                                <a:ln w="6350" cmpd="sng">
                                  <a:solidFill>
                                    <a:schemeClr val="tx1"/>
                                  </a:solidFill>
                                  <a:prstDash val="solid"/>
                                  <a:round/>
                                  <a:tailEnd type="none" w="med" len="med"/>
                                </a:ln>
                                <a:effectLst/>
                              </wps:spPr>
                              <wps:bodyPr/>
                            </wps:wsp>
                            <wps:wsp>
                              <wps:cNvPr id="211" name="直接箭头连接符 120"/>
                              <wps:cNvCnPr>
                                <a:cxnSpLocks noChangeShapeType="1"/>
                              </wps:cNvCnPr>
                              <wps:spPr bwMode="auto">
                                <a:xfrm flipV="1">
                                  <a:off x="2313940" y="1600200"/>
                                  <a:ext cx="542290" cy="3810"/>
                                </a:xfrm>
                                <a:prstGeom prst="straightConnector1">
                                  <a:avLst/>
                                </a:prstGeom>
                                <a:noFill/>
                                <a:ln w="6350" cmpd="sng">
                                  <a:solidFill>
                                    <a:schemeClr val="tx1"/>
                                  </a:solidFill>
                                  <a:prstDash val="solid"/>
                                  <a:round/>
                                  <a:tailEnd type="none" w="med" len="med"/>
                                </a:ln>
                                <a:effectLst/>
                              </wps:spPr>
                              <wps:bodyPr/>
                            </wps:wsp>
                            <wps:wsp>
                              <wps:cNvPr id="212" name="直接箭头连接符 120"/>
                              <wps:cNvCnPr>
                                <a:cxnSpLocks noChangeShapeType="1"/>
                              </wps:cNvCnPr>
                              <wps:spPr bwMode="auto">
                                <a:xfrm>
                                  <a:off x="2456180" y="2316480"/>
                                  <a:ext cx="400050" cy="2540"/>
                                </a:xfrm>
                                <a:prstGeom prst="straightConnector1">
                                  <a:avLst/>
                                </a:prstGeom>
                                <a:noFill/>
                                <a:ln w="6350" cmpd="sng">
                                  <a:solidFill>
                                    <a:schemeClr val="tx1"/>
                                  </a:solidFill>
                                  <a:prstDash val="solid"/>
                                  <a:round/>
                                  <a:tailEnd type="none" w="med" len="med"/>
                                </a:ln>
                                <a:effectLst/>
                              </wps:spPr>
                              <wps:bodyPr/>
                            </wps:wsp>
                            <wps:wsp>
                              <wps:cNvPr id="213" name="直接箭头连接符 120"/>
                              <wps:cNvCnPr>
                                <a:cxnSpLocks noChangeShapeType="1"/>
                              </wps:cNvCnPr>
                              <wps:spPr bwMode="auto">
                                <a:xfrm>
                                  <a:off x="2463165" y="2760980"/>
                                  <a:ext cx="400050" cy="2540"/>
                                </a:xfrm>
                                <a:prstGeom prst="straightConnector1">
                                  <a:avLst/>
                                </a:prstGeom>
                                <a:noFill/>
                                <a:ln w="6350" cmpd="sng">
                                  <a:solidFill>
                                    <a:schemeClr val="tx1"/>
                                  </a:solidFill>
                                  <a:prstDash val="solid"/>
                                  <a:round/>
                                  <a:tailEnd type="none" w="med" len="med"/>
                                </a:ln>
                                <a:effectLst/>
                              </wps:spPr>
                              <wps:bodyPr/>
                            </wps:wsp>
                            <wps:wsp>
                              <wps:cNvPr id="215" name="直接箭头连接符 124"/>
                              <wps:cNvCnPr>
                                <a:cxnSpLocks noChangeShapeType="1"/>
                                <a:endCxn id="191" idx="1"/>
                              </wps:cNvCnPr>
                              <wps:spPr bwMode="auto">
                                <a:xfrm flipV="1">
                                  <a:off x="2865120" y="1306830"/>
                                  <a:ext cx="279400" cy="1270"/>
                                </a:xfrm>
                                <a:prstGeom prst="straightConnector1">
                                  <a:avLst/>
                                </a:prstGeom>
                                <a:noFill/>
                                <a:ln w="6350" cmpd="sng">
                                  <a:solidFill>
                                    <a:schemeClr val="tx1"/>
                                  </a:solidFill>
                                  <a:prstDash val="solid"/>
                                  <a:round/>
                                  <a:tailEnd type="triangle" w="med" len="med"/>
                                </a:ln>
                                <a:effectLst/>
                              </wps:spPr>
                              <wps:bodyPr/>
                            </wps:wsp>
                            <wps:wsp>
                              <wps:cNvPr id="222" name="直接箭头连接符 126"/>
                              <wps:cNvCnPr>
                                <a:cxnSpLocks noChangeShapeType="1"/>
                              </wps:cNvCnPr>
                              <wps:spPr bwMode="auto">
                                <a:xfrm rot="5400000" flipV="1">
                                  <a:off x="3368040" y="1571625"/>
                                  <a:ext cx="267335" cy="0"/>
                                </a:xfrm>
                                <a:prstGeom prst="straightConnector1">
                                  <a:avLst/>
                                </a:prstGeom>
                                <a:noFill/>
                                <a:ln w="6350">
                                  <a:solidFill>
                                    <a:srgbClr val="000000"/>
                                  </a:solidFill>
                                  <a:round/>
                                  <a:tailEnd type="triangle" w="med" len="med"/>
                                </a:ln>
                                <a:effectLst/>
                              </wps:spPr>
                              <wps:bodyPr/>
                            </wps:wsp>
                            <wps:wsp>
                              <wps:cNvPr id="223" name="文本框 121"/>
                              <wps:cNvSpPr txBox="1">
                                <a:spLocks noChangeArrowheads="1"/>
                              </wps:cNvSpPr>
                              <wps:spPr bwMode="auto">
                                <a:xfrm>
                                  <a:off x="3141345" y="1710690"/>
                                  <a:ext cx="769620" cy="248285"/>
                                </a:xfrm>
                                <a:prstGeom prst="rect">
                                  <a:avLst/>
                                </a:prstGeom>
                                <a:noFill/>
                                <a:ln w="6350">
                                  <a:solidFill>
                                    <a:srgbClr val="000000"/>
                                  </a:solidFill>
                                  <a:miter lim="800000"/>
                                </a:ln>
                                <a:effectLst/>
                              </wps:spPr>
                              <wps:txbx>
                                <w:txbxContent>
                                  <w:p>
                                    <w:pPr>
                                      <w:adjustRightInd w:val="0"/>
                                      <w:snapToGrid w:val="0"/>
                                      <w:jc w:val="center"/>
                                    </w:pPr>
                                    <w:r>
                                      <w:rPr>
                                        <w:rFonts w:hint="eastAsia"/>
                                      </w:rPr>
                                      <w:t>开炼出片</w:t>
                                    </w:r>
                                  </w:p>
                                </w:txbxContent>
                              </wps:txbx>
                              <wps:bodyPr rot="0" vert="horz" wrap="square" lIns="91440" tIns="45720" rIns="91440" bIns="45720" anchor="t" anchorCtr="0" upright="1">
                                <a:noAutofit/>
                              </wps:bodyPr>
                            </wps:wsp>
                            <wps:wsp>
                              <wps:cNvPr id="225" name="直接箭头连接符 126"/>
                              <wps:cNvCnPr>
                                <a:cxnSpLocks noChangeShapeType="1"/>
                              </wps:cNvCnPr>
                              <wps:spPr bwMode="auto">
                                <a:xfrm rot="5400000" flipV="1">
                                  <a:off x="3363595" y="1039495"/>
                                  <a:ext cx="267335" cy="0"/>
                                </a:xfrm>
                                <a:prstGeom prst="straightConnector1">
                                  <a:avLst/>
                                </a:prstGeom>
                                <a:noFill/>
                                <a:ln w="6350">
                                  <a:solidFill>
                                    <a:srgbClr val="000000"/>
                                  </a:solidFill>
                                  <a:round/>
                                  <a:tailEnd type="triangle" w="med" len="med"/>
                                </a:ln>
                                <a:effectLst/>
                              </wps:spPr>
                              <wps:bodyPr/>
                            </wps:wsp>
                            <wps:wsp>
                              <wps:cNvPr id="226" name="直接箭头连接符 126"/>
                              <wps:cNvCnPr>
                                <a:cxnSpLocks noChangeShapeType="1"/>
                              </wps:cNvCnPr>
                              <wps:spPr bwMode="auto">
                                <a:xfrm rot="5400000" flipV="1">
                                  <a:off x="3380105" y="2099945"/>
                                  <a:ext cx="267335" cy="0"/>
                                </a:xfrm>
                                <a:prstGeom prst="straightConnector1">
                                  <a:avLst/>
                                </a:prstGeom>
                                <a:noFill/>
                                <a:ln w="6350">
                                  <a:solidFill>
                                    <a:srgbClr val="000000"/>
                                  </a:solidFill>
                                  <a:round/>
                                  <a:tailEnd type="triangle" w="med" len="med"/>
                                </a:ln>
                                <a:effectLst/>
                              </wps:spPr>
                              <wps:bodyPr/>
                            </wps:wsp>
                            <wps:wsp>
                              <wps:cNvPr id="227" name="文本框 121"/>
                              <wps:cNvSpPr txBox="1">
                                <a:spLocks noChangeArrowheads="1"/>
                              </wps:cNvSpPr>
                              <wps:spPr bwMode="auto">
                                <a:xfrm>
                                  <a:off x="3143250" y="2790190"/>
                                  <a:ext cx="769620" cy="301625"/>
                                </a:xfrm>
                                <a:prstGeom prst="rect">
                                  <a:avLst/>
                                </a:prstGeom>
                                <a:noFill/>
                                <a:ln w="6350">
                                  <a:solidFill>
                                    <a:srgbClr val="000000"/>
                                  </a:solidFill>
                                  <a:miter lim="800000"/>
                                </a:ln>
                                <a:effectLst/>
                              </wps:spPr>
                              <wps:txbx>
                                <w:txbxContent>
                                  <w:p>
                                    <w:pPr>
                                      <w:adjustRightInd w:val="0"/>
                                      <w:snapToGrid w:val="0"/>
                                      <w:jc w:val="center"/>
                                    </w:pPr>
                                    <w:r>
                                      <w:rPr>
                                        <w:rFonts w:hint="eastAsia"/>
                                      </w:rPr>
                                      <w:t>胶片冷却</w:t>
                                    </w:r>
                                  </w:p>
                                </w:txbxContent>
                              </wps:txbx>
                              <wps:bodyPr rot="0" vert="horz" wrap="square" lIns="91440" tIns="45720" rIns="91440" bIns="45720" anchor="t" anchorCtr="0" upright="1">
                                <a:noAutofit/>
                              </wps:bodyPr>
                            </wps:wsp>
                            <wps:wsp>
                              <wps:cNvPr id="228" name="文本框 121"/>
                              <wps:cNvSpPr txBox="1">
                                <a:spLocks noChangeArrowheads="1"/>
                              </wps:cNvSpPr>
                              <wps:spPr bwMode="auto">
                                <a:xfrm>
                                  <a:off x="3121660" y="645160"/>
                                  <a:ext cx="769620" cy="248285"/>
                                </a:xfrm>
                                <a:prstGeom prst="rect">
                                  <a:avLst/>
                                </a:prstGeom>
                                <a:noFill/>
                                <a:ln w="6350">
                                  <a:solidFill>
                                    <a:srgbClr val="000000"/>
                                  </a:solidFill>
                                  <a:miter lim="800000"/>
                                </a:ln>
                                <a:effectLst/>
                              </wps:spPr>
                              <wps:txbx>
                                <w:txbxContent>
                                  <w:p>
                                    <w:pPr>
                                      <w:adjustRightInd w:val="0"/>
                                      <w:snapToGrid w:val="0"/>
                                      <w:jc w:val="center"/>
                                    </w:pPr>
                                    <w:r>
                                      <w:rPr>
                                        <w:rFonts w:hint="eastAsia"/>
                                      </w:rPr>
                                      <w:t>切胶</w:t>
                                    </w:r>
                                  </w:p>
                                </w:txbxContent>
                              </wps:txbx>
                              <wps:bodyPr rot="0" vert="horz" wrap="square" lIns="91440" tIns="45720" rIns="91440" bIns="45720" anchor="t" anchorCtr="0" upright="1">
                                <a:noAutofit/>
                              </wps:bodyPr>
                            </wps:wsp>
                            <wps:wsp>
                              <wps:cNvPr id="229" name="直接箭头连接符 126"/>
                              <wps:cNvCnPr>
                                <a:cxnSpLocks noChangeShapeType="1"/>
                              </wps:cNvCnPr>
                              <wps:spPr bwMode="auto">
                                <a:xfrm rot="5400000" flipV="1">
                                  <a:off x="3359150" y="505460"/>
                                  <a:ext cx="267335" cy="0"/>
                                </a:xfrm>
                                <a:prstGeom prst="straightConnector1">
                                  <a:avLst/>
                                </a:prstGeom>
                                <a:noFill/>
                                <a:ln w="6350">
                                  <a:solidFill>
                                    <a:srgbClr val="000000"/>
                                  </a:solidFill>
                                  <a:round/>
                                  <a:tailEnd type="triangle" w="med" len="med"/>
                                </a:ln>
                                <a:effectLst/>
                              </wps:spPr>
                              <wps:bodyPr/>
                            </wps:wsp>
                            <wps:wsp>
                              <wps:cNvPr id="230" name="文本框 121"/>
                              <wps:cNvSpPr txBox="1">
                                <a:spLocks noChangeArrowheads="1"/>
                              </wps:cNvSpPr>
                              <wps:spPr bwMode="auto">
                                <a:xfrm>
                                  <a:off x="3145155" y="3279140"/>
                                  <a:ext cx="769620" cy="274955"/>
                                </a:xfrm>
                                <a:prstGeom prst="rect">
                                  <a:avLst/>
                                </a:prstGeom>
                                <a:noFill/>
                                <a:ln w="6350">
                                  <a:solidFill>
                                    <a:srgbClr val="000000"/>
                                  </a:solidFill>
                                  <a:miter lim="800000"/>
                                </a:ln>
                                <a:effectLst/>
                              </wps:spPr>
                              <wps:txbx>
                                <w:txbxContent>
                                  <w:p>
                                    <w:pPr>
                                      <w:adjustRightInd w:val="0"/>
                                      <w:snapToGrid w:val="0"/>
                                      <w:jc w:val="center"/>
                                    </w:pPr>
                                    <w:r>
                                      <w:rPr>
                                        <w:rFonts w:hint="eastAsia"/>
                                      </w:rPr>
                                      <w:t>测试</w:t>
                                    </w:r>
                                  </w:p>
                                </w:txbxContent>
                              </wps:txbx>
                              <wps:bodyPr rot="0" vert="horz" wrap="square" lIns="91440" tIns="45720" rIns="91440" bIns="45720" anchor="t" anchorCtr="0" upright="1">
                                <a:noAutofit/>
                              </wps:bodyPr>
                            </wps:wsp>
                            <wps:wsp>
                              <wps:cNvPr id="231" name="直接箭头连接符 130"/>
                              <wps:cNvCnPr>
                                <a:cxnSpLocks noChangeShapeType="1"/>
                              </wps:cNvCnPr>
                              <wps:spPr bwMode="auto">
                                <a:xfrm>
                                  <a:off x="3523615" y="3552825"/>
                                  <a:ext cx="2540" cy="255905"/>
                                </a:xfrm>
                                <a:prstGeom prst="straightConnector1">
                                  <a:avLst/>
                                </a:prstGeom>
                                <a:noFill/>
                                <a:ln w="6350">
                                  <a:solidFill>
                                    <a:srgbClr val="000000"/>
                                  </a:solidFill>
                                  <a:round/>
                                  <a:tailEnd type="triangle" w="med" len="med"/>
                                </a:ln>
                                <a:effectLst/>
                              </wps:spPr>
                              <wps:bodyPr/>
                            </wps:wsp>
                            <wps:wsp>
                              <wps:cNvPr id="236" name="文本框 121"/>
                              <wps:cNvSpPr txBox="1">
                                <a:spLocks noChangeArrowheads="1"/>
                              </wps:cNvSpPr>
                              <wps:spPr bwMode="auto">
                                <a:xfrm>
                                  <a:off x="3145790" y="3790950"/>
                                  <a:ext cx="769620" cy="248285"/>
                                </a:xfrm>
                                <a:prstGeom prst="rect">
                                  <a:avLst/>
                                </a:prstGeom>
                                <a:noFill/>
                                <a:ln w="6350">
                                  <a:solidFill>
                                    <a:srgbClr val="000000"/>
                                  </a:solidFill>
                                  <a:miter lim="800000"/>
                                </a:ln>
                                <a:effectLst/>
                              </wps:spPr>
                              <wps:txbx>
                                <w:txbxContent>
                                  <w:p>
                                    <w:pPr>
                                      <w:adjustRightInd w:val="0"/>
                                      <w:snapToGrid w:val="0"/>
                                      <w:jc w:val="center"/>
                                    </w:pPr>
                                    <w:r>
                                      <w:rPr>
                                        <w:rFonts w:hint="eastAsia"/>
                                      </w:rPr>
                                      <w:t>收料包装</w:t>
                                    </w:r>
                                  </w:p>
                                </w:txbxContent>
                              </wps:txbx>
                              <wps:bodyPr rot="0" vert="horz" wrap="square" lIns="91440" tIns="45720" rIns="91440" bIns="45720" anchor="t" anchorCtr="0" upright="1">
                                <a:noAutofit/>
                              </wps:bodyPr>
                            </wps:wsp>
                            <wps:wsp>
                              <wps:cNvPr id="237" name="直接箭头连接符 126"/>
                              <wps:cNvCnPr>
                                <a:cxnSpLocks noChangeShapeType="1"/>
                              </wps:cNvCnPr>
                              <wps:spPr bwMode="auto">
                                <a:xfrm rot="5400000" flipV="1">
                                  <a:off x="3398520" y="4183380"/>
                                  <a:ext cx="267335" cy="0"/>
                                </a:xfrm>
                                <a:prstGeom prst="straightConnector1">
                                  <a:avLst/>
                                </a:prstGeom>
                                <a:noFill/>
                                <a:ln w="6350">
                                  <a:solidFill>
                                    <a:srgbClr val="000000"/>
                                  </a:solidFill>
                                  <a:round/>
                                  <a:tailEnd type="triangle" w="med" len="med"/>
                                </a:ln>
                                <a:effectLst/>
                              </wps:spPr>
                              <wps:bodyPr/>
                            </wps:wsp>
                            <wps:wsp>
                              <wps:cNvPr id="238" name="直接箭头连接符 143"/>
                              <wps:cNvCnPr>
                                <a:cxnSpLocks noChangeShapeType="1"/>
                              </wps:cNvCnPr>
                              <wps:spPr bwMode="auto">
                                <a:xfrm>
                                  <a:off x="1178560" y="2936875"/>
                                  <a:ext cx="3175" cy="222885"/>
                                </a:xfrm>
                                <a:prstGeom prst="straightConnector1">
                                  <a:avLst/>
                                </a:prstGeom>
                                <a:noFill/>
                                <a:ln w="6350">
                                  <a:solidFill>
                                    <a:srgbClr val="000000"/>
                                  </a:solidFill>
                                  <a:prstDash val="dash"/>
                                  <a:round/>
                                  <a:tailEnd type="triangle" w="med" len="med"/>
                                </a:ln>
                                <a:effectLst/>
                              </wps:spPr>
                              <wps:bodyPr/>
                            </wps:wsp>
                            <wps:wsp>
                              <wps:cNvPr id="242" name="直接箭头连接符 124"/>
                              <wps:cNvCnPr>
                                <a:cxnSpLocks noChangeShapeType="1"/>
                              </wps:cNvCnPr>
                              <wps:spPr bwMode="auto">
                                <a:xfrm flipV="1">
                                  <a:off x="3917950" y="1830070"/>
                                  <a:ext cx="574675" cy="2540"/>
                                </a:xfrm>
                                <a:prstGeom prst="straightConnector1">
                                  <a:avLst/>
                                </a:prstGeom>
                                <a:noFill/>
                                <a:ln w="6350">
                                  <a:solidFill>
                                    <a:srgbClr val="000000"/>
                                  </a:solidFill>
                                  <a:prstDash val="dash"/>
                                  <a:round/>
                                  <a:tailEnd type="triangle" w="med" len="med"/>
                                </a:ln>
                                <a:effectLst/>
                              </wps:spPr>
                              <wps:bodyPr/>
                            </wps:wsp>
                            <wps:wsp>
                              <wps:cNvPr id="244" name="文本框 142"/>
                              <wps:cNvSpPr txBox="1">
                                <a:spLocks noChangeArrowheads="1"/>
                              </wps:cNvSpPr>
                              <wps:spPr bwMode="auto">
                                <a:xfrm>
                                  <a:off x="4447540" y="1628775"/>
                                  <a:ext cx="1193800" cy="440690"/>
                                </a:xfrm>
                                <a:prstGeom prst="rect">
                                  <a:avLst/>
                                </a:prstGeom>
                                <a:noFill/>
                                <a:ln w="6350">
                                  <a:noFill/>
                                  <a:prstDash val="dash"/>
                                  <a:miter lim="800000"/>
                                </a:ln>
                                <a:effectLst/>
                              </wps:spPr>
                              <wps:txbx>
                                <w:txbxContent>
                                  <w:p>
                                    <w:pPr>
                                      <w:jc w:val="left"/>
                                    </w:pPr>
                                    <w:r>
                                      <w:rPr>
                                        <w:rFonts w:hint="eastAsia"/>
                                        <w:lang w:val="en-US" w:eastAsia="zh-CN"/>
                                      </w:rPr>
                                      <w:t>有机废气、</w:t>
                                    </w:r>
                                    <w:r>
                                      <w:rPr>
                                        <w:rFonts w:hint="eastAsia"/>
                                      </w:rPr>
                                      <w:t>噪声</w:t>
                                    </w:r>
                                  </w:p>
                                </w:txbxContent>
                              </wps:txbx>
                              <wps:bodyPr rot="0" vert="horz" wrap="square" lIns="91440" tIns="45720" rIns="91440" bIns="45720" anchor="t" anchorCtr="0" upright="1">
                                <a:noAutofit/>
                              </wps:bodyPr>
                            </wps:wsp>
                            <wps:wsp>
                              <wps:cNvPr id="245" name="直接箭头连接符 124"/>
                              <wps:cNvCnPr>
                                <a:cxnSpLocks noChangeShapeType="1"/>
                              </wps:cNvCnPr>
                              <wps:spPr bwMode="auto">
                                <a:xfrm flipV="1">
                                  <a:off x="3888105" y="757555"/>
                                  <a:ext cx="574675" cy="2540"/>
                                </a:xfrm>
                                <a:prstGeom prst="straightConnector1">
                                  <a:avLst/>
                                </a:prstGeom>
                                <a:noFill/>
                                <a:ln w="6350">
                                  <a:solidFill>
                                    <a:srgbClr val="000000"/>
                                  </a:solidFill>
                                  <a:prstDash val="dash"/>
                                  <a:round/>
                                  <a:tailEnd type="triangle" w="med" len="med"/>
                                </a:ln>
                                <a:effectLst/>
                              </wps:spPr>
                              <wps:bodyPr/>
                            </wps:wsp>
                            <wps:wsp>
                              <wps:cNvPr id="248" name="文本框 142"/>
                              <wps:cNvSpPr txBox="1">
                                <a:spLocks noChangeArrowheads="1"/>
                              </wps:cNvSpPr>
                              <wps:spPr bwMode="auto">
                                <a:xfrm>
                                  <a:off x="4478655" y="649605"/>
                                  <a:ext cx="495300" cy="252095"/>
                                </a:xfrm>
                                <a:prstGeom prst="rect">
                                  <a:avLst/>
                                </a:prstGeom>
                                <a:noFill/>
                                <a:ln w="6350">
                                  <a:noFill/>
                                  <a:prstDash val="dash"/>
                                  <a:miter lim="800000"/>
                                </a:ln>
                                <a:effectLst/>
                              </wps:spPr>
                              <wps:txbx>
                                <w:txbxContent>
                                  <w:p>
                                    <w:pPr>
                                      <w:jc w:val="left"/>
                                    </w:pPr>
                                    <w:r>
                                      <w:rPr>
                                        <w:rFonts w:hint="eastAsia"/>
                                      </w:rPr>
                                      <w:t>噪声</w:t>
                                    </w:r>
                                  </w:p>
                                </w:txbxContent>
                              </wps:txbx>
                              <wps:bodyPr rot="0" vert="horz" wrap="square" lIns="91440" tIns="45720" rIns="91440" bIns="45720" anchor="t" anchorCtr="0" upright="1">
                                <a:noAutofit/>
                              </wps:bodyPr>
                            </wps:wsp>
                            <wps:wsp>
                              <wps:cNvPr id="254" name="直接箭头连接符 124"/>
                              <wps:cNvCnPr>
                                <a:cxnSpLocks noChangeShapeType="1"/>
                              </wps:cNvCnPr>
                              <wps:spPr bwMode="auto">
                                <a:xfrm>
                                  <a:off x="3926205" y="2895600"/>
                                  <a:ext cx="885190" cy="4445"/>
                                </a:xfrm>
                                <a:prstGeom prst="straightConnector1">
                                  <a:avLst/>
                                </a:prstGeom>
                                <a:noFill/>
                                <a:ln w="6350" cmpd="sng">
                                  <a:solidFill>
                                    <a:schemeClr val="tx1"/>
                                  </a:solidFill>
                                  <a:prstDash val="solid"/>
                                  <a:round/>
                                  <a:tailEnd type="triangle" w="med" len="med"/>
                                </a:ln>
                                <a:effectLst/>
                              </wps:spPr>
                              <wps:bodyPr/>
                            </wps:wsp>
                            <wps:wsp>
                              <wps:cNvPr id="256" name="直接连接符 256"/>
                              <wps:cNvCnPr/>
                              <wps:spPr>
                                <a:prstGeom prst="line">
                                  <a:avLst/>
                                </a:prstGeom>
                              </wps:spPr>
                              <wps:style>
                                <a:lnRef idx="1">
                                  <a:schemeClr val="accent1"/>
                                </a:lnRef>
                                <a:fillRef idx="0">
                                  <a:schemeClr val="accent1"/>
                                </a:fillRef>
                                <a:effectRef idx="0">
                                  <a:schemeClr val="accent1"/>
                                </a:effectRef>
                                <a:fontRef idx="minor">
                                  <a:schemeClr val="tx1"/>
                                </a:fontRef>
                              </wps:style>
                              <wps:bodyPr/>
                            </wps:wsp>
                            <wps:wsp>
                              <wps:cNvPr id="263" name="直接连接符 263"/>
                              <wps:cNvCnPr/>
                              <wps:spPr>
                                <a:xfrm>
                                  <a:off x="4789805" y="2623820"/>
                                  <a:ext cx="3175" cy="26860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65" name="直接连接符 265"/>
                              <wps:cNvCnPr/>
                              <wps:spPr>
                                <a:xfrm flipH="1" flipV="1">
                                  <a:off x="4339590" y="1009650"/>
                                  <a:ext cx="635" cy="239458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68" name="直接箭头连接符 124"/>
                              <wps:cNvCnPr>
                                <a:cxnSpLocks noChangeShapeType="1"/>
                              </wps:cNvCnPr>
                              <wps:spPr bwMode="auto">
                                <a:xfrm>
                                  <a:off x="3920490" y="3411220"/>
                                  <a:ext cx="426085" cy="0"/>
                                </a:xfrm>
                                <a:prstGeom prst="straightConnector1">
                                  <a:avLst/>
                                </a:prstGeom>
                                <a:noFill/>
                                <a:ln w="6350" cmpd="sng">
                                  <a:solidFill>
                                    <a:schemeClr val="tx1"/>
                                  </a:solidFill>
                                  <a:prstDash val="solid"/>
                                  <a:round/>
                                  <a:tailEnd type="triangle" w="med" len="med"/>
                                </a:ln>
                                <a:effectLst/>
                              </wps:spPr>
                              <wps:bodyPr/>
                            </wps:wsp>
                            <wps:wsp>
                              <wps:cNvPr id="269" name="直接连接符 269"/>
                              <wps:cNvCnPr/>
                              <wps:spPr>
                                <a:xfrm flipH="1">
                                  <a:off x="3726815" y="1016000"/>
                                  <a:ext cx="615950" cy="444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71" name="直接箭头连接符 271"/>
                              <wps:cNvCnPr/>
                              <wps:spPr>
                                <a:xfrm flipH="1">
                                  <a:off x="3729990" y="1017270"/>
                                  <a:ext cx="635" cy="16129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wps:wsp>
                              <wps:cNvPr id="272" name="直接箭头连接符 124"/>
                              <wps:cNvCnPr>
                                <a:cxnSpLocks noChangeShapeType="1"/>
                              </wps:cNvCnPr>
                              <wps:spPr bwMode="auto">
                                <a:xfrm flipV="1">
                                  <a:off x="3896360" y="2362835"/>
                                  <a:ext cx="1038225" cy="5080"/>
                                </a:xfrm>
                                <a:prstGeom prst="straightConnector1">
                                  <a:avLst/>
                                </a:prstGeom>
                                <a:noFill/>
                                <a:ln w="6350" cmpd="sng">
                                  <a:solidFill>
                                    <a:schemeClr val="tx1"/>
                                  </a:solidFill>
                                  <a:prstDash val="dash"/>
                                  <a:round/>
                                  <a:tailEnd type="triangle" w="med" len="med"/>
                                </a:ln>
                                <a:effectLst/>
                              </wps:spPr>
                              <wps:bodyPr/>
                            </wps:wsp>
                            <wps:wsp>
                              <wps:cNvPr id="273" name="文本框 142"/>
                              <wps:cNvSpPr txBox="1">
                                <a:spLocks noChangeArrowheads="1"/>
                              </wps:cNvSpPr>
                              <wps:spPr bwMode="auto">
                                <a:xfrm>
                                  <a:off x="4916805" y="2235200"/>
                                  <a:ext cx="576580" cy="245110"/>
                                </a:xfrm>
                                <a:prstGeom prst="rect">
                                  <a:avLst/>
                                </a:prstGeom>
                                <a:noFill/>
                                <a:ln w="6350">
                                  <a:noFill/>
                                  <a:prstDash val="dash"/>
                                  <a:miter lim="800000"/>
                                </a:ln>
                                <a:effectLst/>
                              </wps:spPr>
                              <wps:txbx>
                                <w:txbxContent>
                                  <w:p>
                                    <w:pPr>
                                      <w:jc w:val="left"/>
                                    </w:pPr>
                                    <w:r>
                                      <w:rPr>
                                        <w:rFonts w:hint="eastAsia"/>
                                      </w:rPr>
                                      <w:t>噪声</w:t>
                                    </w:r>
                                  </w:p>
                                </w:txbxContent>
                              </wps:txbx>
                              <wps:bodyPr rot="0" vert="horz" wrap="square" lIns="91440" tIns="45720" rIns="91440" bIns="45720" anchor="t" anchorCtr="0" upright="1">
                                <a:noAutofit/>
                              </wps:bodyPr>
                            </wps:wsp>
                            <wps:wsp>
                              <wps:cNvPr id="16" name="直接箭头连接符 143"/>
                              <wps:cNvCnPr>
                                <a:cxnSpLocks noChangeShapeType="1"/>
                              </wps:cNvCnPr>
                              <wps:spPr bwMode="auto">
                                <a:xfrm flipH="1">
                                  <a:off x="1746250" y="1754505"/>
                                  <a:ext cx="635" cy="140335"/>
                                </a:xfrm>
                                <a:prstGeom prst="straightConnector1">
                                  <a:avLst/>
                                </a:prstGeom>
                                <a:noFill/>
                                <a:ln w="6350">
                                  <a:solidFill>
                                    <a:srgbClr val="000000"/>
                                  </a:solidFill>
                                  <a:prstDash val="dash"/>
                                  <a:round/>
                                  <a:tailEnd type="triangle" w="med" len="med"/>
                                </a:ln>
                                <a:effectLst/>
                              </wps:spPr>
                              <wps:bodyPr/>
                            </wps:wsp>
                            <wps:wsp>
                              <wps:cNvPr id="42" name="文本框 142"/>
                              <wps:cNvSpPr txBox="1">
                                <a:spLocks noChangeArrowheads="1"/>
                              </wps:cNvSpPr>
                              <wps:spPr bwMode="auto">
                                <a:xfrm>
                                  <a:off x="1390650" y="1859915"/>
                                  <a:ext cx="771525" cy="262890"/>
                                </a:xfrm>
                                <a:prstGeom prst="rect">
                                  <a:avLst/>
                                </a:prstGeom>
                                <a:noFill/>
                                <a:ln w="6350">
                                  <a:noFill/>
                                  <a:prstDash val="dash"/>
                                  <a:miter lim="800000"/>
                                </a:ln>
                                <a:effectLst/>
                              </wps:spPr>
                              <wps:txbx>
                                <w:txbxContent>
                                  <w:p>
                                    <w:pPr>
                                      <w:jc w:val="left"/>
                                    </w:pPr>
                                    <w:r>
                                      <w:rPr>
                                        <w:rFonts w:hint="eastAsia"/>
                                      </w:rPr>
                                      <w:t>配料粉尘</w:t>
                                    </w:r>
                                  </w:p>
                                </w:txbxContent>
                              </wps:txbx>
                              <wps:bodyPr rot="0" vert="horz" wrap="square" lIns="91440" tIns="45720" rIns="91440" bIns="45720" anchor="t" anchorCtr="0" upright="1">
                                <a:noAutofit/>
                              </wps:bodyPr>
                            </wps:wsp>
                            <wps:wsp>
                              <wps:cNvPr id="45" name="文本框 121"/>
                              <wps:cNvSpPr txBox="1">
                                <a:spLocks noChangeArrowheads="1"/>
                              </wps:cNvSpPr>
                              <wps:spPr bwMode="auto">
                                <a:xfrm>
                                  <a:off x="3122930" y="2237105"/>
                                  <a:ext cx="769620" cy="264160"/>
                                </a:xfrm>
                                <a:prstGeom prst="rect">
                                  <a:avLst/>
                                </a:prstGeom>
                                <a:noFill/>
                                <a:ln w="6350">
                                  <a:solidFill>
                                    <a:srgbClr val="000000"/>
                                  </a:solidFill>
                                  <a:miter lim="800000"/>
                                </a:ln>
                                <a:effectLst/>
                              </wps:spPr>
                              <wps:txbx>
                                <w:txbxContent>
                                  <w:p>
                                    <w:pPr>
                                      <w:adjustRightInd w:val="0"/>
                                      <w:snapToGrid w:val="0"/>
                                      <w:jc w:val="center"/>
                                      <w:rPr>
                                        <w:rFonts w:hint="eastAsia" w:eastAsia="宋体"/>
                                        <w:color w:val="auto"/>
                                        <w:lang w:val="en-US" w:eastAsia="zh-CN"/>
                                      </w:rPr>
                                    </w:pPr>
                                    <w:r>
                                      <w:rPr>
                                        <w:rFonts w:hint="eastAsia"/>
                                        <w:color w:val="auto"/>
                                        <w:lang w:val="en-US" w:eastAsia="zh-CN"/>
                                      </w:rPr>
                                      <w:t>过滤</w:t>
                                    </w:r>
                                  </w:p>
                                </w:txbxContent>
                              </wps:txbx>
                              <wps:bodyPr rot="0" vert="horz" wrap="square" lIns="91440" tIns="45720" rIns="91440" bIns="45720" anchor="t" anchorCtr="0" upright="1">
                                <a:noAutofit/>
                              </wps:bodyPr>
                            </wps:wsp>
                            <wps:wsp>
                              <wps:cNvPr id="61" name="直接箭头连接符 126"/>
                              <wps:cNvCnPr>
                                <a:cxnSpLocks noChangeShapeType="1"/>
                              </wps:cNvCnPr>
                              <wps:spPr bwMode="auto">
                                <a:xfrm rot="5400000" flipV="1">
                                  <a:off x="3380105" y="2646680"/>
                                  <a:ext cx="267335" cy="0"/>
                                </a:xfrm>
                                <a:prstGeom prst="straightConnector1">
                                  <a:avLst/>
                                </a:prstGeom>
                                <a:noFill/>
                                <a:ln w="6350">
                                  <a:solidFill>
                                    <a:srgbClr val="000000"/>
                                  </a:solidFill>
                                  <a:round/>
                                  <a:tailEnd type="triangle" w="med" len="med"/>
                                </a:ln>
                                <a:effectLst/>
                              </wps:spPr>
                              <wps:bodyPr/>
                            </wps:wsp>
                            <wps:wsp>
                              <wps:cNvPr id="74" name="直接箭头连接符 74"/>
                              <wps:cNvCnPr/>
                              <wps:spPr>
                                <a:xfrm flipH="1">
                                  <a:off x="3656330" y="2627630"/>
                                  <a:ext cx="635" cy="16129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wpc:wpc>
                        </a:graphicData>
                      </a:graphic>
                    </wp:inline>
                  </w:drawing>
                </mc:Choice>
                <mc:Fallback>
                  <w:pict>
                    <v:group id="_x0000_s1026" o:spid="_x0000_s1026" o:spt="203" style="height:372.75pt;width:446.95pt;" coordsize="5676265,4733925" editas="canvas" o:gfxdata="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">
                      <o:lock v:ext="edit" aspectratio="f"/>
                      <v:shape id="_x0000_s1026" o:spid="_x0000_s1026" style="position:absolute;left:0;top:0;height:4733925;width:5676265;" filled="f" stroked="f" coordsize="21600,21600" o:gfxdata="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">
                        <v:fill on="f" focussize="0,0"/>
                        <v:stroke on="f" joinstyle="miter"/>
                        <v:imagedata o:title=""/>
                        <o:lock v:ext="edit" aspectratio="t"/>
                      </v:shape>
                      <v:shape id="文本框 118" o:spid="_x0000_s1026" o:spt="202" type="#_x0000_t202" style="position:absolute;left:3134995;top:73660;height:276225;width:722630;" filled="f" stroked="f" coordsize="21600,21600" o:gfxdata="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Den&#10;sWPUAAAABQEAAA8AAAAAAAAAAQAgAAAAIgAAAGRycy9kb3ducmV2LnhtbFBLAQIUABQAAAAIAIdO&#10;4kD8UQ8iJwIAADAEAAAOAAAAAAAAAAEAIAAAACMBAABkcnMvZTJvRG9jLnhtbFBLBQYAAAAABgAG&#10;AFkBAAC8BQAAAAA=&#10;">
                        <v:fill on="f" focussize="0,0"/>
                        <v:stroke on="f"/>
                        <v:imagedata o:title=""/>
                        <o:lock v:ext="edit" aspectratio="f"/>
                        <v:textbox>
                          <w:txbxContent>
                            <w:p>
                              <w:pPr>
                                <w:adjustRightInd w:val="0"/>
                                <w:snapToGrid w:val="0"/>
                                <w:jc w:val="center"/>
                              </w:pPr>
                              <w:r>
                                <w:rPr>
                                  <w:rFonts w:hint="eastAsia"/>
                                  <w:lang w:val="en-US" w:eastAsia="zh-CN"/>
                                </w:rPr>
                                <w:t>橡胶</w:t>
                              </w:r>
                              <w:r>
                                <w:rPr>
                                  <w:rFonts w:hint="eastAsia"/>
                                </w:rPr>
                                <w:t>生胶</w:t>
                              </w:r>
                            </w:p>
                          </w:txbxContent>
                        </v:textbox>
                      </v:shape>
                      <v:shape id="文本框 121" o:spid="_x0000_s1026" o:spt="202" type="#_x0000_t202" style="position:absolute;left:3144520;top:1182370;height:248285;width:769620;" filled="f" stroked="t" coordsize="21600,21600" o:gfxdata="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">
                        <v:fill on="f" focussize="0,0"/>
                        <v:stroke weight="0.5pt" color="#000000" miterlimit="8" joinstyle="miter"/>
                        <v:imagedata o:title=""/>
                        <o:lock v:ext="edit" aspectratio="f"/>
                        <v:textbox>
                          <w:txbxContent>
                            <w:p>
                              <w:pPr>
                                <w:adjustRightInd w:val="0"/>
                                <w:snapToGrid w:val="0"/>
                                <w:jc w:val="center"/>
                              </w:pPr>
                              <w:r>
                                <w:rPr>
                                  <w:rFonts w:hint="eastAsia"/>
                                </w:rPr>
                                <w:t>密炼</w:t>
                              </w:r>
                            </w:p>
                          </w:txbxContent>
                        </v:textbox>
                      </v:shape>
                      <v:shape id="直接箭头连接符 124" o:spid="_x0000_s1026" o:spt="32" type="#_x0000_t32" style="position:absolute;left:3916680;top:1303655;flip:y;height:2540;width:574675;" filled="f" stroked="t" coordsize="21600,21600" o:gfxdata="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G5aFdzXAAAABQEAAA8AAAAAAAAAAQAgAAAAIgAAAGRycy9kb3du&#10;cmV2LnhtbFBLAQIUABQAAAAIAIdO4kDNRatmOQIAAC4EAAAOAAAAAAAAAAEAIAAAACYBAABkcnMv&#10;ZTJvRG9jLnhtbFBLBQYAAAAABgAGAFkBAADRBQAAAAA=&#10;">
                        <v:fill on="f" focussize="0,0"/>
                        <v:stroke weight="0.5pt" color="#000000" joinstyle="round" dashstyle="dash" endarrow="block"/>
                        <v:imagedata o:title=""/>
                        <o:lock v:ext="edit" aspectratio="f"/>
                      </v:shape>
                      <v:shape id="直接箭头连接符 130" o:spid="_x0000_s1026" o:spt="32" type="#_x0000_t32" style="position:absolute;left:3518535;top:3101340;height:178435;width:0;" filled="f" stroked="t" coordsize="21600,21600" o:gfxdata="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O/4fjbW&#10;AAAABQEAAA8AAAAAAAAAAQAgAAAAIgAAAGRycy9kb3ducmV2LnhtbFBLAQIUABQAAAAIAIdO4kDp&#10;ZMsHIgIAAAkEAAAOAAAAAAAAAAEAIAAAACUBAABkcnMvZTJvRG9jLnhtbFBLBQYAAAAABgAGAFkB&#10;AAC5BQAAAAA=&#10;">
                        <v:fill on="f" focussize="0,0"/>
                        <v:stroke weight="0.5pt" color="#000000" joinstyle="round" endarrow="block"/>
                        <v:imagedata o:title=""/>
                        <o:lock v:ext="edit" aspectratio="f"/>
                      </v:shape>
                      <v:shape id="文本框 142" o:spid="_x0000_s1026" o:spt="202" type="#_x0000_t202" style="position:absolute;left:4445000;top:1175385;height:495300;width:1193800;" filled="f" stroked="f" coordsize="21600,21600" o:gfxdata="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A5ZfDq0gAAAAUBAAAPAAAAAAAAAAEAIAAA&#10;ACIAAABkcnMvZG93bnJldi54bWxQSwECFAAUAAAACACHTuJA+r/3TksCAABrBAAADgAAAAAAAAAB&#10;ACAAAAAhAQAAZHJzL2Uyb0RvYy54bWxQSwUGAAAAAAYABgBZAQAA3gUAAAAA&#10;">
                        <v:fill on="f" focussize="0,0"/>
                        <v:stroke on="f" weight="0.5pt" miterlimit="8" joinstyle="miter" dashstyle="dash"/>
                        <v:imagedata o:title=""/>
                        <o:lock v:ext="edit" aspectratio="f"/>
                        <v:textbox>
                          <w:txbxContent>
                            <w:p>
                              <w:pPr>
                                <w:jc w:val="left"/>
                              </w:pPr>
                              <w:r>
                                <w:rPr>
                                  <w:rFonts w:hint="eastAsia"/>
                                  <w:color w:val="auto"/>
                                  <w:lang w:val="en-US" w:eastAsia="zh-CN"/>
                                </w:rPr>
                                <w:t>粉尘、</w:t>
                              </w:r>
                              <w:r>
                                <w:rPr>
                                  <w:rFonts w:hint="eastAsia"/>
                                  <w:lang w:val="en-US" w:eastAsia="zh-CN"/>
                                </w:rPr>
                                <w:t>有机废气、</w:t>
                              </w:r>
                              <w:r>
                                <w:rPr>
                                  <w:rFonts w:hint="eastAsia"/>
                                </w:rPr>
                                <w:t>噪声</w:t>
                              </w:r>
                            </w:p>
                          </w:txbxContent>
                        </v:textbox>
                      </v:shape>
                      <v:shape id="文本框 119" o:spid="_x0000_s1026" o:spt="202" type="#_x0000_t202" style="position:absolute;left:3147695;top:4298950;height:254000;width:857250;" filled="f" stroked="f" coordsize="21600,21600" o:gfxdata="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OWXw6tIAAAAFAQAADwAAAAAAAAABACAAAAAi&#10;AAAAZHJzL2Rvd25yZXYueG1sUEsBAhQAFAAAAAgAh07iQGLdwZ5JAgAAaQQAAA4AAAAAAAAAAQAg&#10;AAAAIQEAAGRycy9lMm9Eb2MueG1sUEsFBgAAAAAGAAYAWQEAANwFAAAAAA==&#10;">
                        <v:fill on="f" focussize="0,0"/>
                        <v:stroke on="f" weight="0.5pt" miterlimit="8" joinstyle="miter" dashstyle="dash"/>
                        <v:imagedata o:title=""/>
                        <o:lock v:ext="edit" aspectratio="f"/>
                        <v:textbox>
                          <w:txbxContent>
                            <w:p>
                              <w:pPr>
                                <w:adjustRightInd w:val="0"/>
                                <w:snapToGrid w:val="0"/>
                                <w:jc w:val="left"/>
                              </w:pPr>
                              <w:r>
                                <w:rPr>
                                  <w:rFonts w:hint="eastAsia"/>
                                </w:rPr>
                                <w:t>橡胶混炼胶</w:t>
                              </w:r>
                            </w:p>
                          </w:txbxContent>
                        </v:textbox>
                      </v:shape>
                      <v:shape id="文本框 119" o:spid="_x0000_s1026" o:spt="202" type="#_x0000_t202" style="position:absolute;left:3968115;top:2666365;height:230505;width:788670;" filled="f" stroked="f" coordsize="21600,21600" o:gfxdata="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A5ZfDq0gAAAAUBAAAPAAAAAAAAAAEA&#10;IAAAACIAAABkcnMvZG93bnJldi54bWxQSwECFAAUAAAACACHTuJAnGoT+04CAABpBAAADgAAAAAA&#10;AAABACAAAAAhAQAAZHJzL2Uyb0RvYy54bWxQSwUGAAAAAAYABgBZAQAA4QUAAAAA&#10;">
                        <v:fill on="f" focussize="0,0"/>
                        <v:stroke on="f" weight="0.5pt" miterlimit="8" joinstyle="miter" dashstyle="dash"/>
                        <v:imagedata o:title=""/>
                        <o:lock v:ext="edit" aspectratio="f"/>
                        <v:textbox>
                          <w:txbxContent>
                            <w:p>
                              <w:pPr>
                                <w:adjustRightInd w:val="0"/>
                                <w:snapToGrid w:val="0"/>
                                <w:jc w:val="left"/>
                                <w:rPr>
                                  <w:sz w:val="18"/>
                                  <w:szCs w:val="16"/>
                                </w:rPr>
                              </w:pPr>
                              <w:r>
                                <w:rPr>
                                  <w:rFonts w:hint="eastAsia"/>
                                  <w:sz w:val="18"/>
                                  <w:szCs w:val="16"/>
                                </w:rPr>
                                <w:t>循环冷却水</w:t>
                              </w:r>
                            </w:p>
                          </w:txbxContent>
                        </v:textbox>
                      </v:shape>
                      <v:line id="_x0000_s1026" o:spid="_x0000_s1026" o:spt="20" style="position:absolute;left:3653790;top:2626995;flip:x;height:0;width:1132205;" filled="f" stroked="t" coordsize="21600,21600" o:gfxdata="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BBSNU71gAAAAUBAAAPAAAAAAAAAAEAIAAAACIAAABkcnMvZG93bnJldi54&#10;bWxQSwECFAAUAAAACACHTuJAZmRkqvwBAADJAwAADgAAAAAAAAABACAAAAAlAQAAZHJzL2Uyb0Rv&#10;Yy54bWxQSwUGAAAAAAYABgBZAQAAkwUAAAAA&#10;">
                        <v:fill on="f" focussize="0,0"/>
                        <v:stroke weight="0.5pt" color="#000000 [3213]" miterlimit="8" joinstyle="miter"/>
                        <v:imagedata o:title=""/>
                        <o:lock v:ext="edit" aspectratio="f"/>
                      </v:line>
                      <v:shape id="文本框 142" o:spid="_x0000_s1026" o:spt="202" type="#_x0000_t202" style="position:absolute;left:815340;top:3164840;height:302895;width:771525;" filled="f" stroked="f" coordsize="21600,21600" o:gfxdata="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Dll8OrSAAAABQEAAA8AAAAAAAAAAQAgAAAA&#10;IgAAAGRycy9kb3ducmV2LnhtbFBLAQIUABQAAAAIAIdO4kAQ3DHsSgIAAGkEAAAOAAAAAAAAAAEA&#10;IAAAACEBAABkcnMvZTJvRG9jLnhtbFBLBQYAAAAABgAGAFkBAADdBQAAAAA=&#10;">
                        <v:fill on="f" focussize="0,0"/>
                        <v:stroke on="f" weight="0.5pt" miterlimit="8" joinstyle="miter" dashstyle="dash"/>
                        <v:imagedata o:title=""/>
                        <o:lock v:ext="edit" aspectratio="f"/>
                        <v:textbox>
                          <w:txbxContent>
                            <w:p>
                              <w:pPr>
                                <w:jc w:val="left"/>
                              </w:pPr>
                              <w:r>
                                <w:rPr>
                                  <w:rFonts w:hint="eastAsia"/>
                                </w:rPr>
                                <w:t>配料粉尘</w:t>
                              </w:r>
                            </w:p>
                          </w:txbxContent>
                        </v:textbox>
                      </v:shape>
                      <v:line id="_x0000_s1026" o:spid="_x0000_s1026" o:spt="20" style="position:absolute;left:2858135;top:1181735;flip:x y;height:1580515;width:5715;" filled="f" stroked="t" coordsize="21600,21600" o:gfxdata="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Bv2G0/XAAAABQEAAA8AAAAAAAAAAQAgAAAAIgAAAGRycy9kb3ducmV2&#10;LnhtbFBLAQIUABQAAAAIAIdO4kBwHNLm/QEAANgDAAAOAAAAAAAAAAEAIAAAACYBAABkcnMvZTJv&#10;RG9jLnhtbFBLBQYAAAAABgAGAFkBAACVBQAAAAA=&#10;">
                        <v:fill on="f" focussize="0,0"/>
                        <v:stroke weight="0.5pt" color="#000000 [3213]" miterlimit="8" joinstyle="miter"/>
                        <v:imagedata o:title=""/>
                        <o:lock v:ext="edit" aspectratio="f"/>
                      </v:line>
                      <v:shape id="文本框 119" o:spid="_x0000_s1026" o:spt="202" type="#_x0000_t202" style="position:absolute;left:4026535;top:1907540;height:250825;width:671195;" filled="f" stroked="f" coordsize="21600,21600" o:gfxdata="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A5ZfDq0gAAAAUBAAAPAAAAAAAAAAEAIAAA&#10;ACIAAABkcnMvZG93bnJldi54bWxQSwECFAAUAAAACACHTuJAuwDap0sCAABqBAAADgAAAAAAAAAB&#10;ACAAAAAhAQAAZHJzL2Uyb0RvYy54bWxQSwUGAAAAAAYABgBZAQAA3gUAAAAA&#10;">
                        <v:fill on="f" focussize="0,0"/>
                        <v:stroke on="f" weight="0.5pt" miterlimit="8" joinstyle="miter" dashstyle="dash"/>
                        <v:imagedata o:title=""/>
                        <o:lock v:ext="edit" aspectratio="f"/>
                        <v:textbox>
                          <w:txbxContent>
                            <w:p>
                              <w:pPr>
                                <w:adjustRightInd w:val="0"/>
                                <w:snapToGrid w:val="0"/>
                                <w:jc w:val="left"/>
                                <w:rPr>
                                  <w:sz w:val="18"/>
                                  <w:szCs w:val="16"/>
                                </w:rPr>
                              </w:pPr>
                              <w:r>
                                <w:rPr>
                                  <w:rFonts w:hint="eastAsia"/>
                                  <w:sz w:val="18"/>
                                  <w:szCs w:val="16"/>
                                </w:rPr>
                                <w:t>不合格品</w:t>
                              </w:r>
                            </w:p>
                          </w:txbxContent>
                        </v:textbox>
                      </v:shape>
                      <v:shape id="文本框 119" o:spid="_x0000_s1026" o:spt="202" type="#_x0000_t202" style="position:absolute;left:800100;top:278130;height:258445;width:455930;" filled="f" stroked="f" coordsize="21600,21600" o:gfxdata="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AAAAAZHJzL1BLAQIUABQAAAAIAIdO4kA5ZfDq0gAAAAUBAAAPAAAAAAAAAAEAIAAAACIA&#10;AABkcnMvZG93bnJldi54bWxQSwECFAAUAAAACACHTuJA38n5d0gCAABoBAAADgAAAAAAAAABACAA&#10;AAAhAQAAZHJzL2Uyb0RvYy54bWxQSwUGAAAAAAYABgBZAQAA2wUAAAAA&#10;">
                        <v:fill on="f" focussize="0,0"/>
                        <v:stroke on="f" weight="0.5pt" miterlimit="8" joinstyle="miter" dashstyle="dash"/>
                        <v:imagedata o:title=""/>
                        <o:lock v:ext="edit" aspectratio="f"/>
                        <v:textbox>
                          <w:txbxContent>
                            <w:p>
                              <w:pPr>
                                <w:adjustRightInd w:val="0"/>
                                <w:snapToGrid w:val="0"/>
                                <w:jc w:val="left"/>
                              </w:pPr>
                              <w:r>
                                <w:rPr>
                                  <w:rFonts w:hint="eastAsia"/>
                                </w:rPr>
                                <w:t>油料</w:t>
                              </w:r>
                            </w:p>
                          </w:txbxContent>
                        </v:textbox>
                      </v:shape>
                      <v:shape id="文本框 121" o:spid="_x0000_s1026" o:spt="202" type="#_x0000_t202" style="position:absolute;left:1675765;top:249555;height:248285;width:626110;" filled="f" stroked="t" coordsize="21600,21600" o:gfxdata="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">
                        <v:fill on="f" focussize="0,0"/>
                        <v:stroke weight="0.5pt" color="#000000" miterlimit="8" joinstyle="miter"/>
                        <v:imagedata o:title=""/>
                        <o:lock v:ext="edit" aspectratio="f"/>
                        <v:textbox>
                          <w:txbxContent>
                            <w:p>
                              <w:pPr>
                                <w:adjustRightInd w:val="0"/>
                                <w:snapToGrid w:val="0"/>
                                <w:rPr>
                                  <w:rFonts w:hint="eastAsia" w:eastAsia="宋体"/>
                                  <w:lang w:val="en-US" w:eastAsia="zh-CN"/>
                                </w:rPr>
                              </w:pPr>
                              <w:r>
                                <w:rPr>
                                  <w:rFonts w:hint="eastAsia"/>
                                </w:rPr>
                                <w:t>储油</w:t>
                              </w:r>
                              <w:r>
                                <w:rPr>
                                  <w:rFonts w:hint="eastAsia"/>
                                  <w:lang w:val="en-US" w:eastAsia="zh-CN"/>
                                </w:rPr>
                                <w:t>槽</w:t>
                              </w:r>
                            </w:p>
                          </w:txbxContent>
                        </v:textbox>
                      </v:shape>
                      <v:shape id="文本框 121" o:spid="_x0000_s1026" o:spt="202" type="#_x0000_t202" style="position:absolute;left:1501140;top:648335;height:280035;width:994410;" filled="f" stroked="t" coordsize="21600,21600" o:gfxdata="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">
                        <v:fill on="f" focussize="0,0"/>
                        <v:stroke weight="0.5pt" color="#000000" miterlimit="8" joinstyle="miter"/>
                        <v:imagedata o:title=""/>
                        <o:lock v:ext="edit" aspectratio="f"/>
                        <v:textbox>
                          <w:txbxContent>
                            <w:p>
                              <w:pPr>
                                <w:adjustRightInd w:val="0"/>
                                <w:snapToGrid w:val="0"/>
                              </w:pPr>
                              <w:r>
                                <w:rPr>
                                  <w:rFonts w:hint="eastAsia"/>
                                </w:rPr>
                                <w:t>油料输送系统</w:t>
                              </w:r>
                            </w:p>
                          </w:txbxContent>
                        </v:textbox>
                      </v:shape>
                      <v:shape id="文本框 121" o:spid="_x0000_s1026" o:spt="202" type="#_x0000_t202" style="position:absolute;left:1634490;top:1071245;height:248285;width:727075;" filled="f" stroked="t" coordsize="21600,21600" o:gfxdata="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">
                        <v:fill on="f" focussize="0,0"/>
                        <v:stroke weight="0.5pt" color="#000000" miterlimit="8" joinstyle="miter"/>
                        <v:imagedata o:title=""/>
                        <o:lock v:ext="edit" aspectratio="f"/>
                        <v:textbox>
                          <w:txbxContent>
                            <w:p>
                              <w:pPr>
                                <w:adjustRightInd w:val="0"/>
                                <w:snapToGrid w:val="0"/>
                              </w:pPr>
                              <w:r>
                                <w:rPr>
                                  <w:rFonts w:hint="eastAsia"/>
                                </w:rPr>
                                <w:t>自动称量</w:t>
                              </w:r>
                            </w:p>
                          </w:txbxContent>
                        </v:textbox>
                      </v:shape>
                      <v:shape id="文本框 119" o:spid="_x0000_s1026" o:spt="202" type="#_x0000_t202" style="position:absolute;left:361315;top:1479550;height:255905;width:594360;" filled="f" stroked="f" coordsize="21600,21600" o:gfxdata="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Dll8OrSAAAABQEAAA8AAAAAAAAAAQAgAAAA&#10;IgAAAGRycy9kb3ducmV2LnhtbFBLAQIUABQAAAAIAIdO4kC/8djQSgIAAGkEAAAOAAAAAAAAAAEA&#10;IAAAACEBAABkcnMvZTJvRG9jLnhtbFBLBQYAAAAABgAGAFkBAADdBQAAAAA=&#10;">
                        <v:fill on="f" focussize="0,0"/>
                        <v:stroke on="f" weight="0.5pt" miterlimit="8" joinstyle="miter" dashstyle="dash"/>
                        <v:imagedata o:title=""/>
                        <o:lock v:ext="edit" aspectratio="f"/>
                        <v:textbox>
                          <w:txbxContent>
                            <w:p>
                              <w:pPr>
                                <w:adjustRightInd w:val="0"/>
                                <w:snapToGrid w:val="0"/>
                                <w:jc w:val="left"/>
                                <w:rPr>
                                  <w:rFonts w:hint="eastAsia" w:eastAsia="宋体"/>
                                  <w:lang w:val="en-US" w:eastAsia="zh-CN"/>
                                </w:rPr>
                              </w:pPr>
                              <w:r>
                                <w:rPr>
                                  <w:rFonts w:hint="eastAsia"/>
                                  <w:lang w:val="en-US" w:eastAsia="zh-CN"/>
                                </w:rPr>
                                <w:t>碳酸钙</w:t>
                              </w:r>
                            </w:p>
                          </w:txbxContent>
                        </v:textbox>
                      </v:shape>
                      <v:shape id="文本框 121" o:spid="_x0000_s1026" o:spt="202" type="#_x0000_t202" style="position:absolute;left:1165225;top:1457325;height:292735;width:1138555;" filled="f" stroked="t" coordsize="21600,21600" o:gfxdata="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">
                        <v:fill on="f" focussize="0,0"/>
                        <v:stroke weight="0.5pt" color="#000000" miterlimit="8" joinstyle="miter"/>
                        <v:imagedata o:title=""/>
                        <o:lock v:ext="edit" aspectratio="f"/>
                        <v:textbox>
                          <w:txbxContent>
                            <w:p>
                              <w:pPr>
                                <w:adjustRightInd w:val="0"/>
                                <w:snapToGrid w:val="0"/>
                              </w:pPr>
                              <w:r>
                                <w:rPr>
                                  <w:rFonts w:hint="eastAsia"/>
                                </w:rPr>
                                <w:t>半自动小料分装</w:t>
                              </w:r>
                            </w:p>
                          </w:txbxContent>
                        </v:textbox>
                      </v:shape>
                      <v:shape id="文本框 119" o:spid="_x0000_s1026" o:spt="202" type="#_x0000_t202" style="position:absolute;left:612775;top:2179955;height:254000;width:615315;" filled="f" stroked="f" coordsize="21600,21600" o:gfxdata="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OWXw6tIAAAAFAQAADwAAAAAAAAABACAAAAAi&#10;AAAAZHJzL2Rvd25yZXYueG1sUEsBAhQAFAAAAAgAh07iQN2r5aRJAgAAaQQAAA4AAAAAAAAAAQAg&#10;AAAAIQEAAGRycy9lMm9Eb2MueG1sUEsFBgAAAAAGAAYAWQEAANwFAAAAAA==&#10;">
                        <v:fill on="f" focussize="0,0"/>
                        <v:stroke on="f" weight="0.5pt" miterlimit="8" joinstyle="miter" dashstyle="dash"/>
                        <v:imagedata o:title=""/>
                        <o:lock v:ext="edit" aspectratio="f"/>
                        <v:textbox>
                          <w:txbxContent>
                            <w:p>
                              <w:pPr>
                                <w:adjustRightInd w:val="0"/>
                                <w:snapToGrid w:val="0"/>
                                <w:jc w:val="left"/>
                              </w:pPr>
                              <w:r>
                                <w:rPr>
                                  <w:rFonts w:hint="eastAsia"/>
                                </w:rPr>
                                <w:t>大粒料</w:t>
                              </w:r>
                            </w:p>
                          </w:txbxContent>
                        </v:textbox>
                      </v:shape>
                      <v:shape id="文本框 121" o:spid="_x0000_s1026" o:spt="202" type="#_x0000_t202" style="position:absolute;left:1391285;top:2192020;height:248285;width:1067435;" filled="f" stroked="t" coordsize="21600,21600" o:gfxdata="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">
                        <v:fill on="f" focussize="0,0"/>
                        <v:stroke weight="0.5pt" color="#000000" miterlimit="8" joinstyle="miter"/>
                        <v:imagedata o:title=""/>
                        <o:lock v:ext="edit" aspectratio="f"/>
                        <v:textbox>
                          <w:txbxContent>
                            <w:p>
                              <w:pPr>
                                <w:adjustRightInd w:val="0"/>
                                <w:snapToGrid w:val="0"/>
                              </w:pPr>
                              <w:r>
                                <w:rPr>
                                  <w:rFonts w:hint="eastAsia"/>
                                </w:rPr>
                                <w:t>自动小料分装</w:t>
                              </w:r>
                            </w:p>
                          </w:txbxContent>
                        </v:textbox>
                      </v:shape>
                      <v:shape id="文本框 119" o:spid="_x0000_s1026" o:spt="202" type="#_x0000_t202" style="position:absolute;left:18415;top:2623185;height:330835;width:458470;" filled="f" stroked="f" coordsize="21600,21600" o:gfxdata="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Dll8OrSAAAABQEAAA8AAAAAAAAAAQAg&#10;AAAAIgAAAGRycy9kb3ducmV2LnhtbFBLAQIUABQAAAAIAIdO4kC+iAcVTQIAAGgEAAAOAAAAAAAA&#10;AAEAIAAAACEBAABkcnMvZTJvRG9jLnhtbFBLBQYAAAAABgAGAFkBAADgBQAAAAA=&#10;">
                        <v:fill on="f" focussize="0,0"/>
                        <v:stroke on="f" weight="0.5pt" miterlimit="8" joinstyle="miter" dashstyle="dash"/>
                        <v:imagedata o:title=""/>
                        <o:lock v:ext="edit" aspectratio="f"/>
                        <v:textbox>
                          <w:txbxContent>
                            <w:p>
                              <w:pPr>
                                <w:adjustRightInd w:val="0"/>
                                <w:snapToGrid w:val="0"/>
                                <w:jc w:val="left"/>
                              </w:pPr>
                              <w:r>
                                <w:rPr>
                                  <w:rFonts w:hint="eastAsia"/>
                                </w:rPr>
                                <w:t>炭黑</w:t>
                              </w:r>
                            </w:p>
                          </w:txbxContent>
                        </v:textbox>
                      </v:shape>
                      <v:shape id="直接箭头连接符 143" o:spid="_x0000_s1026" o:spt="32" type="#_x0000_t32" style="position:absolute;left:377190;top:2753995;flip:y;height:3810;width:219710;" filled="f" stroked="t" coordsize="21600,21600" o:gfxdata="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DvdWH11QAAAAUBAAAPAAAAAAAAAAEAIAAAACIAAABkcnMvZG93&#10;bnJldi54bWxQSwECFAAUAAAACACHTuJALjQ3pjwCAAA5BAAADgAAAAAAAAABACAAAAAkAQAAZHJz&#10;L2Uyb0RvYy54bWxQSwUGAAAAAAYABgBZAQAA0gUAAAAA&#10;">
                        <v:fill on="f" focussize="0,0"/>
                        <v:stroke weight="0.5pt" color="#000000 [3213]" joinstyle="round" endarrow="block"/>
                        <v:imagedata o:title=""/>
                        <o:lock v:ext="edit" aspectratio="f"/>
                      </v:shape>
                      <v:shape id="文本框 121" o:spid="_x0000_s1026" o:spt="202" type="#_x0000_t202" style="position:absolute;left:608330;top:2635250;height:285115;width:1143635;" filled="f" stroked="t" coordsize="21600,21600" o:gfxdata="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N3xtePYAAAABQEAAA8AAAAA&#10;AAAAAQAgAAAAIgAAAGRycy9kb3ducmV2LnhtbFBLAQIUABQAAAAIAIdO4kCKwtQoTQIAAHsEAAAO&#10;AAAAAAAAAAEAIAAAACcBAABkcnMvZTJvRG9jLnhtbFBLBQYAAAAABgAGAFkBAADmBQAAAAA=&#10;">
                        <v:fill on="f" focussize="0,0"/>
                        <v:stroke weight="0.5pt" color="#000000" miterlimit="8" joinstyle="miter"/>
                        <v:imagedata o:title=""/>
                        <o:lock v:ext="edit" aspectratio="f"/>
                        <v:textbox>
                          <w:txbxContent>
                            <w:p>
                              <w:pPr>
                                <w:adjustRightInd w:val="0"/>
                                <w:snapToGrid w:val="0"/>
                              </w:pPr>
                              <w:r>
                                <w:rPr>
                                  <w:rFonts w:hint="eastAsia"/>
                                </w:rPr>
                                <w:t>半自动粉体分装</w:t>
                              </w:r>
                            </w:p>
                          </w:txbxContent>
                        </v:textbox>
                      </v:shape>
                      <v:shape id="文本框 121" o:spid="_x0000_s1026" o:spt="202" type="#_x0000_t202" style="position:absolute;left:1975485;top:2649220;height:260350;width:482600;" filled="f" stroked="t" coordsize="21600,21600" o:gfxdata="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">
                        <v:fill on="f" focussize="0,0"/>
                        <v:stroke weight="0.5pt" color="#000000" miterlimit="8" joinstyle="miter"/>
                        <v:imagedata o:title=""/>
                        <o:lock v:ext="edit" aspectratio="f"/>
                        <v:textbox>
                          <w:txbxContent>
                            <w:p>
                              <w:pPr>
                                <w:adjustRightInd w:val="0"/>
                                <w:snapToGrid w:val="0"/>
                              </w:pPr>
                              <w:r>
                                <w:rPr>
                                  <w:rFonts w:hint="eastAsia"/>
                                </w:rPr>
                                <w:t>称量</w:t>
                              </w:r>
                            </w:p>
                          </w:txbxContent>
                        </v:textbox>
                      </v:shape>
                      <v:shape id="直接箭头连接符 126" o:spid="_x0000_s1026" o:spt="32" type="#_x0000_t32" style="position:absolute;left:2001520;top:516255;height:148590;width:635;" filled="f" stroked="t" coordsize="21600,21600" o:gfxdata="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7/h+&#10;NtYAAAAFAQAADwAAAAAAAAABACAAAAAiAAAAZHJzL2Rvd25yZXYueG1sUEsBAhQAFAAAAAgAh07i&#10;QI+3+GckAgAACgQAAA4AAAAAAAAAAQAgAAAAJQEAAGRycy9lMm9Eb2MueG1sUEsFBgAAAAAGAAYA&#10;WQEAALsFAAAAAA==&#10;">
                        <v:fill on="f" focussize="0,0"/>
                        <v:stroke weight="0.5pt" color="#000000" joinstyle="round" endarrow="block"/>
                        <v:imagedata o:title=""/>
                        <o:lock v:ext="edit" aspectratio="f"/>
                      </v:shape>
                      <v:shape id="直接箭头连接符 126" o:spid="_x0000_s1026" o:spt="32" type="#_x0000_t32" style="position:absolute;left:2011045;top:927100;height:148590;width:635;" filled="f" stroked="t" coordsize="21600,21600" o:gfxdata="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Dv+H421gAA&#10;AAUBAAAPAAAAAAAAAAEAIAAAACIAAABkcnMvZG93bnJldi54bWxQSwECFAAUAAAACACHTuJAZwMy&#10;kSACAAAKBAAADgAAAAAAAAABACAAAAAlAQAAZHJzL2Uyb0RvYy54bWxQSwUGAAAAAAYABgBZAQAA&#10;twUAAAAA&#10;">
                        <v:fill on="f" focussize="0,0"/>
                        <v:stroke weight="0.5pt" color="#000000" joinstyle="round" endarrow="block"/>
                        <v:imagedata o:title=""/>
                        <o:lock v:ext="edit" aspectratio="f"/>
                      </v:shape>
                      <v:shape id="直接箭头连接符 143" o:spid="_x0000_s1026" o:spt="32" type="#_x0000_t32" style="position:absolute;left:1750695;top:2757805;flip:y;height:3810;width:219710;" filled="f" stroked="t" coordsize="21600,21600" o:gfxdata="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73Vh9dUAAAAFAQAADwAAAAAAAAABACAAAAAiAAAAZHJzL2Rv&#10;d25yZXYueG1sUEsBAhQAFAAAAAgAh07iQEnLf4E9AgAAOgQAAA4AAAAAAAAAAQAgAAAAJAEAAGRy&#10;cy9lMm9Eb2MueG1sUEsFBgAAAAAGAAYAWQEAANMFAAAAAA==&#10;">
                        <v:fill on="f" focussize="0,0"/>
                        <v:stroke weight="0.5pt" color="#000000 [3213]" joinstyle="round" endarrow="block"/>
                        <v:imagedata o:title=""/>
                        <o:lock v:ext="edit" aspectratio="f"/>
                      </v:shape>
                      <v:shape id="直接箭头连接符 143" o:spid="_x0000_s1026" o:spt="32" type="#_x0000_t32" style="position:absolute;left:1165860;top:2313305;flip:y;height:3810;width:219710;" filled="f" stroked="t" coordsize="21600,21600" o:gfxdata="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O91YfXVAAAABQEAAA8AAAAAAAAAAQAgAAAAIgAAAGRycy9kb3du&#10;cmV2LnhtbFBLAQIUABQAAAAIAIdO4kDSgabFOwIAADoEAAAOAAAAAAAAAAEAIAAAACQBAABkcnMv&#10;ZTJvRG9jLnhtbFBLBQYAAAAABgAGAFkBAADRBQAAAAA=&#10;">
                        <v:fill on="f" focussize="0,0"/>
                        <v:stroke weight="0.5pt" color="#000000 [3213]" joinstyle="round" endarrow="block"/>
                        <v:imagedata o:title=""/>
                        <o:lock v:ext="edit" aspectratio="f"/>
                      </v:shape>
                      <v:shape id="直接箭头连接符 143" o:spid="_x0000_s1026" o:spt="32" type="#_x0000_t32" style="position:absolute;left:909320;top:1605915;flip:y;height:3810;width:219710;" filled="f" stroked="t" coordsize="21600,21600" o:gfxdata="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DvdWH11QAAAAUBAAAPAAAAAAAAAAEAIAAAACIAAABkcnMvZG93&#10;bnJldi54bWxQSwECFAAUAAAACACHTuJAnvpooDwCAAA5BAAADgAAAAAAAAABACAAAAAkAQAAZHJz&#10;L2Uyb0RvYy54bWxQSwUGAAAAAAYABgBZAQAA0gUAAAAA&#10;">
                        <v:fill on="f" focussize="0,0"/>
                        <v:stroke weight="0.5pt" color="#000000 [3213]" joinstyle="round" endarrow="block"/>
                        <v:imagedata o:title=""/>
                        <o:lock v:ext="edit" aspectratio="f"/>
                      </v:shape>
                      <v:shape id="直接箭头连接符 143" o:spid="_x0000_s1026" o:spt="32" type="#_x0000_t32" style="position:absolute;left:1454150;top:376555;flip:y;height:3810;width:219710;" filled="f" stroked="t" coordsize="21600,21600" o:gfxdata="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O91YfXVAAAABQEAAA8AAAAAAAAAAQAgAAAAIgAAAGRycy9kb3du&#10;cmV2LnhtbFBLAQIUABQAAAAIAIdO4kC+xe9NOwIAADkEAAAOAAAAAAAAAAEAIAAAACQBAABkcnMv&#10;ZTJvRG9jLnhtbFBLBQYAAAAABgAGAFkBAADRBQAAAAA=&#10;">
                        <v:fill on="f" focussize="0,0"/>
                        <v:stroke weight="0.5pt" color="#000000 [3213]" joinstyle="round" endarrow="block"/>
                        <v:imagedata o:title=""/>
                        <o:lock v:ext="edit" aspectratio="f"/>
                      </v:shape>
                      <v:shape id="直接箭头连接符 120" o:spid="_x0000_s1026" o:spt="32" type="#_x0000_t32" style="position:absolute;left:2390140;top:1188720;height:2540;width:468630;" filled="f" stroked="t" coordsize="21600,21600" o:gfxdata="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N/wZG9YAAAAFAQAADwAAAAAAAAABACAAAAAiAAAAZHJzL2Rvd25yZXYueG1s&#10;UEsBAhQAFAAAAAgAh07iQANl5eQzAgAALAQAAA4AAAAAAAAAAQAgAAAAJQEAAGRycy9lMm9Eb2Mu&#10;eG1sUEsFBgAAAAAGAAYAWQEAAMoFAAAAAA==&#10;">
                        <v:fill on="f" focussize="0,0"/>
                        <v:stroke weight="0.5pt" color="#000000 [3213]" joinstyle="round"/>
                        <v:imagedata o:title=""/>
                        <o:lock v:ext="edit" aspectratio="f"/>
                      </v:shape>
                      <v:shape id="直接箭头连接符 120" o:spid="_x0000_s1026" o:spt="32" type="#_x0000_t32" style="position:absolute;left:2313940;top:1600200;flip:y;height:3810;width:542290;" filled="f" stroked="t" coordsize="21600,21600" o:gfxdata="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Fv679vWAAAABQEAAA8AAAAAAAAAAQAgAAAAIgAAAGRycy9kb3du&#10;cmV2LnhtbFBLAQIUABQAAAAIAIdO4kAVQs4/OgIAADYEAAAOAAAAAAAAAAEAIAAAACUBAABkcnMv&#10;ZTJvRG9jLnhtbFBLBQYAAAAABgAGAFkBAADRBQAAAAA=&#10;">
                        <v:fill on="f" focussize="0,0"/>
                        <v:stroke weight="0.5pt" color="#000000 [3213]" joinstyle="round"/>
                        <v:imagedata o:title=""/>
                        <o:lock v:ext="edit" aspectratio="f"/>
                      </v:shape>
                      <v:shape id="直接箭头连接符 120" o:spid="_x0000_s1026" o:spt="32" type="#_x0000_t32" style="position:absolute;left:2456180;top:2316480;height:2540;width:400050;" filled="f" stroked="t" coordsize="21600,21600" o:gfxdata="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A3/Bkb1gAAAAUBAAAPAAAAAAAAAAEAIAAAACIAAABkcnMvZG93bnJldi54bWxQ&#10;SwECFAAUAAAACACHTuJA2d1E1jICAAAsBAAADgAAAAAAAAABACAAAAAlAQAAZHJzL2Uyb0RvYy54&#10;bWxQSwUGAAAAAAYABgBZAQAAyQUAAAAA&#10;">
                        <v:fill on="f" focussize="0,0"/>
                        <v:stroke weight="0.5pt" color="#000000 [3213]" joinstyle="round"/>
                        <v:imagedata o:title=""/>
                        <o:lock v:ext="edit" aspectratio="f"/>
                      </v:shape>
                      <v:shape id="直接箭头连接符 120" o:spid="_x0000_s1026" o:spt="32" type="#_x0000_t32" style="position:absolute;left:2463165;top:2760980;height:2540;width:400050;" filled="f" stroked="t" coordsize="21600,21600" o:gfxdata="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N/wZG9YAAAAFAQAADwAAAAAAAAABACAAAAAiAAAAZHJzL2Rvd25yZXYueG1s&#10;UEsBAhQAFAAAAAgAh07iQOEJxjAzAgAALAQAAA4AAAAAAAAAAQAgAAAAJQEAAGRycy9lMm9Eb2Mu&#10;eG1sUEsFBgAAAAAGAAYAWQEAAMoFAAAAAA==&#10;">
                        <v:fill on="f" focussize="0,0"/>
                        <v:stroke weight="0.5pt" color="#000000 [3213]" joinstyle="round"/>
                        <v:imagedata o:title=""/>
                        <o:lock v:ext="edit" aspectratio="f"/>
                      </v:shape>
                      <v:shape id="直接箭头连接符 124" o:spid="_x0000_s1026" o:spt="32" type="#_x0000_t32" style="position:absolute;left:2865120;top:1306830;flip:y;height:1270;width:279400;" filled="f" stroked="t" coordsize="21600,21600" o:gfxdata="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O91YfXVAAAABQEAAA8AAAAAAAAAAQAg&#10;AAAAIgAAAGRycy9kb3ducmV2LnhtbFBLAQIUABQAAAAIAIdO4kAuphcWSgIAAFYEAAAOAAAAAAAA&#10;AAEAIAAAACQBAABkcnMvZTJvRG9jLnhtbFBLBQYAAAAABgAGAFkBAADgBQAAAAA=&#10;">
                        <v:fill on="f" focussize="0,0"/>
                        <v:stroke weight="0.5pt" color="#000000 [3213]" joinstyle="round" endarrow="block"/>
                        <v:imagedata o:title=""/>
                        <o:lock v:ext="edit" aspectratio="f"/>
                      </v:shape>
                      <v:shape id="直接箭头连接符 126" o:spid="_x0000_s1026" o:spt="32" type="#_x0000_t32" style="position:absolute;left:3368040;top:1571625;flip:y;height:0;width:267335;rotation:-5898240f;" filled="f" stroked="t" coordsize="21600,21600" o:gfxdata="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CwYrBfYAAAABQEAAA8AAAAAAAAAAQAgAAAAIgAAAGRycy9kb3ducmV2Lnht&#10;bFBLAQIUABQAAAAIAIdO4kBFHb3tMgIAACEEAAAOAAAAAAAAAAEAIAAAACcBAABkcnMvZTJvRG9j&#10;LnhtbFBLBQYAAAAABgAGAFkBAADLBQAAAAA=&#10;">
                        <v:fill on="f" focussize="0,0"/>
                        <v:stroke weight="0.5pt" color="#000000" joinstyle="round" endarrow="block"/>
                        <v:imagedata o:title=""/>
                        <o:lock v:ext="edit" aspectratio="f"/>
                      </v:shape>
                      <v:shape id="文本框 121" o:spid="_x0000_s1026" o:spt="202" type="#_x0000_t202" style="position:absolute;left:3141345;top:1710690;height:248285;width:769620;" filled="f" stroked="t" coordsize="21600,21600" o:gfxdata="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">
                        <v:fill on="f" focussize="0,0"/>
                        <v:stroke weight="0.5pt" color="#000000" miterlimit="8" joinstyle="miter"/>
                        <v:imagedata o:title=""/>
                        <o:lock v:ext="edit" aspectratio="f"/>
                        <v:textbox>
                          <w:txbxContent>
                            <w:p>
                              <w:pPr>
                                <w:adjustRightInd w:val="0"/>
                                <w:snapToGrid w:val="0"/>
                                <w:jc w:val="center"/>
                              </w:pPr>
                              <w:r>
                                <w:rPr>
                                  <w:rFonts w:hint="eastAsia"/>
                                </w:rPr>
                                <w:t>开炼出片</w:t>
                              </w:r>
                            </w:p>
                          </w:txbxContent>
                        </v:textbox>
                      </v:shape>
                      <v:shape id="直接箭头连接符 126" o:spid="_x0000_s1026" o:spt="32" type="#_x0000_t32" style="position:absolute;left:3363595;top:1039495;flip:y;height:0;width:267335;rotation:-5898240f;" filled="f" stroked="t" coordsize="21600,21600" o:gfxdata="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AsGKwX2AAAAAUBAAAPAAAAAAAAAAEAIAAAACIAAABkcnMvZG93bnJldi54bWxQ&#10;SwECFAAUAAAACACHTuJA8zpibjACAAAhBAAADgAAAAAAAAABACAAAAAnAQAAZHJzL2Uyb0RvYy54&#10;bWxQSwUGAAAAAAYABgBZAQAAyQUAAAAA&#10;">
                        <v:fill on="f" focussize="0,0"/>
                        <v:stroke weight="0.5pt" color="#000000" joinstyle="round" endarrow="block"/>
                        <v:imagedata o:title=""/>
                        <o:lock v:ext="edit" aspectratio="f"/>
                      </v:shape>
                      <v:shape id="直接箭头连接符 126" o:spid="_x0000_s1026" o:spt="32" type="#_x0000_t32" style="position:absolute;left:3380105;top:2099945;flip:y;height:0;width:267335;rotation:-5898240f;" filled="f" stroked="t" coordsize="21600,21600" o:gfxdata="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CwYrBfYAAAABQEAAA8AAAAAAAAAAQAgAAAAIgAAAGRycy9kb3ducmV2Lnht&#10;bFBLAQIUABQAAAAIAIdO4kBXq9gJMgIAACEEAAAOAAAAAAAAAAEAIAAAACcBAABkcnMvZTJvRG9j&#10;LnhtbFBLBQYAAAAABgAGAFkBAADLBQAAAAA=&#10;">
                        <v:fill on="f" focussize="0,0"/>
                        <v:stroke weight="0.5pt" color="#000000" joinstyle="round" endarrow="block"/>
                        <v:imagedata o:title=""/>
                        <o:lock v:ext="edit" aspectratio="f"/>
                      </v:shape>
                      <v:shape id="文本框 121" o:spid="_x0000_s1026" o:spt="202" type="#_x0000_t202" style="position:absolute;left:3143250;top:2790190;height:301625;width:769620;" filled="f" stroked="t" coordsize="21600,21600" o:gfxdata="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">
                        <v:fill on="f" focussize="0,0"/>
                        <v:stroke weight="0.5pt" color="#000000" miterlimit="8" joinstyle="miter"/>
                        <v:imagedata o:title=""/>
                        <o:lock v:ext="edit" aspectratio="f"/>
                        <v:textbox>
                          <w:txbxContent>
                            <w:p>
                              <w:pPr>
                                <w:adjustRightInd w:val="0"/>
                                <w:snapToGrid w:val="0"/>
                                <w:jc w:val="center"/>
                              </w:pPr>
                              <w:r>
                                <w:rPr>
                                  <w:rFonts w:hint="eastAsia"/>
                                </w:rPr>
                                <w:t>胶片冷却</w:t>
                              </w:r>
                            </w:p>
                          </w:txbxContent>
                        </v:textbox>
                      </v:shape>
                      <v:shape id="文本框 121" o:spid="_x0000_s1026" o:spt="202" type="#_x0000_t202" style="position:absolute;left:3121660;top:645160;height:248285;width:769620;" filled="f" stroked="t" coordsize="21600,21600" o:gfxdata="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">
                        <v:fill on="f" focussize="0,0"/>
                        <v:stroke weight="0.5pt" color="#000000" miterlimit="8" joinstyle="miter"/>
                        <v:imagedata o:title=""/>
                        <o:lock v:ext="edit" aspectratio="f"/>
                        <v:textbox>
                          <w:txbxContent>
                            <w:p>
                              <w:pPr>
                                <w:adjustRightInd w:val="0"/>
                                <w:snapToGrid w:val="0"/>
                                <w:jc w:val="center"/>
                              </w:pPr>
                              <w:r>
                                <w:rPr>
                                  <w:rFonts w:hint="eastAsia"/>
                                </w:rPr>
                                <w:t>切胶</w:t>
                              </w:r>
                            </w:p>
                          </w:txbxContent>
                        </v:textbox>
                      </v:shape>
                      <v:shape id="直接箭头连接符 126" o:spid="_x0000_s1026" o:spt="32" type="#_x0000_t32" style="position:absolute;left:3359150;top:505460;flip:y;height:0;width:267335;rotation:-5898240f;" filled="f" stroked="t" coordsize="21600,21600" o:gfxdata="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LBisF9gAAAAFAQAADwAAAAAAAAABACAAAAAiAAAAZHJzL2Rvd25yZXYueG1sUEsB&#10;AhQAFAAAAAgAh07iQB5kavUuAgAAIAQAAA4AAAAAAAAAAQAgAAAAJwEAAGRycy9lMm9Eb2MueG1s&#10;UEsFBgAAAAAGAAYAWQEAAMcFAAAAAA==&#10;">
                        <v:fill on="f" focussize="0,0"/>
                        <v:stroke weight="0.5pt" color="#000000" joinstyle="round" endarrow="block"/>
                        <v:imagedata o:title=""/>
                        <o:lock v:ext="edit" aspectratio="f"/>
                      </v:shape>
                      <v:shape id="文本框 121" o:spid="_x0000_s1026" o:spt="202" type="#_x0000_t202" style="position:absolute;left:3145155;top:3279140;height:274955;width:769620;" filled="f" stroked="t" coordsize="21600,21600" o:gfxdata="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">
                        <v:fill on="f" focussize="0,0"/>
                        <v:stroke weight="0.5pt" color="#000000" miterlimit="8" joinstyle="miter"/>
                        <v:imagedata o:title=""/>
                        <o:lock v:ext="edit" aspectratio="f"/>
                        <v:textbox>
                          <w:txbxContent>
                            <w:p>
                              <w:pPr>
                                <w:adjustRightInd w:val="0"/>
                                <w:snapToGrid w:val="0"/>
                                <w:jc w:val="center"/>
                              </w:pPr>
                              <w:r>
                                <w:rPr>
                                  <w:rFonts w:hint="eastAsia"/>
                                </w:rPr>
                                <w:t>测试</w:t>
                              </w:r>
                            </w:p>
                          </w:txbxContent>
                        </v:textbox>
                      </v:shape>
                      <v:shape id="直接箭头连接符 130" o:spid="_x0000_s1026" o:spt="32" type="#_x0000_t32" style="position:absolute;left:3523615;top:3552825;height:255905;width:2540;" filled="f" stroked="t" coordsize="21600,21600" o:gfxdata="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7/h+NtYAAAAFAQAADwAAAAAAAAABACAAAAAiAAAAZHJzL2Rvd25yZXYueG1sUEsBAhQAFAAAAAgA&#10;h07iQEk5HasnAgAADAQAAA4AAAAAAAAAAQAgAAAAJQEAAGRycy9lMm9Eb2MueG1sUEsFBgAAAAAG&#10;AAYAWQEAAL4FAAAAAA==&#10;">
                        <v:fill on="f" focussize="0,0"/>
                        <v:stroke weight="0.5pt" color="#000000" joinstyle="round" endarrow="block"/>
                        <v:imagedata o:title=""/>
                        <o:lock v:ext="edit" aspectratio="f"/>
                      </v:shape>
                      <v:shape id="文本框 121" o:spid="_x0000_s1026" o:spt="202" type="#_x0000_t202" style="position:absolute;left:3145790;top:3790950;height:248285;width:769620;" filled="f" stroked="t" coordsize="21600,21600" o:gfxdata="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N3xtePYAAAABQEAAA8AAAAA&#10;AAAAAQAgAAAAIgAAAGRycy9kb3ducmV2LnhtbFBLAQIUABQAAAAIAIdO4kDP+oxKTQIAAHsEAAAO&#10;AAAAAAAAAAEAIAAAACcBAABkcnMvZTJvRG9jLnhtbFBLBQYAAAAABgAGAFkBAADmBQAAAAA=&#10;">
                        <v:fill on="f" focussize="0,0"/>
                        <v:stroke weight="0.5pt" color="#000000" miterlimit="8" joinstyle="miter"/>
                        <v:imagedata o:title=""/>
                        <o:lock v:ext="edit" aspectratio="f"/>
                        <v:textbox>
                          <w:txbxContent>
                            <w:p>
                              <w:pPr>
                                <w:adjustRightInd w:val="0"/>
                                <w:snapToGrid w:val="0"/>
                                <w:jc w:val="center"/>
                              </w:pPr>
                              <w:r>
                                <w:rPr>
                                  <w:rFonts w:hint="eastAsia"/>
                                </w:rPr>
                                <w:t>收料包装</w:t>
                              </w:r>
                            </w:p>
                          </w:txbxContent>
                        </v:textbox>
                      </v:shape>
                      <v:shape id="直接箭头连接符 126" o:spid="_x0000_s1026" o:spt="32" type="#_x0000_t32" style="position:absolute;left:3398520;top:4183380;flip:y;height:0;width:267335;rotation:-5898240f;" filled="f" stroked="t" coordsize="21600,21600" o:gfxdata="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CwYrBfYAAAABQEAAA8AAAAAAAAAAQAgAAAAIgAAAGRycy9kb3ducmV2Lnht&#10;bFBLAQIUABQAAAAIAIdO4kDJvp//MgIAACEEAAAOAAAAAAAAAAEAIAAAACcBAABkcnMvZTJvRG9j&#10;LnhtbFBLBQYAAAAABgAGAFkBAADLBQAAAAA=&#10;">
                        <v:fill on="f" focussize="0,0"/>
                        <v:stroke weight="0.5pt" color="#000000" joinstyle="round" endarrow="block"/>
                        <v:imagedata o:title=""/>
                        <o:lock v:ext="edit" aspectratio="f"/>
                      </v:shape>
                      <v:shape id="直接箭头连接符 143" o:spid="_x0000_s1026" o:spt="32" type="#_x0000_t32" style="position:absolute;left:1178560;top:2936875;height:222885;width:3175;" filled="f" stroked="t" coordsize="21600,21600" o:gfxdata="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AqsyqDXAAAABQEAAA8AAAAAAAAAAQAgAAAAIgAAAGRycy9kb3ducmV2LnhtbFBL&#10;AQIUABQAAAAIAIdO4kAhKSILMAIAACQEAAAOAAAAAAAAAAEAIAAAACYBAABkcnMvZTJvRG9jLnht&#10;bFBLBQYAAAAABgAGAFkBAADIBQAAAAA=&#10;">
                        <v:fill on="f" focussize="0,0"/>
                        <v:stroke weight="0.5pt" color="#000000" joinstyle="round" dashstyle="dash" endarrow="block"/>
                        <v:imagedata o:title=""/>
                        <o:lock v:ext="edit" aspectratio="f"/>
                      </v:shape>
                      <v:shape id="直接箭头连接符 124" o:spid="_x0000_s1026" o:spt="32" type="#_x0000_t32" style="position:absolute;left:3917950;top:1830070;flip:y;height:2540;width:574675;" filled="f" stroked="t" coordsize="21600,21600" o:gfxdata="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bloV3NcAAAAFAQAADwAAAAAAAAABACAAAAAiAAAAZHJzL2Rvd25yZXYu&#10;eG1sUEsBAhQAFAAAAAgAh07iQICIFkU1AgAALgQAAA4AAAAAAAAAAQAgAAAAJgEAAGRycy9lMm9E&#10;b2MueG1sUEsFBgAAAAAGAAYAWQEAAM0FAAAAAA==&#10;">
                        <v:fill on="f" focussize="0,0"/>
                        <v:stroke weight="0.5pt" color="#000000" joinstyle="round" dashstyle="dash" endarrow="block"/>
                        <v:imagedata o:title=""/>
                        <o:lock v:ext="edit" aspectratio="f"/>
                      </v:shape>
                      <v:shape id="文本框 142" o:spid="_x0000_s1026" o:spt="202" type="#_x0000_t202" style="position:absolute;left:4447540;top:1628775;height:440690;width:1193800;" filled="f" stroked="f" coordsize="21600,21600" o:gfxdata="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OWXw6tIAAAAFAQAADwAAAAAAAAAB&#10;ACAAAAAiAAAAZHJzL2Rvd25yZXYueG1sUEsBAhQAFAAAAAgAh07iQBIaCSJPAgAAawQAAA4AAAAA&#10;AAAAAQAgAAAAIQEAAGRycy9lMm9Eb2MueG1sUEsFBgAAAAAGAAYAWQEAAOIFAAAAAA==&#10;">
                        <v:fill on="f" focussize="0,0"/>
                        <v:stroke on="f" weight="0.5pt" miterlimit="8" joinstyle="miter" dashstyle="dash"/>
                        <v:imagedata o:title=""/>
                        <o:lock v:ext="edit" aspectratio="f"/>
                        <v:textbox>
                          <w:txbxContent>
                            <w:p>
                              <w:pPr>
                                <w:jc w:val="left"/>
                              </w:pPr>
                              <w:r>
                                <w:rPr>
                                  <w:rFonts w:hint="eastAsia"/>
                                  <w:lang w:val="en-US" w:eastAsia="zh-CN"/>
                                </w:rPr>
                                <w:t>有机废气、</w:t>
                              </w:r>
                              <w:r>
                                <w:rPr>
                                  <w:rFonts w:hint="eastAsia"/>
                                </w:rPr>
                                <w:t>噪声</w:t>
                              </w:r>
                            </w:p>
                          </w:txbxContent>
                        </v:textbox>
                      </v:shape>
                      <v:shape id="直接箭头连接符 124" o:spid="_x0000_s1026" o:spt="32" type="#_x0000_t32" style="position:absolute;left:3888105;top:757555;flip:y;height:2540;width:574675;" filled="f" stroked="t" coordsize="21600,21600" o:gfxdata="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BuWhXc1wAAAAUBAAAPAAAAAAAAAAEAIAAAACIAAABkcnMvZG93bnJl&#10;di54bWxQSwECFAAUAAAACACHTuJAuv7UIDcCAAAtBAAADgAAAAAAAAABACAAAAAmAQAAZHJzL2Uy&#10;b0RvYy54bWxQSwUGAAAAAAYABgBZAQAAzwUAAAAA&#10;">
                        <v:fill on="f" focussize="0,0"/>
                        <v:stroke weight="0.5pt" color="#000000" joinstyle="round" dashstyle="dash" endarrow="block"/>
                        <v:imagedata o:title=""/>
                        <o:lock v:ext="edit" aspectratio="f"/>
                      </v:shape>
                      <v:shape id="文本框 142" o:spid="_x0000_s1026" o:spt="202" type="#_x0000_t202" style="position:absolute;left:4478655;top:649605;height:252095;width:495300;" filled="f" stroked="f" coordsize="21600,21600" o:gfxdata="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Dll8OrSAAAABQEAAA8AAAAAAAAAAQAg&#10;AAAAIgAAAGRycy9kb3ducmV2LnhtbFBLAQIUABQAAAAIAIdO4kAPyBfVTQIAAGkEAAAOAAAAAAAA&#10;AAEAIAAAACEBAABkcnMvZTJvRG9jLnhtbFBLBQYAAAAABgAGAFkBAADgBQAAAAA=&#10;">
                        <v:fill on="f" focussize="0,0"/>
                        <v:stroke on="f" weight="0.5pt" miterlimit="8" joinstyle="miter" dashstyle="dash"/>
                        <v:imagedata o:title=""/>
                        <o:lock v:ext="edit" aspectratio="f"/>
                        <v:textbox>
                          <w:txbxContent>
                            <w:p>
                              <w:pPr>
                                <w:jc w:val="left"/>
                              </w:pPr>
                              <w:r>
                                <w:rPr>
                                  <w:rFonts w:hint="eastAsia"/>
                                </w:rPr>
                                <w:t>噪声</w:t>
                              </w:r>
                            </w:p>
                          </w:txbxContent>
                        </v:textbox>
                      </v:shape>
                      <v:shape id="直接箭头连接符 124" o:spid="_x0000_s1026" o:spt="32" type="#_x0000_t32" style="position:absolute;left:3926205;top:2895600;height:4445;width:885190;" filled="f" stroked="t" coordsize="21600,21600" o:gfxdata="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Dv+H421gAAAAUBAAAPAAAAAAAAAAEAIAAAACIAAABkcnMvZG93bnJl&#10;di54bWxQSwECFAAUAAAACACHTuJAFcz71jgCAAAwBAAADgAAAAAAAAABACAAAAAlAQAAZHJzL2Uy&#10;b0RvYy54bWxQSwUGAAAAAAYABgBZAQAAzwUAAAAA&#10;">
                        <v:fill on="f" focussize="0,0"/>
                        <v:stroke weight="0.5pt" color="#000000 [3213]" joinstyle="round" endarrow="block"/>
                        <v:imagedata o:title=""/>
                        <o:lock v:ext="edit" aspectratio="f"/>
                      </v:shape>
                      <v:line id="_x0000_s1026" o:spid="_x0000_s1026" o:spt="20" style="position:absolute;left:0;top:0;height:0;width:0;" filled="f" stroked="t" coordsize="21600,21600" o:gfxdata="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M+0TXPXAAAA&#10;BQEAAA8AAAAAAAAAAQAgAAAAIgAAAGRycy9kb3ducmV2LnhtbFBLAQIUABQAAAAIAIdO4kBxIiQ5&#10;5QEAAK8DAAAOAAAAAAAAAAEAIAAAACYBAABkcnMvZTJvRG9jLnhtbFBLBQYAAAAABgAGAFkBAAB9&#10;BQAAAAA=&#10;">
                        <v:fill on="f" focussize="0,0"/>
                        <v:stroke weight="0.5pt" color="#5B9BD5 [3204]" miterlimit="8" joinstyle="miter"/>
                        <v:imagedata o:title=""/>
                        <o:lock v:ext="edit" aspectratio="f"/>
                      </v:line>
                      <v:line id="_x0000_s1026" o:spid="_x0000_s1026" o:spt="20" style="position:absolute;left:4789805;top:2623820;height:268605;width:3175;" filled="f" stroked="t" coordsize="21600,21600" o:gfxdata="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FlUaDNUAAAAFAQAADwAAAAAAAAABACAAAAAiAAAAZHJzL2Rvd25yZXYueG1sUEsBAhQAFAAA&#10;AAgAh07iQDwK3jvyAQAAwwMAAA4AAAAAAAAAAQAgAAAAJAEAAGRycy9lMm9Eb2MueG1sUEsFBgAA&#10;AAAGAAYAWQEAAIgFAAAAAA==&#10;">
                        <v:fill on="f" focussize="0,0"/>
                        <v:stroke weight="0.5pt" color="#000000 [3213]" miterlimit="8" joinstyle="miter"/>
                        <v:imagedata o:title=""/>
                        <o:lock v:ext="edit" aspectratio="f"/>
                      </v:line>
                      <v:line id="_x0000_s1026" o:spid="_x0000_s1026" o:spt="20" style="position:absolute;left:4339590;top:1009650;flip:x y;height:2394585;width:635;" filled="f" stroked="t" coordsize="21600,21600" o:gfxdata="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G/YbT9cAAAAFAQAADwAAAAAAAAABACAAAAAiAAAAZHJzL2Rvd25y&#10;ZXYueG1sUEsBAhQAFAAAAAgAh07iQFh+5/H/AQAA1wMAAA4AAAAAAAAAAQAgAAAAJgEAAGRycy9l&#10;Mm9Eb2MueG1sUEsFBgAAAAAGAAYAWQEAAJcFAAAAAA==&#10;">
                        <v:fill on="f" focussize="0,0"/>
                        <v:stroke weight="0.5pt" color="#000000 [3213]" miterlimit="8" joinstyle="miter"/>
                        <v:imagedata o:title=""/>
                        <o:lock v:ext="edit" aspectratio="f"/>
                      </v:line>
                      <v:shape id="直接箭头连接符 124" o:spid="_x0000_s1026" o:spt="32" type="#_x0000_t32" style="position:absolute;left:3920490;top:3411220;height:0;width:426085;" filled="f" stroked="t" coordsize="21600,21600" o:gfxdata="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Dv+H421gAAAAUBAAAPAAAAAAAAAAEAIAAAACIAAABkcnMvZG93bnJldi54&#10;bWxQSwECFAAUAAAACACHTuJAWcAjxDUCAAAtBAAADgAAAAAAAAABACAAAAAlAQAAZHJzL2Uyb0Rv&#10;Yy54bWxQSwUGAAAAAAYABgBZAQAAzAUAAAAA&#10;">
                        <v:fill on="f" focussize="0,0"/>
                        <v:stroke weight="0.5pt" color="#000000 [3213]" joinstyle="round" endarrow="block"/>
                        <v:imagedata o:title=""/>
                        <o:lock v:ext="edit" aspectratio="f"/>
                      </v:shape>
                      <v:line id="_x0000_s1026" o:spid="_x0000_s1026" o:spt="20" style="position:absolute;left:3726815;top:1016000;flip:x;height:4445;width:615950;" filled="f" stroked="t" coordsize="21600,21600" o:gfxdata="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BBSNU71gAAAAUBAAAPAAAAAAAAAAEAIAAAACIAAABkcnMvZG93bnJldi54&#10;bWxQSwECFAAUAAAACACHTuJAZYw6k/wBAADNAwAADgAAAAAAAAABACAAAAAlAQAAZHJzL2Uyb0Rv&#10;Yy54bWxQSwUGAAAAAAYABgBZAQAAkwUAAAAA&#10;">
                        <v:fill on="f" focussize="0,0"/>
                        <v:stroke weight="0.5pt" color="#000000 [3213]" miterlimit="8" joinstyle="miter"/>
                        <v:imagedata o:title=""/>
                        <o:lock v:ext="edit" aspectratio="f"/>
                      </v:line>
                      <v:shape id="_x0000_s1026" o:spid="_x0000_s1026" o:spt="32" type="#_x0000_t32" style="position:absolute;left:3729990;top:1017270;flip:x;height:161290;width:635;" filled="f" stroked="t" coordsize="21600,21600" o:gfxdata="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s938MtYAAAAFAQAADwAA&#10;AAAAAAABACAAAAAiAAAAZHJzL2Rvd25yZXYueG1sUEsBAhQAFAAAAAgAh07iQHoTjFoYAgAA+QMA&#10;AA4AAAAAAAAAAQAgAAAAJQEAAGRycy9lMm9Eb2MueG1sUEsFBgAAAAAGAAYAWQEAAK8FAAAAAA==&#10;">
                        <v:fill on="f" focussize="0,0"/>
                        <v:stroke weight="0.5pt" color="#000000 [3213]" miterlimit="8" joinstyle="miter" endarrow="open"/>
                        <v:imagedata o:title=""/>
                        <o:lock v:ext="edit" aspectratio="f"/>
                      </v:shape>
                      <v:shape id="直接箭头连接符 124" o:spid="_x0000_s1026" o:spt="32" type="#_x0000_t32" style="position:absolute;left:3896360;top:2362835;flip:y;height:5080;width:1038225;" filled="f" stroked="t" coordsize="21600,21600" o:gfxdata="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BuWhXc1wAAAAUBAAAPAAAAAAAAAAEAIAAAACIAAABk&#10;cnMvZG93bnJldi54bWxQSwECFAAUAAAACACHTuJAIdWbvkACAAA6BAAADgAAAAAAAAABACAAAAAm&#10;AQAAZHJzL2Uyb0RvYy54bWxQSwUGAAAAAAYABgBZAQAA2AUAAAAA&#10;">
                        <v:fill on="f" focussize="0,0"/>
                        <v:stroke weight="0.5pt" color="#000000 [3213]" joinstyle="round" dashstyle="dash" endarrow="block"/>
                        <v:imagedata o:title=""/>
                        <o:lock v:ext="edit" aspectratio="f"/>
                      </v:shape>
                      <v:shape id="文本框 142" o:spid="_x0000_s1026" o:spt="202" type="#_x0000_t202" style="position:absolute;left:4916805;top:2235200;height:245110;width:576580;" filled="f" stroked="f" coordsize="21600,21600" o:gfxdata="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A5ZfDq0gAAAAUBAAAPAAAAAAAAAAEA&#10;IAAAACIAAABkcnMvZG93bnJldi54bWxQSwECFAAUAAAACACHTuJAyeEqgU4CAABqBAAADgAAAAAA&#10;AAABACAAAAAhAQAAZHJzL2Uyb0RvYy54bWxQSwUGAAAAAAYABgBZAQAA4QUAAAAA&#10;">
                        <v:fill on="f" focussize="0,0"/>
                        <v:stroke on="f" weight="0.5pt" miterlimit="8" joinstyle="miter" dashstyle="dash"/>
                        <v:imagedata o:title=""/>
                        <o:lock v:ext="edit" aspectratio="f"/>
                        <v:textbox>
                          <w:txbxContent>
                            <w:p>
                              <w:pPr>
                                <w:jc w:val="left"/>
                              </w:pPr>
                              <w:r>
                                <w:rPr>
                                  <w:rFonts w:hint="eastAsia"/>
                                </w:rPr>
                                <w:t>噪声</w:t>
                              </w:r>
                            </w:p>
                          </w:txbxContent>
                        </v:textbox>
                      </v:shape>
                      <v:shape id="直接箭头连接符 143" o:spid="_x0000_s1026" o:spt="32" type="#_x0000_t32" style="position:absolute;left:1746250;top:1754505;flip:x;height:140335;width:635;" filled="f" stroked="t" coordsize="21600,21600" o:gfxdata="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G5aFdzXAAAABQEAAA8AAAAAAAAAAQAgAAAAIgAAAGRycy9kb3ducmV2LnhtbFBL&#10;AQIUABQAAAAIAIdO4kACpuzjMAIAACwEAAAOAAAAAAAAAAEAIAAAACYBAABkcnMvZTJvRG9jLnht&#10;bFBLBQYAAAAABgAGAFkBAADIBQAAAAA=&#10;">
                        <v:fill on="f" focussize="0,0"/>
                        <v:stroke weight="0.5pt" color="#000000" joinstyle="round" dashstyle="dash" endarrow="block"/>
                        <v:imagedata o:title=""/>
                        <o:lock v:ext="edit" aspectratio="f"/>
                      </v:shape>
                      <v:shape id="文本框 142" o:spid="_x0000_s1026" o:spt="202" type="#_x0000_t202" style="position:absolute;left:1390650;top:1859915;height:262890;width:771525;" filled="f" stroked="f" coordsize="21600,21600" o:gfxdata="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OWXw6tIAAAAFAQAADwAAAAAAAAABACAA&#10;AAAiAAAAZHJzL2Rvd25yZXYueG1sUEsBAhQAFAAAAAgAh07iQERKKJVMAgAAaQQAAA4AAAAAAAAA&#10;AQAgAAAAIQEAAGRycy9lMm9Eb2MueG1sUEsFBgAAAAAGAAYAWQEAAN8FAAAAAA==&#10;">
                        <v:fill on="f" focussize="0,0"/>
                        <v:stroke on="f" weight="0.5pt" miterlimit="8" joinstyle="miter" dashstyle="dash"/>
                        <v:imagedata o:title=""/>
                        <o:lock v:ext="edit" aspectratio="f"/>
                        <v:textbox>
                          <w:txbxContent>
                            <w:p>
                              <w:pPr>
                                <w:jc w:val="left"/>
                              </w:pPr>
                              <w:r>
                                <w:rPr>
                                  <w:rFonts w:hint="eastAsia"/>
                                </w:rPr>
                                <w:t>配料粉尘</w:t>
                              </w:r>
                            </w:p>
                          </w:txbxContent>
                        </v:textbox>
                      </v:shape>
                      <v:shape id="文本框 121" o:spid="_x0000_s1026" o:spt="202" type="#_x0000_t202" style="position:absolute;left:3122930;top:2237105;height:264160;width:769620;" filled="f" stroked="t" coordsize="21600,21600" o:gfxdata="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">
                        <v:fill on="f" focussize="0,0"/>
                        <v:stroke weight="0.5pt" color="#000000" miterlimit="8" joinstyle="miter"/>
                        <v:imagedata o:title=""/>
                        <o:lock v:ext="edit" aspectratio="f"/>
                        <v:textbox>
                          <w:txbxContent>
                            <w:p>
                              <w:pPr>
                                <w:adjustRightInd w:val="0"/>
                                <w:snapToGrid w:val="0"/>
                                <w:jc w:val="center"/>
                                <w:rPr>
                                  <w:rFonts w:hint="eastAsia" w:eastAsia="宋体"/>
                                  <w:color w:val="auto"/>
                                  <w:lang w:val="en-US" w:eastAsia="zh-CN"/>
                                </w:rPr>
                              </w:pPr>
                              <w:r>
                                <w:rPr>
                                  <w:rFonts w:hint="eastAsia"/>
                                  <w:color w:val="auto"/>
                                  <w:lang w:val="en-US" w:eastAsia="zh-CN"/>
                                </w:rPr>
                                <w:t>过滤</w:t>
                              </w:r>
                            </w:p>
                          </w:txbxContent>
                        </v:textbox>
                      </v:shape>
                      <v:shape id="直接箭头连接符 126" o:spid="_x0000_s1026" o:spt="32" type="#_x0000_t32" style="position:absolute;left:3380105;top:2646680;flip:y;height:0;width:267335;rotation:-5898240f;" filled="f" stroked="t" coordsize="21600,21600" o:gfxdata="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AsGKwX2AAAAAUBAAAPAAAAAAAAAAEAIAAAACIAAABkcnMvZG93bnJldi54bWxQ&#10;SwECFAAUAAAACACHTuJAqyzjKzACAAAgBAAADgAAAAAAAAABACAAAAAnAQAAZHJzL2Uyb0RvYy54&#10;bWxQSwUGAAAAAAYABgBZAQAAyQUAAAAA&#10;">
                        <v:fill on="f" focussize="0,0"/>
                        <v:stroke weight="0.5pt" color="#000000" joinstyle="round" endarrow="block"/>
                        <v:imagedata o:title=""/>
                        <o:lock v:ext="edit" aspectratio="f"/>
                      </v:shape>
                      <v:shape id="_x0000_s1026" o:spid="_x0000_s1026" o:spt="32" type="#_x0000_t32" style="position:absolute;left:3656330;top:2627630;flip:x;height:161290;width:635;" filled="f" stroked="t" coordsize="21600,21600" o:gfxdata="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s938MtYAAAAFAQAADwAA&#10;AAAAAAABACAAAAAiAAAAZHJzL2Rvd25yZXYueG1sUEsBAhQAFAAAAAgAh07iQJhghswYAgAA9wMA&#10;AA4AAAAAAAAAAQAgAAAAJQEAAGRycy9lMm9Eb2MueG1sUEsFBgAAAAAGAAYAWQEAAK8FAAAAAA==&#10;">
                        <v:fill on="f" focussize="0,0"/>
                        <v:stroke weight="0.5pt" color="#000000 [3213]" miterlimit="8" joinstyle="miter" endarrow="open"/>
                        <v:imagedata o:title=""/>
                        <o:lock v:ext="edit" aspectratio="f"/>
                      </v:shape>
                      <w10:wrap type="none"/>
                      <w10:anchorlock/>
                    </v:group>
                  </w:pict>
                </mc:Fallback>
              </mc:AlternateContent>
            </w:r>
          </w:p>
          <w:p>
            <w:pPr>
              <w:autoSpaceDE w:val="0"/>
              <w:autoSpaceDN w:val="0"/>
              <w:adjustRightInd w:val="0"/>
              <w:jc w:val="center"/>
              <w:rPr>
                <w:b/>
                <w:bCs/>
                <w:color w:val="auto"/>
              </w:rPr>
            </w:pPr>
            <w:r>
              <w:rPr>
                <w:b/>
                <w:bCs/>
                <w:color w:val="auto"/>
              </w:rPr>
              <w:t>图2-</w:t>
            </w:r>
            <w:r>
              <w:rPr>
                <w:rFonts w:hint="eastAsia"/>
                <w:b/>
                <w:bCs/>
                <w:color w:val="auto"/>
              </w:rPr>
              <w:t>3</w:t>
            </w:r>
            <w:r>
              <w:rPr>
                <w:b/>
                <w:bCs/>
                <w:color w:val="auto"/>
              </w:rPr>
              <w:t xml:space="preserve"> </w:t>
            </w:r>
            <w:r>
              <w:rPr>
                <w:rFonts w:hint="eastAsia"/>
                <w:b/>
                <w:bCs/>
                <w:color w:val="auto"/>
              </w:rPr>
              <w:t>橡胶混炼胶</w:t>
            </w:r>
            <w:r>
              <w:rPr>
                <w:b/>
                <w:bCs/>
                <w:color w:val="auto"/>
              </w:rPr>
              <w:t>生产工艺流程图</w:t>
            </w:r>
          </w:p>
          <w:p>
            <w:pPr>
              <w:widowControl/>
              <w:adjustRightInd w:val="0"/>
              <w:snapToGrid w:val="0"/>
              <w:spacing w:before="120" w:beforeLines="50" w:line="360" w:lineRule="auto"/>
              <w:rPr>
                <w:b/>
                <w:bCs/>
                <w:color w:val="auto"/>
              </w:rPr>
            </w:pPr>
            <w:r>
              <w:rPr>
                <w:b/>
                <w:bCs/>
                <w:color w:val="auto"/>
              </w:rPr>
              <w:t>工艺流程说明：</w:t>
            </w:r>
          </w:p>
          <w:p>
            <w:pPr>
              <w:numPr>
                <w:ilvl w:val="0"/>
                <w:numId w:val="14"/>
              </w:numPr>
              <w:adjustRightInd w:val="0"/>
              <w:snapToGrid w:val="0"/>
              <w:spacing w:line="360" w:lineRule="auto"/>
              <w:ind w:firstLine="422" w:firstLineChars="200"/>
              <w:rPr>
                <w:b/>
                <w:color w:val="auto"/>
              </w:rPr>
            </w:pPr>
            <w:r>
              <w:rPr>
                <w:rFonts w:hint="eastAsia"/>
                <w:b/>
                <w:color w:val="auto"/>
              </w:rPr>
              <w:t>炭黑的贮存、输送与称量</w:t>
            </w:r>
          </w:p>
          <w:p>
            <w:pPr>
              <w:adjustRightInd w:val="0"/>
              <w:snapToGrid w:val="0"/>
              <w:spacing w:line="360" w:lineRule="auto"/>
              <w:ind w:firstLine="420" w:firstLineChars="200"/>
              <w:rPr>
                <w:bCs/>
                <w:color w:val="auto"/>
                <w:highlight w:val="none"/>
              </w:rPr>
            </w:pPr>
            <w:r>
              <w:rPr>
                <w:rFonts w:hint="eastAsia"/>
                <w:bCs/>
                <w:color w:val="auto"/>
                <w:highlight w:val="none"/>
              </w:rPr>
              <w:t>本项目炭黑采用自动称量、密闭输送系统配料，炭黑采用气力输送。炭黑在压缩空气的带动下通过管道进入储料罐，压缩空气通过储气罐上的袋式除尘器的排出，炭黑被阻留在储料罐内</w:t>
            </w:r>
            <w:r>
              <w:rPr>
                <w:rFonts w:hint="eastAsia"/>
                <w:bCs/>
                <w:color w:val="auto"/>
                <w:highlight w:val="none"/>
                <w:lang w:eastAsia="zh-CN"/>
              </w:rPr>
              <w:t>，</w:t>
            </w:r>
            <w:r>
              <w:rPr>
                <w:rFonts w:hint="eastAsia"/>
                <w:bCs/>
                <w:color w:val="auto"/>
                <w:highlight w:val="none"/>
              </w:rPr>
              <w:t>加料时，打开储料罐出料阀门，炭黑在重力作用下进入自动配料系统，然后定量进入密炼机。配料过程中会产生配料粉尘。</w:t>
            </w:r>
          </w:p>
          <w:p>
            <w:pPr>
              <w:adjustRightInd w:val="0"/>
              <w:snapToGrid w:val="0"/>
              <w:spacing w:line="360" w:lineRule="auto"/>
              <w:ind w:firstLine="422" w:firstLineChars="200"/>
              <w:rPr>
                <w:b/>
                <w:color w:val="auto"/>
              </w:rPr>
            </w:pPr>
            <w:r>
              <w:rPr>
                <w:rFonts w:hint="eastAsia"/>
                <w:b/>
                <w:color w:val="auto"/>
              </w:rPr>
              <w:t>（</w:t>
            </w:r>
            <w:r>
              <w:rPr>
                <w:b/>
                <w:color w:val="auto"/>
              </w:rPr>
              <w:t>2</w:t>
            </w:r>
            <w:r>
              <w:rPr>
                <w:rFonts w:hint="eastAsia"/>
                <w:b/>
                <w:color w:val="auto"/>
              </w:rPr>
              <w:t>）油料的贮存、输送及称量</w:t>
            </w:r>
          </w:p>
          <w:p>
            <w:pPr>
              <w:adjustRightInd w:val="0"/>
              <w:snapToGrid w:val="0"/>
              <w:spacing w:line="360" w:lineRule="auto"/>
              <w:ind w:firstLine="420" w:firstLineChars="200"/>
              <w:rPr>
                <w:bCs/>
                <w:color w:val="auto"/>
              </w:rPr>
            </w:pPr>
            <w:r>
              <w:rPr>
                <w:rFonts w:hint="eastAsia"/>
                <w:bCs/>
                <w:color w:val="auto"/>
              </w:rPr>
              <w:t>油料运来后，卸入油料储罐存放，油料储罐均设置电加热盘管，用以对罐内油料保温。为了控制储油罐中油料的温度和液位，每个储油罐均设有温度控制装置、料位计和油温指示仪表。</w:t>
            </w:r>
          </w:p>
          <w:p>
            <w:pPr>
              <w:adjustRightInd w:val="0"/>
              <w:snapToGrid w:val="0"/>
              <w:spacing w:line="360" w:lineRule="auto"/>
              <w:ind w:firstLine="420" w:firstLineChars="200"/>
              <w:rPr>
                <w:bCs/>
                <w:color w:val="auto"/>
              </w:rPr>
            </w:pPr>
            <w:r>
              <w:rPr>
                <w:rFonts w:hint="eastAsia"/>
                <w:bCs/>
                <w:color w:val="auto"/>
              </w:rPr>
              <w:t>油料输送采用大循环方式，配备一套循环管路，用输油泵、输油管将油料送到油料秤，称量后，由注射泵注入密炼机。</w:t>
            </w:r>
          </w:p>
          <w:p>
            <w:pPr>
              <w:adjustRightInd w:val="0"/>
              <w:snapToGrid w:val="0"/>
              <w:spacing w:line="360" w:lineRule="auto"/>
              <w:ind w:firstLine="420" w:firstLineChars="200"/>
              <w:rPr>
                <w:color w:val="auto"/>
              </w:rPr>
            </w:pPr>
            <w:r>
              <w:rPr>
                <w:rFonts w:hint="eastAsia"/>
                <w:bCs/>
                <w:color w:val="auto"/>
              </w:rPr>
              <w:t>储油罐、油料保温罐和输油管路均采用电加热，并全部加保温层，以减少热能损耗。</w:t>
            </w:r>
          </w:p>
          <w:p>
            <w:pPr>
              <w:adjustRightInd w:val="0"/>
              <w:snapToGrid w:val="0"/>
              <w:spacing w:line="360" w:lineRule="auto"/>
              <w:ind w:firstLine="422" w:firstLineChars="200"/>
              <w:rPr>
                <w:b/>
                <w:color w:val="auto"/>
              </w:rPr>
            </w:pPr>
            <w:r>
              <w:rPr>
                <w:rFonts w:hint="eastAsia"/>
                <w:b/>
                <w:color w:val="auto"/>
              </w:rPr>
              <w:t>（</w:t>
            </w:r>
            <w:r>
              <w:rPr>
                <w:b/>
                <w:color w:val="auto"/>
              </w:rPr>
              <w:t>3</w:t>
            </w:r>
            <w:r>
              <w:rPr>
                <w:rFonts w:hint="eastAsia"/>
                <w:b/>
                <w:color w:val="auto"/>
              </w:rPr>
              <w:t>）生胶的贮存、运输与称量</w:t>
            </w:r>
          </w:p>
          <w:p>
            <w:pPr>
              <w:adjustRightInd w:val="0"/>
              <w:snapToGrid w:val="0"/>
              <w:spacing w:line="360" w:lineRule="auto"/>
              <w:ind w:firstLine="420" w:firstLineChars="200"/>
              <w:rPr>
                <w:bCs/>
                <w:color w:val="auto"/>
              </w:rPr>
            </w:pPr>
            <w:r>
              <w:rPr>
                <w:rFonts w:hint="eastAsia"/>
                <w:bCs/>
                <w:color w:val="auto"/>
              </w:rPr>
              <w:t>生胶库生胶（合成橡胶）由电瓶叉车运到密炼机的胶料自动秤旁，经切胶后，加到胶料自动秤进行称量，称量后的胶料用投料运输带投入密炼机。</w:t>
            </w:r>
          </w:p>
          <w:p>
            <w:pPr>
              <w:adjustRightInd w:val="0"/>
              <w:snapToGrid w:val="0"/>
              <w:spacing w:line="360" w:lineRule="auto"/>
              <w:ind w:firstLine="422" w:firstLineChars="200"/>
              <w:rPr>
                <w:b/>
                <w:color w:val="auto"/>
                <w:highlight w:val="none"/>
              </w:rPr>
            </w:pPr>
            <w:r>
              <w:rPr>
                <w:rFonts w:hint="eastAsia"/>
                <w:b/>
                <w:color w:val="auto"/>
                <w:highlight w:val="none"/>
              </w:rPr>
              <w:t>（</w:t>
            </w:r>
            <w:r>
              <w:rPr>
                <w:b/>
                <w:color w:val="auto"/>
                <w:highlight w:val="none"/>
              </w:rPr>
              <w:t>4</w:t>
            </w:r>
            <w:r>
              <w:rPr>
                <w:rFonts w:hint="eastAsia"/>
                <w:b/>
                <w:color w:val="auto"/>
                <w:highlight w:val="none"/>
              </w:rPr>
              <w:t>）</w:t>
            </w:r>
            <w:r>
              <w:rPr>
                <w:rFonts w:hint="eastAsia"/>
                <w:b/>
                <w:color w:val="auto"/>
                <w:highlight w:val="none"/>
                <w:lang w:val="en-US" w:eastAsia="zh-CN"/>
              </w:rPr>
              <w:t>其他粒料</w:t>
            </w:r>
            <w:r>
              <w:rPr>
                <w:rFonts w:hint="eastAsia"/>
                <w:b/>
                <w:color w:val="auto"/>
                <w:highlight w:val="none"/>
              </w:rPr>
              <w:t>的贮存、运输及称量</w:t>
            </w:r>
          </w:p>
          <w:p>
            <w:pPr>
              <w:adjustRightInd w:val="0"/>
              <w:snapToGrid w:val="0"/>
              <w:spacing w:line="360" w:lineRule="auto"/>
              <w:ind w:firstLine="420" w:firstLineChars="200"/>
              <w:rPr>
                <w:bCs/>
                <w:color w:val="auto"/>
                <w:highlight w:val="none"/>
              </w:rPr>
            </w:pPr>
            <w:r>
              <w:rPr>
                <w:rFonts w:hint="eastAsia"/>
                <w:bCs/>
                <w:color w:val="auto"/>
                <w:highlight w:val="none"/>
              </w:rPr>
              <w:t>袋装</w:t>
            </w:r>
            <w:r>
              <w:rPr>
                <w:rFonts w:hint="eastAsia"/>
                <w:bCs/>
                <w:color w:val="auto"/>
                <w:highlight w:val="none"/>
                <w:lang w:val="en-US" w:eastAsia="zh-CN"/>
              </w:rPr>
              <w:t>碳酸钙、橡胶</w:t>
            </w:r>
            <w:r>
              <w:rPr>
                <w:rFonts w:hint="eastAsia"/>
                <w:bCs/>
                <w:color w:val="auto"/>
                <w:highlight w:val="none"/>
              </w:rPr>
              <w:t>粒料由电梯及叉车运至炼胶车间</w:t>
            </w:r>
            <w:r>
              <w:rPr>
                <w:rFonts w:hint="eastAsia"/>
                <w:bCs/>
                <w:color w:val="auto"/>
                <w:highlight w:val="none"/>
                <w:lang w:val="en-US" w:eastAsia="zh-CN"/>
              </w:rPr>
              <w:t>暂存</w:t>
            </w:r>
            <w:r>
              <w:rPr>
                <w:rFonts w:hint="eastAsia"/>
                <w:bCs/>
                <w:color w:val="auto"/>
                <w:highlight w:val="none"/>
              </w:rPr>
              <w:t>。</w:t>
            </w:r>
            <w:r>
              <w:rPr>
                <w:rFonts w:hint="eastAsia"/>
                <w:bCs/>
                <w:color w:val="auto"/>
                <w:highlight w:val="none"/>
                <w:lang w:val="en-US" w:eastAsia="zh-CN"/>
              </w:rPr>
              <w:t>原料</w:t>
            </w:r>
            <w:r>
              <w:rPr>
                <w:rFonts w:hint="eastAsia"/>
                <w:bCs/>
                <w:color w:val="auto"/>
                <w:highlight w:val="none"/>
              </w:rPr>
              <w:t>解包倒入粒料日贮斗，通过螺旋加料器由自动秤称量送入密炼机。</w:t>
            </w:r>
            <w:r>
              <w:rPr>
                <w:rFonts w:hint="eastAsia"/>
                <w:bCs/>
                <w:color w:val="auto"/>
                <w:highlight w:val="none"/>
                <w:lang w:val="en-US" w:eastAsia="zh-CN"/>
              </w:rPr>
              <w:t>碳酸钙</w:t>
            </w:r>
            <w:r>
              <w:rPr>
                <w:rFonts w:hint="eastAsia"/>
                <w:bCs/>
                <w:color w:val="auto"/>
                <w:highlight w:val="none"/>
              </w:rPr>
              <w:t>用配料秤自动称量并装入塑料袋封口，由投料运输带投入密炼机，</w:t>
            </w:r>
            <w:r>
              <w:rPr>
                <w:rFonts w:hint="eastAsia"/>
                <w:bCs/>
                <w:color w:val="auto"/>
                <w:highlight w:val="none"/>
                <w:lang w:val="en-US" w:eastAsia="zh-CN"/>
              </w:rPr>
              <w:t>投料过程有</w:t>
            </w:r>
            <w:r>
              <w:rPr>
                <w:rFonts w:hint="eastAsia"/>
                <w:bCs/>
                <w:color w:val="auto"/>
                <w:highlight w:val="none"/>
              </w:rPr>
              <w:t>粉尘产生。</w:t>
            </w:r>
          </w:p>
          <w:p>
            <w:pPr>
              <w:numPr>
                <w:ilvl w:val="0"/>
                <w:numId w:val="15"/>
              </w:numPr>
              <w:adjustRightInd w:val="0"/>
              <w:snapToGrid w:val="0"/>
              <w:spacing w:line="360" w:lineRule="auto"/>
              <w:ind w:firstLine="422" w:firstLineChars="200"/>
              <w:rPr>
                <w:b/>
                <w:color w:val="auto"/>
              </w:rPr>
            </w:pPr>
            <w:r>
              <w:rPr>
                <w:rFonts w:hint="eastAsia"/>
                <w:b/>
                <w:color w:val="auto"/>
              </w:rPr>
              <w:t>密炼</w:t>
            </w:r>
          </w:p>
          <w:p>
            <w:pPr>
              <w:adjustRightInd w:val="0"/>
              <w:snapToGrid w:val="0"/>
              <w:spacing w:line="360" w:lineRule="auto"/>
              <w:ind w:firstLine="420" w:firstLineChars="200"/>
              <w:rPr>
                <w:bCs/>
                <w:color w:val="auto"/>
              </w:rPr>
            </w:pPr>
            <w:r>
              <w:rPr>
                <w:rFonts w:hint="eastAsia"/>
                <w:bCs/>
                <w:color w:val="auto"/>
              </w:rPr>
              <w:t>生胶、炭黑、油料、大粒料及各种小粒料，按照配方要求依靠程序自动投入密炼机进行炼胶（加热方式为电加热），胶片由喂料装置送到胶料皮带秤上称量，并由投料运输带投入密炼机。</w:t>
            </w:r>
          </w:p>
          <w:p>
            <w:pPr>
              <w:adjustRightInd w:val="0"/>
              <w:snapToGrid w:val="0"/>
              <w:spacing w:line="360" w:lineRule="auto"/>
              <w:ind w:firstLine="420" w:firstLineChars="200"/>
              <w:rPr>
                <w:bCs/>
                <w:color w:val="auto"/>
              </w:rPr>
            </w:pPr>
            <w:r>
              <w:rPr>
                <w:rFonts w:hint="eastAsia"/>
                <w:bCs/>
                <w:color w:val="auto"/>
              </w:rPr>
              <w:t>密炼的原理是使橡胶大分子断裂，大分子由长变短，平均分子量降低，从而使生胶由强韧的弹性状态转变为柔软状态。通常采用机械加工、热处理或加入某些化学助剂来进行密炼，密炼后的生胶称为塑炼胶。密炼机工作时，两转子相对回转，将来自加料口的物料夹住带入辊缝受到转子的挤压和剪切，穿过辊缝后碰到下顶拴尖棱被分成两部分，分别沿前后室壁与转子之间缝隙再回到辊隙上方。在绕转子流动的一周中，物料处处受到剪切和摩擦作用，使胶料的温度急剧上升，粘度降低，增加了橡胶在配合剂表面的湿润性，使橡胶与配合剂表面充分接触。配合剂团块随胶料一起通过转子与转子间隙、转子与上、下顶拴、密炼室内壁的间隙，受到剪切而破碎，被拉伸变形的橡胶包围，稳定在破碎状态。同时，转子上的凸棱使胶料沿转子的轴向运动，起到搅拌混合作用，使配合剂在胶料中混合均匀。配合剂如此反复剪切破碎，胶料反复产生变形和恢复变形，转子凸棱的不断搅拌，使配合剂在胶料中分散均匀，并达到一定的分散度。在密炼过程中，机械应力的作用不仅可以直接使摩擦大分子断裂，还可以使大分子处于应力伸张状态，从而活化了橡胶分子。低温机械塑炼时，主要是由于机械破坏作用，使橡胶大分子链变成活性自由基，氧是作用大分子自由基受容体，起到稳定作用。</w:t>
            </w:r>
          </w:p>
          <w:p>
            <w:pPr>
              <w:adjustRightInd w:val="0"/>
              <w:snapToGrid w:val="0"/>
              <w:spacing w:line="360" w:lineRule="auto"/>
              <w:ind w:firstLine="420" w:firstLineChars="200"/>
              <w:rPr>
                <w:bCs/>
                <w:color w:val="auto"/>
              </w:rPr>
            </w:pPr>
            <w:r>
              <w:rPr>
                <w:rFonts w:hint="eastAsia"/>
                <w:bCs/>
                <w:color w:val="auto"/>
              </w:rPr>
              <w:t>本项目采用翻斗式捏炼机进行密炼，密炼温度控制在</w:t>
            </w:r>
            <w:r>
              <w:rPr>
                <w:bCs/>
                <w:color w:val="auto"/>
              </w:rPr>
              <w:t>100</w:t>
            </w:r>
            <w:r>
              <w:rPr>
                <w:rFonts w:hint="eastAsia"/>
                <w:bCs/>
                <w:color w:val="auto"/>
              </w:rPr>
              <w:t>℃左右，在密炼机中进行约</w:t>
            </w:r>
            <w:r>
              <w:rPr>
                <w:bCs/>
                <w:color w:val="auto"/>
              </w:rPr>
              <w:t>20min</w:t>
            </w:r>
            <w:r>
              <w:rPr>
                <w:rFonts w:hint="eastAsia"/>
                <w:bCs/>
                <w:color w:val="auto"/>
              </w:rPr>
              <w:t>混合生产出大团橡胶胶料。经密炼的胶体通过翻转作用，使得胶体能够快速均匀降温，该工序后胶体温度控制在</w:t>
            </w:r>
            <w:r>
              <w:rPr>
                <w:bCs/>
                <w:color w:val="auto"/>
              </w:rPr>
              <w:t>60</w:t>
            </w:r>
            <w:r>
              <w:rPr>
                <w:rFonts w:hint="eastAsia"/>
                <w:bCs/>
                <w:color w:val="auto"/>
              </w:rPr>
              <w:t>℃以下，该工序进行约</w:t>
            </w:r>
            <w:r>
              <w:rPr>
                <w:bCs/>
                <w:color w:val="auto"/>
              </w:rPr>
              <w:t>5min</w:t>
            </w:r>
            <w:r>
              <w:rPr>
                <w:rFonts w:hint="eastAsia"/>
                <w:bCs/>
                <w:color w:val="auto"/>
              </w:rPr>
              <w:t>。</w:t>
            </w:r>
          </w:p>
          <w:p>
            <w:pPr>
              <w:adjustRightInd w:val="0"/>
              <w:snapToGrid w:val="0"/>
              <w:spacing w:line="360" w:lineRule="auto"/>
              <w:ind w:firstLine="420" w:firstLineChars="200"/>
              <w:rPr>
                <w:bCs/>
                <w:color w:val="auto"/>
              </w:rPr>
            </w:pPr>
            <w:r>
              <w:rPr>
                <w:rFonts w:hint="eastAsia"/>
                <w:bCs/>
                <w:color w:val="auto"/>
              </w:rPr>
              <w:t>在密炼过程完成后出胶时会</w:t>
            </w:r>
            <w:r>
              <w:rPr>
                <w:rFonts w:hint="eastAsia"/>
                <w:bCs/>
                <w:color w:val="auto"/>
                <w:lang w:val="en-US" w:eastAsia="zh-CN"/>
              </w:rPr>
              <w:t>产生粉尘、有机</w:t>
            </w:r>
            <w:r>
              <w:rPr>
                <w:rFonts w:hint="eastAsia"/>
                <w:bCs/>
                <w:color w:val="auto"/>
              </w:rPr>
              <w:t>废气（以非甲烷总烃表征）及设备噪声。</w:t>
            </w:r>
          </w:p>
          <w:p>
            <w:pPr>
              <w:adjustRightInd w:val="0"/>
              <w:snapToGrid w:val="0"/>
              <w:spacing w:line="360" w:lineRule="auto"/>
              <w:ind w:firstLine="422" w:firstLineChars="200"/>
              <w:rPr>
                <w:b/>
                <w:color w:val="auto"/>
              </w:rPr>
            </w:pPr>
            <w:r>
              <w:rPr>
                <w:rFonts w:hint="eastAsia"/>
                <w:b/>
                <w:color w:val="auto"/>
              </w:rPr>
              <w:t>（6）开炼出片</w:t>
            </w:r>
          </w:p>
          <w:p>
            <w:pPr>
              <w:adjustRightInd w:val="0"/>
              <w:snapToGrid w:val="0"/>
              <w:spacing w:line="360" w:lineRule="auto"/>
              <w:ind w:firstLine="420" w:firstLineChars="200"/>
              <w:rPr>
                <w:rFonts w:hint="eastAsia"/>
                <w:bCs/>
                <w:color w:val="auto"/>
              </w:rPr>
            </w:pPr>
            <w:r>
              <w:rPr>
                <w:rFonts w:hint="eastAsia"/>
                <w:bCs/>
                <w:color w:val="auto"/>
              </w:rPr>
              <w:t>经过密炼后，炭黑等料完全分散在橡胶中，混炼胶通过提升传送到开炼机中，利用开炼机两个平行排列的中空辊筒，以不同的线速度相对回转，形成剪切力，使分子链在剪切力的作用下被拉伸，产生弹性变形，改变橡胶的弹塑性，提高橡胶制品的性能，开炼机直接将混炼胶制成胶片。在开炼出片过程中会产生</w:t>
            </w:r>
            <w:r>
              <w:rPr>
                <w:rFonts w:hint="eastAsia"/>
                <w:bCs/>
                <w:color w:val="auto"/>
                <w:lang w:val="en-US" w:eastAsia="zh-CN"/>
              </w:rPr>
              <w:t>有机</w:t>
            </w:r>
            <w:r>
              <w:rPr>
                <w:rFonts w:hint="eastAsia"/>
                <w:bCs/>
                <w:color w:val="auto"/>
              </w:rPr>
              <w:t>废气（以非甲烷总烃表征）及设备噪声。</w:t>
            </w:r>
          </w:p>
          <w:p>
            <w:pPr>
              <w:adjustRightInd w:val="0"/>
              <w:snapToGrid w:val="0"/>
              <w:spacing w:line="360" w:lineRule="auto"/>
              <w:ind w:firstLine="422" w:firstLineChars="200"/>
              <w:rPr>
                <w:rFonts w:hint="eastAsia"/>
                <w:b/>
                <w:color w:val="auto"/>
                <w:lang w:val="en-US" w:eastAsia="zh-CN"/>
              </w:rPr>
            </w:pPr>
            <w:r>
              <w:rPr>
                <w:rFonts w:hint="eastAsia"/>
                <w:b/>
                <w:color w:val="auto"/>
                <w:lang w:val="en-US" w:eastAsia="zh-CN"/>
              </w:rPr>
              <w:t>（7）过滤</w:t>
            </w:r>
          </w:p>
          <w:p>
            <w:pPr>
              <w:adjustRightInd w:val="0"/>
              <w:snapToGrid w:val="0"/>
              <w:spacing w:line="360" w:lineRule="auto"/>
              <w:ind w:firstLine="420" w:firstLineChars="200"/>
              <w:rPr>
                <w:rFonts w:hint="default"/>
                <w:color w:val="auto"/>
                <w:lang w:val="en-US"/>
              </w:rPr>
            </w:pPr>
            <w:r>
              <w:rPr>
                <w:rFonts w:hint="default"/>
                <w:bCs/>
                <w:color w:val="auto"/>
                <w:lang w:val="en-US" w:eastAsia="zh-CN"/>
              </w:rPr>
              <w:t>使用过滤机将</w:t>
            </w:r>
            <w:r>
              <w:rPr>
                <w:rFonts w:hint="eastAsia"/>
                <w:bCs/>
                <w:color w:val="auto"/>
                <w:lang w:val="en-US" w:eastAsia="zh-CN"/>
              </w:rPr>
              <w:t>混炼胶</w:t>
            </w:r>
            <w:r>
              <w:rPr>
                <w:rFonts w:hint="default"/>
                <w:bCs/>
                <w:color w:val="auto"/>
                <w:lang w:val="en-US" w:eastAsia="zh-CN"/>
              </w:rPr>
              <w:t>原料进行过滤，过滤机采用电加热的方式将温度控制在50-70℃范围，通过螺杆挤压的方式，使橡胶通过一定孔径的筛网，得到一定大小的</w:t>
            </w:r>
            <w:r>
              <w:rPr>
                <w:rFonts w:hint="eastAsia"/>
                <w:bCs/>
                <w:color w:val="auto"/>
                <w:lang w:val="en-US" w:eastAsia="zh-CN"/>
              </w:rPr>
              <w:t>橡</w:t>
            </w:r>
            <w:r>
              <w:rPr>
                <w:rFonts w:hint="default"/>
                <w:bCs/>
                <w:color w:val="auto"/>
                <w:lang w:val="en-US" w:eastAsia="zh-CN"/>
              </w:rPr>
              <w:t>胶料。此过程</w:t>
            </w:r>
            <w:r>
              <w:rPr>
                <w:rFonts w:hint="eastAsia"/>
                <w:bCs/>
                <w:color w:val="auto"/>
                <w:lang w:val="en-US" w:eastAsia="zh-CN"/>
              </w:rPr>
              <w:t>有噪声产生。</w:t>
            </w:r>
          </w:p>
          <w:p>
            <w:pPr>
              <w:adjustRightInd w:val="0"/>
              <w:snapToGrid w:val="0"/>
              <w:spacing w:line="360" w:lineRule="auto"/>
              <w:ind w:firstLine="422" w:firstLineChars="200"/>
              <w:rPr>
                <w:b/>
                <w:color w:val="auto"/>
              </w:rPr>
            </w:pPr>
            <w:r>
              <w:rPr>
                <w:rFonts w:hint="eastAsia"/>
                <w:b/>
                <w:color w:val="auto"/>
              </w:rPr>
              <w:t>（</w:t>
            </w:r>
            <w:r>
              <w:rPr>
                <w:rFonts w:hint="eastAsia"/>
                <w:b/>
                <w:color w:val="auto"/>
                <w:lang w:val="en-US" w:eastAsia="zh-CN"/>
              </w:rPr>
              <w:t>8</w:t>
            </w:r>
            <w:r>
              <w:rPr>
                <w:rFonts w:hint="eastAsia"/>
                <w:b/>
                <w:color w:val="auto"/>
              </w:rPr>
              <w:t>）胶片冷却</w:t>
            </w:r>
          </w:p>
          <w:p>
            <w:pPr>
              <w:adjustRightInd w:val="0"/>
              <w:snapToGrid w:val="0"/>
              <w:spacing w:line="360" w:lineRule="auto"/>
              <w:ind w:firstLine="420" w:firstLineChars="200"/>
              <w:rPr>
                <w:color w:val="auto"/>
              </w:rPr>
            </w:pPr>
            <w:r>
              <w:rPr>
                <w:rFonts w:hint="eastAsia"/>
                <w:bCs/>
                <w:color w:val="auto"/>
              </w:rPr>
              <w:t>开炼机将混炼胶制成胶片后，悬挂于胶片冷却机上冷却，此过程会产生设备噪声。</w:t>
            </w:r>
          </w:p>
          <w:p>
            <w:pPr>
              <w:adjustRightInd w:val="0"/>
              <w:snapToGrid w:val="0"/>
              <w:spacing w:line="360" w:lineRule="auto"/>
              <w:ind w:firstLine="422" w:firstLineChars="200"/>
              <w:rPr>
                <w:color w:val="auto"/>
              </w:rPr>
            </w:pPr>
            <w:r>
              <w:rPr>
                <w:rFonts w:hint="eastAsia"/>
                <w:b/>
                <w:bCs/>
                <w:color w:val="auto"/>
              </w:rPr>
              <w:t>（8）测试</w:t>
            </w:r>
            <w:r>
              <w:rPr>
                <w:b/>
                <w:bCs/>
                <w:color w:val="auto"/>
              </w:rPr>
              <w:t>：</w:t>
            </w:r>
            <w:r>
              <w:rPr>
                <w:rFonts w:hint="eastAsia"/>
                <w:color w:val="auto"/>
              </w:rPr>
              <w:t>由于橡胶产品的配方和使用条件各异，其老化历程快慢不一，所以，需要通过试验来测定和评价，以评定橡胶老化的程度及其对性能的影响。试验就是在外部条件下，经过一定时间后，考核橡胶性能前后变化（一般是性能下降或劣化）的试验方法及所用的测试手段，检验合格的产品进入下一道工序或直接出售，不合格者回到密炼机重新炼制。</w:t>
            </w:r>
          </w:p>
          <w:p>
            <w:pPr>
              <w:autoSpaceDE w:val="0"/>
              <w:autoSpaceDN w:val="0"/>
              <w:adjustRightInd w:val="0"/>
              <w:snapToGrid w:val="0"/>
              <w:spacing w:before="120" w:beforeLines="50" w:line="360" w:lineRule="auto"/>
              <w:ind w:firstLine="482"/>
              <w:jc w:val="left"/>
              <w:rPr>
                <w:b/>
                <w:color w:val="auto"/>
              </w:rPr>
            </w:pPr>
            <w:r>
              <w:rPr>
                <w:rFonts w:hint="eastAsia"/>
                <w:b/>
                <w:color w:val="auto"/>
              </w:rPr>
              <w:t>2</w:t>
            </w:r>
            <w:r>
              <w:rPr>
                <w:b/>
                <w:color w:val="auto"/>
              </w:rPr>
              <w:t>、</w:t>
            </w:r>
            <w:r>
              <w:rPr>
                <w:rFonts w:hint="eastAsia"/>
                <w:b/>
                <w:color w:val="auto"/>
              </w:rPr>
              <w:t>橡胶制品</w:t>
            </w:r>
            <w:r>
              <w:rPr>
                <w:b/>
                <w:color w:val="auto"/>
              </w:rPr>
              <w:t>生产工艺流程及产污环节如下：</w:t>
            </w:r>
          </w:p>
          <w:p>
            <w:pPr>
              <w:pStyle w:val="108"/>
              <w:ind w:firstLine="0" w:firstLineChars="0"/>
              <w:rPr>
                <w:color w:val="auto"/>
              </w:rPr>
            </w:pPr>
            <w:r>
              <w:rPr>
                <w:color w:val="auto"/>
                <w:lang w:eastAsia="zh-CN"/>
              </w:rPr>
              <mc:AlternateContent>
                <mc:Choice Requires="wpc">
                  <w:drawing>
                    <wp:inline distT="0" distB="0" distL="114300" distR="114300">
                      <wp:extent cx="5626735" cy="3054985"/>
                      <wp:effectExtent l="0" t="0" r="0" b="0"/>
                      <wp:docPr id="277" name="画布 277"/>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w="9525" cap="flat" cmpd="sng">
                                <a:noFill/>
                                <a:prstDash val="solid"/>
                                <a:miter/>
                                <a:headEnd type="none" w="med" len="med"/>
                                <a:tailEnd type="none" w="med" len="med"/>
                              </a:ln>
                            </wpc:whole>
                            <wps:wsp>
                              <wps:cNvPr id="278" name="文本框 118"/>
                              <wps:cNvSpPr txBox="1">
                                <a:spLocks noChangeArrowheads="1"/>
                              </wps:cNvSpPr>
                              <wps:spPr bwMode="auto">
                                <a:xfrm>
                                  <a:off x="2373630" y="106680"/>
                                  <a:ext cx="1437005" cy="292100"/>
                                </a:xfrm>
                                <a:prstGeom prst="rect">
                                  <a:avLst/>
                                </a:prstGeom>
                                <a:noFill/>
                                <a:ln>
                                  <a:noFill/>
                                </a:ln>
                                <a:effectLst/>
                              </wps:spPr>
                              <wps:txbx>
                                <w:txbxContent>
                                  <w:p>
                                    <w:pPr>
                                      <w:adjustRightInd w:val="0"/>
                                      <w:snapToGrid w:val="0"/>
                                      <w:jc w:val="center"/>
                                      <w:rPr>
                                        <w:color w:val="FF0000"/>
                                      </w:rPr>
                                    </w:pPr>
                                    <w:r>
                                      <w:rPr>
                                        <w:rFonts w:hint="eastAsia"/>
                                      </w:rPr>
                                      <w:t>混炼胶</w:t>
                                    </w:r>
                                  </w:p>
                                </w:txbxContent>
                              </wps:txbx>
                              <wps:bodyPr rot="0" vert="horz" wrap="square" lIns="91440" tIns="45720" rIns="91440" bIns="45720" anchor="t" anchorCtr="0" upright="1">
                                <a:noAutofit/>
                              </wps:bodyPr>
                            </wps:wsp>
                            <wps:wsp>
                              <wps:cNvPr id="282" name="文本框 142"/>
                              <wps:cNvSpPr txBox="1">
                                <a:spLocks noChangeArrowheads="1"/>
                              </wps:cNvSpPr>
                              <wps:spPr bwMode="auto">
                                <a:xfrm>
                                  <a:off x="4098290" y="1144270"/>
                                  <a:ext cx="1193800" cy="321945"/>
                                </a:xfrm>
                                <a:prstGeom prst="rect">
                                  <a:avLst/>
                                </a:prstGeom>
                                <a:noFill/>
                                <a:ln w="6350">
                                  <a:noFill/>
                                  <a:prstDash val="dash"/>
                                  <a:miter lim="800000"/>
                                </a:ln>
                                <a:effectLst/>
                              </wps:spPr>
                              <wps:txbx>
                                <w:txbxContent>
                                  <w:p>
                                    <w:pPr>
                                      <w:jc w:val="left"/>
                                    </w:pPr>
                                    <w:r>
                                      <w:rPr>
                                        <w:rFonts w:hint="eastAsia"/>
                                      </w:rPr>
                                      <w:t>有机废气</w:t>
                                    </w:r>
                                    <w:r>
                                      <w:rPr>
                                        <w:rFonts w:hint="eastAsia"/>
                                        <w:lang w:val="en-US" w:eastAsia="zh-CN"/>
                                      </w:rPr>
                                      <w:t>、</w:t>
                                    </w:r>
                                    <w:r>
                                      <w:rPr>
                                        <w:rFonts w:hint="eastAsia"/>
                                      </w:rPr>
                                      <w:t>噪声</w:t>
                                    </w:r>
                                  </w:p>
                                </w:txbxContent>
                              </wps:txbx>
                              <wps:bodyPr rot="0" vert="horz" wrap="square" lIns="91440" tIns="45720" rIns="91440" bIns="45720" anchor="t" anchorCtr="0" upright="1">
                                <a:noAutofit/>
                              </wps:bodyPr>
                            </wps:wsp>
                            <wps:wsp>
                              <wps:cNvPr id="283" name="文本框 119"/>
                              <wps:cNvSpPr txBox="1">
                                <a:spLocks noChangeArrowheads="1"/>
                              </wps:cNvSpPr>
                              <wps:spPr bwMode="auto">
                                <a:xfrm>
                                  <a:off x="2750820" y="2746375"/>
                                  <a:ext cx="818515" cy="308610"/>
                                </a:xfrm>
                                <a:prstGeom prst="rect">
                                  <a:avLst/>
                                </a:prstGeom>
                                <a:noFill/>
                                <a:ln w="6350">
                                  <a:noFill/>
                                  <a:prstDash val="dash"/>
                                  <a:miter lim="800000"/>
                                </a:ln>
                                <a:effectLst/>
                              </wps:spPr>
                              <wps:txbx>
                                <w:txbxContent>
                                  <w:p>
                                    <w:pPr>
                                      <w:adjustRightInd w:val="0"/>
                                      <w:snapToGrid w:val="0"/>
                                      <w:jc w:val="left"/>
                                    </w:pPr>
                                    <w:r>
                                      <w:rPr>
                                        <w:rFonts w:hint="eastAsia"/>
                                      </w:rPr>
                                      <w:t>橡胶制品</w:t>
                                    </w:r>
                                  </w:p>
                                </w:txbxContent>
                              </wps:txbx>
                              <wps:bodyPr rot="0" vert="horz" wrap="square" lIns="91440" tIns="45720" rIns="91440" bIns="45720" anchor="t" anchorCtr="0" upright="1">
                                <a:noAutofit/>
                              </wps:bodyPr>
                            </wps:wsp>
                            <wps:wsp>
                              <wps:cNvPr id="319" name="文本框 121"/>
                              <wps:cNvSpPr txBox="1">
                                <a:spLocks noChangeArrowheads="1"/>
                              </wps:cNvSpPr>
                              <wps:spPr bwMode="auto">
                                <a:xfrm>
                                  <a:off x="2701925" y="1154430"/>
                                  <a:ext cx="769620" cy="279400"/>
                                </a:xfrm>
                                <a:prstGeom prst="rect">
                                  <a:avLst/>
                                </a:prstGeom>
                                <a:noFill/>
                                <a:ln w="6350">
                                  <a:solidFill>
                                    <a:srgbClr val="000000"/>
                                  </a:solidFill>
                                  <a:miter lim="800000"/>
                                </a:ln>
                                <a:effectLst/>
                              </wps:spPr>
                              <wps:txbx>
                                <w:txbxContent>
                                  <w:p>
                                    <w:pPr>
                                      <w:adjustRightInd w:val="0"/>
                                      <w:snapToGrid w:val="0"/>
                                      <w:jc w:val="center"/>
                                    </w:pPr>
                                    <w:r>
                                      <w:rPr>
                                        <w:rFonts w:hint="eastAsia"/>
                                      </w:rPr>
                                      <w:t>模压</w:t>
                                    </w:r>
                                  </w:p>
                                </w:txbxContent>
                              </wps:txbx>
                              <wps:bodyPr rot="0" vert="horz" wrap="square" lIns="91440" tIns="45720" rIns="91440" bIns="45720" anchor="t" anchorCtr="0" upright="1">
                                <a:noAutofit/>
                              </wps:bodyPr>
                            </wps:wsp>
                            <wps:wsp>
                              <wps:cNvPr id="320" name="直接箭头连接符 126"/>
                              <wps:cNvCnPr>
                                <a:cxnSpLocks noChangeShapeType="1"/>
                              </wps:cNvCnPr>
                              <wps:spPr bwMode="auto">
                                <a:xfrm rot="5400000" flipV="1">
                                  <a:off x="2963545" y="1020445"/>
                                  <a:ext cx="267335" cy="0"/>
                                </a:xfrm>
                                <a:prstGeom prst="straightConnector1">
                                  <a:avLst/>
                                </a:prstGeom>
                                <a:noFill/>
                                <a:ln w="6350">
                                  <a:solidFill>
                                    <a:srgbClr val="000000"/>
                                  </a:solidFill>
                                  <a:round/>
                                  <a:tailEnd type="triangle" w="med" len="med"/>
                                </a:ln>
                                <a:effectLst/>
                              </wps:spPr>
                              <wps:bodyPr/>
                            </wps:wsp>
                            <wps:wsp>
                              <wps:cNvPr id="323" name="文本框 121"/>
                              <wps:cNvSpPr txBox="1">
                                <a:spLocks noChangeArrowheads="1"/>
                              </wps:cNvSpPr>
                              <wps:spPr bwMode="auto">
                                <a:xfrm>
                                  <a:off x="2695575" y="636905"/>
                                  <a:ext cx="769620" cy="248285"/>
                                </a:xfrm>
                                <a:prstGeom prst="rect">
                                  <a:avLst/>
                                </a:prstGeom>
                                <a:noFill/>
                                <a:ln w="6350">
                                  <a:solidFill>
                                    <a:srgbClr val="000000"/>
                                  </a:solidFill>
                                  <a:miter lim="800000"/>
                                </a:ln>
                                <a:effectLst/>
                              </wps:spPr>
                              <wps:txbx>
                                <w:txbxContent>
                                  <w:p>
                                    <w:pPr>
                                      <w:adjustRightInd w:val="0"/>
                                      <w:snapToGrid w:val="0"/>
                                      <w:jc w:val="center"/>
                                      <w:rPr>
                                        <w:rFonts w:hint="default" w:eastAsia="宋体"/>
                                        <w:color w:val="auto"/>
                                        <w:lang w:val="en-US" w:eastAsia="zh-CN"/>
                                      </w:rPr>
                                    </w:pPr>
                                    <w:r>
                                      <w:rPr>
                                        <w:rFonts w:hint="eastAsia"/>
                                        <w:color w:val="auto"/>
                                        <w:lang w:val="en-US" w:eastAsia="zh-CN"/>
                                      </w:rPr>
                                      <w:t>切胶</w:t>
                                    </w:r>
                                  </w:p>
                                </w:txbxContent>
                              </wps:txbx>
                              <wps:bodyPr rot="0" vert="horz" wrap="square" lIns="91440" tIns="45720" rIns="91440" bIns="45720" anchor="t" anchorCtr="0" upright="1">
                                <a:noAutofit/>
                              </wps:bodyPr>
                            </wps:wsp>
                            <wps:wsp>
                              <wps:cNvPr id="324" name="直接箭头连接符 126"/>
                              <wps:cNvCnPr>
                                <a:cxnSpLocks noChangeShapeType="1"/>
                              </wps:cNvCnPr>
                              <wps:spPr bwMode="auto">
                                <a:xfrm rot="5400000" flipV="1">
                                  <a:off x="2962275" y="501650"/>
                                  <a:ext cx="267335" cy="0"/>
                                </a:xfrm>
                                <a:prstGeom prst="straightConnector1">
                                  <a:avLst/>
                                </a:prstGeom>
                                <a:noFill/>
                                <a:ln w="6350">
                                  <a:solidFill>
                                    <a:srgbClr val="000000"/>
                                  </a:solidFill>
                                  <a:round/>
                                  <a:tailEnd type="triangle" w="med" len="med"/>
                                </a:ln>
                                <a:effectLst/>
                              </wps:spPr>
                              <wps:bodyPr/>
                            </wps:wsp>
                            <wps:wsp>
                              <wps:cNvPr id="328" name="直接箭头连接符 126"/>
                              <wps:cNvCnPr>
                                <a:cxnSpLocks noChangeShapeType="1"/>
                              </wps:cNvCnPr>
                              <wps:spPr bwMode="auto">
                                <a:xfrm rot="5400000" flipV="1">
                                  <a:off x="2972435" y="2618105"/>
                                  <a:ext cx="267335" cy="0"/>
                                </a:xfrm>
                                <a:prstGeom prst="straightConnector1">
                                  <a:avLst/>
                                </a:prstGeom>
                                <a:noFill/>
                                <a:ln w="6350">
                                  <a:solidFill>
                                    <a:srgbClr val="000000"/>
                                  </a:solidFill>
                                  <a:round/>
                                  <a:tailEnd type="triangle" w="med" len="med"/>
                                </a:ln>
                                <a:effectLst/>
                              </wps:spPr>
                              <wps:bodyPr/>
                            </wps:wsp>
                            <wps:wsp>
                              <wps:cNvPr id="332" name="直接箭头连接符 124"/>
                              <wps:cNvCnPr>
                                <a:cxnSpLocks noChangeShapeType="1"/>
                              </wps:cNvCnPr>
                              <wps:spPr bwMode="auto">
                                <a:xfrm flipV="1">
                                  <a:off x="3497580" y="1271905"/>
                                  <a:ext cx="574675" cy="2540"/>
                                </a:xfrm>
                                <a:prstGeom prst="straightConnector1">
                                  <a:avLst/>
                                </a:prstGeom>
                                <a:noFill/>
                                <a:ln w="6350">
                                  <a:solidFill>
                                    <a:srgbClr val="000000"/>
                                  </a:solidFill>
                                  <a:prstDash val="dash"/>
                                  <a:round/>
                                  <a:tailEnd type="triangle" w="med" len="med"/>
                                </a:ln>
                                <a:effectLst/>
                              </wps:spPr>
                              <wps:bodyPr/>
                            </wps:wsp>
                            <wps:wsp>
                              <wps:cNvPr id="336" name="直接连接符 256"/>
                              <wps:cNvCnPr/>
                              <wps:spPr>
                                <a:prstGeom prst="line">
                                  <a:avLst/>
                                </a:prstGeom>
                              </wps:spPr>
                              <wps:style>
                                <a:lnRef idx="1">
                                  <a:schemeClr val="accent1"/>
                                </a:lnRef>
                                <a:fillRef idx="0">
                                  <a:schemeClr val="accent1"/>
                                </a:fillRef>
                                <a:effectRef idx="0">
                                  <a:schemeClr val="accent1"/>
                                </a:effectRef>
                                <a:fontRef idx="minor">
                                  <a:schemeClr val="tx1"/>
                                </a:fontRef>
                              </wps:style>
                              <wps:bodyPr/>
                            </wps:wsp>
                            <wps:wsp>
                              <wps:cNvPr id="350" name="直接箭头连接符 126"/>
                              <wps:cNvCnPr>
                                <a:cxnSpLocks noChangeShapeType="1"/>
                                <a:stCxn id="319" idx="2"/>
                              </wps:cNvCnPr>
                              <wps:spPr bwMode="auto">
                                <a:xfrm>
                                  <a:off x="3087052" y="1433830"/>
                                  <a:ext cx="5715" cy="219710"/>
                                </a:xfrm>
                                <a:prstGeom prst="straightConnector1">
                                  <a:avLst/>
                                </a:prstGeom>
                                <a:noFill/>
                                <a:ln w="6350">
                                  <a:solidFill>
                                    <a:srgbClr val="000000"/>
                                  </a:solidFill>
                                  <a:round/>
                                  <a:tailEnd type="triangle" w="med" len="med"/>
                                </a:ln>
                                <a:effectLst/>
                              </wps:spPr>
                              <wps:bodyPr/>
                            </wps:wsp>
                            <wps:wsp>
                              <wps:cNvPr id="351" name="文本框 121"/>
                              <wps:cNvSpPr txBox="1">
                                <a:spLocks noChangeArrowheads="1"/>
                              </wps:cNvSpPr>
                              <wps:spPr bwMode="auto">
                                <a:xfrm>
                                  <a:off x="2722880" y="2179955"/>
                                  <a:ext cx="769620" cy="302260"/>
                                </a:xfrm>
                                <a:prstGeom prst="rect">
                                  <a:avLst/>
                                </a:prstGeom>
                                <a:noFill/>
                                <a:ln w="6350">
                                  <a:solidFill>
                                    <a:srgbClr val="000000"/>
                                  </a:solidFill>
                                  <a:miter lim="800000"/>
                                </a:ln>
                                <a:effectLst/>
                              </wps:spPr>
                              <wps:txbx>
                                <w:txbxContent>
                                  <w:p>
                                    <w:pPr>
                                      <w:adjustRightInd w:val="0"/>
                                      <w:snapToGrid w:val="0"/>
                                      <w:jc w:val="center"/>
                                    </w:pPr>
                                    <w:r>
                                      <w:rPr>
                                        <w:rFonts w:hint="eastAsia"/>
                                      </w:rPr>
                                      <w:t>检验</w:t>
                                    </w:r>
                                  </w:p>
                                </w:txbxContent>
                              </wps:txbx>
                              <wps:bodyPr rot="0" vert="horz" wrap="square" lIns="91440" tIns="45720" rIns="91440" bIns="45720" anchor="t" anchorCtr="0" upright="1">
                                <a:noAutofit/>
                              </wps:bodyPr>
                            </wps:wsp>
                            <wps:wsp>
                              <wps:cNvPr id="5" name="直接连接符 5"/>
                              <wps:cNvCnPr>
                                <a:stCxn id="351" idx="3"/>
                              </wps:cNvCnPr>
                              <wps:spPr>
                                <a:xfrm>
                                  <a:off x="3492500" y="2331085"/>
                                  <a:ext cx="315595" cy="317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6" name="直接连接符 6"/>
                              <wps:cNvCnPr/>
                              <wps:spPr>
                                <a:xfrm flipH="1" flipV="1">
                                  <a:off x="3806190" y="1028700"/>
                                  <a:ext cx="10160" cy="131445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7" name="直接连接符 7"/>
                              <wps:cNvCnPr/>
                              <wps:spPr>
                                <a:xfrm flipH="1">
                                  <a:off x="3314700" y="1025525"/>
                                  <a:ext cx="49339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0" name="直接箭头连接符 10"/>
                              <wps:cNvCnPr/>
                              <wps:spPr>
                                <a:xfrm>
                                  <a:off x="3317875" y="1025525"/>
                                  <a:ext cx="0" cy="140970"/>
                                </a:xfrm>
                                <a:prstGeom prst="straightConnector1">
                                  <a:avLst/>
                                </a:prstGeom>
                                <a:ln w="6350" cmpd="sng">
                                  <a:solidFill>
                                    <a:schemeClr val="tx1"/>
                                  </a:solidFill>
                                  <a:prstDash val="solid"/>
                                  <a:tailEnd type="arrow"/>
                                </a:ln>
                              </wps:spPr>
                              <wps:style>
                                <a:lnRef idx="1">
                                  <a:schemeClr val="accent1"/>
                                </a:lnRef>
                                <a:fillRef idx="0">
                                  <a:schemeClr val="accent1"/>
                                </a:fillRef>
                                <a:effectRef idx="0">
                                  <a:schemeClr val="accent1"/>
                                </a:effectRef>
                                <a:fontRef idx="minor">
                                  <a:schemeClr val="tx1"/>
                                </a:fontRef>
                              </wps:style>
                              <wps:bodyPr/>
                            </wps:wsp>
                            <wps:wsp>
                              <wps:cNvPr id="12" name="文本框 142"/>
                              <wps:cNvSpPr txBox="1">
                                <a:spLocks noChangeArrowheads="1"/>
                              </wps:cNvSpPr>
                              <wps:spPr bwMode="auto">
                                <a:xfrm>
                                  <a:off x="3452495" y="1382395"/>
                                  <a:ext cx="1262380" cy="284480"/>
                                </a:xfrm>
                                <a:prstGeom prst="rect">
                                  <a:avLst/>
                                </a:prstGeom>
                                <a:noFill/>
                                <a:ln w="6350">
                                  <a:noFill/>
                                  <a:prstDash val="dash"/>
                                  <a:miter lim="800000"/>
                                </a:ln>
                                <a:effectLst/>
                              </wps:spPr>
                              <wps:txbx>
                                <w:txbxContent>
                                  <w:p>
                                    <w:pPr>
                                      <w:jc w:val="left"/>
                                      <w:rPr>
                                        <w:rFonts w:hint="default" w:eastAsia="宋体"/>
                                        <w:color w:val="auto"/>
                                        <w:sz w:val="20"/>
                                        <w:szCs w:val="18"/>
                                        <w:lang w:val="en-US" w:eastAsia="zh-CN"/>
                                      </w:rPr>
                                    </w:pPr>
                                    <w:r>
                                      <w:rPr>
                                        <w:rFonts w:hint="eastAsia"/>
                                        <w:sz w:val="20"/>
                                        <w:szCs w:val="18"/>
                                      </w:rPr>
                                      <w:t>不合格品</w:t>
                                    </w:r>
                                    <w:r>
                                      <w:rPr>
                                        <w:rFonts w:hint="eastAsia"/>
                                        <w:sz w:val="20"/>
                                        <w:szCs w:val="18"/>
                                        <w:lang w:eastAsia="zh-CN"/>
                                      </w:rPr>
                                      <w:t>、</w:t>
                                    </w:r>
                                    <w:r>
                                      <w:rPr>
                                        <w:rFonts w:hint="eastAsia"/>
                                        <w:color w:val="auto"/>
                                        <w:sz w:val="20"/>
                                        <w:szCs w:val="18"/>
                                        <w:lang w:val="en-US" w:eastAsia="zh-CN"/>
                                      </w:rPr>
                                      <w:t>边角料</w:t>
                                    </w:r>
                                  </w:p>
                                </w:txbxContent>
                              </wps:txbx>
                              <wps:bodyPr rot="0" vert="horz" wrap="square" lIns="91440" tIns="45720" rIns="91440" bIns="45720" anchor="t" anchorCtr="0" upright="1">
                                <a:noAutofit/>
                              </wps:bodyPr>
                            </wps:wsp>
                            <wps:wsp>
                              <wps:cNvPr id="51" name="文本框 121"/>
                              <wps:cNvSpPr txBox="1">
                                <a:spLocks noChangeArrowheads="1"/>
                              </wps:cNvSpPr>
                              <wps:spPr bwMode="auto">
                                <a:xfrm>
                                  <a:off x="2694305" y="1656080"/>
                                  <a:ext cx="769620" cy="285750"/>
                                </a:xfrm>
                                <a:prstGeom prst="rect">
                                  <a:avLst/>
                                </a:prstGeom>
                                <a:noFill/>
                                <a:ln w="6350">
                                  <a:solidFill>
                                    <a:srgbClr val="000000"/>
                                  </a:solidFill>
                                  <a:miter lim="800000"/>
                                </a:ln>
                                <a:effectLst/>
                              </wps:spPr>
                              <wps:txbx>
                                <w:txbxContent>
                                  <w:p>
                                    <w:pPr>
                                      <w:adjustRightInd w:val="0"/>
                                      <w:snapToGrid w:val="0"/>
                                      <w:jc w:val="center"/>
                                      <w:rPr>
                                        <w:rFonts w:hint="default" w:eastAsia="宋体"/>
                                        <w:color w:val="auto"/>
                                        <w:lang w:val="en-US" w:eastAsia="zh-CN"/>
                                      </w:rPr>
                                    </w:pPr>
                                    <w:r>
                                      <w:rPr>
                                        <w:rFonts w:hint="eastAsia"/>
                                        <w:color w:val="auto"/>
                                        <w:lang w:val="en-US" w:eastAsia="zh-CN"/>
                                      </w:rPr>
                                      <w:t>修边</w:t>
                                    </w:r>
                                  </w:p>
                                </w:txbxContent>
                              </wps:txbx>
                              <wps:bodyPr rot="0" vert="horz" wrap="square" lIns="91440" tIns="45720" rIns="91440" bIns="45720" anchor="t" anchorCtr="0" upright="1">
                                <a:noAutofit/>
                              </wps:bodyPr>
                            </wps:wsp>
                            <wps:wsp>
                              <wps:cNvPr id="84" name="直接箭头连接符 126"/>
                              <wps:cNvCnPr>
                                <a:cxnSpLocks noChangeShapeType="1"/>
                              </wps:cNvCnPr>
                              <wps:spPr bwMode="auto">
                                <a:xfrm>
                                  <a:off x="3093085" y="1943735"/>
                                  <a:ext cx="2540" cy="237490"/>
                                </a:xfrm>
                                <a:prstGeom prst="straightConnector1">
                                  <a:avLst/>
                                </a:prstGeom>
                                <a:noFill/>
                                <a:ln w="6350">
                                  <a:solidFill>
                                    <a:srgbClr val="000000"/>
                                  </a:solidFill>
                                  <a:round/>
                                  <a:tailEnd type="triangle" w="med" len="med"/>
                                </a:ln>
                                <a:effectLst/>
                              </wps:spPr>
                              <wps:bodyPr/>
                            </wps:wsp>
                            <wps:wsp>
                              <wps:cNvPr id="241" name="直接连接符 241"/>
                              <wps:cNvCnPr>
                                <a:stCxn id="51" idx="3"/>
                              </wps:cNvCnPr>
                              <wps:spPr>
                                <a:xfrm flipV="1">
                                  <a:off x="3463925" y="1795780"/>
                                  <a:ext cx="337185" cy="317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c:wpc>
                        </a:graphicData>
                      </a:graphic>
                    </wp:inline>
                  </w:drawing>
                </mc:Choice>
                <mc:Fallback>
                  <w:pict>
                    <v:group id="_x0000_s1026" o:spid="_x0000_s1026" o:spt="203" style="height:240.55pt;width:443.05pt;" coordsize="5626735,3054985" editas="canvas" o:gfxdata="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">
                      <o:lock v:ext="edit" aspectratio="f"/>
                      <v:shape id="_x0000_s1026" o:spid="_x0000_s1026" style="position:absolute;left:0;top:0;height:3054985;width:5626735;" filled="f" stroked="f" coordsize="21600,21600" o:gfxdata="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">
                        <v:fill on="f" focussize="0,0"/>
                        <v:stroke on="f" joinstyle="miter"/>
                        <v:imagedata o:title=""/>
                        <o:lock v:ext="edit" aspectratio="t"/>
                      </v:shape>
                      <v:shape id="文本框 118" o:spid="_x0000_s1026" o:spt="202" type="#_x0000_t202" style="position:absolute;left:2373630;top:106680;height:292100;width:1437005;" filled="f" stroked="f" coordsize="21600,21600" o:gfxdata="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FFHhz9QAAAAFAQAADwAAAAAAAAABACAAAAAiAAAAZHJzL2Rvd25yZXYueG1sUEsBAhQAFAAAAAgA&#10;h07iQCDET0wpAgAAMgQAAA4AAAAAAAAAAQAgAAAAIwEAAGRycy9lMm9Eb2MueG1sUEsFBgAAAAAG&#10;AAYAWQEAAL4FAAAAAA==&#10;">
                        <v:fill on="f" focussize="0,0"/>
                        <v:stroke on="f"/>
                        <v:imagedata o:title=""/>
                        <o:lock v:ext="edit" aspectratio="f"/>
                        <v:textbox>
                          <w:txbxContent>
                            <w:p>
                              <w:pPr>
                                <w:adjustRightInd w:val="0"/>
                                <w:snapToGrid w:val="0"/>
                                <w:jc w:val="center"/>
                                <w:rPr>
                                  <w:color w:val="FF0000"/>
                                </w:rPr>
                              </w:pPr>
                              <w:r>
                                <w:rPr>
                                  <w:rFonts w:hint="eastAsia"/>
                                </w:rPr>
                                <w:t>混炼胶</w:t>
                              </w:r>
                            </w:p>
                          </w:txbxContent>
                        </v:textbox>
                      </v:shape>
                      <v:shape id="文本框 142" o:spid="_x0000_s1026" o:spt="202" type="#_x0000_t202" style="position:absolute;left:4098290;top:1144270;height:321945;width:1193800;" filled="f" stroked="f" coordsize="21600,21600" o:gfxdata="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Aak6BG0QAAAAUBAAAPAAAAAAAAAAEAIAAA&#10;ACIAAABkcnMvZG93bnJldi54bWxQSwECFAAUAAAACACHTuJATy4v7UwCAABrBAAADgAAAAAAAAAB&#10;ACAAAAAgAQAAZHJzL2Uyb0RvYy54bWxQSwUGAAAAAAYABgBZAQAA3gUAAAAA&#10;">
                        <v:fill on="f" focussize="0,0"/>
                        <v:stroke on="f" weight="0.5pt" miterlimit="8" joinstyle="miter" dashstyle="dash"/>
                        <v:imagedata o:title=""/>
                        <o:lock v:ext="edit" aspectratio="f"/>
                        <v:textbox>
                          <w:txbxContent>
                            <w:p>
                              <w:pPr>
                                <w:jc w:val="left"/>
                              </w:pPr>
                              <w:r>
                                <w:rPr>
                                  <w:rFonts w:hint="eastAsia"/>
                                </w:rPr>
                                <w:t>有机废气</w:t>
                              </w:r>
                              <w:r>
                                <w:rPr>
                                  <w:rFonts w:hint="eastAsia"/>
                                  <w:lang w:val="en-US" w:eastAsia="zh-CN"/>
                                </w:rPr>
                                <w:t>、</w:t>
                              </w:r>
                              <w:r>
                                <w:rPr>
                                  <w:rFonts w:hint="eastAsia"/>
                                </w:rPr>
                                <w:t>噪声</w:t>
                              </w:r>
                            </w:p>
                          </w:txbxContent>
                        </v:textbox>
                      </v:shape>
                      <v:shape id="文本框 119" o:spid="_x0000_s1026" o:spt="202" type="#_x0000_t202" style="position:absolute;left:2750820;top:2746375;height:308610;width:818515;" filled="f" stroked="f" coordsize="21600,21600" o:gfxdata="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GpOgRtEAAAAFAQAADwAAAAAAAAABACAA&#10;AAAiAAAAZHJzL2Rvd25yZXYueG1sUEsBAhQAFAAAAAgAh07iQFtXf0tNAgAAagQAAA4AAAAAAAAA&#10;AQAgAAAAIAEAAGRycy9lMm9Eb2MueG1sUEsFBgAAAAAGAAYAWQEAAN8FAAAAAA==&#10;">
                        <v:fill on="f" focussize="0,0"/>
                        <v:stroke on="f" weight="0.5pt" miterlimit="8" joinstyle="miter" dashstyle="dash"/>
                        <v:imagedata o:title=""/>
                        <o:lock v:ext="edit" aspectratio="f"/>
                        <v:textbox>
                          <w:txbxContent>
                            <w:p>
                              <w:pPr>
                                <w:adjustRightInd w:val="0"/>
                                <w:snapToGrid w:val="0"/>
                                <w:jc w:val="left"/>
                              </w:pPr>
                              <w:r>
                                <w:rPr>
                                  <w:rFonts w:hint="eastAsia"/>
                                </w:rPr>
                                <w:t>橡胶制品</w:t>
                              </w:r>
                            </w:p>
                          </w:txbxContent>
                        </v:textbox>
                      </v:shape>
                      <v:shape id="文本框 121" o:spid="_x0000_s1026" o:spt="202" type="#_x0000_t202" style="position:absolute;left:2701925;top:1154430;height:279400;width:769620;" filled="f" stroked="t" coordsize="21600,21600" o:gfxdata="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">
                        <v:fill on="f" focussize="0,0"/>
                        <v:stroke weight="0.5pt" color="#000000" miterlimit="8" joinstyle="miter"/>
                        <v:imagedata o:title=""/>
                        <o:lock v:ext="edit" aspectratio="f"/>
                        <v:textbox>
                          <w:txbxContent>
                            <w:p>
                              <w:pPr>
                                <w:adjustRightInd w:val="0"/>
                                <w:snapToGrid w:val="0"/>
                                <w:jc w:val="center"/>
                              </w:pPr>
                              <w:r>
                                <w:rPr>
                                  <w:rFonts w:hint="eastAsia"/>
                                </w:rPr>
                                <w:t>模压</w:t>
                              </w:r>
                            </w:p>
                          </w:txbxContent>
                        </v:textbox>
                      </v:shape>
                      <v:shape id="直接箭头连接符 126" o:spid="_x0000_s1026" o:spt="32" type="#_x0000_t32" style="position:absolute;left:2963545;top:1020445;flip:y;height:0;width:267335;rotation:-5898240f;" filled="f" stroked="t" coordsize="21600,21600" o:gfxdata="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A/u/LvWAAAABQEAAA8AAAAAAAAAAQAgAAAAIgAAAGRycy9kb3ducmV2LnhtbFBLAQIU&#10;ABQAAAAIAIdO4kBw6+ScLgIAACEEAAAOAAAAAAAAAAEAIAAAACUBAABkcnMvZTJvRG9jLnhtbFBL&#10;BQYAAAAABgAGAFkBAADFBQAAAAA=&#10;">
                        <v:fill on="f" focussize="0,0"/>
                        <v:stroke weight="0.5pt" color="#000000" joinstyle="round" endarrow="block"/>
                        <v:imagedata o:title=""/>
                        <o:lock v:ext="edit" aspectratio="f"/>
                      </v:shape>
                      <v:shape id="文本框 121" o:spid="_x0000_s1026" o:spt="202" type="#_x0000_t202" style="position:absolute;left:2695575;top:636905;height:248285;width:769620;" filled="f" stroked="t" coordsize="21600,21600" o:gfxdata="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">
                        <v:fill on="f" focussize="0,0"/>
                        <v:stroke weight="0.5pt" color="#000000" miterlimit="8" joinstyle="miter"/>
                        <v:imagedata o:title=""/>
                        <o:lock v:ext="edit" aspectratio="f"/>
                        <v:textbox>
                          <w:txbxContent>
                            <w:p>
                              <w:pPr>
                                <w:adjustRightInd w:val="0"/>
                                <w:snapToGrid w:val="0"/>
                                <w:jc w:val="center"/>
                                <w:rPr>
                                  <w:rFonts w:hint="default" w:eastAsia="宋体"/>
                                  <w:color w:val="auto"/>
                                  <w:lang w:val="en-US" w:eastAsia="zh-CN"/>
                                </w:rPr>
                              </w:pPr>
                              <w:r>
                                <w:rPr>
                                  <w:rFonts w:hint="eastAsia"/>
                                  <w:color w:val="auto"/>
                                  <w:lang w:val="en-US" w:eastAsia="zh-CN"/>
                                </w:rPr>
                                <w:t>切胶</w:t>
                              </w:r>
                            </w:p>
                          </w:txbxContent>
                        </v:textbox>
                      </v:shape>
                      <v:shape id="直接箭头连接符 126" o:spid="_x0000_s1026" o:spt="32" type="#_x0000_t32" style="position:absolute;left:2962275;top:501650;flip:y;height:0;width:267335;rotation:-5898240f;" filled="f" stroked="t" coordsize="21600,21600" o:gfxdata="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A/u/LvWAAAABQEAAA8AAAAAAAAAAQAgAAAAIgAAAGRycy9kb3ducmV2LnhtbFBLAQIU&#10;ABQAAAAIAIdO4kDKn2+BLgIAACAEAAAOAAAAAAAAAAEAIAAAACUBAABkcnMvZTJvRG9jLnhtbFBL&#10;BQYAAAAABgAGAFkBAADFBQAAAAA=&#10;">
                        <v:fill on="f" focussize="0,0"/>
                        <v:stroke weight="0.5pt" color="#000000" joinstyle="round" endarrow="block"/>
                        <v:imagedata o:title=""/>
                        <o:lock v:ext="edit" aspectratio="f"/>
                      </v:shape>
                      <v:shape id="直接箭头连接符 126" o:spid="_x0000_s1026" o:spt="32" type="#_x0000_t32" style="position:absolute;left:2972435;top:2618105;flip:y;height:0;width:267335;rotation:-5898240f;" filled="f" stroked="t" coordsize="21600,21600" o:gfxdata="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D+78u9YAAAAFAQAADwAAAAAAAAABACAAAAAiAAAAZHJzL2Rvd25yZXYueG1sUEsB&#10;AhQAFAAAAAgAh07iQPIIsL4wAgAAIQQAAA4AAAAAAAAAAQAgAAAAJQEAAGRycy9lMm9Eb2MueG1s&#10;UEsFBgAAAAAGAAYAWQEAAMcFAAAAAA==&#10;">
                        <v:fill on="f" focussize="0,0"/>
                        <v:stroke weight="0.5pt" color="#000000" joinstyle="round" endarrow="block"/>
                        <v:imagedata o:title=""/>
                        <o:lock v:ext="edit" aspectratio="f"/>
                      </v:shape>
                      <v:shape id="直接箭头连接符 124" o:spid="_x0000_s1026" o:spt="32" type="#_x0000_t32" style="position:absolute;left:3497580;top:1271905;flip:y;height:2540;width:574675;" filled="f" stroked="t" coordsize="21600,21600" o:gfxdata="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TaxFcNYAAAAFAQAADwAAAAAAAAABACAAAAAiAAAAZHJzL2Rvd25y&#10;ZXYueG1sUEsBAhQAFAAAAAgAh07iQLH16RI5AgAALgQAAA4AAAAAAAAAAQAgAAAAJQEAAGRycy9l&#10;Mm9Eb2MueG1sUEsFBgAAAAAGAAYAWQEAANAFAAAAAA==&#10;">
                        <v:fill on="f" focussize="0,0"/>
                        <v:stroke weight="0.5pt" color="#000000" joinstyle="round" dashstyle="dash" endarrow="block"/>
                        <v:imagedata o:title=""/>
                        <o:lock v:ext="edit" aspectratio="f"/>
                      </v:shape>
                      <v:line id="直接连接符 256" o:spid="_x0000_s1026" o:spt="20" style="position:absolute;left:0;top:0;height:0;width:0;" filled="f" stroked="t" coordsize="21600,21600" o:gfxdata="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OxCHd/VAAAA&#10;BQEAAA8AAAAAAAAAAQAgAAAAIgAAAGRycy9kb3ducmV2LnhtbFBLAQIUABQAAAAIAIdO4kB0Ua0E&#10;5wEAAK8DAAAOAAAAAAAAAAEAIAAAACQBAABkcnMvZTJvRG9jLnhtbFBLBQYAAAAABgAGAFkBAAB9&#10;BQAAAAA=&#10;">
                        <v:fill on="f" focussize="0,0"/>
                        <v:stroke weight="0.5pt" color="#5B9BD5 [3204]" miterlimit="8" joinstyle="miter"/>
                        <v:imagedata o:title=""/>
                        <o:lock v:ext="edit" aspectratio="f"/>
                      </v:line>
                      <v:shape id="直接箭头连接符 126" o:spid="_x0000_s1026" o:spt="32" type="#_x0000_t32" style="position:absolute;left:3087052;top:1433830;height:219710;width:5715;" filled="f" stroked="t" coordsize="21600,21600" o:gfxdata="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MwOLprVAAAABQEAAA8AAAAAAAAAAQAgAAAAIgAAAGRycy9kb3ducmV2LnhtbFBL&#10;AQIUABQAAAAIAIdO4kB36UiTMgIAACcEAAAOAAAAAAAAAAEAIAAAACQBAABkcnMvZTJvRG9jLnht&#10;bFBLBQYAAAAABgAGAFkBAADIBQAAAAA=&#10;">
                        <v:fill on="f" focussize="0,0"/>
                        <v:stroke weight="0.5pt" color="#000000" joinstyle="round" endarrow="block"/>
                        <v:imagedata o:title=""/>
                        <o:lock v:ext="edit" aspectratio="f"/>
                      </v:shape>
                      <v:shape id="文本框 121" o:spid="_x0000_s1026" o:spt="202" type="#_x0000_t202" style="position:absolute;left:2722880;top:2179955;height:302260;width:769620;" filled="f" stroked="t" coordsize="21600,21600" o:gfxdata="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">
                        <v:fill on="f" focussize="0,0"/>
                        <v:stroke weight="0.5pt" color="#000000" miterlimit="8" joinstyle="miter"/>
                        <v:imagedata o:title=""/>
                        <o:lock v:ext="edit" aspectratio="f"/>
                        <v:textbox>
                          <w:txbxContent>
                            <w:p>
                              <w:pPr>
                                <w:adjustRightInd w:val="0"/>
                                <w:snapToGrid w:val="0"/>
                                <w:jc w:val="center"/>
                              </w:pPr>
                              <w:r>
                                <w:rPr>
                                  <w:rFonts w:hint="eastAsia"/>
                                </w:rPr>
                                <w:t>检验</w:t>
                              </w:r>
                            </w:p>
                          </w:txbxContent>
                        </v:textbox>
                      </v:shape>
                      <v:line id="_x0000_s1026" o:spid="_x0000_s1026" o:spt="20" style="position:absolute;left:3492500;top:2331085;height:3175;width:315595;" filled="f" stroked="t" coordsize="21600,21600" o:gfxdata="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A1o0qg1AAAAAUBAAAPAAAAAAAAAAEAIAAAACIAAABkcnMvZG93&#10;bnJldi54bWxQSwECFAAUAAAACACHTuJAwQxjxAQCAADnAwAADgAAAAAAAAABACAAAAAjAQAAZHJz&#10;L2Uyb0RvYy54bWxQSwUGAAAAAAYABgBZAQAAmQUAAAAA&#10;">
                        <v:fill on="f" focussize="0,0"/>
                        <v:stroke weight="0.5pt" color="#000000 [3213]" miterlimit="8" joinstyle="miter"/>
                        <v:imagedata o:title=""/>
                        <o:lock v:ext="edit" aspectratio="f"/>
                      </v:line>
                      <v:line id="_x0000_s1026" o:spid="_x0000_s1026" o:spt="20" style="position:absolute;left:3806190;top:1028700;flip:x y;height:1314450;width:10160;" filled="f" stroked="t" coordsize="21600,21600" o:gfxdata="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OABL49UAAAAFAQAADwAAAAAAAAABACAAAAAiAAAAZHJzL2Rvd25yZXYu&#10;eG1sUEsBAhQAFAAAAAgAh07iQFOmDJf+AQAA1QMAAA4AAAAAAAAAAQAgAAAAJAEAAGRycy9lMm9E&#10;b2MueG1sUEsFBgAAAAAGAAYAWQEAAJQFAAAAAA==&#10;">
                        <v:fill on="f" focussize="0,0"/>
                        <v:stroke weight="0.5pt" color="#000000 [3213]" miterlimit="8" joinstyle="miter"/>
                        <v:imagedata o:title=""/>
                        <o:lock v:ext="edit" aspectratio="f"/>
                      </v:line>
                      <v:line id="_x0000_s1026" o:spid="_x0000_s1026" o:spt="20" style="position:absolute;left:3314700;top:1025525;flip:x;height:0;width:493395;" filled="f" stroked="t" coordsize="21600,21600" o:gfxdata="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ivoWX1QAAAAUBAAAPAAAAAAAAAAEAIAAAACIAAABkcnMvZG93bnJldi54bWxQ&#10;SwECFAAUAAAACACHTuJAEtLq/voBAADGAwAADgAAAAAAAAABACAAAAAkAQAAZHJzL2Uyb0RvYy54&#10;bWxQSwUGAAAAAAYABgBZAQAAkAUAAAAA&#10;">
                        <v:fill on="f" focussize="0,0"/>
                        <v:stroke weight="0.5pt" color="#000000 [3213]" miterlimit="8" joinstyle="miter"/>
                        <v:imagedata o:title=""/>
                        <o:lock v:ext="edit" aspectratio="f"/>
                      </v:line>
                      <v:shape id="_x0000_s1026" o:spid="_x0000_s1026" o:spt="32" type="#_x0000_t32" style="position:absolute;left:3317875;top:1025525;height:140970;width:0;" filled="f" stroked="t" coordsize="21600,21600" o:gfxdata="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ZCDwedYAAAAFAQAADwAAAAAAAAABACAA&#10;AAAiAAAAZHJzL2Rvd25yZXYueG1sUEsBAhQAFAAAAAgAh07iQJBWa3MPAgAA6wMAAA4AAAAAAAAA&#10;AQAgAAAAJQEAAGRycy9lMm9Eb2MueG1sUEsFBgAAAAAGAAYAWQEAAKYFAAAAAA==&#10;">
                        <v:fill on="f" focussize="0,0"/>
                        <v:stroke weight="0.5pt" color="#000000 [3213]" miterlimit="8" joinstyle="miter" endarrow="open"/>
                        <v:imagedata o:title=""/>
                        <o:lock v:ext="edit" aspectratio="f"/>
                      </v:shape>
                      <v:shape id="文本框 142" o:spid="_x0000_s1026" o:spt="202" type="#_x0000_t202" style="position:absolute;left:3452495;top:1382395;height:284480;width:1262380;" filled="f" stroked="f" coordsize="21600,21600" o:gfxdata="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AAAAAZHJzL1BLAQIUABQAAAAIAIdO4kAak6BG0QAAAAUBAAAPAAAAAAAAAAEAIAAAACIA&#10;AABkcnMvZG93bnJldi54bWxQSwECFAAUAAAACACHTuJA8DGFaUkCAABqBAAADgAAAAAAAAABACAA&#10;AAAgAQAAZHJzL2Uyb0RvYy54bWxQSwUGAAAAAAYABgBZAQAA2wUAAAAA&#10;">
                        <v:fill on="f" focussize="0,0"/>
                        <v:stroke on="f" weight="0.5pt" miterlimit="8" joinstyle="miter" dashstyle="dash"/>
                        <v:imagedata o:title=""/>
                        <o:lock v:ext="edit" aspectratio="f"/>
                        <v:textbox>
                          <w:txbxContent>
                            <w:p>
                              <w:pPr>
                                <w:jc w:val="left"/>
                                <w:rPr>
                                  <w:rFonts w:hint="default" w:eastAsia="宋体"/>
                                  <w:color w:val="auto"/>
                                  <w:sz w:val="20"/>
                                  <w:szCs w:val="18"/>
                                  <w:lang w:val="en-US" w:eastAsia="zh-CN"/>
                                </w:rPr>
                              </w:pPr>
                              <w:r>
                                <w:rPr>
                                  <w:rFonts w:hint="eastAsia"/>
                                  <w:sz w:val="20"/>
                                  <w:szCs w:val="18"/>
                                </w:rPr>
                                <w:t>不合格品</w:t>
                              </w:r>
                              <w:r>
                                <w:rPr>
                                  <w:rFonts w:hint="eastAsia"/>
                                  <w:sz w:val="20"/>
                                  <w:szCs w:val="18"/>
                                  <w:lang w:eastAsia="zh-CN"/>
                                </w:rPr>
                                <w:t>、</w:t>
                              </w:r>
                              <w:r>
                                <w:rPr>
                                  <w:rFonts w:hint="eastAsia"/>
                                  <w:color w:val="auto"/>
                                  <w:sz w:val="20"/>
                                  <w:szCs w:val="18"/>
                                  <w:lang w:val="en-US" w:eastAsia="zh-CN"/>
                                </w:rPr>
                                <w:t>边角料</w:t>
                              </w:r>
                            </w:p>
                          </w:txbxContent>
                        </v:textbox>
                      </v:shape>
                      <v:shape id="文本框 121" o:spid="_x0000_s1026" o:spt="202" type="#_x0000_t202" style="position:absolute;left:2694305;top:1656080;height:285750;width:769620;" filled="f" stroked="t" coordsize="21600,21600" o:gfxdata="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">
                        <v:fill on="f" focussize="0,0"/>
                        <v:stroke weight="0.5pt" color="#000000" miterlimit="8" joinstyle="miter"/>
                        <v:imagedata o:title=""/>
                        <o:lock v:ext="edit" aspectratio="f"/>
                        <v:textbox>
                          <w:txbxContent>
                            <w:p>
                              <w:pPr>
                                <w:adjustRightInd w:val="0"/>
                                <w:snapToGrid w:val="0"/>
                                <w:jc w:val="center"/>
                                <w:rPr>
                                  <w:rFonts w:hint="default" w:eastAsia="宋体"/>
                                  <w:color w:val="auto"/>
                                  <w:lang w:val="en-US" w:eastAsia="zh-CN"/>
                                </w:rPr>
                              </w:pPr>
                              <w:r>
                                <w:rPr>
                                  <w:rFonts w:hint="eastAsia"/>
                                  <w:color w:val="auto"/>
                                  <w:lang w:val="en-US" w:eastAsia="zh-CN"/>
                                </w:rPr>
                                <w:t>修边</w:t>
                              </w:r>
                            </w:p>
                          </w:txbxContent>
                        </v:textbox>
                      </v:shape>
                      <v:shape id="直接箭头连接符 126" o:spid="_x0000_s1026" o:spt="32" type="#_x0000_t32" style="position:absolute;left:3093085;top:1943735;height:237490;width:2540;" filled="f" stroked="t" coordsize="21600,21600" o:gfxdata="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MwOLprVAAAABQEAAA8AAAAAAAAAAQAgAAAAIgAAAGRycy9kb3ducmV2LnhtbFBLAQIUABQAAAAI&#10;AIdO4kCeDRx2KQIAAAsEAAAOAAAAAAAAAAEAIAAAACQBAABkcnMvZTJvRG9jLnhtbFBLBQYAAAAA&#10;BgAGAFkBAAC/BQAAAAA=&#10;">
                        <v:fill on="f" focussize="0,0"/>
                        <v:stroke weight="0.5pt" color="#000000" joinstyle="round" endarrow="block"/>
                        <v:imagedata o:title=""/>
                        <o:lock v:ext="edit" aspectratio="f"/>
                      </v:shape>
                      <v:line id="_x0000_s1026" o:spid="_x0000_s1026" o:spt="20" style="position:absolute;left:3463925;top:1795780;flip:y;height:3175;width:337185;" filled="f" stroked="t" coordsize="21600,21600" o:gfxdata="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GK+hZfVAAAABQEAAA8AAAAAAAAAAQAgAAAAIgAA&#10;AGRycy9kb3ducmV2LnhtbFBLAQIUABQAAAAIAIdO4kDhnYe8CwIAAPQDAAAOAAAAAAAAAAEAIAAA&#10;ACQBAABkcnMvZTJvRG9jLnhtbFBLBQYAAAAABgAGAFkBAAChBQAAAAA=&#10;">
                        <v:fill on="f" focussize="0,0"/>
                        <v:stroke weight="0.5pt" color="#000000 [3213]" miterlimit="8" joinstyle="miter"/>
                        <v:imagedata o:title=""/>
                        <o:lock v:ext="edit" aspectratio="f"/>
                      </v:line>
                      <w10:wrap type="none"/>
                      <w10:anchorlock/>
                    </v:group>
                  </w:pict>
                </mc:Fallback>
              </mc:AlternateContent>
            </w:r>
          </w:p>
          <w:p>
            <w:pPr>
              <w:autoSpaceDE w:val="0"/>
              <w:autoSpaceDN w:val="0"/>
              <w:adjustRightInd w:val="0"/>
              <w:jc w:val="center"/>
              <w:rPr>
                <w:b/>
                <w:bCs/>
                <w:color w:val="auto"/>
              </w:rPr>
            </w:pPr>
            <w:r>
              <w:rPr>
                <w:b/>
                <w:bCs/>
                <w:color w:val="auto"/>
              </w:rPr>
              <w:t>图2-</w:t>
            </w:r>
            <w:r>
              <w:rPr>
                <w:rFonts w:hint="eastAsia"/>
                <w:b/>
                <w:bCs/>
                <w:color w:val="auto"/>
              </w:rPr>
              <w:t>5</w:t>
            </w:r>
            <w:r>
              <w:rPr>
                <w:b/>
                <w:bCs/>
                <w:color w:val="auto"/>
              </w:rPr>
              <w:t xml:space="preserve"> </w:t>
            </w:r>
            <w:r>
              <w:rPr>
                <w:rFonts w:hint="eastAsia"/>
                <w:b/>
                <w:bCs/>
                <w:color w:val="auto"/>
              </w:rPr>
              <w:t>橡胶制品</w:t>
            </w:r>
            <w:r>
              <w:rPr>
                <w:b/>
                <w:bCs/>
                <w:color w:val="auto"/>
              </w:rPr>
              <w:t>生产工艺流程图</w:t>
            </w:r>
          </w:p>
          <w:p>
            <w:pPr>
              <w:widowControl/>
              <w:adjustRightInd w:val="0"/>
              <w:snapToGrid w:val="0"/>
              <w:spacing w:before="120" w:beforeLines="50" w:line="360" w:lineRule="auto"/>
              <w:rPr>
                <w:rFonts w:hint="eastAsia"/>
                <w:b/>
                <w:color w:val="auto"/>
              </w:rPr>
            </w:pPr>
            <w:r>
              <w:rPr>
                <w:b/>
                <w:bCs/>
                <w:color w:val="auto"/>
              </w:rPr>
              <w:t>工艺流程说明：</w:t>
            </w:r>
          </w:p>
          <w:p>
            <w:pPr>
              <w:adjustRightInd w:val="0"/>
              <w:snapToGrid w:val="0"/>
              <w:spacing w:line="360" w:lineRule="auto"/>
              <w:ind w:firstLine="422" w:firstLineChars="200"/>
              <w:rPr>
                <w:rFonts w:hint="default" w:ascii="Times New Roman" w:hAnsi="Times New Roman" w:eastAsia="宋体" w:cs="Times New Roman"/>
                <w:b/>
                <w:color w:val="auto"/>
                <w:lang w:val="en-US" w:eastAsia="zh-CN"/>
              </w:rPr>
            </w:pPr>
            <w:r>
              <w:rPr>
                <w:rFonts w:hint="default" w:ascii="Times New Roman" w:hAnsi="Times New Roman" w:eastAsia="宋体" w:cs="Times New Roman"/>
                <w:b/>
                <w:color w:val="auto"/>
                <w:lang w:val="en-US" w:eastAsia="zh-CN"/>
              </w:rPr>
              <w:t>（1）切胶</w:t>
            </w:r>
          </w:p>
          <w:p>
            <w:pPr>
              <w:adjustRightInd w:val="0"/>
              <w:snapToGrid w:val="0"/>
              <w:spacing w:line="360" w:lineRule="auto"/>
              <w:ind w:firstLine="420" w:firstLineChars="200"/>
              <w:rPr>
                <w:rFonts w:hint="default" w:ascii="Times New Roman" w:hAnsi="Times New Roman" w:eastAsia="宋体" w:cs="Times New Roman"/>
                <w:bCs/>
                <w:color w:val="auto"/>
                <w:highlight w:val="none"/>
                <w:lang w:val="en-US" w:eastAsia="zh-CN"/>
              </w:rPr>
            </w:pPr>
            <w:r>
              <w:rPr>
                <w:rFonts w:hint="default" w:ascii="Times New Roman" w:hAnsi="Times New Roman" w:eastAsia="宋体" w:cs="Times New Roman"/>
                <w:bCs/>
                <w:color w:val="auto"/>
                <w:highlight w:val="none"/>
                <w:lang w:val="en-US" w:eastAsia="zh-CN"/>
              </w:rPr>
              <w:t>使用切条机将经过开炼的半成品片使用切条机切成对应重量的半成品条。</w:t>
            </w:r>
          </w:p>
          <w:p>
            <w:pPr>
              <w:adjustRightInd w:val="0"/>
              <w:snapToGrid w:val="0"/>
              <w:spacing w:line="360" w:lineRule="auto"/>
              <w:ind w:firstLine="422" w:firstLineChars="200"/>
              <w:rPr>
                <w:rFonts w:hint="default" w:ascii="Times New Roman" w:hAnsi="Times New Roman" w:eastAsia="宋体" w:cs="Times New Roman"/>
                <w:b/>
                <w:color w:val="auto"/>
              </w:rPr>
            </w:pPr>
            <w:r>
              <w:rPr>
                <w:rFonts w:hint="default" w:ascii="Times New Roman" w:hAnsi="Times New Roman" w:eastAsia="宋体" w:cs="Times New Roman"/>
                <w:b/>
                <w:color w:val="auto"/>
              </w:rPr>
              <w:t>（</w:t>
            </w:r>
            <w:r>
              <w:rPr>
                <w:rFonts w:hint="default" w:ascii="Times New Roman" w:hAnsi="Times New Roman" w:eastAsia="宋体" w:cs="Times New Roman"/>
                <w:b/>
                <w:color w:val="auto"/>
                <w:lang w:val="en-US" w:eastAsia="zh-CN"/>
              </w:rPr>
              <w:t>2</w:t>
            </w:r>
            <w:r>
              <w:rPr>
                <w:rFonts w:hint="default" w:ascii="Times New Roman" w:hAnsi="Times New Roman" w:eastAsia="宋体" w:cs="Times New Roman"/>
                <w:b/>
                <w:color w:val="auto"/>
              </w:rPr>
              <w:t>）模压</w:t>
            </w:r>
          </w:p>
          <w:p>
            <w:pPr>
              <w:adjustRightInd w:val="0"/>
              <w:snapToGrid w:val="0"/>
              <w:spacing w:line="360" w:lineRule="auto"/>
              <w:ind w:firstLine="420" w:firstLineChars="200"/>
              <w:rPr>
                <w:rFonts w:hint="default" w:ascii="Times New Roman" w:hAnsi="Times New Roman" w:eastAsia="宋体" w:cs="Times New Roman"/>
                <w:bCs/>
                <w:color w:val="auto"/>
                <w:lang w:val="en-US" w:eastAsia="zh-CN"/>
              </w:rPr>
            </w:pPr>
            <w:r>
              <w:rPr>
                <w:rFonts w:hint="default" w:ascii="Times New Roman" w:hAnsi="Times New Roman" w:eastAsia="宋体" w:cs="Times New Roman"/>
                <w:bCs/>
                <w:color w:val="auto"/>
                <w:lang w:val="en-US" w:eastAsia="zh-CN"/>
              </w:rPr>
              <w:t>将半成品条在模压成型机上，模压成型机采用电加热的方式将温度控制在165-175℃范围，加工时间约为2-3min，使胶条在模具中受热发生网状交联进而完成产品定型过程。本项目使用外购已完成混炼的氟橡胶原料，不进行硫化过程，且氟橡胶具有耐高温、耐油等特点，热分解温度在400℃以上，故本项目生产过程无硫化氢、二硫化碳、氟化物等污染物产生。由于受到高温作用，氟橡胶内有机组分挥发产生有机废气，此工序有机废气（以非甲烷总烃表征）及设备噪声产生。</w:t>
            </w:r>
          </w:p>
          <w:p>
            <w:pPr>
              <w:adjustRightInd w:val="0"/>
              <w:snapToGrid w:val="0"/>
              <w:spacing w:line="360" w:lineRule="auto"/>
              <w:ind w:firstLine="422" w:firstLineChars="200"/>
              <w:rPr>
                <w:rFonts w:hint="default" w:ascii="Times New Roman" w:hAnsi="Times New Roman" w:eastAsia="宋体" w:cs="Times New Roman"/>
                <w:b/>
                <w:color w:val="auto"/>
                <w:lang w:val="en-US" w:eastAsia="zh-CN"/>
              </w:rPr>
            </w:pPr>
            <w:r>
              <w:rPr>
                <w:rFonts w:hint="default" w:ascii="Times New Roman" w:hAnsi="Times New Roman" w:eastAsia="宋体" w:cs="Times New Roman"/>
                <w:b/>
                <w:color w:val="auto"/>
                <w:lang w:val="en-US" w:eastAsia="zh-CN"/>
              </w:rPr>
              <w:t>（3）修边</w:t>
            </w:r>
          </w:p>
          <w:p>
            <w:pPr>
              <w:adjustRightInd w:val="0"/>
              <w:snapToGrid w:val="0"/>
              <w:spacing w:line="360" w:lineRule="auto"/>
              <w:ind w:firstLine="420" w:firstLineChars="200"/>
              <w:rPr>
                <w:rFonts w:hint="default" w:ascii="Times New Roman" w:hAnsi="Times New Roman" w:eastAsia="宋体" w:cs="Times New Roman"/>
                <w:bCs/>
                <w:color w:val="auto"/>
                <w:lang w:val="en-US" w:eastAsia="zh-CN"/>
              </w:rPr>
            </w:pPr>
            <w:r>
              <w:rPr>
                <w:rFonts w:hint="eastAsia" w:cs="Times New Roman"/>
                <w:bCs/>
                <w:color w:val="auto"/>
                <w:lang w:val="en-US" w:eastAsia="zh-CN"/>
              </w:rPr>
              <w:t>通过</w:t>
            </w:r>
            <w:r>
              <w:rPr>
                <w:rFonts w:hint="default" w:ascii="Times New Roman" w:hAnsi="Times New Roman" w:eastAsia="宋体" w:cs="Times New Roman"/>
                <w:bCs/>
                <w:color w:val="auto"/>
                <w:lang w:val="en-US" w:eastAsia="zh-CN"/>
              </w:rPr>
              <w:t>修边</w:t>
            </w:r>
            <w:r>
              <w:rPr>
                <w:rFonts w:hint="eastAsia" w:cs="Times New Roman"/>
                <w:bCs/>
                <w:color w:val="auto"/>
                <w:lang w:val="en-US" w:eastAsia="zh-CN"/>
              </w:rPr>
              <w:t>机或者人工</w:t>
            </w:r>
            <w:r>
              <w:rPr>
                <w:rFonts w:hint="default" w:ascii="Times New Roman" w:hAnsi="Times New Roman" w:eastAsia="宋体" w:cs="Times New Roman"/>
                <w:bCs/>
                <w:color w:val="auto"/>
                <w:lang w:val="en-US" w:eastAsia="zh-CN"/>
              </w:rPr>
              <w:t>去除橡胶制品多余的</w:t>
            </w:r>
            <w:r>
              <w:rPr>
                <w:rFonts w:hint="eastAsia" w:cs="Times New Roman"/>
                <w:bCs/>
                <w:color w:val="auto"/>
                <w:lang w:val="en-US" w:eastAsia="zh-CN"/>
              </w:rPr>
              <w:t>毛刺</w:t>
            </w:r>
            <w:r>
              <w:rPr>
                <w:rFonts w:hint="default" w:ascii="Times New Roman" w:hAnsi="Times New Roman" w:eastAsia="宋体" w:cs="Times New Roman"/>
                <w:bCs/>
                <w:color w:val="auto"/>
                <w:lang w:val="en-US" w:eastAsia="zh-CN"/>
              </w:rPr>
              <w:t>边角，修理产生的边角料</w:t>
            </w:r>
            <w:r>
              <w:rPr>
                <w:rFonts w:hint="default" w:ascii="Times New Roman" w:hAnsi="Times New Roman" w:eastAsia="宋体" w:cs="Times New Roman"/>
                <w:bCs/>
                <w:color w:val="auto"/>
              </w:rPr>
              <w:t>按30%的量掺入同牌号、同批次的胶料中重新模压制作。</w:t>
            </w:r>
          </w:p>
          <w:p>
            <w:pPr>
              <w:adjustRightInd w:val="0"/>
              <w:snapToGrid w:val="0"/>
              <w:spacing w:line="360" w:lineRule="auto"/>
              <w:ind w:firstLine="422" w:firstLineChars="200"/>
              <w:rPr>
                <w:rFonts w:hint="default" w:ascii="Times New Roman" w:hAnsi="Times New Roman" w:eastAsia="宋体" w:cs="Times New Roman"/>
                <w:b/>
                <w:color w:val="auto"/>
              </w:rPr>
            </w:pPr>
            <w:r>
              <w:rPr>
                <w:rFonts w:hint="default" w:ascii="Times New Roman" w:hAnsi="Times New Roman" w:eastAsia="宋体" w:cs="Times New Roman"/>
                <w:b/>
                <w:color w:val="auto"/>
              </w:rPr>
              <w:t>（</w:t>
            </w:r>
            <w:r>
              <w:rPr>
                <w:rFonts w:hint="default" w:ascii="Times New Roman" w:hAnsi="Times New Roman" w:eastAsia="宋体" w:cs="Times New Roman"/>
                <w:b/>
                <w:color w:val="auto"/>
                <w:lang w:val="en-US" w:eastAsia="zh-CN"/>
              </w:rPr>
              <w:t>4</w:t>
            </w:r>
            <w:r>
              <w:rPr>
                <w:rFonts w:hint="default" w:ascii="Times New Roman" w:hAnsi="Times New Roman" w:eastAsia="宋体" w:cs="Times New Roman"/>
                <w:b/>
                <w:color w:val="auto"/>
              </w:rPr>
              <w:t>）检验</w:t>
            </w:r>
          </w:p>
          <w:p>
            <w:pPr>
              <w:adjustRightInd w:val="0"/>
              <w:snapToGrid w:val="0"/>
              <w:spacing w:line="360" w:lineRule="auto"/>
              <w:ind w:firstLine="420" w:firstLineChars="200"/>
              <w:rPr>
                <w:bCs/>
                <w:color w:val="auto"/>
              </w:rPr>
            </w:pPr>
            <w:r>
              <w:rPr>
                <w:rFonts w:hint="default" w:ascii="Times New Roman" w:hAnsi="Times New Roman" w:eastAsia="宋体" w:cs="Times New Roman"/>
                <w:bCs/>
                <w:color w:val="auto"/>
              </w:rPr>
              <w:t>对模压工序每工作班的首模零件进行外观检验</w:t>
            </w:r>
            <w:r>
              <w:rPr>
                <w:rFonts w:hint="eastAsia"/>
                <w:bCs/>
                <w:color w:val="auto"/>
              </w:rPr>
              <w:t>、尺度检验、性能检验，检验合格的产品包装入库，不合格者可按30%的量掺入同牌号、同批次的胶料中重新模压制作。</w:t>
            </w:r>
          </w:p>
          <w:p>
            <w:pPr>
              <w:spacing w:line="360" w:lineRule="auto"/>
              <w:jc w:val="center"/>
              <w:rPr>
                <w:b/>
                <w:color w:val="auto"/>
              </w:rPr>
            </w:pPr>
            <w:r>
              <w:rPr>
                <w:b/>
                <w:color w:val="auto"/>
              </w:rPr>
              <w:t>表2-</w:t>
            </w:r>
            <w:r>
              <w:rPr>
                <w:rFonts w:hint="eastAsia"/>
                <w:b/>
                <w:color w:val="auto"/>
              </w:rPr>
              <w:t>7</w:t>
            </w:r>
            <w:r>
              <w:rPr>
                <w:b/>
                <w:color w:val="auto"/>
              </w:rPr>
              <w:t xml:space="preserve"> 项目产污环节一览表</w:t>
            </w:r>
          </w:p>
          <w:tbl>
            <w:tblPr>
              <w:tblStyle w:val="92"/>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72"/>
              <w:gridCol w:w="1083"/>
              <w:gridCol w:w="2204"/>
              <w:gridCol w:w="49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1162" w:type="pct"/>
                  <w:gridSpan w:val="2"/>
                  <w:vAlign w:val="center"/>
                </w:tcPr>
                <w:p>
                  <w:pPr>
                    <w:pStyle w:val="106"/>
                    <w:jc w:val="center"/>
                    <w:rPr>
                      <w:rFonts w:ascii="Times New Roman" w:hAnsi="Times New Roman" w:cs="Times New Roman"/>
                      <w:b/>
                      <w:bCs/>
                      <w:color w:val="auto"/>
                      <w:sz w:val="21"/>
                      <w:szCs w:val="21"/>
                    </w:rPr>
                  </w:pPr>
                  <w:r>
                    <w:rPr>
                      <w:rFonts w:ascii="Times New Roman" w:hAnsi="Times New Roman" w:cs="Times New Roman"/>
                      <w:b/>
                      <w:bCs/>
                      <w:color w:val="auto"/>
                      <w:sz w:val="21"/>
                      <w:szCs w:val="21"/>
                    </w:rPr>
                    <w:t>污染物类别</w:t>
                  </w:r>
                </w:p>
              </w:tc>
              <w:tc>
                <w:tcPr>
                  <w:tcW w:w="1188" w:type="pct"/>
                  <w:vAlign w:val="center"/>
                </w:tcPr>
                <w:p>
                  <w:pPr>
                    <w:pStyle w:val="106"/>
                    <w:jc w:val="center"/>
                    <w:rPr>
                      <w:rFonts w:ascii="Times New Roman" w:hAnsi="Times New Roman" w:cs="Times New Roman"/>
                      <w:b/>
                      <w:bCs/>
                      <w:color w:val="auto"/>
                      <w:sz w:val="21"/>
                      <w:szCs w:val="21"/>
                    </w:rPr>
                  </w:pPr>
                  <w:r>
                    <w:rPr>
                      <w:rFonts w:ascii="Times New Roman" w:hAnsi="Times New Roman" w:cs="Times New Roman"/>
                      <w:b/>
                      <w:bCs/>
                      <w:color w:val="auto"/>
                      <w:sz w:val="21"/>
                      <w:szCs w:val="21"/>
                    </w:rPr>
                    <w:t>污染源</w:t>
                  </w:r>
                </w:p>
              </w:tc>
              <w:tc>
                <w:tcPr>
                  <w:tcW w:w="2649" w:type="pct"/>
                  <w:vAlign w:val="center"/>
                </w:tcPr>
                <w:p>
                  <w:pPr>
                    <w:pStyle w:val="106"/>
                    <w:jc w:val="center"/>
                    <w:rPr>
                      <w:rFonts w:ascii="Times New Roman" w:hAnsi="Times New Roman" w:cs="Times New Roman"/>
                      <w:b/>
                      <w:bCs/>
                      <w:color w:val="auto"/>
                      <w:sz w:val="21"/>
                      <w:szCs w:val="21"/>
                    </w:rPr>
                  </w:pPr>
                  <w:r>
                    <w:rPr>
                      <w:rFonts w:ascii="Times New Roman" w:hAnsi="Times New Roman" w:cs="Times New Roman"/>
                      <w:b/>
                      <w:bCs/>
                      <w:color w:val="auto"/>
                      <w:sz w:val="21"/>
                      <w:szCs w:val="21"/>
                    </w:rPr>
                    <w:t>污染物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jc w:val="center"/>
              </w:trPr>
              <w:tc>
                <w:tcPr>
                  <w:tcW w:w="1162" w:type="pct"/>
                  <w:gridSpan w:val="2"/>
                  <w:vMerge w:val="restart"/>
                  <w:vAlign w:val="center"/>
                </w:tcPr>
                <w:p>
                  <w:pPr>
                    <w:pStyle w:val="106"/>
                    <w:jc w:val="center"/>
                    <w:rPr>
                      <w:rFonts w:ascii="Times New Roman" w:hAnsi="Times New Roman" w:cs="Times New Roman"/>
                      <w:color w:val="auto"/>
                      <w:sz w:val="21"/>
                      <w:szCs w:val="21"/>
                    </w:rPr>
                  </w:pPr>
                  <w:r>
                    <w:rPr>
                      <w:rFonts w:ascii="Times New Roman" w:hAnsi="Times New Roman" w:cs="Times New Roman"/>
                      <w:color w:val="auto"/>
                      <w:sz w:val="21"/>
                      <w:szCs w:val="21"/>
                    </w:rPr>
                    <w:t>废气</w:t>
                  </w:r>
                </w:p>
              </w:tc>
              <w:tc>
                <w:tcPr>
                  <w:tcW w:w="1188" w:type="pct"/>
                  <w:vAlign w:val="center"/>
                </w:tcPr>
                <w:p>
                  <w:pPr>
                    <w:pStyle w:val="106"/>
                    <w:jc w:val="center"/>
                    <w:rPr>
                      <w:rFonts w:ascii="Times New Roman" w:hAnsi="Times New Roman" w:cs="Times New Roman"/>
                      <w:color w:val="auto"/>
                      <w:sz w:val="21"/>
                      <w:szCs w:val="21"/>
                    </w:rPr>
                  </w:pPr>
                  <w:r>
                    <w:rPr>
                      <w:rFonts w:hint="eastAsia" w:ascii="Times New Roman" w:hAnsi="Times New Roman" w:cs="Times New Roman"/>
                      <w:color w:val="auto"/>
                      <w:sz w:val="21"/>
                      <w:szCs w:val="21"/>
                    </w:rPr>
                    <w:t>炭黑配料</w:t>
                  </w:r>
                </w:p>
              </w:tc>
              <w:tc>
                <w:tcPr>
                  <w:tcW w:w="2649" w:type="pct"/>
                  <w:vAlign w:val="center"/>
                </w:tcPr>
                <w:p>
                  <w:pPr>
                    <w:pStyle w:val="106"/>
                    <w:jc w:val="center"/>
                    <w:rPr>
                      <w:rFonts w:ascii="Times New Roman" w:hAnsi="Times New Roman" w:cs="Times New Roman"/>
                      <w:color w:val="auto"/>
                      <w:sz w:val="21"/>
                      <w:szCs w:val="21"/>
                    </w:rPr>
                  </w:pPr>
                  <w:r>
                    <w:rPr>
                      <w:rFonts w:hint="eastAsia" w:ascii="Times New Roman" w:hAnsi="Times New Roman" w:cs="Times New Roman"/>
                      <w:color w:val="auto"/>
                      <w:sz w:val="21"/>
                      <w:szCs w:val="21"/>
                    </w:rPr>
                    <w:t>配料粉</w:t>
                  </w:r>
                  <w:r>
                    <w:rPr>
                      <w:rFonts w:ascii="Times New Roman" w:hAnsi="Times New Roman" w:cs="Times New Roman"/>
                      <w:color w:val="auto"/>
                      <w:sz w:val="21"/>
                      <w:szCs w:val="21"/>
                    </w:rPr>
                    <w:t>尘（颗粒物）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62" w:type="pct"/>
                  <w:gridSpan w:val="2"/>
                  <w:vMerge w:val="continue"/>
                  <w:vAlign w:val="center"/>
                </w:tcPr>
                <w:p>
                  <w:pPr>
                    <w:pStyle w:val="106"/>
                    <w:jc w:val="center"/>
                    <w:rPr>
                      <w:rFonts w:ascii="Times New Roman" w:hAnsi="Times New Roman" w:cs="Times New Roman"/>
                      <w:color w:val="auto"/>
                      <w:sz w:val="21"/>
                      <w:szCs w:val="21"/>
                    </w:rPr>
                  </w:pPr>
                </w:p>
              </w:tc>
              <w:tc>
                <w:tcPr>
                  <w:tcW w:w="1188" w:type="pct"/>
                  <w:vAlign w:val="center"/>
                </w:tcPr>
                <w:p>
                  <w:pPr>
                    <w:pStyle w:val="106"/>
                    <w:jc w:val="center"/>
                    <w:rPr>
                      <w:rFonts w:ascii="Times New Roman" w:hAnsi="Times New Roman" w:cs="Times New Roman"/>
                      <w:color w:val="auto"/>
                      <w:sz w:val="21"/>
                      <w:szCs w:val="21"/>
                    </w:rPr>
                  </w:pPr>
                  <w:r>
                    <w:rPr>
                      <w:rFonts w:hint="eastAsia" w:ascii="Times New Roman" w:hAnsi="Times New Roman" w:cs="Times New Roman"/>
                      <w:color w:val="auto"/>
                      <w:sz w:val="21"/>
                      <w:szCs w:val="21"/>
                    </w:rPr>
                    <w:t>开炼</w:t>
                  </w:r>
                  <w:r>
                    <w:rPr>
                      <w:rFonts w:hint="eastAsia" w:ascii="Times New Roman" w:hAnsi="Times New Roman" w:cs="Times New Roman"/>
                      <w:color w:val="auto"/>
                      <w:sz w:val="21"/>
                      <w:szCs w:val="21"/>
                      <w:lang w:eastAsia="zh-CN"/>
                    </w:rPr>
                    <w:t>、</w:t>
                  </w:r>
                  <w:r>
                    <w:rPr>
                      <w:rFonts w:hint="eastAsia" w:ascii="Times New Roman" w:hAnsi="Times New Roman" w:cs="Times New Roman"/>
                      <w:color w:val="auto"/>
                      <w:sz w:val="21"/>
                      <w:szCs w:val="21"/>
                    </w:rPr>
                    <w:t>模压</w:t>
                  </w:r>
                </w:p>
              </w:tc>
              <w:tc>
                <w:tcPr>
                  <w:tcW w:w="2649" w:type="pct"/>
                  <w:vAlign w:val="center"/>
                </w:tcPr>
                <w:p>
                  <w:pPr>
                    <w:pStyle w:val="106"/>
                    <w:jc w:val="center"/>
                    <w:rPr>
                      <w:rFonts w:ascii="Times New Roman" w:hAnsi="Times New Roman" w:cs="Times New Roman"/>
                      <w:color w:val="auto"/>
                      <w:sz w:val="21"/>
                      <w:szCs w:val="21"/>
                    </w:rPr>
                  </w:pPr>
                  <w:r>
                    <w:rPr>
                      <w:rFonts w:ascii="Times New Roman" w:hAnsi="Times New Roman" w:cs="Times New Roman"/>
                      <w:color w:val="auto"/>
                      <w:sz w:val="21"/>
                      <w:szCs w:val="21"/>
                    </w:rPr>
                    <w:t>有机废气（</w:t>
                  </w:r>
                  <w:r>
                    <w:rPr>
                      <w:rFonts w:hint="eastAsia" w:ascii="Times New Roman" w:hAnsi="Times New Roman" w:cs="Times New Roman"/>
                      <w:color w:val="auto"/>
                      <w:sz w:val="21"/>
                      <w:szCs w:val="21"/>
                    </w:rPr>
                    <w:t>以</w:t>
                  </w:r>
                  <w:r>
                    <w:rPr>
                      <w:rFonts w:ascii="Times New Roman" w:hAnsi="Times New Roman" w:cs="Times New Roman"/>
                      <w:color w:val="auto"/>
                      <w:sz w:val="21"/>
                      <w:szCs w:val="21"/>
                    </w:rPr>
                    <w:t>非甲烷总烃</w:t>
                  </w:r>
                  <w:r>
                    <w:rPr>
                      <w:rFonts w:hint="eastAsia" w:ascii="Times New Roman" w:hAnsi="Times New Roman" w:cs="Times New Roman"/>
                      <w:color w:val="auto"/>
                      <w:sz w:val="21"/>
                      <w:szCs w:val="21"/>
                    </w:rPr>
                    <w:t>表征</w:t>
                  </w:r>
                  <w:r>
                    <w:rPr>
                      <w:rFonts w:ascii="Times New Roman" w:hAnsi="Times New Roman" w:cs="Times New Roman"/>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62" w:type="pct"/>
                  <w:gridSpan w:val="2"/>
                  <w:vMerge w:val="continue"/>
                  <w:vAlign w:val="center"/>
                </w:tcPr>
                <w:p>
                  <w:pPr>
                    <w:pStyle w:val="106"/>
                    <w:jc w:val="center"/>
                    <w:rPr>
                      <w:rFonts w:ascii="Times New Roman" w:hAnsi="Times New Roman" w:cs="Times New Roman"/>
                      <w:color w:val="auto"/>
                      <w:sz w:val="21"/>
                      <w:szCs w:val="21"/>
                    </w:rPr>
                  </w:pPr>
                </w:p>
              </w:tc>
              <w:tc>
                <w:tcPr>
                  <w:tcW w:w="1188" w:type="pct"/>
                  <w:vMerge w:val="restart"/>
                  <w:vAlign w:val="center"/>
                </w:tcPr>
                <w:p>
                  <w:pPr>
                    <w:pStyle w:val="106"/>
                    <w:jc w:val="center"/>
                    <w:rPr>
                      <w:rFonts w:hint="eastAsia" w:ascii="Times New Roman" w:hAnsi="Times New Roman" w:cs="Times New Roman"/>
                      <w:color w:val="auto"/>
                      <w:sz w:val="21"/>
                      <w:szCs w:val="21"/>
                    </w:rPr>
                  </w:pPr>
                  <w:r>
                    <w:rPr>
                      <w:rFonts w:hint="eastAsia" w:ascii="Times New Roman" w:hAnsi="Times New Roman" w:cs="Times New Roman"/>
                      <w:color w:val="auto"/>
                      <w:sz w:val="21"/>
                      <w:szCs w:val="21"/>
                    </w:rPr>
                    <w:t>密炼</w:t>
                  </w:r>
                </w:p>
              </w:tc>
              <w:tc>
                <w:tcPr>
                  <w:tcW w:w="2649" w:type="pct"/>
                  <w:vAlign w:val="center"/>
                </w:tcPr>
                <w:p>
                  <w:pPr>
                    <w:pStyle w:val="106"/>
                    <w:jc w:val="center"/>
                    <w:rPr>
                      <w:rFonts w:hint="eastAsia"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粉尘（颗粒物）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62" w:type="pct"/>
                  <w:gridSpan w:val="2"/>
                  <w:vMerge w:val="continue"/>
                  <w:vAlign w:val="center"/>
                </w:tcPr>
                <w:p>
                  <w:pPr>
                    <w:pStyle w:val="106"/>
                    <w:jc w:val="center"/>
                    <w:rPr>
                      <w:rFonts w:ascii="Times New Roman" w:hAnsi="Times New Roman" w:cs="Times New Roman"/>
                      <w:color w:val="auto"/>
                      <w:sz w:val="21"/>
                      <w:szCs w:val="21"/>
                    </w:rPr>
                  </w:pPr>
                </w:p>
              </w:tc>
              <w:tc>
                <w:tcPr>
                  <w:tcW w:w="1188" w:type="pct"/>
                  <w:vMerge w:val="continue"/>
                  <w:vAlign w:val="center"/>
                </w:tcPr>
                <w:p>
                  <w:pPr>
                    <w:pStyle w:val="106"/>
                    <w:jc w:val="center"/>
                    <w:rPr>
                      <w:rFonts w:hint="eastAsia" w:ascii="Times New Roman" w:hAnsi="Times New Roman" w:cs="Times New Roman"/>
                      <w:color w:val="auto"/>
                      <w:sz w:val="21"/>
                      <w:szCs w:val="21"/>
                    </w:rPr>
                  </w:pPr>
                </w:p>
              </w:tc>
              <w:tc>
                <w:tcPr>
                  <w:tcW w:w="2649" w:type="pct"/>
                  <w:vAlign w:val="center"/>
                </w:tcPr>
                <w:p>
                  <w:pPr>
                    <w:pStyle w:val="106"/>
                    <w:jc w:val="center"/>
                    <w:rPr>
                      <w:rFonts w:ascii="Times New Roman" w:hAnsi="Times New Roman" w:cs="Times New Roman"/>
                      <w:color w:val="auto"/>
                      <w:sz w:val="21"/>
                      <w:szCs w:val="21"/>
                    </w:rPr>
                  </w:pPr>
                  <w:r>
                    <w:rPr>
                      <w:rFonts w:ascii="Times New Roman" w:hAnsi="Times New Roman" w:cs="Times New Roman"/>
                      <w:color w:val="auto"/>
                      <w:sz w:val="21"/>
                      <w:szCs w:val="21"/>
                    </w:rPr>
                    <w:t>有机废气（</w:t>
                  </w:r>
                  <w:r>
                    <w:rPr>
                      <w:rFonts w:hint="eastAsia" w:ascii="Times New Roman" w:hAnsi="Times New Roman" w:cs="Times New Roman"/>
                      <w:color w:val="auto"/>
                      <w:sz w:val="21"/>
                      <w:szCs w:val="21"/>
                    </w:rPr>
                    <w:t>以</w:t>
                  </w:r>
                  <w:r>
                    <w:rPr>
                      <w:rFonts w:ascii="Times New Roman" w:hAnsi="Times New Roman" w:cs="Times New Roman"/>
                      <w:color w:val="auto"/>
                      <w:sz w:val="21"/>
                      <w:szCs w:val="21"/>
                    </w:rPr>
                    <w:t>非甲烷总烃</w:t>
                  </w:r>
                  <w:r>
                    <w:rPr>
                      <w:rFonts w:hint="eastAsia" w:ascii="Times New Roman" w:hAnsi="Times New Roman" w:cs="Times New Roman"/>
                      <w:color w:val="auto"/>
                      <w:sz w:val="21"/>
                      <w:szCs w:val="21"/>
                    </w:rPr>
                    <w:t>表征</w:t>
                  </w:r>
                  <w:r>
                    <w:rPr>
                      <w:rFonts w:ascii="Times New Roman" w:hAnsi="Times New Roman" w:cs="Times New Roman"/>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578" w:type="pct"/>
                  <w:vMerge w:val="restart"/>
                  <w:vAlign w:val="center"/>
                </w:tcPr>
                <w:p>
                  <w:pPr>
                    <w:pStyle w:val="106"/>
                    <w:jc w:val="center"/>
                    <w:rPr>
                      <w:rFonts w:ascii="Times New Roman" w:hAnsi="Times New Roman" w:cs="Times New Roman"/>
                      <w:color w:val="auto"/>
                      <w:sz w:val="21"/>
                      <w:szCs w:val="21"/>
                    </w:rPr>
                  </w:pPr>
                  <w:r>
                    <w:rPr>
                      <w:rFonts w:hint="eastAsia" w:ascii="Times New Roman" w:hAnsi="Times New Roman" w:cs="Times New Roman"/>
                      <w:color w:val="auto"/>
                      <w:sz w:val="21"/>
                      <w:szCs w:val="21"/>
                    </w:rPr>
                    <w:t>固体废物</w:t>
                  </w:r>
                </w:p>
              </w:tc>
              <w:tc>
                <w:tcPr>
                  <w:tcW w:w="584" w:type="pct"/>
                  <w:vMerge w:val="restart"/>
                  <w:vAlign w:val="center"/>
                </w:tcPr>
                <w:p>
                  <w:pPr>
                    <w:pStyle w:val="106"/>
                    <w:jc w:val="center"/>
                    <w:rPr>
                      <w:rFonts w:ascii="Times New Roman" w:hAnsi="Times New Roman" w:cs="Times New Roman"/>
                      <w:color w:val="auto"/>
                      <w:sz w:val="21"/>
                      <w:szCs w:val="21"/>
                    </w:rPr>
                  </w:pPr>
                  <w:r>
                    <w:rPr>
                      <w:rFonts w:ascii="Times New Roman" w:hAnsi="Times New Roman" w:cs="Times New Roman"/>
                      <w:color w:val="auto"/>
                      <w:sz w:val="21"/>
                      <w:szCs w:val="21"/>
                    </w:rPr>
                    <w:t>一般固废</w:t>
                  </w:r>
                </w:p>
              </w:tc>
              <w:tc>
                <w:tcPr>
                  <w:tcW w:w="1188" w:type="pct"/>
                  <w:vAlign w:val="center"/>
                </w:tcPr>
                <w:p>
                  <w:pPr>
                    <w:pStyle w:val="106"/>
                    <w:jc w:val="center"/>
                    <w:rPr>
                      <w:rFonts w:ascii="Times New Roman" w:hAnsi="Times New Roman" w:cs="Times New Roman"/>
                      <w:color w:val="auto"/>
                      <w:sz w:val="21"/>
                      <w:szCs w:val="21"/>
                    </w:rPr>
                  </w:pPr>
                  <w:r>
                    <w:rPr>
                      <w:rFonts w:ascii="Times New Roman" w:hAnsi="Times New Roman" w:cs="Times New Roman"/>
                      <w:color w:val="auto"/>
                      <w:sz w:val="21"/>
                      <w:szCs w:val="21"/>
                    </w:rPr>
                    <w:t>废气处理设施</w:t>
                  </w:r>
                </w:p>
              </w:tc>
              <w:tc>
                <w:tcPr>
                  <w:tcW w:w="2649" w:type="pct"/>
                  <w:vAlign w:val="center"/>
                </w:tcPr>
                <w:p>
                  <w:pPr>
                    <w:pStyle w:val="106"/>
                    <w:jc w:val="center"/>
                    <w:rPr>
                      <w:rFonts w:ascii="Times New Roman" w:hAnsi="Times New Roman" w:cs="Times New Roman"/>
                      <w:color w:val="auto"/>
                      <w:sz w:val="21"/>
                      <w:szCs w:val="21"/>
                    </w:rPr>
                  </w:pPr>
                  <w:r>
                    <w:rPr>
                      <w:rFonts w:ascii="Times New Roman" w:hAnsi="Times New Roman" w:cs="Times New Roman"/>
                      <w:color w:val="auto"/>
                      <w:sz w:val="21"/>
                      <w:szCs w:val="21"/>
                    </w:rPr>
                    <w:t>布袋除尘器收集的粉尘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578" w:type="pct"/>
                  <w:vMerge w:val="continue"/>
                  <w:vAlign w:val="center"/>
                </w:tcPr>
                <w:p>
                  <w:pPr>
                    <w:pStyle w:val="106"/>
                    <w:jc w:val="center"/>
                    <w:rPr>
                      <w:rFonts w:ascii="Times New Roman" w:hAnsi="Times New Roman" w:cs="Times New Roman"/>
                      <w:color w:val="auto"/>
                      <w:sz w:val="21"/>
                      <w:szCs w:val="21"/>
                    </w:rPr>
                  </w:pPr>
                </w:p>
              </w:tc>
              <w:tc>
                <w:tcPr>
                  <w:tcW w:w="584" w:type="pct"/>
                  <w:vMerge w:val="continue"/>
                  <w:vAlign w:val="center"/>
                </w:tcPr>
                <w:p>
                  <w:pPr>
                    <w:pStyle w:val="106"/>
                    <w:jc w:val="center"/>
                    <w:rPr>
                      <w:rFonts w:ascii="Times New Roman" w:hAnsi="Times New Roman" w:cs="Times New Roman"/>
                      <w:color w:val="auto"/>
                      <w:sz w:val="21"/>
                      <w:szCs w:val="21"/>
                    </w:rPr>
                  </w:pPr>
                </w:p>
              </w:tc>
              <w:tc>
                <w:tcPr>
                  <w:tcW w:w="1188" w:type="pct"/>
                  <w:vAlign w:val="center"/>
                </w:tcPr>
                <w:p>
                  <w:pPr>
                    <w:pStyle w:val="106"/>
                    <w:jc w:val="center"/>
                    <w:rPr>
                      <w:rFonts w:ascii="Times New Roman" w:hAnsi="Times New Roman" w:cs="Times New Roman"/>
                      <w:color w:val="auto"/>
                      <w:sz w:val="21"/>
                      <w:szCs w:val="21"/>
                    </w:rPr>
                  </w:pPr>
                  <w:r>
                    <w:rPr>
                      <w:rFonts w:hint="eastAsia" w:ascii="Times New Roman" w:hAnsi="Times New Roman" w:cs="Times New Roman"/>
                      <w:color w:val="auto"/>
                      <w:sz w:val="21"/>
                      <w:szCs w:val="21"/>
                    </w:rPr>
                    <w:t>包装</w:t>
                  </w:r>
                </w:p>
              </w:tc>
              <w:tc>
                <w:tcPr>
                  <w:tcW w:w="2649" w:type="pct"/>
                  <w:vAlign w:val="center"/>
                </w:tcPr>
                <w:p>
                  <w:pPr>
                    <w:pStyle w:val="106"/>
                    <w:jc w:val="center"/>
                    <w:rPr>
                      <w:rFonts w:ascii="Times New Roman" w:hAnsi="Times New Roman" w:cs="Times New Roman"/>
                      <w:color w:val="auto"/>
                      <w:sz w:val="21"/>
                      <w:szCs w:val="21"/>
                    </w:rPr>
                  </w:pPr>
                  <w:r>
                    <w:rPr>
                      <w:rFonts w:hint="eastAsia" w:ascii="Times New Roman" w:hAnsi="Times New Roman" w:cs="Times New Roman"/>
                      <w:color w:val="auto"/>
                      <w:sz w:val="21"/>
                      <w:szCs w:val="21"/>
                    </w:rPr>
                    <w:t>废包装物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jc w:val="center"/>
              </w:trPr>
              <w:tc>
                <w:tcPr>
                  <w:tcW w:w="578" w:type="pct"/>
                  <w:vMerge w:val="continue"/>
                  <w:vAlign w:val="center"/>
                </w:tcPr>
                <w:p>
                  <w:pPr>
                    <w:pStyle w:val="106"/>
                    <w:jc w:val="center"/>
                    <w:rPr>
                      <w:rFonts w:ascii="Times New Roman" w:hAnsi="Times New Roman" w:cs="Times New Roman"/>
                      <w:color w:val="auto"/>
                      <w:sz w:val="21"/>
                      <w:szCs w:val="21"/>
                    </w:rPr>
                  </w:pPr>
                </w:p>
              </w:tc>
              <w:tc>
                <w:tcPr>
                  <w:tcW w:w="584" w:type="pct"/>
                  <w:vMerge w:val="restart"/>
                  <w:vAlign w:val="center"/>
                </w:tcPr>
                <w:p>
                  <w:pPr>
                    <w:pStyle w:val="106"/>
                    <w:jc w:val="center"/>
                    <w:rPr>
                      <w:rFonts w:ascii="Times New Roman" w:hAnsi="Times New Roman" w:cs="Times New Roman"/>
                      <w:color w:val="auto"/>
                      <w:sz w:val="21"/>
                      <w:szCs w:val="21"/>
                    </w:rPr>
                  </w:pPr>
                  <w:r>
                    <w:rPr>
                      <w:rFonts w:ascii="Times New Roman" w:hAnsi="Times New Roman" w:cs="Times New Roman"/>
                      <w:color w:val="auto"/>
                      <w:sz w:val="21"/>
                      <w:szCs w:val="21"/>
                    </w:rPr>
                    <w:t>危险废物</w:t>
                  </w:r>
                </w:p>
              </w:tc>
              <w:tc>
                <w:tcPr>
                  <w:tcW w:w="1188" w:type="pct"/>
                  <w:vAlign w:val="center"/>
                </w:tcPr>
                <w:p>
                  <w:pPr>
                    <w:pStyle w:val="106"/>
                    <w:jc w:val="center"/>
                    <w:rPr>
                      <w:rFonts w:ascii="Times New Roman" w:hAnsi="Times New Roman" w:cs="Times New Roman"/>
                      <w:color w:val="auto"/>
                      <w:sz w:val="21"/>
                      <w:szCs w:val="21"/>
                    </w:rPr>
                  </w:pPr>
                  <w:r>
                    <w:rPr>
                      <w:rFonts w:ascii="Times New Roman" w:hAnsi="Times New Roman" w:cs="Times New Roman"/>
                      <w:color w:val="auto"/>
                      <w:sz w:val="21"/>
                      <w:szCs w:val="21"/>
                    </w:rPr>
                    <w:t>废气处理设施</w:t>
                  </w:r>
                </w:p>
              </w:tc>
              <w:tc>
                <w:tcPr>
                  <w:tcW w:w="2649" w:type="pct"/>
                  <w:vAlign w:val="center"/>
                </w:tcPr>
                <w:p>
                  <w:pPr>
                    <w:pStyle w:val="106"/>
                    <w:jc w:val="center"/>
                    <w:rPr>
                      <w:rFonts w:ascii="Times New Roman" w:hAnsi="Times New Roman" w:cs="Times New Roman"/>
                      <w:color w:val="auto"/>
                      <w:sz w:val="21"/>
                      <w:szCs w:val="21"/>
                    </w:rPr>
                  </w:pPr>
                  <w:r>
                    <w:rPr>
                      <w:rFonts w:ascii="Times New Roman" w:hAnsi="Times New Roman" w:cs="Times New Roman"/>
                      <w:color w:val="auto"/>
                      <w:sz w:val="21"/>
                      <w:szCs w:val="21"/>
                    </w:rPr>
                    <w:t>废活性炭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jc w:val="center"/>
              </w:trPr>
              <w:tc>
                <w:tcPr>
                  <w:tcW w:w="578" w:type="pct"/>
                  <w:vMerge w:val="continue"/>
                  <w:vAlign w:val="center"/>
                </w:tcPr>
                <w:p>
                  <w:pPr>
                    <w:pStyle w:val="106"/>
                    <w:jc w:val="center"/>
                    <w:rPr>
                      <w:rFonts w:ascii="Times New Roman" w:hAnsi="Times New Roman" w:cs="Times New Roman"/>
                      <w:color w:val="auto"/>
                      <w:sz w:val="21"/>
                      <w:szCs w:val="21"/>
                    </w:rPr>
                  </w:pPr>
                </w:p>
              </w:tc>
              <w:tc>
                <w:tcPr>
                  <w:tcW w:w="584" w:type="pct"/>
                  <w:vMerge w:val="continue"/>
                  <w:vAlign w:val="center"/>
                </w:tcPr>
                <w:p>
                  <w:pPr>
                    <w:pStyle w:val="106"/>
                    <w:jc w:val="center"/>
                    <w:rPr>
                      <w:rFonts w:ascii="Times New Roman" w:hAnsi="Times New Roman" w:cs="Times New Roman"/>
                      <w:color w:val="auto"/>
                      <w:sz w:val="21"/>
                      <w:szCs w:val="21"/>
                    </w:rPr>
                  </w:pPr>
                </w:p>
              </w:tc>
              <w:tc>
                <w:tcPr>
                  <w:tcW w:w="1188" w:type="pct"/>
                  <w:vAlign w:val="center"/>
                </w:tcPr>
                <w:p>
                  <w:pPr>
                    <w:pStyle w:val="106"/>
                    <w:jc w:val="center"/>
                    <w:rPr>
                      <w:rFonts w:ascii="Times New Roman" w:hAnsi="Times New Roman" w:cs="Times New Roman"/>
                      <w:color w:val="auto"/>
                      <w:sz w:val="21"/>
                      <w:szCs w:val="21"/>
                    </w:rPr>
                  </w:pPr>
                  <w:r>
                    <w:rPr>
                      <w:rFonts w:hint="eastAsia" w:ascii="Times New Roman" w:hAnsi="Times New Roman" w:cs="Times New Roman"/>
                      <w:color w:val="auto"/>
                      <w:sz w:val="21"/>
                      <w:szCs w:val="21"/>
                    </w:rPr>
                    <w:t>设备保养维护</w:t>
                  </w:r>
                </w:p>
              </w:tc>
              <w:tc>
                <w:tcPr>
                  <w:tcW w:w="2649" w:type="pct"/>
                  <w:vAlign w:val="center"/>
                </w:tcPr>
                <w:p>
                  <w:pPr>
                    <w:pStyle w:val="106"/>
                    <w:jc w:val="center"/>
                    <w:rPr>
                      <w:rFonts w:ascii="Times New Roman" w:hAnsi="Times New Roman" w:cs="Times New Roman"/>
                      <w:color w:val="auto"/>
                      <w:sz w:val="21"/>
                      <w:szCs w:val="21"/>
                    </w:rPr>
                  </w:pPr>
                  <w:r>
                    <w:rPr>
                      <w:rFonts w:hint="eastAsia" w:ascii="Times New Roman" w:hAnsi="Times New Roman" w:cs="Times New Roman"/>
                      <w:color w:val="auto"/>
                      <w:sz w:val="21"/>
                      <w:szCs w:val="21"/>
                    </w:rPr>
                    <w:t>废机油、</w:t>
                  </w:r>
                  <w:r>
                    <w:rPr>
                      <w:rFonts w:ascii="Times New Roman" w:hAnsi="Times New Roman" w:cs="Times New Roman"/>
                      <w:color w:val="auto"/>
                      <w:sz w:val="21"/>
                      <w:szCs w:val="21"/>
                    </w:rPr>
                    <w:t>废抹布</w:t>
                  </w:r>
                  <w:r>
                    <w:rPr>
                      <w:rFonts w:hint="eastAsia" w:ascii="Times New Roman" w:hAnsi="Times New Roman" w:cs="Times New Roman"/>
                      <w:color w:val="auto"/>
                      <w:sz w:val="21"/>
                      <w:szCs w:val="21"/>
                    </w:rPr>
                    <w:t>和废手套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162" w:type="pct"/>
                  <w:gridSpan w:val="2"/>
                  <w:vAlign w:val="center"/>
                </w:tcPr>
                <w:p>
                  <w:pPr>
                    <w:pStyle w:val="106"/>
                    <w:jc w:val="center"/>
                    <w:rPr>
                      <w:rFonts w:ascii="Times New Roman" w:hAnsi="Times New Roman" w:cs="Times New Roman"/>
                      <w:color w:val="auto"/>
                      <w:sz w:val="21"/>
                      <w:szCs w:val="21"/>
                    </w:rPr>
                  </w:pPr>
                  <w:r>
                    <w:rPr>
                      <w:rFonts w:ascii="Times New Roman" w:hAnsi="Times New Roman" w:cs="Times New Roman"/>
                      <w:color w:val="auto"/>
                      <w:sz w:val="21"/>
                      <w:szCs w:val="21"/>
                    </w:rPr>
                    <w:t>噪声</w:t>
                  </w:r>
                </w:p>
              </w:tc>
              <w:tc>
                <w:tcPr>
                  <w:tcW w:w="1188" w:type="pct"/>
                  <w:vAlign w:val="center"/>
                </w:tcPr>
                <w:p>
                  <w:pPr>
                    <w:pStyle w:val="106"/>
                    <w:jc w:val="center"/>
                    <w:rPr>
                      <w:rFonts w:ascii="Times New Roman" w:hAnsi="Times New Roman" w:cs="Times New Roman"/>
                      <w:color w:val="auto"/>
                      <w:sz w:val="21"/>
                      <w:szCs w:val="21"/>
                    </w:rPr>
                  </w:pPr>
                  <w:r>
                    <w:rPr>
                      <w:rFonts w:ascii="Times New Roman" w:hAnsi="Times New Roman" w:cs="Times New Roman"/>
                      <w:color w:val="auto"/>
                      <w:sz w:val="21"/>
                      <w:szCs w:val="21"/>
                    </w:rPr>
                    <w:t>生产设备</w:t>
                  </w:r>
                </w:p>
              </w:tc>
              <w:tc>
                <w:tcPr>
                  <w:tcW w:w="2649" w:type="pct"/>
                  <w:vAlign w:val="center"/>
                </w:tcPr>
                <w:p>
                  <w:pPr>
                    <w:pStyle w:val="106"/>
                    <w:jc w:val="center"/>
                    <w:rPr>
                      <w:rFonts w:ascii="Times New Roman" w:hAnsi="Times New Roman" w:cs="Times New Roman"/>
                      <w:color w:val="auto"/>
                      <w:sz w:val="21"/>
                      <w:szCs w:val="21"/>
                    </w:rPr>
                  </w:pPr>
                  <w:r>
                    <w:rPr>
                      <w:rFonts w:ascii="Times New Roman" w:hAnsi="Times New Roman" w:cs="Times New Roman"/>
                      <w:color w:val="auto"/>
                      <w:sz w:val="21"/>
                      <w:szCs w:val="21"/>
                    </w:rPr>
                    <w:t>设备运行噪声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162" w:type="pct"/>
                  <w:gridSpan w:val="2"/>
                  <w:vAlign w:val="center"/>
                </w:tcPr>
                <w:p>
                  <w:pPr>
                    <w:pStyle w:val="106"/>
                    <w:jc w:val="center"/>
                    <w:rPr>
                      <w:rFonts w:ascii="Times New Roman" w:hAnsi="Times New Roman" w:cs="Times New Roman"/>
                      <w:color w:val="auto"/>
                      <w:sz w:val="21"/>
                      <w:szCs w:val="21"/>
                    </w:rPr>
                  </w:pPr>
                  <w:r>
                    <w:rPr>
                      <w:rFonts w:ascii="Times New Roman" w:hAnsi="Times New Roman" w:cs="Times New Roman"/>
                      <w:color w:val="auto"/>
                      <w:sz w:val="21"/>
                      <w:szCs w:val="21"/>
                    </w:rPr>
                    <w:t>废水</w:t>
                  </w:r>
                </w:p>
              </w:tc>
              <w:tc>
                <w:tcPr>
                  <w:tcW w:w="1188" w:type="pct"/>
                  <w:vAlign w:val="center"/>
                </w:tcPr>
                <w:p>
                  <w:pPr>
                    <w:jc w:val="center"/>
                    <w:rPr>
                      <w:color w:val="auto"/>
                    </w:rPr>
                  </w:pPr>
                  <w:r>
                    <w:rPr>
                      <w:color w:val="auto"/>
                    </w:rPr>
                    <w:t>员工办公生活污水</w:t>
                  </w:r>
                </w:p>
              </w:tc>
              <w:tc>
                <w:tcPr>
                  <w:tcW w:w="2649" w:type="pct"/>
                  <w:vAlign w:val="center"/>
                </w:tcPr>
                <w:p>
                  <w:pPr>
                    <w:jc w:val="center"/>
                    <w:rPr>
                      <w:color w:val="auto"/>
                    </w:rPr>
                  </w:pPr>
                  <w:r>
                    <w:rPr>
                      <w:color w:val="auto"/>
                    </w:rPr>
                    <w:t>COD</w:t>
                  </w:r>
                  <w:r>
                    <w:rPr>
                      <w:color w:val="auto"/>
                      <w:vertAlign w:val="subscript"/>
                    </w:rPr>
                    <w:t>Cr</w:t>
                  </w:r>
                  <w:r>
                    <w:rPr>
                      <w:color w:val="auto"/>
                    </w:rPr>
                    <w:t>、BOD</w:t>
                  </w:r>
                  <w:r>
                    <w:rPr>
                      <w:color w:val="auto"/>
                      <w:vertAlign w:val="subscript"/>
                    </w:rPr>
                    <w:t>5</w:t>
                  </w:r>
                  <w:r>
                    <w:rPr>
                      <w:color w:val="auto"/>
                    </w:rPr>
                    <w:t>、SS、氨氮</w:t>
                  </w:r>
                  <w:r>
                    <w:rPr>
                      <w:rStyle w:val="104"/>
                      <w:rFonts w:hint="eastAsia"/>
                      <w:color w:val="auto"/>
                    </w:rPr>
                    <w:t>、动植物油</w:t>
                  </w:r>
                </w:p>
              </w:tc>
            </w:tr>
          </w:tbl>
          <w:p>
            <w:pPr>
              <w:spacing w:line="360" w:lineRule="auto"/>
              <w:jc w:val="center"/>
              <w:rPr>
                <w:color w:val="auto"/>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858" w:hRule="atLeast"/>
          <w:jc w:val="center"/>
        </w:trPr>
        <w:tc>
          <w:tcPr>
            <w:tcW w:w="233" w:type="pct"/>
            <w:vAlign w:val="center"/>
          </w:tcPr>
          <w:p>
            <w:pPr>
              <w:pStyle w:val="85"/>
              <w:adjustRightInd w:val="0"/>
              <w:snapToGrid w:val="0"/>
              <w:spacing w:before="0" w:beforeAutospacing="0" w:after="0" w:afterAutospacing="0"/>
              <w:jc w:val="center"/>
              <w:rPr>
                <w:rFonts w:ascii="Times New Roman" w:hAnsi="Times New Roman"/>
                <w:color w:val="auto"/>
                <w:sz w:val="21"/>
                <w:szCs w:val="21"/>
              </w:rPr>
            </w:pPr>
            <w:r>
              <w:rPr>
                <w:rFonts w:ascii="Times New Roman" w:hAnsi="Times New Roman"/>
                <w:bCs/>
                <w:color w:val="auto"/>
                <w:kern w:val="2"/>
                <w:sz w:val="21"/>
                <w:szCs w:val="21"/>
              </w:rPr>
              <w:t>与项目有关的原有环境污染问题</w:t>
            </w:r>
          </w:p>
        </w:tc>
        <w:tc>
          <w:tcPr>
            <w:tcW w:w="4766" w:type="pct"/>
            <w:vAlign w:val="center"/>
          </w:tcPr>
          <w:p>
            <w:pPr>
              <w:adjustRightInd w:val="0"/>
              <w:snapToGrid w:val="0"/>
              <w:spacing w:line="440" w:lineRule="exact"/>
              <w:ind w:firstLine="420" w:firstLineChars="200"/>
              <w:jc w:val="center"/>
              <w:rPr>
                <w:color w:val="auto"/>
              </w:rPr>
            </w:pPr>
            <w:r>
              <w:rPr>
                <w:bCs/>
                <w:color w:val="auto"/>
              </w:rPr>
              <w:t>无</w:t>
            </w:r>
          </w:p>
        </w:tc>
      </w:tr>
    </w:tbl>
    <w:p>
      <w:pPr>
        <w:pStyle w:val="85"/>
        <w:jc w:val="center"/>
        <w:rPr>
          <w:rFonts w:ascii="Times New Roman" w:hAnsi="Times New Roman"/>
          <w:snapToGrid w:val="0"/>
          <w:color w:val="000000" w:themeColor="text1"/>
          <w:sz w:val="36"/>
          <w:szCs w:val="36"/>
          <w14:textFill>
            <w14:solidFill>
              <w14:schemeClr w14:val="tx1"/>
            </w14:solidFill>
          </w14:textFill>
        </w:rPr>
        <w:sectPr>
          <w:footerReference r:id="rId6" w:type="default"/>
          <w:pgSz w:w="11906" w:h="16838"/>
          <w:pgMar w:top="1440" w:right="1080" w:bottom="1440" w:left="1080" w:header="851" w:footer="851" w:gutter="0"/>
          <w:pgBorders>
            <w:top w:val="none" w:sz="0" w:space="0"/>
            <w:left w:val="none" w:sz="0" w:space="0"/>
            <w:bottom w:val="none" w:sz="0" w:space="0"/>
            <w:right w:val="none" w:sz="0" w:space="0"/>
          </w:pgBorders>
          <w:cols w:space="720" w:num="1"/>
          <w:docGrid w:linePitch="312" w:charSpace="0"/>
        </w:sectPr>
      </w:pPr>
    </w:p>
    <w:p>
      <w:pPr>
        <w:pStyle w:val="85"/>
        <w:jc w:val="center"/>
        <w:outlineLvl w:val="0"/>
        <w:rPr>
          <w:rFonts w:ascii="Times New Roman" w:hAnsi="Times New Roman"/>
          <w:snapToGrid w:val="0"/>
          <w:color w:val="000000" w:themeColor="text1"/>
          <w:sz w:val="30"/>
          <w:szCs w:val="30"/>
          <w14:textFill>
            <w14:solidFill>
              <w14:schemeClr w14:val="tx1"/>
            </w14:solidFill>
          </w14:textFill>
        </w:rPr>
      </w:pPr>
      <w:r>
        <w:rPr>
          <w:rFonts w:hint="eastAsia" w:ascii="Times New Roman" w:hAnsi="Times New Roman"/>
          <w:snapToGrid w:val="0"/>
          <w:color w:val="000000" w:themeColor="text1"/>
          <w:sz w:val="30"/>
          <w:szCs w:val="30"/>
          <w14:textFill>
            <w14:solidFill>
              <w14:schemeClr w14:val="tx1"/>
            </w14:solidFill>
          </w14:textFill>
        </w:rPr>
        <w:t>三、区域环境质量现状、环境保护目标及评价标准</w:t>
      </w:r>
    </w:p>
    <w:tbl>
      <w:tblPr>
        <w:tblStyle w:val="92"/>
        <w:tblW w:w="4998"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693"/>
        <w:gridCol w:w="9266"/>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48" w:type="pct"/>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区域</w:t>
            </w:r>
          </w:p>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环境</w:t>
            </w:r>
          </w:p>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质量</w:t>
            </w:r>
          </w:p>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现状</w:t>
            </w:r>
          </w:p>
        </w:tc>
        <w:tc>
          <w:tcPr>
            <w:tcW w:w="4651" w:type="pct"/>
            <w:vAlign w:val="center"/>
          </w:tcPr>
          <w:p>
            <w:pPr>
              <w:keepNext/>
              <w:adjustRightInd w:val="0"/>
              <w:snapToGrid w:val="0"/>
              <w:spacing w:before="120" w:beforeLines="50" w:line="360" w:lineRule="auto"/>
              <w:ind w:firstLine="420" w:firstLineChars="200"/>
            </w:pPr>
            <w:r>
              <w:rPr>
                <w:rFonts w:hint="eastAsia"/>
              </w:rPr>
              <w:t>1、</w:t>
            </w:r>
            <w:r>
              <w:t>大气环境</w:t>
            </w:r>
          </w:p>
          <w:p>
            <w:pPr>
              <w:keepNext/>
              <w:adjustRightInd w:val="0"/>
              <w:snapToGrid w:val="0"/>
              <w:spacing w:line="360" w:lineRule="auto"/>
              <w:ind w:firstLine="420" w:firstLineChars="200"/>
            </w:pPr>
            <w:r>
              <w:rPr>
                <w:rFonts w:hint="eastAsia"/>
              </w:rPr>
              <w:t>（1）</w:t>
            </w:r>
            <w:r>
              <w:t>常规</w:t>
            </w:r>
            <w:r>
              <w:rPr>
                <w:rFonts w:hint="eastAsia"/>
              </w:rPr>
              <w:t>污染物</w:t>
            </w:r>
          </w:p>
          <w:p>
            <w:pPr>
              <w:keepNext/>
              <w:adjustRightInd w:val="0"/>
              <w:snapToGrid w:val="0"/>
              <w:spacing w:line="360" w:lineRule="auto"/>
              <w:ind w:firstLine="420" w:firstLineChars="200"/>
            </w:pPr>
            <w:r>
              <w:t>根据</w:t>
            </w:r>
            <w:r>
              <w:rPr>
                <w:rFonts w:hint="eastAsia"/>
              </w:rPr>
              <w:t>《</w:t>
            </w:r>
            <w:r>
              <w:t>2021年惠州市生态环境状况公报</w:t>
            </w:r>
            <w:r>
              <w:rPr>
                <w:rFonts w:hint="eastAsia"/>
              </w:rPr>
              <w:t>》</w:t>
            </w:r>
            <w:r>
              <w:t>，惠州市城市空气质量总体保持良好。</w:t>
            </w:r>
          </w:p>
          <w:p>
            <w:pPr>
              <w:keepNext/>
              <w:adjustRightInd w:val="0"/>
              <w:snapToGrid w:val="0"/>
              <w:spacing w:line="360" w:lineRule="auto"/>
              <w:ind w:firstLine="420" w:firstLineChars="200"/>
            </w:pPr>
            <w:r>
              <w:rPr>
                <w:rFonts w:hint="eastAsia"/>
              </w:rPr>
              <w:t>市区空气质量：2021年，市区（惠城区、惠阳区和大亚湾区）空气质量良好，六项污染物年评价浓度均达到国家二级标准。其中，二氧化硫（SO</w:t>
            </w:r>
            <w:r>
              <w:rPr>
                <w:rFonts w:hint="eastAsia"/>
                <w:vertAlign w:val="subscript"/>
              </w:rPr>
              <w:t>2</w:t>
            </w:r>
            <w:r>
              <w:rPr>
                <w:rFonts w:hint="eastAsia"/>
              </w:rPr>
              <w:t>）、二氧化氮（NO</w:t>
            </w:r>
            <w:r>
              <w:rPr>
                <w:rFonts w:hint="eastAsia"/>
                <w:vertAlign w:val="subscript"/>
              </w:rPr>
              <w:t>2</w:t>
            </w:r>
            <w:r>
              <w:rPr>
                <w:rFonts w:hint="eastAsia"/>
              </w:rPr>
              <w:t>）和一氧化碳（CO）达国家一级标准，可吸入颗粒物（PM10）、细颗粒物（PM2.5）和臭氧（O</w:t>
            </w:r>
            <w:r>
              <w:rPr>
                <w:rFonts w:hint="eastAsia"/>
                <w:vertAlign w:val="subscript"/>
              </w:rPr>
              <w:t>3</w:t>
            </w:r>
            <w:r>
              <w:rPr>
                <w:rFonts w:hint="eastAsia"/>
              </w:rPr>
              <w:t>）达到国家二级标准；综合指数为2.83，空气质量指数（AQI）范围为20～161，达标天数比例（AQI达标率）为94.5%，其中，优180天，良165天，轻度污染19天，中度污染1天，超标污染物为臭氧。</w:t>
            </w:r>
          </w:p>
          <w:p>
            <w:pPr>
              <w:keepNext/>
              <w:adjustRightInd w:val="0"/>
              <w:snapToGrid w:val="0"/>
              <w:spacing w:line="360" w:lineRule="auto"/>
              <w:ind w:firstLine="420" w:firstLineChars="200"/>
            </w:pPr>
            <w:r>
              <w:rPr>
                <w:rFonts w:hint="eastAsia"/>
              </w:rPr>
              <w:t>与2020年相比，环境空气质量综合指数上升2.2%，AQI达标率下降3.3个百分点；六项污染物年评价浓度中，二氧化硫（SO</w:t>
            </w:r>
            <w:r>
              <w:rPr>
                <w:rFonts w:hint="eastAsia"/>
                <w:vertAlign w:val="subscript"/>
              </w:rPr>
              <w:t>2</w:t>
            </w:r>
            <w:r>
              <w:rPr>
                <w:rFonts w:hint="eastAsia"/>
              </w:rPr>
              <w:t>）持平，一氧化碳（CO）和细颗粒物（PM2.5）浓度分别下降22.2%和5.0%，二氧化氮（NO</w:t>
            </w:r>
            <w:r>
              <w:rPr>
                <w:rFonts w:hint="eastAsia"/>
                <w:vertAlign w:val="subscript"/>
              </w:rPr>
              <w:t>2</w:t>
            </w:r>
            <w:r>
              <w:rPr>
                <w:rFonts w:hint="eastAsia"/>
              </w:rPr>
              <w:t>）、可吸入颗粒物（PM10）、臭氧（O</w:t>
            </w:r>
            <w:r>
              <w:rPr>
                <w:rFonts w:hint="eastAsia"/>
                <w:vertAlign w:val="subscript"/>
              </w:rPr>
              <w:t>3</w:t>
            </w:r>
            <w:r>
              <w:rPr>
                <w:rFonts w:hint="eastAsia"/>
              </w:rPr>
              <w:t>）浓度分别上升11.1%、5.3%和5.1%。</w:t>
            </w:r>
          </w:p>
          <w:p>
            <w:pPr>
              <w:keepNext/>
              <w:adjustRightInd w:val="0"/>
              <w:snapToGrid w:val="0"/>
              <w:spacing w:line="360" w:lineRule="auto"/>
              <w:ind w:firstLine="420" w:firstLineChars="200"/>
            </w:pPr>
            <w:r>
              <w:rPr>
                <w:rFonts w:hint="eastAsia"/>
              </w:rPr>
              <w:t>各县（区）空气质量：2021年，各县（区）二氧化硫（SO</w:t>
            </w:r>
            <w:r>
              <w:rPr>
                <w:rFonts w:hint="eastAsia"/>
                <w:vertAlign w:val="subscript"/>
              </w:rPr>
              <w:t>2</w:t>
            </w:r>
            <w:r>
              <w:rPr>
                <w:rFonts w:hint="eastAsia"/>
              </w:rPr>
              <w:t>）、二氧化氮（NO</w:t>
            </w:r>
            <w:r>
              <w:rPr>
                <w:rFonts w:hint="eastAsia"/>
                <w:vertAlign w:val="subscript"/>
              </w:rPr>
              <w:t>2</w:t>
            </w:r>
            <w:r>
              <w:rPr>
                <w:rFonts w:hint="eastAsia"/>
              </w:rPr>
              <w:t>）、一氧化碳（CO）达国家一级标准，臭氧（O</w:t>
            </w:r>
            <w:r>
              <w:rPr>
                <w:rFonts w:hint="eastAsia"/>
                <w:vertAlign w:val="subscript"/>
              </w:rPr>
              <w:t>3</w:t>
            </w:r>
            <w:r>
              <w:rPr>
                <w:rFonts w:hint="eastAsia"/>
              </w:rPr>
              <w:t>）达国家二级标准；龙门县、大亚湾区和惠东县可吸入颗粒物（PM10）达国家一级标准，其余县（区）达国家二级标准；龙门县细颗粒物（PM2.5）达国家一级标准，其余县（区）达国家二级标准。各县（区）环境空气优良率（达标率）范围在92.6%～99.1%之间；综合指数范围在2.33～3.31之间，主要污染物均为臭氧，次要污染物以可吸入颗粒物PM10为主。</w:t>
            </w:r>
          </w:p>
          <w:p>
            <w:pPr>
              <w:keepNext/>
              <w:adjustRightInd w:val="0"/>
              <w:snapToGrid w:val="0"/>
              <w:spacing w:line="360" w:lineRule="auto"/>
              <w:ind w:firstLine="420" w:firstLineChars="200"/>
            </w:pPr>
            <w:r>
              <w:rPr>
                <w:rFonts w:hint="eastAsia"/>
              </w:rPr>
              <w:t>与2020年相比，环境空气质量综合指数除龙门县下降5.7%外，其余各县（区）上升幅度为2.0%～12.2%；优良率龙门县上升0.3%，博罗县持平，其余县（区）略有下降，下降幅度为0.5%～4.3%。</w:t>
            </w:r>
          </w:p>
          <w:p>
            <w:pPr>
              <w:adjustRightInd w:val="0"/>
              <w:snapToGrid w:val="0"/>
              <w:jc w:val="center"/>
            </w:pPr>
            <w:r>
              <w:drawing>
                <wp:inline distT="0" distB="0" distL="114300" distR="114300">
                  <wp:extent cx="4319905" cy="1417955"/>
                  <wp:effectExtent l="0" t="0" r="8255" b="14605"/>
                  <wp:docPr id="14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 name="图片 1"/>
                          <pic:cNvPicPr>
                            <a:picLocks noChangeAspect="1"/>
                          </pic:cNvPicPr>
                        </pic:nvPicPr>
                        <pic:blipFill>
                          <a:blip r:embed="rId9"/>
                          <a:stretch>
                            <a:fillRect/>
                          </a:stretch>
                        </pic:blipFill>
                        <pic:spPr>
                          <a:xfrm>
                            <a:off x="0" y="0"/>
                            <a:ext cx="4319905" cy="1417955"/>
                          </a:xfrm>
                          <a:prstGeom prst="rect">
                            <a:avLst/>
                          </a:prstGeom>
                          <a:noFill/>
                          <a:ln>
                            <a:noFill/>
                          </a:ln>
                        </pic:spPr>
                      </pic:pic>
                    </a:graphicData>
                  </a:graphic>
                </wp:inline>
              </w:drawing>
            </w:r>
            <w:r>
              <w:drawing>
                <wp:inline distT="0" distB="0" distL="114300" distR="114300">
                  <wp:extent cx="4319905" cy="3168015"/>
                  <wp:effectExtent l="0" t="0" r="8255" b="1905"/>
                  <wp:docPr id="15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 name="图片 2"/>
                          <pic:cNvPicPr>
                            <a:picLocks noChangeAspect="1"/>
                          </pic:cNvPicPr>
                        </pic:nvPicPr>
                        <pic:blipFill>
                          <a:blip r:embed="rId10"/>
                          <a:srcRect l="1839" r="1414"/>
                          <a:stretch>
                            <a:fillRect/>
                          </a:stretch>
                        </pic:blipFill>
                        <pic:spPr>
                          <a:xfrm>
                            <a:off x="0" y="0"/>
                            <a:ext cx="4319905" cy="3168015"/>
                          </a:xfrm>
                          <a:prstGeom prst="rect">
                            <a:avLst/>
                          </a:prstGeom>
                          <a:noFill/>
                          <a:ln>
                            <a:noFill/>
                          </a:ln>
                        </pic:spPr>
                      </pic:pic>
                    </a:graphicData>
                  </a:graphic>
                </wp:inline>
              </w:drawing>
            </w:r>
          </w:p>
          <w:p>
            <w:pPr>
              <w:adjustRightInd w:val="0"/>
              <w:snapToGrid w:val="0"/>
              <w:jc w:val="center"/>
              <w:rPr>
                <w:b/>
              </w:rPr>
            </w:pPr>
            <w:r>
              <w:rPr>
                <w:b/>
              </w:rPr>
              <w:t>图</w:t>
            </w:r>
            <w:r>
              <w:rPr>
                <w:rFonts w:hint="eastAsia"/>
                <w:b/>
              </w:rPr>
              <w:t>3-1</w:t>
            </w:r>
            <w:r>
              <w:rPr>
                <w:b/>
              </w:rPr>
              <w:t xml:space="preserve"> 2021年惠州市生态环境状况公报截图</w:t>
            </w:r>
            <w:r>
              <w:rPr>
                <w:rFonts w:hint="eastAsia"/>
                <w:b/>
              </w:rPr>
              <w:t>（环境空气质量摘录）</w:t>
            </w:r>
          </w:p>
          <w:p>
            <w:pPr>
              <w:widowControl/>
              <w:adjustRightInd w:val="0"/>
              <w:snapToGrid w:val="0"/>
              <w:spacing w:before="120" w:beforeLines="50" w:line="360" w:lineRule="auto"/>
              <w:ind w:firstLine="420" w:firstLineChars="200"/>
              <w:jc w:val="left"/>
            </w:pPr>
            <w:r>
              <w:rPr>
                <w:rFonts w:hint="eastAsia"/>
              </w:rPr>
              <w:t>（2）</w:t>
            </w:r>
            <w:r>
              <w:t>特征</w:t>
            </w:r>
            <w:r>
              <w:rPr>
                <w:rFonts w:hint="eastAsia"/>
              </w:rPr>
              <w:t>污染物</w:t>
            </w:r>
          </w:p>
          <w:p>
            <w:pPr>
              <w:widowControl/>
              <w:adjustRightInd w:val="0"/>
              <w:snapToGrid w:val="0"/>
              <w:spacing w:line="360" w:lineRule="auto"/>
              <w:ind w:firstLine="420" w:firstLineChars="200"/>
              <w:textAlignment w:val="baseline"/>
            </w:pPr>
            <w:r>
              <w:t>为进一步了解项目所在地环境空气的现状</w:t>
            </w:r>
            <w:r>
              <w:rPr>
                <w:rFonts w:hint="eastAsia"/>
              </w:rPr>
              <w:t>，</w:t>
            </w:r>
            <w:r>
              <w:t>本项目</w:t>
            </w:r>
            <w:r>
              <w:rPr>
                <w:rFonts w:hint="eastAsia"/>
              </w:rPr>
              <w:t>特征污染</w:t>
            </w:r>
            <w:r>
              <w:t>因子</w:t>
            </w:r>
            <w:r>
              <w:rPr>
                <w:rFonts w:hint="eastAsia"/>
              </w:rPr>
              <w:t>TVOC、TSP</w:t>
            </w:r>
            <w:r>
              <w:t>环境质量现状引用《</w:t>
            </w:r>
            <w:r>
              <w:rPr>
                <w:rFonts w:hint="eastAsia"/>
              </w:rPr>
              <w:t>广东博罗县产业转移工</w:t>
            </w:r>
            <w:r>
              <w:rPr>
                <w:rFonts w:hint="eastAsia"/>
                <w:color w:val="auto"/>
              </w:rPr>
              <w:t>业园区2021年度环境管理状况评估工作报告</w:t>
            </w:r>
            <w:r>
              <w:rPr>
                <w:color w:val="auto"/>
              </w:rPr>
              <w:t>》</w:t>
            </w:r>
            <w:r>
              <w:rPr>
                <w:rFonts w:hint="eastAsia"/>
                <w:color w:val="auto"/>
              </w:rPr>
              <w:t>中</w:t>
            </w:r>
            <w:r>
              <w:rPr>
                <w:color w:val="auto"/>
              </w:rPr>
              <w:t>的大气</w:t>
            </w:r>
            <w:r>
              <w:rPr>
                <w:rFonts w:hint="eastAsia"/>
                <w:color w:val="auto"/>
              </w:rPr>
              <w:t>监测</w:t>
            </w:r>
            <w:r>
              <w:rPr>
                <w:color w:val="auto"/>
              </w:rPr>
              <w:t>数据，</w:t>
            </w:r>
            <w:r>
              <w:rPr>
                <w:rFonts w:hint="eastAsia"/>
                <w:color w:val="auto"/>
              </w:rPr>
              <w:t>监测</w:t>
            </w:r>
            <w:r>
              <w:rPr>
                <w:color w:val="auto"/>
              </w:rPr>
              <w:t>单位为</w:t>
            </w:r>
            <w:r>
              <w:rPr>
                <w:rFonts w:hint="eastAsia"/>
                <w:color w:val="auto"/>
              </w:rPr>
              <w:t>广东宏科检测技术有限公司</w:t>
            </w:r>
            <w:r>
              <w:rPr>
                <w:color w:val="auto"/>
              </w:rPr>
              <w:t>，监测点</w:t>
            </w:r>
            <w:r>
              <w:rPr>
                <w:rFonts w:hint="eastAsia"/>
                <w:color w:val="auto"/>
              </w:rPr>
              <w:t>A1区块一中心位置（经纬度坐标：</w:t>
            </w:r>
            <w:r>
              <w:rPr>
                <w:color w:val="auto"/>
              </w:rPr>
              <w:t>N 23°</w:t>
            </w:r>
            <w:r>
              <w:rPr>
                <w:rFonts w:hint="eastAsia"/>
                <w:color w:val="auto"/>
              </w:rPr>
              <w:t>26</w:t>
            </w:r>
            <w:r>
              <w:rPr>
                <w:color w:val="auto"/>
              </w:rPr>
              <w:t>′</w:t>
            </w:r>
            <w:r>
              <w:rPr>
                <w:rFonts w:hint="eastAsia"/>
                <w:color w:val="auto"/>
              </w:rPr>
              <w:t>13.67</w:t>
            </w:r>
            <w:r>
              <w:rPr>
                <w:color w:val="auto"/>
              </w:rPr>
              <w:t>″，</w:t>
            </w:r>
            <w:r>
              <w:rPr>
                <w:rFonts w:hint="eastAsia"/>
                <w:color w:val="auto"/>
              </w:rPr>
              <w:t xml:space="preserve">E </w:t>
            </w:r>
            <w:r>
              <w:rPr>
                <w:color w:val="auto"/>
              </w:rPr>
              <w:t>11</w:t>
            </w:r>
            <w:r>
              <w:rPr>
                <w:rFonts w:hint="eastAsia"/>
                <w:color w:val="auto"/>
              </w:rPr>
              <w:t>4</w:t>
            </w:r>
            <w:r>
              <w:rPr>
                <w:color w:val="auto"/>
              </w:rPr>
              <w:t>°</w:t>
            </w:r>
            <w:r>
              <w:rPr>
                <w:rFonts w:hint="eastAsia"/>
                <w:color w:val="auto"/>
              </w:rPr>
              <w:t>29</w:t>
            </w:r>
            <w:r>
              <w:rPr>
                <w:color w:val="auto"/>
              </w:rPr>
              <w:t>′</w:t>
            </w:r>
            <w:r>
              <w:rPr>
                <w:rFonts w:hint="eastAsia"/>
                <w:color w:val="auto"/>
              </w:rPr>
              <w:t>31.46</w:t>
            </w:r>
            <w:r>
              <w:rPr>
                <w:color w:val="auto"/>
              </w:rPr>
              <w:t>″</w:t>
            </w:r>
            <w:r>
              <w:rPr>
                <w:rFonts w:hint="eastAsia"/>
                <w:color w:val="auto"/>
              </w:rPr>
              <w:t>）</w:t>
            </w:r>
            <w:r>
              <w:rPr>
                <w:color w:val="auto"/>
              </w:rPr>
              <w:t>监测点</w:t>
            </w:r>
            <w:r>
              <w:rPr>
                <w:rFonts w:hint="eastAsia"/>
                <w:color w:val="auto"/>
              </w:rPr>
              <w:t>距离本</w:t>
            </w:r>
            <w:r>
              <w:rPr>
                <w:color w:val="auto"/>
              </w:rPr>
              <w:t>项目</w:t>
            </w:r>
            <w:r>
              <w:rPr>
                <w:rFonts w:hint="eastAsia"/>
                <w:color w:val="auto"/>
              </w:rPr>
              <w:t>东南面0.16km＜5km</w:t>
            </w:r>
            <w:r>
              <w:rPr>
                <w:color w:val="auto"/>
              </w:rPr>
              <w:t>，</w:t>
            </w:r>
            <w:r>
              <w:rPr>
                <w:rFonts w:hint="eastAsia"/>
                <w:color w:val="auto"/>
              </w:rPr>
              <w:t>可以代表该区域环境空气质量状况，监测时间</w:t>
            </w:r>
            <w:r>
              <w:rPr>
                <w:color w:val="auto"/>
              </w:rPr>
              <w:t>为</w:t>
            </w:r>
            <w:r>
              <w:rPr>
                <w:rFonts w:hint="eastAsia"/>
                <w:color w:val="auto"/>
              </w:rPr>
              <w:t>2021年11月28日~2021年12月4日，在三年的有效时限内，</w:t>
            </w:r>
            <w:r>
              <w:rPr>
                <w:color w:val="auto"/>
              </w:rPr>
              <w:t>因</w:t>
            </w:r>
            <w:r>
              <w:t>此本项目引用其监测数据符合《建设项目环境影响报告表编制技术指南（污染影响类）（试行）》（环办环评〔2020〕33号）的相关规定，监测点位示意图见</w:t>
            </w:r>
            <w:r>
              <w:rPr>
                <w:rFonts w:hint="eastAsia"/>
              </w:rPr>
              <w:t>下</w:t>
            </w:r>
            <w:r>
              <w:t>图</w:t>
            </w:r>
            <w:r>
              <w:rPr>
                <w:rFonts w:hint="eastAsia"/>
              </w:rPr>
              <w:t>，</w:t>
            </w:r>
            <w:r>
              <w:t>监测结果见下表。</w:t>
            </w:r>
          </w:p>
          <w:p>
            <w:pPr>
              <w:widowControl/>
              <w:spacing w:line="360" w:lineRule="auto"/>
              <w:ind w:firstLine="420" w:firstLineChars="200"/>
              <w:rPr>
                <w:rFonts w:hint="eastAsia" w:eastAsia="宋体"/>
                <w:lang w:eastAsia="zh-CN"/>
              </w:rPr>
            </w:pPr>
            <w:r>
              <mc:AlternateContent>
                <mc:Choice Requires="wps">
                  <w:drawing>
                    <wp:anchor distT="0" distB="0" distL="114300" distR="114300" simplePos="0" relativeHeight="251663360" behindDoc="0" locked="0" layoutInCell="1" allowOverlap="1">
                      <wp:simplePos x="0" y="0"/>
                      <wp:positionH relativeFrom="column">
                        <wp:posOffset>3421380</wp:posOffset>
                      </wp:positionH>
                      <wp:positionV relativeFrom="paragraph">
                        <wp:posOffset>1780540</wp:posOffset>
                      </wp:positionV>
                      <wp:extent cx="719455" cy="291465"/>
                      <wp:effectExtent l="0" t="0" r="0" b="0"/>
                      <wp:wrapNone/>
                      <wp:docPr id="47" name="文本框 47"/>
                      <wp:cNvGraphicFramePr/>
                      <a:graphic xmlns:a="http://schemas.openxmlformats.org/drawingml/2006/main">
                        <a:graphicData uri="http://schemas.microsoft.com/office/word/2010/wordprocessingShape">
                          <wps:wsp>
                            <wps:cNvSpPr txBox="1"/>
                            <wps:spPr>
                              <a:xfrm>
                                <a:off x="0" y="0"/>
                                <a:ext cx="719455" cy="291465"/>
                              </a:xfrm>
                              <a:prstGeom prst="rect">
                                <a:avLst/>
                              </a:prstGeom>
                              <a:noFill/>
                              <a:ln>
                                <a:noFill/>
                              </a:ln>
                            </wps:spPr>
                            <wps:txbx>
                              <w:txbxContent>
                                <w:p>
                                  <w:pPr>
                                    <w:rPr>
                                      <w:b/>
                                      <w:bCs/>
                                      <w:color w:val="FFFF00"/>
                                    </w:rPr>
                                  </w:pPr>
                                  <w:r>
                                    <w:rPr>
                                      <w:rFonts w:hint="eastAsia"/>
                                      <w:b/>
                                      <w:bCs/>
                                      <w:color w:val="FFFF00"/>
                                    </w:rPr>
                                    <w:t>0.16</w:t>
                                  </w:r>
                                  <w:r>
                                    <w:rPr>
                                      <w:b/>
                                      <w:bCs/>
                                      <w:color w:val="FFFF00"/>
                                    </w:rPr>
                                    <w:t>k</w:t>
                                  </w:r>
                                  <w:r>
                                    <w:rPr>
                                      <w:rFonts w:hint="eastAsia"/>
                                      <w:b/>
                                      <w:bCs/>
                                      <w:color w:val="FFFF00"/>
                                    </w:rPr>
                                    <w:t>m</w:t>
                                  </w:r>
                                </w:p>
                              </w:txbxContent>
                            </wps:txbx>
                            <wps:bodyPr upright="1"/>
                          </wps:wsp>
                        </a:graphicData>
                      </a:graphic>
                    </wp:anchor>
                  </w:drawing>
                </mc:Choice>
                <mc:Fallback>
                  <w:pict>
                    <v:shape id="_x0000_s1026" o:spid="_x0000_s1026" o:spt="202" type="#_x0000_t202" style="position:absolute;left:0pt;margin-left:269.4pt;margin-top:140.2pt;height:22.95pt;width:56.65pt;z-index:251663360;mso-width-relative:page;mso-height-relative:page;" filled="f" stroked="f" coordsize="21600,21600" o:gfxdata="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B8x6j/Y&#10;AAAACwEAAA8AAAAAAAAAAQAgAAAAIgAAAGRycy9kb3ducmV2LnhtbFBLAQIUABQAAAAIAIdO4kAz&#10;4gicrgEAAE8DAAAOAAAAAAAAAAEAIAAAACcBAABkcnMvZTJvRG9jLnhtbFBLBQYAAAAABgAGAFkB&#10;AABHBQAAAAA=&#10;">
                      <v:fill on="f" focussize="0,0"/>
                      <v:stroke on="f"/>
                      <v:imagedata o:title=""/>
                      <o:lock v:ext="edit" aspectratio="f"/>
                      <v:textbox>
                        <w:txbxContent>
                          <w:p>
                            <w:pPr>
                              <w:rPr>
                                <w:b/>
                                <w:bCs/>
                                <w:color w:val="FFFF00"/>
                              </w:rPr>
                            </w:pPr>
                            <w:r>
                              <w:rPr>
                                <w:rFonts w:hint="eastAsia"/>
                                <w:b/>
                                <w:bCs/>
                                <w:color w:val="FFFF00"/>
                              </w:rPr>
                              <w:t>0.16</w:t>
                            </w:r>
                            <w:r>
                              <w:rPr>
                                <w:b/>
                                <w:bCs/>
                                <w:color w:val="FFFF00"/>
                              </w:rPr>
                              <w:t>k</w:t>
                            </w:r>
                            <w:r>
                              <w:rPr>
                                <w:rFonts w:hint="eastAsia"/>
                                <w:b/>
                                <w:bCs/>
                                <w:color w:val="FFFF00"/>
                              </w:rPr>
                              <w:t>m</w:t>
                            </w:r>
                          </w:p>
                        </w:txbxContent>
                      </v:textbox>
                    </v:shape>
                  </w:pict>
                </mc:Fallback>
              </mc:AlternateContent>
            </w:r>
            <w:r>
              <mc:AlternateContent>
                <mc:Choice Requires="wps">
                  <w:drawing>
                    <wp:anchor distT="0" distB="0" distL="114300" distR="114300" simplePos="0" relativeHeight="251664384" behindDoc="0" locked="0" layoutInCell="1" allowOverlap="1">
                      <wp:simplePos x="0" y="0"/>
                      <wp:positionH relativeFrom="column">
                        <wp:posOffset>3131185</wp:posOffset>
                      </wp:positionH>
                      <wp:positionV relativeFrom="paragraph">
                        <wp:posOffset>1533525</wp:posOffset>
                      </wp:positionV>
                      <wp:extent cx="708025" cy="1146810"/>
                      <wp:effectExtent l="0" t="0" r="8255" b="11430"/>
                      <wp:wrapNone/>
                      <wp:docPr id="158" name="直接连接符 158"/>
                      <wp:cNvGraphicFramePr/>
                      <a:graphic xmlns:a="http://schemas.openxmlformats.org/drawingml/2006/main">
                        <a:graphicData uri="http://schemas.microsoft.com/office/word/2010/wordprocessingShape">
                          <wps:wsp>
                            <wps:cNvCnPr/>
                            <wps:spPr>
                              <a:xfrm flipH="1" flipV="1">
                                <a:off x="0" y="0"/>
                                <a:ext cx="708025" cy="1146810"/>
                              </a:xfrm>
                              <a:prstGeom prst="line">
                                <a:avLst/>
                              </a:prstGeom>
                              <a:ln w="19050" cap="flat" cmpd="sng">
                                <a:solidFill>
                                  <a:srgbClr val="FFFF00"/>
                                </a:solidFill>
                                <a:prstDash val="solid"/>
                                <a:headEnd type="triangle" w="med" len="med"/>
                                <a:tailEnd type="triangle" w="med" len="med"/>
                              </a:ln>
                            </wps:spPr>
                            <wps:bodyPr/>
                          </wps:wsp>
                        </a:graphicData>
                      </a:graphic>
                    </wp:anchor>
                  </w:drawing>
                </mc:Choice>
                <mc:Fallback>
                  <w:pict>
                    <v:line id="_x0000_s1026" o:spid="_x0000_s1026" o:spt="20" style="position:absolute;left:0pt;flip:x y;margin-left:246.55pt;margin-top:120.75pt;height:90.3pt;width:55.75pt;z-index:251664384;mso-width-relative:page;mso-height-relative:page;" filled="f" stroked="t" coordsize="21600,21600" o:gfxdata="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C/lsQH2QAAAAsBAAAPAAAAAAAAAAEAIAAAACIAAABkcnMv&#10;ZG93bnJldi54bWxQSwECFAAUAAAACACHTuJAyfcAtwICAAD+AwAADgAAAAAAAAABACAAAAAoAQAA&#10;ZHJzL2Uyb0RvYy54bWxQSwUGAAAAAAYABgBZAQAAnAUAAAAA&#10;">
                      <v:fill on="f" focussize="0,0"/>
                      <v:stroke weight="1.5pt" color="#FFFF00" joinstyle="round" startarrow="block" endarrow="block"/>
                      <v:imagedata o:title=""/>
                      <o:lock v:ext="edit" aspectratio="f"/>
                    </v:line>
                  </w:pict>
                </mc:Fallback>
              </mc:AlternateContent>
            </w:r>
            <w:r>
              <w:drawing>
                <wp:anchor distT="0" distB="0" distL="114300" distR="114300" simplePos="0" relativeHeight="251665408" behindDoc="0" locked="0" layoutInCell="1" allowOverlap="1">
                  <wp:simplePos x="0" y="0"/>
                  <wp:positionH relativeFrom="margin">
                    <wp:posOffset>4459605</wp:posOffset>
                  </wp:positionH>
                  <wp:positionV relativeFrom="paragraph">
                    <wp:posOffset>2540</wp:posOffset>
                  </wp:positionV>
                  <wp:extent cx="876935" cy="822325"/>
                  <wp:effectExtent l="0" t="0" r="6985" b="635"/>
                  <wp:wrapNone/>
                  <wp:docPr id="159" name="图片 159" descr="图表, 雷达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 name="图片 159" descr="图表, 雷达图&#10;&#10;描述已自动生成"/>
                          <pic:cNvPicPr>
                            <a:picLocks noChangeAspect="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876935" cy="822325"/>
                          </a:xfrm>
                          <a:prstGeom prst="rect">
                            <a:avLst/>
                          </a:prstGeom>
                        </pic:spPr>
                      </pic:pic>
                    </a:graphicData>
                  </a:graphic>
                </wp:anchor>
              </w:drawing>
            </w:r>
            <w:r>
              <w:rPr>
                <w:rFonts w:hint="eastAsia" w:eastAsia="宋体"/>
                <w:lang w:eastAsia="zh-CN"/>
              </w:rPr>
              <w:drawing>
                <wp:inline distT="0" distB="0" distL="114300" distR="114300">
                  <wp:extent cx="5080000" cy="2937510"/>
                  <wp:effectExtent l="0" t="0" r="10160" b="3810"/>
                  <wp:docPr id="300" name="图片 300" descr="大气现状"/>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0" name="图片 300" descr="大气现状"/>
                          <pic:cNvPicPr>
                            <a:picLocks noChangeAspect="1"/>
                          </pic:cNvPicPr>
                        </pic:nvPicPr>
                        <pic:blipFill>
                          <a:blip r:embed="rId12"/>
                          <a:srcRect b="5707"/>
                          <a:stretch>
                            <a:fillRect/>
                          </a:stretch>
                        </pic:blipFill>
                        <pic:spPr>
                          <a:xfrm>
                            <a:off x="0" y="0"/>
                            <a:ext cx="5080000" cy="2937510"/>
                          </a:xfrm>
                          <a:prstGeom prst="rect">
                            <a:avLst/>
                          </a:prstGeom>
                        </pic:spPr>
                      </pic:pic>
                    </a:graphicData>
                  </a:graphic>
                </wp:inline>
              </w:drawing>
            </w:r>
          </w:p>
          <w:p>
            <w:pPr>
              <w:spacing w:line="360" w:lineRule="auto"/>
              <w:jc w:val="center"/>
              <w:rPr>
                <w:b/>
              </w:rPr>
            </w:pPr>
            <w:r>
              <w:rPr>
                <w:b/>
              </w:rPr>
              <w:t>表</w:t>
            </w:r>
            <w:r>
              <w:rPr>
                <w:rFonts w:hint="eastAsia"/>
                <w:b/>
              </w:rPr>
              <w:t>3-1</w:t>
            </w:r>
            <w:r>
              <w:rPr>
                <w:b/>
              </w:rPr>
              <w:t xml:space="preserve"> 特征污染物环境质量现状评价表</w:t>
            </w:r>
          </w:p>
          <w:tbl>
            <w:tblPr>
              <w:tblStyle w:val="93"/>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06"/>
              <w:gridCol w:w="1009"/>
              <w:gridCol w:w="906"/>
              <w:gridCol w:w="1178"/>
              <w:gridCol w:w="2306"/>
              <w:gridCol w:w="1346"/>
              <w:gridCol w:w="648"/>
              <w:gridCol w:w="8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6" w:type="pct"/>
                  <w:vAlign w:val="center"/>
                </w:tcPr>
                <w:p>
                  <w:pPr>
                    <w:widowControl/>
                    <w:adjustRightInd w:val="0"/>
                    <w:snapToGrid w:val="0"/>
                    <w:jc w:val="center"/>
                    <w:rPr>
                      <w:b/>
                    </w:rPr>
                  </w:pPr>
                  <w:r>
                    <w:rPr>
                      <w:rFonts w:hint="eastAsia"/>
                      <w:b/>
                    </w:rPr>
                    <w:t>监测</w:t>
                  </w:r>
                </w:p>
                <w:p>
                  <w:pPr>
                    <w:widowControl/>
                    <w:adjustRightInd w:val="0"/>
                    <w:snapToGrid w:val="0"/>
                    <w:jc w:val="center"/>
                    <w:rPr>
                      <w:b/>
                    </w:rPr>
                  </w:pPr>
                  <w:r>
                    <w:rPr>
                      <w:rFonts w:hint="eastAsia"/>
                      <w:b/>
                    </w:rPr>
                    <w:t>点位</w:t>
                  </w:r>
                </w:p>
              </w:tc>
              <w:tc>
                <w:tcPr>
                  <w:tcW w:w="558" w:type="pct"/>
                  <w:vAlign w:val="center"/>
                </w:tcPr>
                <w:p>
                  <w:pPr>
                    <w:widowControl/>
                    <w:adjustRightInd w:val="0"/>
                    <w:snapToGrid w:val="0"/>
                    <w:jc w:val="center"/>
                    <w:rPr>
                      <w:b/>
                    </w:rPr>
                  </w:pPr>
                  <w:r>
                    <w:rPr>
                      <w:rFonts w:hint="eastAsia"/>
                      <w:b/>
                    </w:rPr>
                    <w:t>污染物</w:t>
                  </w:r>
                </w:p>
              </w:tc>
              <w:tc>
                <w:tcPr>
                  <w:tcW w:w="501" w:type="pct"/>
                  <w:vAlign w:val="center"/>
                </w:tcPr>
                <w:p>
                  <w:pPr>
                    <w:widowControl/>
                    <w:adjustRightInd w:val="0"/>
                    <w:snapToGrid w:val="0"/>
                    <w:jc w:val="center"/>
                    <w:rPr>
                      <w:b/>
                    </w:rPr>
                  </w:pPr>
                  <w:r>
                    <w:rPr>
                      <w:rFonts w:hint="eastAsia"/>
                      <w:b/>
                    </w:rPr>
                    <w:t>平均</w:t>
                  </w:r>
                </w:p>
                <w:p>
                  <w:pPr>
                    <w:widowControl/>
                    <w:adjustRightInd w:val="0"/>
                    <w:snapToGrid w:val="0"/>
                    <w:jc w:val="center"/>
                    <w:rPr>
                      <w:b/>
                    </w:rPr>
                  </w:pPr>
                  <w:r>
                    <w:rPr>
                      <w:rFonts w:hint="eastAsia"/>
                      <w:b/>
                    </w:rPr>
                    <w:t>时间</w:t>
                  </w:r>
                </w:p>
              </w:tc>
              <w:tc>
                <w:tcPr>
                  <w:tcW w:w="651" w:type="pct"/>
                  <w:vAlign w:val="center"/>
                </w:tcPr>
                <w:p>
                  <w:pPr>
                    <w:widowControl/>
                    <w:adjustRightInd w:val="0"/>
                    <w:snapToGrid w:val="0"/>
                    <w:jc w:val="center"/>
                    <w:rPr>
                      <w:b/>
                    </w:rPr>
                  </w:pPr>
                  <w:r>
                    <w:rPr>
                      <w:rFonts w:hint="eastAsia"/>
                      <w:b/>
                    </w:rPr>
                    <w:t>评价</w:t>
                  </w:r>
                </w:p>
                <w:p>
                  <w:pPr>
                    <w:widowControl/>
                    <w:adjustRightInd w:val="0"/>
                    <w:snapToGrid w:val="0"/>
                    <w:jc w:val="center"/>
                    <w:rPr>
                      <w:b/>
                    </w:rPr>
                  </w:pPr>
                  <w:r>
                    <w:rPr>
                      <w:rFonts w:hint="eastAsia"/>
                      <w:b/>
                    </w:rPr>
                    <w:t>标准</w:t>
                  </w:r>
                </w:p>
              </w:tc>
              <w:tc>
                <w:tcPr>
                  <w:tcW w:w="1275" w:type="pct"/>
                  <w:vAlign w:val="center"/>
                </w:tcPr>
                <w:p>
                  <w:pPr>
                    <w:widowControl/>
                    <w:adjustRightInd w:val="0"/>
                    <w:snapToGrid w:val="0"/>
                    <w:jc w:val="center"/>
                    <w:rPr>
                      <w:b/>
                    </w:rPr>
                  </w:pPr>
                  <w:r>
                    <w:rPr>
                      <w:rFonts w:hint="eastAsia"/>
                      <w:b/>
                    </w:rPr>
                    <w:t>监测浓度范围</w:t>
                  </w:r>
                </w:p>
              </w:tc>
              <w:tc>
                <w:tcPr>
                  <w:tcW w:w="744" w:type="pct"/>
                  <w:vAlign w:val="center"/>
                </w:tcPr>
                <w:p>
                  <w:pPr>
                    <w:widowControl/>
                    <w:adjustRightInd w:val="0"/>
                    <w:snapToGrid w:val="0"/>
                    <w:jc w:val="center"/>
                    <w:rPr>
                      <w:b/>
                    </w:rPr>
                  </w:pPr>
                  <w:r>
                    <w:rPr>
                      <w:rFonts w:hint="eastAsia"/>
                      <w:b/>
                    </w:rPr>
                    <w:t>最大现状浓度占标率</w:t>
                  </w:r>
                </w:p>
              </w:tc>
              <w:tc>
                <w:tcPr>
                  <w:tcW w:w="358" w:type="pct"/>
                  <w:vAlign w:val="center"/>
                </w:tcPr>
                <w:p>
                  <w:pPr>
                    <w:widowControl/>
                    <w:adjustRightInd w:val="0"/>
                    <w:snapToGrid w:val="0"/>
                    <w:jc w:val="center"/>
                    <w:rPr>
                      <w:b/>
                    </w:rPr>
                  </w:pPr>
                  <w:r>
                    <w:rPr>
                      <w:rFonts w:hint="eastAsia"/>
                      <w:b/>
                    </w:rPr>
                    <w:t>超标率</w:t>
                  </w:r>
                </w:p>
              </w:tc>
              <w:tc>
                <w:tcPr>
                  <w:tcW w:w="462" w:type="pct"/>
                  <w:vAlign w:val="center"/>
                </w:tcPr>
                <w:p>
                  <w:pPr>
                    <w:widowControl/>
                    <w:adjustRightInd w:val="0"/>
                    <w:snapToGrid w:val="0"/>
                    <w:jc w:val="center"/>
                    <w:rPr>
                      <w:b/>
                    </w:rPr>
                  </w:pPr>
                  <w:r>
                    <w:rPr>
                      <w:rFonts w:hint="eastAsia"/>
                      <w:b/>
                    </w:rPr>
                    <w:t>达标</w:t>
                  </w:r>
                </w:p>
                <w:p>
                  <w:pPr>
                    <w:widowControl/>
                    <w:adjustRightInd w:val="0"/>
                    <w:snapToGrid w:val="0"/>
                    <w:jc w:val="center"/>
                    <w:rPr>
                      <w:b/>
                    </w:rPr>
                  </w:pPr>
                  <w:r>
                    <w:rPr>
                      <w:rFonts w:hint="eastAsia"/>
                      <w:b/>
                    </w:rPr>
                    <w:t>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6" w:type="pct"/>
                  <w:vMerge w:val="restart"/>
                  <w:vAlign w:val="center"/>
                </w:tcPr>
                <w:p>
                  <w:pPr>
                    <w:widowControl/>
                    <w:adjustRightInd w:val="0"/>
                    <w:snapToGrid w:val="0"/>
                    <w:jc w:val="center"/>
                    <w:rPr>
                      <w:bCs/>
                      <w:color w:val="auto"/>
                    </w:rPr>
                  </w:pPr>
                  <w:r>
                    <w:rPr>
                      <w:rFonts w:hint="eastAsia"/>
                      <w:bCs/>
                      <w:color w:val="auto"/>
                    </w:rPr>
                    <w:t>A1区块一中心位置</w:t>
                  </w:r>
                </w:p>
              </w:tc>
              <w:tc>
                <w:tcPr>
                  <w:tcW w:w="558" w:type="pct"/>
                  <w:vAlign w:val="center"/>
                </w:tcPr>
                <w:p>
                  <w:pPr>
                    <w:widowControl/>
                    <w:adjustRightInd w:val="0"/>
                    <w:snapToGrid w:val="0"/>
                    <w:jc w:val="center"/>
                    <w:rPr>
                      <w:bCs/>
                      <w:color w:val="auto"/>
                    </w:rPr>
                  </w:pPr>
                  <w:r>
                    <w:rPr>
                      <w:rFonts w:hint="eastAsia"/>
                      <w:bCs/>
                      <w:color w:val="auto"/>
                    </w:rPr>
                    <w:t>TVOC</w:t>
                  </w:r>
                </w:p>
              </w:tc>
              <w:tc>
                <w:tcPr>
                  <w:tcW w:w="501" w:type="pct"/>
                  <w:vAlign w:val="center"/>
                </w:tcPr>
                <w:p>
                  <w:pPr>
                    <w:widowControl/>
                    <w:adjustRightInd w:val="0"/>
                    <w:snapToGrid w:val="0"/>
                    <w:jc w:val="center"/>
                    <w:rPr>
                      <w:bCs/>
                      <w:color w:val="auto"/>
                    </w:rPr>
                  </w:pPr>
                  <w:r>
                    <w:rPr>
                      <w:rFonts w:hint="eastAsia"/>
                      <w:bCs/>
                      <w:color w:val="auto"/>
                    </w:rPr>
                    <w:t>8小时均值</w:t>
                  </w:r>
                </w:p>
              </w:tc>
              <w:tc>
                <w:tcPr>
                  <w:tcW w:w="651" w:type="pct"/>
                  <w:vAlign w:val="center"/>
                </w:tcPr>
                <w:p>
                  <w:pPr>
                    <w:widowControl/>
                    <w:adjustRightInd w:val="0"/>
                    <w:snapToGrid w:val="0"/>
                    <w:jc w:val="center"/>
                    <w:rPr>
                      <w:bCs/>
                      <w:color w:val="auto"/>
                      <w:vertAlign w:val="superscript"/>
                    </w:rPr>
                  </w:pPr>
                  <w:r>
                    <w:rPr>
                      <w:rFonts w:hint="eastAsia"/>
                      <w:bCs/>
                      <w:color w:val="auto"/>
                    </w:rPr>
                    <w:t>0.6mg/m</w:t>
                  </w:r>
                  <w:r>
                    <w:rPr>
                      <w:rFonts w:hint="eastAsia"/>
                      <w:bCs/>
                      <w:color w:val="auto"/>
                      <w:vertAlign w:val="superscript"/>
                    </w:rPr>
                    <w:t>3</w:t>
                  </w:r>
                </w:p>
              </w:tc>
              <w:tc>
                <w:tcPr>
                  <w:tcW w:w="1275" w:type="pct"/>
                  <w:vAlign w:val="center"/>
                </w:tcPr>
                <w:p>
                  <w:pPr>
                    <w:widowControl/>
                    <w:adjustRightInd w:val="0"/>
                    <w:snapToGrid w:val="0"/>
                    <w:jc w:val="center"/>
                    <w:rPr>
                      <w:bCs/>
                      <w:color w:val="auto"/>
                    </w:rPr>
                  </w:pPr>
                  <w:r>
                    <w:rPr>
                      <w:rFonts w:hint="eastAsia"/>
                      <w:bCs/>
                      <w:color w:val="auto"/>
                    </w:rPr>
                    <w:t>0.0138~0.169mg/m</w:t>
                  </w:r>
                  <w:r>
                    <w:rPr>
                      <w:rFonts w:hint="eastAsia"/>
                      <w:bCs/>
                      <w:color w:val="auto"/>
                      <w:vertAlign w:val="superscript"/>
                    </w:rPr>
                    <w:t>3</w:t>
                  </w:r>
                </w:p>
              </w:tc>
              <w:tc>
                <w:tcPr>
                  <w:tcW w:w="744" w:type="pct"/>
                  <w:vAlign w:val="center"/>
                </w:tcPr>
                <w:p>
                  <w:pPr>
                    <w:widowControl/>
                    <w:adjustRightInd w:val="0"/>
                    <w:snapToGrid w:val="0"/>
                    <w:jc w:val="center"/>
                    <w:rPr>
                      <w:bCs/>
                      <w:color w:val="auto"/>
                    </w:rPr>
                  </w:pPr>
                  <w:r>
                    <w:rPr>
                      <w:rFonts w:hint="eastAsia"/>
                      <w:bCs/>
                      <w:color w:val="auto"/>
                    </w:rPr>
                    <w:t>56.3%</w:t>
                  </w:r>
                </w:p>
              </w:tc>
              <w:tc>
                <w:tcPr>
                  <w:tcW w:w="358" w:type="pct"/>
                  <w:vAlign w:val="center"/>
                </w:tcPr>
                <w:p>
                  <w:pPr>
                    <w:widowControl/>
                    <w:adjustRightInd w:val="0"/>
                    <w:snapToGrid w:val="0"/>
                    <w:jc w:val="center"/>
                    <w:rPr>
                      <w:bCs/>
                      <w:color w:val="auto"/>
                    </w:rPr>
                  </w:pPr>
                  <w:r>
                    <w:rPr>
                      <w:rFonts w:hint="eastAsia"/>
                      <w:bCs/>
                      <w:color w:val="auto"/>
                    </w:rPr>
                    <w:t>0%</w:t>
                  </w:r>
                </w:p>
              </w:tc>
              <w:tc>
                <w:tcPr>
                  <w:tcW w:w="462" w:type="pct"/>
                  <w:vAlign w:val="center"/>
                </w:tcPr>
                <w:p>
                  <w:pPr>
                    <w:widowControl/>
                    <w:adjustRightInd w:val="0"/>
                    <w:snapToGrid w:val="0"/>
                    <w:jc w:val="center"/>
                    <w:rPr>
                      <w:bCs/>
                      <w:color w:val="auto"/>
                    </w:rPr>
                  </w:pPr>
                  <w:r>
                    <w:rPr>
                      <w:rFonts w:hint="eastAsia"/>
                      <w:bCs/>
                      <w:color w:val="auto"/>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6" w:type="pct"/>
                  <w:vMerge w:val="continue"/>
                  <w:vAlign w:val="center"/>
                </w:tcPr>
                <w:p>
                  <w:pPr>
                    <w:widowControl/>
                    <w:adjustRightInd w:val="0"/>
                    <w:snapToGrid w:val="0"/>
                    <w:jc w:val="center"/>
                    <w:rPr>
                      <w:bCs/>
                      <w:color w:val="auto"/>
                    </w:rPr>
                  </w:pPr>
                </w:p>
              </w:tc>
              <w:tc>
                <w:tcPr>
                  <w:tcW w:w="558" w:type="pct"/>
                  <w:vAlign w:val="center"/>
                </w:tcPr>
                <w:p>
                  <w:pPr>
                    <w:widowControl/>
                    <w:adjustRightInd w:val="0"/>
                    <w:snapToGrid w:val="0"/>
                    <w:jc w:val="center"/>
                    <w:rPr>
                      <w:bCs/>
                      <w:color w:val="auto"/>
                    </w:rPr>
                  </w:pPr>
                  <w:r>
                    <w:rPr>
                      <w:rFonts w:hint="eastAsia"/>
                      <w:bCs/>
                      <w:color w:val="auto"/>
                    </w:rPr>
                    <w:t>TSP</w:t>
                  </w:r>
                </w:p>
              </w:tc>
              <w:tc>
                <w:tcPr>
                  <w:tcW w:w="501" w:type="pct"/>
                  <w:vAlign w:val="center"/>
                </w:tcPr>
                <w:p>
                  <w:pPr>
                    <w:widowControl/>
                    <w:adjustRightInd w:val="0"/>
                    <w:snapToGrid w:val="0"/>
                    <w:jc w:val="center"/>
                    <w:rPr>
                      <w:bCs/>
                      <w:color w:val="auto"/>
                    </w:rPr>
                  </w:pPr>
                  <w:r>
                    <w:rPr>
                      <w:rFonts w:hint="eastAsia"/>
                      <w:bCs/>
                      <w:color w:val="auto"/>
                    </w:rPr>
                    <w:t>24小时均值</w:t>
                  </w:r>
                </w:p>
              </w:tc>
              <w:tc>
                <w:tcPr>
                  <w:tcW w:w="651" w:type="pct"/>
                  <w:vAlign w:val="center"/>
                </w:tcPr>
                <w:p>
                  <w:pPr>
                    <w:widowControl/>
                    <w:adjustRightInd w:val="0"/>
                    <w:snapToGrid w:val="0"/>
                    <w:jc w:val="center"/>
                    <w:rPr>
                      <w:bCs/>
                      <w:color w:val="auto"/>
                    </w:rPr>
                  </w:pPr>
                  <w:r>
                    <w:rPr>
                      <w:rFonts w:hint="eastAsia"/>
                      <w:bCs/>
                      <w:color w:val="auto"/>
                    </w:rPr>
                    <w:t>0.3mg/m</w:t>
                  </w:r>
                  <w:r>
                    <w:rPr>
                      <w:rFonts w:hint="eastAsia"/>
                      <w:bCs/>
                      <w:color w:val="auto"/>
                      <w:vertAlign w:val="superscript"/>
                    </w:rPr>
                    <w:t>3</w:t>
                  </w:r>
                </w:p>
              </w:tc>
              <w:tc>
                <w:tcPr>
                  <w:tcW w:w="1275" w:type="pct"/>
                  <w:vAlign w:val="center"/>
                </w:tcPr>
                <w:p>
                  <w:pPr>
                    <w:widowControl/>
                    <w:adjustRightInd w:val="0"/>
                    <w:snapToGrid w:val="0"/>
                    <w:jc w:val="center"/>
                    <w:rPr>
                      <w:bCs/>
                      <w:color w:val="auto"/>
                    </w:rPr>
                  </w:pPr>
                  <w:r>
                    <w:rPr>
                      <w:rFonts w:hint="eastAsia"/>
                      <w:bCs/>
                      <w:color w:val="auto"/>
                    </w:rPr>
                    <w:t>0.280~0.375mg/m</w:t>
                  </w:r>
                  <w:r>
                    <w:rPr>
                      <w:rFonts w:hint="eastAsia"/>
                      <w:bCs/>
                      <w:color w:val="auto"/>
                      <w:vertAlign w:val="superscript"/>
                    </w:rPr>
                    <w:t>3</w:t>
                  </w:r>
                </w:p>
              </w:tc>
              <w:tc>
                <w:tcPr>
                  <w:tcW w:w="744" w:type="pct"/>
                  <w:vAlign w:val="center"/>
                </w:tcPr>
                <w:p>
                  <w:pPr>
                    <w:widowControl/>
                    <w:adjustRightInd w:val="0"/>
                    <w:snapToGrid w:val="0"/>
                    <w:jc w:val="center"/>
                    <w:rPr>
                      <w:bCs/>
                      <w:color w:val="auto"/>
                    </w:rPr>
                  </w:pPr>
                  <w:r>
                    <w:rPr>
                      <w:rFonts w:hint="eastAsia"/>
                      <w:bCs/>
                      <w:color w:val="auto"/>
                    </w:rPr>
                    <w:t>62.5%</w:t>
                  </w:r>
                </w:p>
              </w:tc>
              <w:tc>
                <w:tcPr>
                  <w:tcW w:w="358" w:type="pct"/>
                  <w:vAlign w:val="center"/>
                </w:tcPr>
                <w:p>
                  <w:pPr>
                    <w:widowControl/>
                    <w:adjustRightInd w:val="0"/>
                    <w:snapToGrid w:val="0"/>
                    <w:jc w:val="center"/>
                    <w:rPr>
                      <w:bCs/>
                      <w:color w:val="auto"/>
                    </w:rPr>
                  </w:pPr>
                  <w:r>
                    <w:rPr>
                      <w:rFonts w:hint="eastAsia"/>
                      <w:bCs/>
                      <w:color w:val="auto"/>
                    </w:rPr>
                    <w:t>0%</w:t>
                  </w:r>
                </w:p>
              </w:tc>
              <w:tc>
                <w:tcPr>
                  <w:tcW w:w="462" w:type="pct"/>
                  <w:vAlign w:val="center"/>
                </w:tcPr>
                <w:p>
                  <w:pPr>
                    <w:widowControl/>
                    <w:adjustRightInd w:val="0"/>
                    <w:snapToGrid w:val="0"/>
                    <w:jc w:val="center"/>
                    <w:rPr>
                      <w:bCs/>
                      <w:color w:val="auto"/>
                    </w:rPr>
                  </w:pPr>
                  <w:r>
                    <w:rPr>
                      <w:rFonts w:hint="eastAsia"/>
                      <w:bCs/>
                      <w:color w:val="auto"/>
                    </w:rPr>
                    <w:t>达标</w:t>
                  </w:r>
                </w:p>
              </w:tc>
            </w:tr>
          </w:tbl>
          <w:p>
            <w:pPr>
              <w:widowControl/>
              <w:adjustRightInd w:val="0"/>
              <w:snapToGrid w:val="0"/>
              <w:spacing w:before="120" w:beforeLines="50" w:line="360" w:lineRule="auto"/>
              <w:ind w:firstLine="420" w:firstLineChars="200"/>
              <w:rPr>
                <w:bCs/>
              </w:rPr>
            </w:pPr>
            <w:r>
              <w:rPr>
                <w:bCs/>
                <w:color w:val="auto"/>
              </w:rPr>
              <w:t>监测</w:t>
            </w:r>
            <w:r>
              <w:rPr>
                <w:bCs/>
              </w:rPr>
              <w:t>结果表明，项目所在区域</w:t>
            </w:r>
            <w:r>
              <w:rPr>
                <w:rFonts w:hint="eastAsia"/>
                <w:bCs/>
              </w:rPr>
              <w:t>TVOC可以达到《环境影响评价技术导则大气环境》（HJ2.2-2018）附录D标准</w:t>
            </w:r>
            <w:r>
              <w:rPr>
                <w:bCs/>
              </w:rPr>
              <w:t>要求</w:t>
            </w:r>
            <w:r>
              <w:rPr>
                <w:rFonts w:hint="eastAsia"/>
                <w:bCs/>
              </w:rPr>
              <w:t>，TSP可以达到《环境空气质量标准》（GB3095-2012）及其</w:t>
            </w:r>
            <w:r>
              <w:rPr>
                <w:szCs w:val="21"/>
              </w:rPr>
              <w:t>2</w:t>
            </w:r>
            <w:r>
              <w:rPr>
                <w:rFonts w:hint="eastAsia"/>
                <w:szCs w:val="21"/>
              </w:rPr>
              <w:t>01</w:t>
            </w:r>
            <w:r>
              <w:rPr>
                <w:szCs w:val="21"/>
              </w:rPr>
              <w:t>8年</w:t>
            </w:r>
            <w:r>
              <w:rPr>
                <w:rFonts w:hint="eastAsia"/>
                <w:bCs/>
              </w:rPr>
              <w:t>修改单中的标准要求</w:t>
            </w:r>
            <w:r>
              <w:rPr>
                <w:bCs/>
              </w:rPr>
              <w:t>，项目所在区域环境空气质量良好。</w:t>
            </w:r>
          </w:p>
          <w:p>
            <w:pPr>
              <w:widowControl/>
              <w:adjustRightInd w:val="0"/>
              <w:snapToGrid w:val="0"/>
              <w:spacing w:line="360" w:lineRule="auto"/>
              <w:ind w:firstLine="422" w:firstLineChars="200"/>
              <w:jc w:val="left"/>
              <w:rPr>
                <w:b/>
              </w:rPr>
            </w:pPr>
            <w:r>
              <w:rPr>
                <w:rFonts w:hint="eastAsia"/>
                <w:b/>
              </w:rPr>
              <w:t>（</w:t>
            </w:r>
            <w:r>
              <w:rPr>
                <w:b/>
              </w:rPr>
              <w:t>3</w:t>
            </w:r>
            <w:r>
              <w:rPr>
                <w:rFonts w:hint="eastAsia"/>
                <w:b/>
              </w:rPr>
              <w:t>）评价大气环境质量现状达标情况</w:t>
            </w:r>
          </w:p>
          <w:p>
            <w:pPr>
              <w:widowControl/>
              <w:adjustRightInd w:val="0"/>
              <w:snapToGrid w:val="0"/>
              <w:spacing w:line="360" w:lineRule="auto"/>
              <w:ind w:firstLine="420" w:firstLineChars="200"/>
              <w:rPr>
                <w:szCs w:val="21"/>
              </w:rPr>
            </w:pPr>
            <w:r>
              <w:rPr>
                <w:szCs w:val="21"/>
              </w:rPr>
              <w:t>根据《关于印发&lt;惠州市环境空气质量功能区划（2021年修订）&gt;的通知》（惠市环〔202</w:t>
            </w:r>
            <w:r>
              <w:rPr>
                <w:rFonts w:hint="eastAsia"/>
                <w:szCs w:val="21"/>
              </w:rPr>
              <w:t>1</w:t>
            </w:r>
            <w:r>
              <w:rPr>
                <w:szCs w:val="21"/>
              </w:rPr>
              <w:t>〕1号），本项目所在区域属于环境空气质量二类功能区，执行《环境空气质量标准》（GB3095-2012）及其2</w:t>
            </w:r>
            <w:r>
              <w:rPr>
                <w:rFonts w:hint="eastAsia"/>
                <w:szCs w:val="21"/>
              </w:rPr>
              <w:t>01</w:t>
            </w:r>
            <w:r>
              <w:rPr>
                <w:szCs w:val="21"/>
              </w:rPr>
              <w:t>8年修改单中的二级标准。根据《</w:t>
            </w:r>
            <w:r>
              <w:t>2021年惠州市生态环境状况公报</w:t>
            </w:r>
            <w:r>
              <w:rPr>
                <w:szCs w:val="21"/>
              </w:rPr>
              <w:t>》资料显示，项目所在</w:t>
            </w:r>
            <w:r>
              <w:rPr>
                <w:rFonts w:hint="eastAsia"/>
                <w:szCs w:val="21"/>
              </w:rPr>
              <w:t>区域环境</w:t>
            </w:r>
            <w:r>
              <w:rPr>
                <w:szCs w:val="21"/>
              </w:rPr>
              <w:t>空气中六项基本污染物环境质量</w:t>
            </w:r>
            <w:r>
              <w:rPr>
                <w:rFonts w:hint="eastAsia"/>
                <w:szCs w:val="21"/>
              </w:rPr>
              <w:t>均</w:t>
            </w:r>
            <w:r>
              <w:rPr>
                <w:szCs w:val="21"/>
              </w:rPr>
              <w:t>满足《环境空气质量标准》（GB3095-2012）及其2018年修改单中的二级标准</w:t>
            </w:r>
            <w:r>
              <w:rPr>
                <w:rFonts w:hint="eastAsia"/>
                <w:szCs w:val="21"/>
              </w:rPr>
              <w:t>的</w:t>
            </w:r>
            <w:r>
              <w:rPr>
                <w:szCs w:val="21"/>
              </w:rPr>
              <w:t>要求，</w:t>
            </w:r>
            <w:r>
              <w:rPr>
                <w:rFonts w:hint="eastAsia"/>
                <w:szCs w:val="21"/>
              </w:rPr>
              <w:t>项目</w:t>
            </w:r>
            <w:r>
              <w:rPr>
                <w:szCs w:val="21"/>
              </w:rPr>
              <w:t>所在</w:t>
            </w:r>
            <w:r>
              <w:rPr>
                <w:rFonts w:hint="eastAsia"/>
                <w:szCs w:val="21"/>
              </w:rPr>
              <w:t>区域</w:t>
            </w:r>
            <w:r>
              <w:rPr>
                <w:szCs w:val="21"/>
              </w:rPr>
              <w:t>为</w:t>
            </w:r>
            <w:r>
              <w:rPr>
                <w:rFonts w:hint="eastAsia"/>
                <w:szCs w:val="21"/>
              </w:rPr>
              <w:t>环境</w:t>
            </w:r>
            <w:r>
              <w:rPr>
                <w:szCs w:val="21"/>
              </w:rPr>
              <w:t>空气质量达标区域</w:t>
            </w:r>
            <w:r>
              <w:rPr>
                <w:rFonts w:hint="eastAsia"/>
                <w:szCs w:val="21"/>
              </w:rPr>
              <w:t>。由引用</w:t>
            </w:r>
            <w:r>
              <w:rPr>
                <w:szCs w:val="21"/>
              </w:rPr>
              <w:t>的特征污染物现状监测</w:t>
            </w:r>
            <w:r>
              <w:rPr>
                <w:rFonts w:hint="eastAsia"/>
                <w:szCs w:val="21"/>
              </w:rPr>
              <w:t>结果</w:t>
            </w:r>
            <w:r>
              <w:rPr>
                <w:szCs w:val="21"/>
              </w:rPr>
              <w:t>表明</w:t>
            </w:r>
            <w:r>
              <w:rPr>
                <w:rFonts w:hint="eastAsia"/>
                <w:szCs w:val="21"/>
              </w:rPr>
              <w:t>，项目评价区域内T</w:t>
            </w:r>
            <w:r>
              <w:rPr>
                <w:rFonts w:hint="eastAsia"/>
                <w:bCs/>
              </w:rPr>
              <w:t>VOC可以达到《环境影响评价技术导则大气环境》（HJ2.2-2018）附录D标准</w:t>
            </w:r>
            <w:r>
              <w:rPr>
                <w:bCs/>
              </w:rPr>
              <w:t>要求</w:t>
            </w:r>
            <w:r>
              <w:rPr>
                <w:rFonts w:hint="eastAsia"/>
                <w:bCs/>
              </w:rPr>
              <w:t>，TSP可以达到《环境空气质量标准》（GB3095-2012）及其</w:t>
            </w:r>
            <w:r>
              <w:rPr>
                <w:szCs w:val="21"/>
              </w:rPr>
              <w:t>2</w:t>
            </w:r>
            <w:r>
              <w:rPr>
                <w:rFonts w:hint="eastAsia"/>
                <w:szCs w:val="21"/>
              </w:rPr>
              <w:t>01</w:t>
            </w:r>
            <w:r>
              <w:rPr>
                <w:szCs w:val="21"/>
              </w:rPr>
              <w:t>8年</w:t>
            </w:r>
            <w:r>
              <w:rPr>
                <w:rFonts w:hint="eastAsia"/>
                <w:bCs/>
              </w:rPr>
              <w:t>修改单中的标准要求</w:t>
            </w:r>
            <w:r>
              <w:rPr>
                <w:szCs w:val="21"/>
              </w:rPr>
              <w:t>，</w:t>
            </w:r>
            <w:r>
              <w:rPr>
                <w:rFonts w:hint="eastAsia"/>
                <w:szCs w:val="21"/>
              </w:rPr>
              <w:t>综</w:t>
            </w:r>
            <w:r>
              <w:rPr>
                <w:szCs w:val="21"/>
              </w:rPr>
              <w:t>上，项目所在区域环境</w:t>
            </w:r>
            <w:r>
              <w:rPr>
                <w:rFonts w:hint="eastAsia"/>
                <w:szCs w:val="21"/>
              </w:rPr>
              <w:t>空气</w:t>
            </w:r>
            <w:r>
              <w:rPr>
                <w:szCs w:val="21"/>
              </w:rPr>
              <w:t>质量现状良好。</w:t>
            </w:r>
          </w:p>
          <w:p>
            <w:pPr>
              <w:widowControl/>
              <w:adjustRightInd w:val="0"/>
              <w:snapToGrid w:val="0"/>
              <w:spacing w:line="360" w:lineRule="auto"/>
              <w:ind w:firstLine="422" w:firstLineChars="200"/>
              <w:rPr>
                <w:b/>
                <w:color w:val="auto"/>
              </w:rPr>
            </w:pPr>
            <w:r>
              <w:rPr>
                <w:rFonts w:hint="eastAsia"/>
                <w:b/>
              </w:rPr>
              <w:t>2</w:t>
            </w:r>
            <w:r>
              <w:rPr>
                <w:b/>
              </w:rPr>
              <w:t>、地表水环境</w:t>
            </w:r>
          </w:p>
          <w:p>
            <w:pPr>
              <w:widowControl/>
              <w:adjustRightInd w:val="0"/>
              <w:snapToGrid w:val="0"/>
              <w:spacing w:line="360" w:lineRule="auto"/>
              <w:ind w:firstLine="420" w:firstLineChars="200"/>
              <w:rPr>
                <w:color w:val="auto"/>
              </w:rPr>
            </w:pPr>
            <w:r>
              <w:rPr>
                <w:color w:val="auto"/>
              </w:rPr>
              <w:t>本项目主要外排污水为生活污水，</w:t>
            </w:r>
            <w:r>
              <w:rPr>
                <w:rFonts w:hint="eastAsia"/>
                <w:color w:val="auto"/>
              </w:rPr>
              <w:t>生活污水经隔油隔渣池、三级化粪池预处理后排入杨侨镇生活污水处理厂，处理达标后排入南蛇沥，汇入公庄河，最终排入东江</w:t>
            </w:r>
            <w:r>
              <w:rPr>
                <w:color w:val="auto"/>
              </w:rPr>
              <w:t>。</w:t>
            </w:r>
            <w:r>
              <w:rPr>
                <w:color w:val="auto"/>
                <w:szCs w:val="21"/>
              </w:rPr>
              <w:t>根据《广东省地表水环境功能区划》（粤环〔2011〕14号）和当地环保部门的意见，纳污水体南蛇沥水质目标为Ⅴ类功能水体、公庄河水质控制目标为Ⅲ类，因此南蛇沥、公庄河分别执行《地表水环境质量标准》（GB3838-2002）Ⅴ、Ⅲ类标准</w:t>
            </w:r>
            <w:r>
              <w:rPr>
                <w:rFonts w:hint="eastAsia"/>
                <w:color w:val="auto"/>
              </w:rPr>
              <w:t>。</w:t>
            </w:r>
          </w:p>
          <w:p>
            <w:pPr>
              <w:spacing w:line="360" w:lineRule="auto"/>
              <w:ind w:firstLine="480"/>
              <w:rPr>
                <w:sz w:val="24"/>
              </w:rPr>
            </w:pPr>
            <w:r>
              <w:rPr>
                <w:color w:val="auto"/>
                <w:szCs w:val="21"/>
              </w:rPr>
              <w:t>根据《20</w:t>
            </w:r>
            <w:r>
              <w:rPr>
                <w:rFonts w:hint="eastAsia"/>
                <w:color w:val="auto"/>
                <w:szCs w:val="21"/>
              </w:rPr>
              <w:t>21</w:t>
            </w:r>
            <w:r>
              <w:rPr>
                <w:color w:val="auto"/>
                <w:szCs w:val="21"/>
              </w:rPr>
              <w:t>年惠州市生态环境状况公报》，</w:t>
            </w:r>
            <w:r>
              <w:rPr>
                <w:rFonts w:hint="eastAsia"/>
                <w:color w:val="auto"/>
                <w:szCs w:val="21"/>
              </w:rPr>
              <w:t>2021年，东江干流（惠</w:t>
            </w:r>
            <w:r>
              <w:rPr>
                <w:rFonts w:hint="eastAsia"/>
                <w:szCs w:val="21"/>
              </w:rPr>
              <w:t>州段）、西枝江、增江干流（龙门段）、沙河、公庄河等5条河流水质优；淡水河、吉隆河水质良好，潼湖水和淡澳河水质轻度污染。与2020年相比，淡水河水质有所好转，其余河流水质保持稳定</w:t>
            </w:r>
            <w:r>
              <w:rPr>
                <w:szCs w:val="21"/>
              </w:rPr>
              <w:t>。</w:t>
            </w:r>
          </w:p>
          <w:p>
            <w:pPr>
              <w:widowControl/>
              <w:adjustRightInd w:val="0"/>
              <w:snapToGrid w:val="0"/>
              <w:jc w:val="center"/>
            </w:pPr>
            <w:r>
              <w:drawing>
                <wp:inline distT="0" distB="0" distL="114300" distR="114300">
                  <wp:extent cx="4319905" cy="3190875"/>
                  <wp:effectExtent l="0" t="0" r="8255" b="9525"/>
                  <wp:docPr id="18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 name="图片 3"/>
                          <pic:cNvPicPr>
                            <a:picLocks noChangeAspect="1"/>
                          </pic:cNvPicPr>
                        </pic:nvPicPr>
                        <pic:blipFill>
                          <a:blip r:embed="rId13"/>
                          <a:stretch>
                            <a:fillRect/>
                          </a:stretch>
                        </pic:blipFill>
                        <pic:spPr>
                          <a:xfrm>
                            <a:off x="0" y="0"/>
                            <a:ext cx="4319905" cy="3190875"/>
                          </a:xfrm>
                          <a:prstGeom prst="rect">
                            <a:avLst/>
                          </a:prstGeom>
                          <a:noFill/>
                          <a:ln>
                            <a:noFill/>
                          </a:ln>
                        </pic:spPr>
                      </pic:pic>
                    </a:graphicData>
                  </a:graphic>
                </wp:inline>
              </w:drawing>
            </w:r>
          </w:p>
          <w:p>
            <w:pPr>
              <w:adjustRightInd w:val="0"/>
              <w:snapToGrid w:val="0"/>
              <w:spacing w:line="360" w:lineRule="auto"/>
              <w:jc w:val="center"/>
              <w:rPr>
                <w:b/>
                <w:szCs w:val="21"/>
              </w:rPr>
            </w:pPr>
            <w:r>
              <w:rPr>
                <w:rFonts w:hint="eastAsia"/>
                <w:b/>
                <w:szCs w:val="21"/>
              </w:rPr>
              <w:t xml:space="preserve">图3-2 </w:t>
            </w:r>
            <w:r>
              <w:rPr>
                <w:b/>
                <w:szCs w:val="21"/>
              </w:rPr>
              <w:t>2021年惠州市生态环境状况公报截图</w:t>
            </w:r>
            <w:r>
              <w:rPr>
                <w:rFonts w:hint="eastAsia"/>
                <w:b/>
                <w:szCs w:val="21"/>
              </w:rPr>
              <w:t>（水环境质量摘录）</w:t>
            </w:r>
          </w:p>
          <w:p>
            <w:pPr>
              <w:widowControl/>
              <w:adjustRightInd w:val="0"/>
              <w:snapToGrid w:val="0"/>
              <w:spacing w:line="360" w:lineRule="auto"/>
              <w:ind w:firstLine="420" w:firstLineChars="200"/>
            </w:pPr>
            <w:r>
              <w:rPr>
                <w:rFonts w:hint="eastAsia"/>
                <w:szCs w:val="21"/>
              </w:rPr>
              <w:t>项目纳污水体主要为南蛇沥及公庄河。本环评南蛇沥环境现状监测数据引用《广东博罗县产业转移工业园区2021年度环境管理状况评估工作报告》委托广东宏科检测技术有限公司于2021年11月27日~29日对监测断面W1杨侨镇生活污水处理厂</w:t>
            </w:r>
            <w:r>
              <w:rPr>
                <w:szCs w:val="21"/>
              </w:rPr>
              <w:t>排污口上游500m</w:t>
            </w:r>
            <w:r>
              <w:rPr>
                <w:rFonts w:hint="eastAsia"/>
                <w:szCs w:val="21"/>
              </w:rPr>
              <w:t>、W2杨侨镇生活污水处理厂</w:t>
            </w:r>
            <w:r>
              <w:rPr>
                <w:szCs w:val="21"/>
              </w:rPr>
              <w:t>排污口下游</w:t>
            </w:r>
            <w:r>
              <w:rPr>
                <w:rFonts w:hint="eastAsia"/>
                <w:szCs w:val="21"/>
              </w:rPr>
              <w:t>2</w:t>
            </w:r>
            <w:r>
              <w:rPr>
                <w:szCs w:val="21"/>
              </w:rPr>
              <w:t>000m</w:t>
            </w:r>
            <w:r>
              <w:rPr>
                <w:rFonts w:hint="eastAsia"/>
                <w:szCs w:val="21"/>
              </w:rPr>
              <w:t>、W3南蛇沥与公庄河交汇处下游500m的监测。监测点与本项目为同一个纳污水体，引用监测数据满足3年时效性要求，故本次环境质量现状评价引用的监测数据可反应项目所在区域目前的环境质量现状，因此引用数据具有可行性。地表水检测断面设置情况及具体监测数据见下表</w:t>
            </w:r>
            <w:r>
              <w:t>。</w:t>
            </w:r>
          </w:p>
          <w:p>
            <w:pPr>
              <w:spacing w:line="360" w:lineRule="auto"/>
              <w:jc w:val="center"/>
              <w:rPr>
                <w:b/>
              </w:rPr>
            </w:pPr>
            <w:r>
              <w:rPr>
                <w:b/>
              </w:rPr>
              <w:t>表</w:t>
            </w:r>
            <w:r>
              <w:rPr>
                <w:rFonts w:hint="eastAsia"/>
                <w:b/>
              </w:rPr>
              <w:t>3-2</w:t>
            </w:r>
            <w:r>
              <w:rPr>
                <w:b/>
              </w:rPr>
              <w:t xml:space="preserve"> </w:t>
            </w:r>
            <w:r>
              <w:rPr>
                <w:rFonts w:hint="eastAsia"/>
                <w:b/>
              </w:rPr>
              <w:t>地表水检测断面设置情况一览表</w:t>
            </w:r>
          </w:p>
          <w:tbl>
            <w:tblPr>
              <w:tblStyle w:val="93"/>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57"/>
              <w:gridCol w:w="3225"/>
              <w:gridCol w:w="3435"/>
              <w:gridCol w:w="12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40" w:type="pct"/>
                  <w:vAlign w:val="center"/>
                </w:tcPr>
                <w:p>
                  <w:pPr>
                    <w:pStyle w:val="23"/>
                    <w:ind w:firstLine="0"/>
                    <w:jc w:val="center"/>
                    <w:rPr>
                      <w:b/>
                      <w:bCs/>
                      <w:sz w:val="21"/>
                      <w:szCs w:val="21"/>
                      <w:lang w:eastAsia="zh-CN"/>
                    </w:rPr>
                  </w:pPr>
                  <w:r>
                    <w:rPr>
                      <w:b/>
                      <w:bCs/>
                      <w:sz w:val="21"/>
                      <w:szCs w:val="21"/>
                      <w:lang w:eastAsia="zh-CN"/>
                    </w:rPr>
                    <w:t>序号</w:t>
                  </w:r>
                </w:p>
              </w:tc>
              <w:tc>
                <w:tcPr>
                  <w:tcW w:w="1784" w:type="pct"/>
                  <w:vAlign w:val="center"/>
                </w:tcPr>
                <w:p>
                  <w:pPr>
                    <w:pStyle w:val="23"/>
                    <w:ind w:firstLine="0"/>
                    <w:jc w:val="center"/>
                    <w:rPr>
                      <w:b/>
                      <w:bCs/>
                      <w:sz w:val="21"/>
                      <w:szCs w:val="21"/>
                      <w:lang w:eastAsia="zh-CN"/>
                    </w:rPr>
                  </w:pPr>
                  <w:r>
                    <w:rPr>
                      <w:b/>
                      <w:bCs/>
                      <w:sz w:val="21"/>
                      <w:szCs w:val="21"/>
                      <w:lang w:eastAsia="zh-CN"/>
                    </w:rPr>
                    <w:t>监测断面</w:t>
                  </w:r>
                </w:p>
              </w:tc>
              <w:tc>
                <w:tcPr>
                  <w:tcW w:w="1900" w:type="pct"/>
                  <w:vAlign w:val="center"/>
                </w:tcPr>
                <w:p>
                  <w:pPr>
                    <w:pStyle w:val="23"/>
                    <w:ind w:firstLine="0"/>
                    <w:jc w:val="center"/>
                    <w:rPr>
                      <w:b/>
                      <w:bCs/>
                      <w:sz w:val="21"/>
                      <w:szCs w:val="21"/>
                      <w:lang w:eastAsia="zh-CN"/>
                    </w:rPr>
                  </w:pPr>
                  <w:r>
                    <w:rPr>
                      <w:b/>
                      <w:bCs/>
                      <w:sz w:val="21"/>
                      <w:szCs w:val="21"/>
                      <w:lang w:eastAsia="zh-CN"/>
                    </w:rPr>
                    <w:t>经纬度</w:t>
                  </w:r>
                </w:p>
              </w:tc>
              <w:tc>
                <w:tcPr>
                  <w:tcW w:w="674" w:type="pct"/>
                  <w:vAlign w:val="center"/>
                </w:tcPr>
                <w:p>
                  <w:pPr>
                    <w:pStyle w:val="23"/>
                    <w:ind w:firstLine="0"/>
                    <w:jc w:val="center"/>
                    <w:rPr>
                      <w:b/>
                      <w:bCs/>
                      <w:sz w:val="21"/>
                      <w:szCs w:val="21"/>
                      <w:lang w:eastAsia="zh-CN"/>
                    </w:rPr>
                  </w:pPr>
                  <w:r>
                    <w:rPr>
                      <w:b/>
                      <w:bCs/>
                      <w:sz w:val="21"/>
                      <w:szCs w:val="21"/>
                      <w:lang w:eastAsia="zh-CN"/>
                    </w:rPr>
                    <w:t>所在水体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40" w:type="pct"/>
                  <w:vAlign w:val="center"/>
                </w:tcPr>
                <w:p>
                  <w:pPr>
                    <w:pStyle w:val="23"/>
                    <w:ind w:firstLine="0"/>
                    <w:jc w:val="center"/>
                    <w:rPr>
                      <w:sz w:val="21"/>
                      <w:szCs w:val="21"/>
                      <w:lang w:eastAsia="zh-CN"/>
                    </w:rPr>
                  </w:pPr>
                  <w:r>
                    <w:rPr>
                      <w:sz w:val="21"/>
                      <w:szCs w:val="21"/>
                      <w:lang w:eastAsia="zh-CN"/>
                    </w:rPr>
                    <w:t>W1</w:t>
                  </w:r>
                </w:p>
              </w:tc>
              <w:tc>
                <w:tcPr>
                  <w:tcW w:w="1784" w:type="pct"/>
                  <w:vAlign w:val="center"/>
                </w:tcPr>
                <w:p>
                  <w:pPr>
                    <w:pStyle w:val="23"/>
                    <w:ind w:firstLine="0"/>
                    <w:jc w:val="center"/>
                    <w:rPr>
                      <w:sz w:val="21"/>
                      <w:szCs w:val="21"/>
                    </w:rPr>
                  </w:pPr>
                  <w:r>
                    <w:rPr>
                      <w:rFonts w:hint="eastAsia"/>
                      <w:sz w:val="21"/>
                      <w:szCs w:val="21"/>
                      <w:lang w:eastAsia="zh-CN"/>
                    </w:rPr>
                    <w:t>杨侨镇生活污水处理厂</w:t>
                  </w:r>
                  <w:r>
                    <w:rPr>
                      <w:sz w:val="21"/>
                      <w:szCs w:val="21"/>
                    </w:rPr>
                    <w:t>排污口上游500m</w:t>
                  </w:r>
                </w:p>
              </w:tc>
              <w:tc>
                <w:tcPr>
                  <w:tcW w:w="1900" w:type="pct"/>
                  <w:vAlign w:val="center"/>
                </w:tcPr>
                <w:p>
                  <w:pPr>
                    <w:pStyle w:val="23"/>
                    <w:ind w:firstLine="0"/>
                    <w:jc w:val="center"/>
                    <w:rPr>
                      <w:sz w:val="21"/>
                      <w:szCs w:val="21"/>
                    </w:rPr>
                  </w:pPr>
                  <w:r>
                    <w:rPr>
                      <w:bCs/>
                      <w:sz w:val="21"/>
                      <w:szCs w:val="21"/>
                      <w:lang w:eastAsia="zh-CN"/>
                    </w:rPr>
                    <w:t xml:space="preserve">N </w:t>
                  </w:r>
                  <w:r>
                    <w:rPr>
                      <w:rFonts w:hint="eastAsia"/>
                      <w:bCs/>
                      <w:sz w:val="21"/>
                      <w:szCs w:val="21"/>
                      <w:lang w:eastAsia="zh-CN"/>
                    </w:rPr>
                    <w:t>23</w:t>
                  </w:r>
                  <w:r>
                    <w:rPr>
                      <w:bCs/>
                      <w:sz w:val="21"/>
                      <w:szCs w:val="21"/>
                    </w:rPr>
                    <w:t>°</w:t>
                  </w:r>
                  <w:r>
                    <w:rPr>
                      <w:rFonts w:hint="eastAsia"/>
                      <w:bCs/>
                      <w:sz w:val="21"/>
                      <w:szCs w:val="21"/>
                      <w:lang w:eastAsia="zh-CN"/>
                    </w:rPr>
                    <w:t>25</w:t>
                  </w:r>
                  <w:r>
                    <w:rPr>
                      <w:bCs/>
                      <w:sz w:val="21"/>
                      <w:szCs w:val="21"/>
                    </w:rPr>
                    <w:t>′</w:t>
                  </w:r>
                  <w:r>
                    <w:rPr>
                      <w:rFonts w:hint="eastAsia"/>
                      <w:bCs/>
                      <w:sz w:val="21"/>
                      <w:szCs w:val="21"/>
                      <w:lang w:eastAsia="zh-CN"/>
                    </w:rPr>
                    <w:t>58.07</w:t>
                  </w:r>
                  <w:r>
                    <w:rPr>
                      <w:bCs/>
                      <w:sz w:val="21"/>
                      <w:szCs w:val="21"/>
                    </w:rPr>
                    <w:t>″</w:t>
                  </w:r>
                  <w:r>
                    <w:rPr>
                      <w:bCs/>
                      <w:sz w:val="21"/>
                      <w:szCs w:val="21"/>
                      <w:lang w:eastAsia="zh-CN"/>
                    </w:rPr>
                    <w:t>，</w:t>
                  </w:r>
                  <w:r>
                    <w:rPr>
                      <w:rFonts w:hint="eastAsia"/>
                      <w:bCs/>
                      <w:sz w:val="21"/>
                      <w:szCs w:val="21"/>
                      <w:lang w:eastAsia="zh-CN"/>
                    </w:rPr>
                    <w:t xml:space="preserve">E </w:t>
                  </w:r>
                  <w:r>
                    <w:rPr>
                      <w:bCs/>
                      <w:sz w:val="21"/>
                      <w:szCs w:val="21"/>
                    </w:rPr>
                    <w:t>11</w:t>
                  </w:r>
                  <w:r>
                    <w:rPr>
                      <w:rFonts w:hint="eastAsia"/>
                      <w:bCs/>
                      <w:sz w:val="21"/>
                      <w:szCs w:val="21"/>
                      <w:lang w:eastAsia="zh-CN"/>
                    </w:rPr>
                    <w:t>4</w:t>
                  </w:r>
                  <w:r>
                    <w:rPr>
                      <w:bCs/>
                      <w:sz w:val="21"/>
                      <w:szCs w:val="21"/>
                    </w:rPr>
                    <w:t>°</w:t>
                  </w:r>
                  <w:r>
                    <w:rPr>
                      <w:rFonts w:hint="eastAsia"/>
                      <w:bCs/>
                      <w:sz w:val="21"/>
                      <w:szCs w:val="21"/>
                      <w:lang w:eastAsia="zh-CN"/>
                    </w:rPr>
                    <w:t>28</w:t>
                  </w:r>
                  <w:r>
                    <w:rPr>
                      <w:bCs/>
                      <w:sz w:val="21"/>
                      <w:szCs w:val="21"/>
                    </w:rPr>
                    <w:t>′</w:t>
                  </w:r>
                  <w:r>
                    <w:rPr>
                      <w:rFonts w:hint="eastAsia"/>
                      <w:bCs/>
                      <w:sz w:val="21"/>
                      <w:szCs w:val="21"/>
                      <w:lang w:eastAsia="zh-CN"/>
                    </w:rPr>
                    <w:t>39.17</w:t>
                  </w:r>
                  <w:r>
                    <w:rPr>
                      <w:bCs/>
                      <w:sz w:val="21"/>
                      <w:szCs w:val="21"/>
                    </w:rPr>
                    <w:t>″</w:t>
                  </w:r>
                </w:p>
              </w:tc>
              <w:tc>
                <w:tcPr>
                  <w:tcW w:w="674" w:type="pct"/>
                  <w:vAlign w:val="center"/>
                </w:tcPr>
                <w:p>
                  <w:pPr>
                    <w:pStyle w:val="23"/>
                    <w:ind w:firstLine="0"/>
                    <w:jc w:val="center"/>
                    <w:rPr>
                      <w:sz w:val="21"/>
                      <w:szCs w:val="21"/>
                    </w:rPr>
                  </w:pPr>
                  <w:r>
                    <w:rPr>
                      <w:sz w:val="21"/>
                      <w:szCs w:val="21"/>
                    </w:rPr>
                    <w:t>南蛇沥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40" w:type="pct"/>
                  <w:vAlign w:val="center"/>
                </w:tcPr>
                <w:p>
                  <w:pPr>
                    <w:pStyle w:val="23"/>
                    <w:ind w:firstLine="0"/>
                    <w:jc w:val="center"/>
                    <w:rPr>
                      <w:sz w:val="21"/>
                      <w:szCs w:val="21"/>
                      <w:lang w:eastAsia="zh-CN"/>
                    </w:rPr>
                  </w:pPr>
                  <w:r>
                    <w:rPr>
                      <w:sz w:val="21"/>
                      <w:szCs w:val="21"/>
                      <w:lang w:eastAsia="zh-CN"/>
                    </w:rPr>
                    <w:t>W2</w:t>
                  </w:r>
                </w:p>
              </w:tc>
              <w:tc>
                <w:tcPr>
                  <w:tcW w:w="1784" w:type="pct"/>
                  <w:vAlign w:val="center"/>
                </w:tcPr>
                <w:p>
                  <w:pPr>
                    <w:pStyle w:val="23"/>
                    <w:ind w:firstLine="0"/>
                    <w:jc w:val="center"/>
                    <w:rPr>
                      <w:sz w:val="21"/>
                      <w:szCs w:val="21"/>
                    </w:rPr>
                  </w:pPr>
                  <w:r>
                    <w:rPr>
                      <w:rFonts w:hint="eastAsia"/>
                      <w:sz w:val="21"/>
                      <w:szCs w:val="21"/>
                      <w:lang w:eastAsia="zh-CN"/>
                    </w:rPr>
                    <w:t>杨侨镇生活污水处理厂</w:t>
                  </w:r>
                  <w:r>
                    <w:rPr>
                      <w:sz w:val="21"/>
                      <w:szCs w:val="21"/>
                    </w:rPr>
                    <w:t>排污口下游</w:t>
                  </w:r>
                  <w:r>
                    <w:rPr>
                      <w:rFonts w:hint="eastAsia"/>
                      <w:sz w:val="21"/>
                      <w:szCs w:val="21"/>
                      <w:lang w:eastAsia="zh-CN"/>
                    </w:rPr>
                    <w:t>2</w:t>
                  </w:r>
                  <w:r>
                    <w:rPr>
                      <w:sz w:val="21"/>
                      <w:szCs w:val="21"/>
                    </w:rPr>
                    <w:t>000m</w:t>
                  </w:r>
                </w:p>
              </w:tc>
              <w:tc>
                <w:tcPr>
                  <w:tcW w:w="1900" w:type="pct"/>
                  <w:vAlign w:val="center"/>
                </w:tcPr>
                <w:p>
                  <w:pPr>
                    <w:pStyle w:val="23"/>
                    <w:ind w:firstLine="0"/>
                    <w:jc w:val="center"/>
                    <w:rPr>
                      <w:sz w:val="21"/>
                      <w:szCs w:val="21"/>
                    </w:rPr>
                  </w:pPr>
                  <w:r>
                    <w:rPr>
                      <w:bCs/>
                      <w:sz w:val="21"/>
                      <w:szCs w:val="21"/>
                      <w:lang w:eastAsia="zh-CN"/>
                    </w:rPr>
                    <w:t xml:space="preserve">N </w:t>
                  </w:r>
                  <w:r>
                    <w:rPr>
                      <w:bCs/>
                      <w:sz w:val="21"/>
                      <w:szCs w:val="21"/>
                    </w:rPr>
                    <w:t>2</w:t>
                  </w:r>
                  <w:r>
                    <w:rPr>
                      <w:bCs/>
                      <w:sz w:val="21"/>
                      <w:szCs w:val="21"/>
                      <w:lang w:eastAsia="zh-CN"/>
                    </w:rPr>
                    <w:t>3</w:t>
                  </w:r>
                  <w:r>
                    <w:rPr>
                      <w:bCs/>
                      <w:sz w:val="21"/>
                      <w:szCs w:val="21"/>
                    </w:rPr>
                    <w:t>°</w:t>
                  </w:r>
                  <w:r>
                    <w:rPr>
                      <w:rFonts w:hint="eastAsia"/>
                      <w:bCs/>
                      <w:sz w:val="21"/>
                      <w:szCs w:val="21"/>
                      <w:lang w:eastAsia="zh-CN"/>
                    </w:rPr>
                    <w:t>24</w:t>
                  </w:r>
                  <w:r>
                    <w:rPr>
                      <w:bCs/>
                      <w:sz w:val="21"/>
                      <w:szCs w:val="21"/>
                    </w:rPr>
                    <w:t>′</w:t>
                  </w:r>
                  <w:r>
                    <w:rPr>
                      <w:rFonts w:hint="eastAsia"/>
                      <w:bCs/>
                      <w:sz w:val="21"/>
                      <w:szCs w:val="21"/>
                      <w:lang w:eastAsia="zh-CN"/>
                    </w:rPr>
                    <w:t>54.92</w:t>
                  </w:r>
                  <w:r>
                    <w:rPr>
                      <w:bCs/>
                      <w:sz w:val="21"/>
                      <w:szCs w:val="21"/>
                    </w:rPr>
                    <w:t>″</w:t>
                  </w:r>
                  <w:r>
                    <w:rPr>
                      <w:bCs/>
                      <w:sz w:val="21"/>
                      <w:szCs w:val="21"/>
                      <w:lang w:eastAsia="zh-CN"/>
                    </w:rPr>
                    <w:t>，</w:t>
                  </w:r>
                  <w:r>
                    <w:rPr>
                      <w:rFonts w:hint="eastAsia"/>
                      <w:bCs/>
                      <w:sz w:val="21"/>
                      <w:szCs w:val="21"/>
                      <w:lang w:eastAsia="zh-CN"/>
                    </w:rPr>
                    <w:t xml:space="preserve">E </w:t>
                  </w:r>
                  <w:r>
                    <w:rPr>
                      <w:bCs/>
                      <w:sz w:val="21"/>
                      <w:szCs w:val="21"/>
                    </w:rPr>
                    <w:t>11</w:t>
                  </w:r>
                  <w:r>
                    <w:rPr>
                      <w:rFonts w:hint="eastAsia"/>
                      <w:bCs/>
                      <w:sz w:val="21"/>
                      <w:szCs w:val="21"/>
                      <w:lang w:eastAsia="zh-CN"/>
                    </w:rPr>
                    <w:t>4</w:t>
                  </w:r>
                  <w:r>
                    <w:rPr>
                      <w:bCs/>
                      <w:sz w:val="21"/>
                      <w:szCs w:val="21"/>
                    </w:rPr>
                    <w:t>°</w:t>
                  </w:r>
                  <w:r>
                    <w:rPr>
                      <w:rFonts w:hint="eastAsia"/>
                      <w:bCs/>
                      <w:sz w:val="21"/>
                      <w:szCs w:val="21"/>
                      <w:lang w:eastAsia="zh-CN"/>
                    </w:rPr>
                    <w:t>28</w:t>
                  </w:r>
                  <w:r>
                    <w:rPr>
                      <w:bCs/>
                      <w:sz w:val="21"/>
                      <w:szCs w:val="21"/>
                    </w:rPr>
                    <w:t>′</w:t>
                  </w:r>
                  <w:r>
                    <w:rPr>
                      <w:rFonts w:hint="eastAsia"/>
                      <w:bCs/>
                      <w:sz w:val="21"/>
                      <w:szCs w:val="21"/>
                      <w:lang w:eastAsia="zh-CN"/>
                    </w:rPr>
                    <w:t>43.89</w:t>
                  </w:r>
                  <w:r>
                    <w:rPr>
                      <w:bCs/>
                      <w:sz w:val="21"/>
                      <w:szCs w:val="21"/>
                    </w:rPr>
                    <w:t>″</w:t>
                  </w:r>
                </w:p>
              </w:tc>
              <w:tc>
                <w:tcPr>
                  <w:tcW w:w="674" w:type="pct"/>
                  <w:vAlign w:val="center"/>
                </w:tcPr>
                <w:p>
                  <w:pPr>
                    <w:pStyle w:val="23"/>
                    <w:ind w:firstLine="0"/>
                    <w:jc w:val="center"/>
                    <w:rPr>
                      <w:sz w:val="21"/>
                      <w:szCs w:val="21"/>
                    </w:rPr>
                  </w:pPr>
                  <w:r>
                    <w:rPr>
                      <w:sz w:val="21"/>
                      <w:szCs w:val="21"/>
                    </w:rPr>
                    <w:t>南蛇沥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40" w:type="pct"/>
                  <w:vAlign w:val="center"/>
                </w:tcPr>
                <w:p>
                  <w:pPr>
                    <w:pStyle w:val="23"/>
                    <w:ind w:firstLine="0"/>
                    <w:jc w:val="center"/>
                    <w:rPr>
                      <w:sz w:val="21"/>
                      <w:szCs w:val="21"/>
                      <w:lang w:eastAsia="zh-CN"/>
                    </w:rPr>
                  </w:pPr>
                  <w:r>
                    <w:rPr>
                      <w:sz w:val="21"/>
                      <w:szCs w:val="21"/>
                      <w:lang w:eastAsia="zh-CN"/>
                    </w:rPr>
                    <w:t>W3</w:t>
                  </w:r>
                </w:p>
              </w:tc>
              <w:tc>
                <w:tcPr>
                  <w:tcW w:w="1784" w:type="pct"/>
                  <w:vAlign w:val="center"/>
                </w:tcPr>
                <w:p>
                  <w:pPr>
                    <w:pStyle w:val="23"/>
                    <w:ind w:firstLine="0"/>
                    <w:jc w:val="center"/>
                    <w:rPr>
                      <w:sz w:val="21"/>
                      <w:szCs w:val="21"/>
                      <w:lang w:eastAsia="zh-CN"/>
                    </w:rPr>
                  </w:pPr>
                  <w:r>
                    <w:rPr>
                      <w:rFonts w:hint="eastAsia"/>
                      <w:sz w:val="21"/>
                      <w:szCs w:val="21"/>
                      <w:lang w:eastAsia="zh-CN"/>
                    </w:rPr>
                    <w:t>南蛇沥与公庄河交汇处下游500m</w:t>
                  </w:r>
                </w:p>
              </w:tc>
              <w:tc>
                <w:tcPr>
                  <w:tcW w:w="1900" w:type="pct"/>
                  <w:vAlign w:val="center"/>
                </w:tcPr>
                <w:p>
                  <w:pPr>
                    <w:pStyle w:val="23"/>
                    <w:ind w:firstLine="0"/>
                    <w:jc w:val="center"/>
                    <w:rPr>
                      <w:sz w:val="21"/>
                      <w:szCs w:val="21"/>
                    </w:rPr>
                  </w:pPr>
                  <w:r>
                    <w:rPr>
                      <w:sz w:val="21"/>
                      <w:szCs w:val="21"/>
                    </w:rPr>
                    <w:t>N 23°2</w:t>
                  </w:r>
                  <w:r>
                    <w:rPr>
                      <w:rFonts w:hint="eastAsia"/>
                      <w:sz w:val="21"/>
                      <w:szCs w:val="21"/>
                      <w:lang w:eastAsia="zh-CN"/>
                    </w:rPr>
                    <w:t>4</w:t>
                  </w:r>
                  <w:r>
                    <w:rPr>
                      <w:sz w:val="21"/>
                      <w:szCs w:val="21"/>
                    </w:rPr>
                    <w:t>′</w:t>
                  </w:r>
                  <w:r>
                    <w:rPr>
                      <w:rFonts w:hint="eastAsia"/>
                      <w:sz w:val="21"/>
                      <w:szCs w:val="21"/>
                      <w:lang w:eastAsia="zh-CN"/>
                    </w:rPr>
                    <w:t>33.76</w:t>
                  </w:r>
                  <w:r>
                    <w:rPr>
                      <w:sz w:val="21"/>
                      <w:szCs w:val="21"/>
                    </w:rPr>
                    <w:t>″，E 114°2</w:t>
                  </w:r>
                  <w:r>
                    <w:rPr>
                      <w:rFonts w:hint="eastAsia"/>
                      <w:sz w:val="21"/>
                      <w:szCs w:val="21"/>
                      <w:lang w:eastAsia="zh-CN"/>
                    </w:rPr>
                    <w:t>8</w:t>
                  </w:r>
                  <w:r>
                    <w:rPr>
                      <w:sz w:val="21"/>
                      <w:szCs w:val="21"/>
                    </w:rPr>
                    <w:t>′</w:t>
                  </w:r>
                  <w:r>
                    <w:rPr>
                      <w:rFonts w:hint="eastAsia"/>
                      <w:sz w:val="21"/>
                      <w:szCs w:val="21"/>
                      <w:lang w:eastAsia="zh-CN"/>
                    </w:rPr>
                    <w:t>51.58</w:t>
                  </w:r>
                  <w:r>
                    <w:rPr>
                      <w:sz w:val="21"/>
                      <w:szCs w:val="21"/>
                    </w:rPr>
                    <w:t>″</w:t>
                  </w:r>
                </w:p>
              </w:tc>
              <w:tc>
                <w:tcPr>
                  <w:tcW w:w="674" w:type="pct"/>
                  <w:vAlign w:val="center"/>
                </w:tcPr>
                <w:p>
                  <w:pPr>
                    <w:pStyle w:val="23"/>
                    <w:ind w:firstLine="0"/>
                    <w:jc w:val="center"/>
                    <w:rPr>
                      <w:sz w:val="21"/>
                      <w:szCs w:val="21"/>
                    </w:rPr>
                  </w:pPr>
                  <w:r>
                    <w:rPr>
                      <w:sz w:val="21"/>
                      <w:szCs w:val="21"/>
                    </w:rPr>
                    <w:t>公庄河</w:t>
                  </w:r>
                </w:p>
              </w:tc>
            </w:tr>
          </w:tbl>
          <w:p>
            <w:pPr>
              <w:widowControl/>
              <w:spacing w:before="120" w:beforeLines="50" w:line="360" w:lineRule="auto"/>
              <w:ind w:firstLine="422" w:firstLineChars="200"/>
              <w:jc w:val="center"/>
              <w:rPr>
                <w:b/>
                <w:bCs/>
              </w:rPr>
            </w:pPr>
            <w:r>
              <w:rPr>
                <w:b/>
                <w:bCs/>
              </w:rPr>
              <w:t>表</w:t>
            </w:r>
            <w:r>
              <w:rPr>
                <w:rFonts w:hint="eastAsia"/>
                <w:b/>
                <w:bCs/>
              </w:rPr>
              <w:t>3-3</w:t>
            </w:r>
            <w:r>
              <w:rPr>
                <w:b/>
                <w:bCs/>
              </w:rPr>
              <w:t xml:space="preserve"> </w:t>
            </w:r>
            <w:r>
              <w:rPr>
                <w:rFonts w:hint="eastAsia"/>
                <w:b/>
                <w:bCs/>
              </w:rPr>
              <w:t>水质现状监测结果 （单位：mg/L，pH除外）</w:t>
            </w:r>
          </w:p>
          <w:tbl>
            <w:tblPr>
              <w:tblStyle w:val="93"/>
              <w:tblW w:w="877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8"/>
              <w:gridCol w:w="1852"/>
              <w:gridCol w:w="2155"/>
              <w:gridCol w:w="1746"/>
              <w:gridCol w:w="17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7" w:type="dxa"/>
                  <w:vAlign w:val="center"/>
                </w:tcPr>
                <w:p>
                  <w:pPr>
                    <w:keepNext/>
                    <w:jc w:val="center"/>
                    <w:rPr>
                      <w:b/>
                      <w:bCs/>
                    </w:rPr>
                  </w:pPr>
                  <w:r>
                    <w:rPr>
                      <w:rFonts w:hint="eastAsia"/>
                      <w:b/>
                      <w:bCs/>
                    </w:rPr>
                    <w:t>检测项目</w:t>
                  </w:r>
                </w:p>
              </w:tc>
              <w:tc>
                <w:tcPr>
                  <w:tcW w:w="1860" w:type="dxa"/>
                  <w:vAlign w:val="center"/>
                </w:tcPr>
                <w:p>
                  <w:pPr>
                    <w:keepNext/>
                    <w:jc w:val="center"/>
                    <w:rPr>
                      <w:b/>
                      <w:bCs/>
                    </w:rPr>
                  </w:pPr>
                  <w:r>
                    <w:rPr>
                      <w:rFonts w:hint="eastAsia"/>
                      <w:b/>
                      <w:bCs/>
                    </w:rPr>
                    <w:t>采样日期</w:t>
                  </w:r>
                </w:p>
              </w:tc>
              <w:tc>
                <w:tcPr>
                  <w:tcW w:w="2169" w:type="dxa"/>
                  <w:vAlign w:val="center"/>
                </w:tcPr>
                <w:p>
                  <w:pPr>
                    <w:keepNext/>
                    <w:jc w:val="center"/>
                    <w:rPr>
                      <w:b/>
                      <w:bCs/>
                    </w:rPr>
                  </w:pPr>
                  <w:r>
                    <w:rPr>
                      <w:rFonts w:hint="eastAsia"/>
                      <w:b/>
                      <w:bCs/>
                    </w:rPr>
                    <w:t>W1杨侨镇生活污水处理厂排污口上游500m</w:t>
                  </w:r>
                </w:p>
              </w:tc>
              <w:tc>
                <w:tcPr>
                  <w:tcW w:w="1756" w:type="dxa"/>
                  <w:vAlign w:val="center"/>
                </w:tcPr>
                <w:p>
                  <w:pPr>
                    <w:keepNext/>
                    <w:jc w:val="center"/>
                    <w:rPr>
                      <w:b/>
                      <w:bCs/>
                    </w:rPr>
                  </w:pPr>
                  <w:r>
                    <w:rPr>
                      <w:rFonts w:hint="eastAsia"/>
                      <w:b/>
                      <w:bCs/>
                    </w:rPr>
                    <w:t>W2杨侨镇生活污水处理厂排污口下游2000m</w:t>
                  </w:r>
                </w:p>
              </w:tc>
              <w:tc>
                <w:tcPr>
                  <w:tcW w:w="1756" w:type="dxa"/>
                  <w:vAlign w:val="center"/>
                </w:tcPr>
                <w:p>
                  <w:pPr>
                    <w:keepNext/>
                    <w:jc w:val="center"/>
                    <w:rPr>
                      <w:b/>
                      <w:bCs/>
                    </w:rPr>
                  </w:pPr>
                  <w:r>
                    <w:rPr>
                      <w:rFonts w:hint="eastAsia"/>
                      <w:b/>
                      <w:bCs/>
                    </w:rPr>
                    <w:t>W3南蛇沥与公庄河交汇处下游500m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7" w:type="dxa"/>
                  <w:vMerge w:val="restart"/>
                  <w:vAlign w:val="center"/>
                </w:tcPr>
                <w:p>
                  <w:pPr>
                    <w:keepNext/>
                    <w:jc w:val="center"/>
                  </w:pPr>
                  <w:r>
                    <w:rPr>
                      <w:rFonts w:hint="eastAsia"/>
                    </w:rPr>
                    <w:t>pH</w:t>
                  </w:r>
                </w:p>
                <w:p>
                  <w:pPr>
                    <w:keepNext/>
                    <w:jc w:val="center"/>
                  </w:pPr>
                  <w:r>
                    <w:rPr>
                      <w:rFonts w:hint="eastAsia"/>
                    </w:rPr>
                    <w:t>（无量纲）</w:t>
                  </w:r>
                </w:p>
              </w:tc>
              <w:tc>
                <w:tcPr>
                  <w:tcW w:w="1860" w:type="dxa"/>
                  <w:vAlign w:val="center"/>
                </w:tcPr>
                <w:p>
                  <w:pPr>
                    <w:keepNext/>
                    <w:jc w:val="center"/>
                  </w:pPr>
                  <w:r>
                    <w:rPr>
                      <w:rFonts w:hint="eastAsia"/>
                    </w:rPr>
                    <w:t>2021.11.27</w:t>
                  </w:r>
                </w:p>
              </w:tc>
              <w:tc>
                <w:tcPr>
                  <w:tcW w:w="2169" w:type="dxa"/>
                  <w:vAlign w:val="center"/>
                </w:tcPr>
                <w:p>
                  <w:pPr>
                    <w:keepNext/>
                    <w:jc w:val="center"/>
                  </w:pPr>
                  <w:r>
                    <w:rPr>
                      <w:rFonts w:hint="eastAsia"/>
                    </w:rPr>
                    <w:t>7.2</w:t>
                  </w:r>
                </w:p>
              </w:tc>
              <w:tc>
                <w:tcPr>
                  <w:tcW w:w="1756" w:type="dxa"/>
                  <w:vAlign w:val="center"/>
                </w:tcPr>
                <w:p>
                  <w:pPr>
                    <w:keepNext/>
                    <w:jc w:val="center"/>
                  </w:pPr>
                  <w:r>
                    <w:rPr>
                      <w:rFonts w:hint="eastAsia"/>
                    </w:rPr>
                    <w:t>7.1</w:t>
                  </w:r>
                </w:p>
              </w:tc>
              <w:tc>
                <w:tcPr>
                  <w:tcW w:w="1756" w:type="dxa"/>
                  <w:vAlign w:val="center"/>
                </w:tcPr>
                <w:p>
                  <w:pPr>
                    <w:keepNext/>
                    <w:jc w:val="center"/>
                  </w:pPr>
                  <w:r>
                    <w:rPr>
                      <w:rFonts w:hint="eastAsia"/>
                    </w:rPr>
                    <w:t>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7" w:type="dxa"/>
                  <w:vMerge w:val="continue"/>
                  <w:vAlign w:val="center"/>
                </w:tcPr>
                <w:p>
                  <w:pPr>
                    <w:keepNext/>
                    <w:jc w:val="center"/>
                  </w:pPr>
                </w:p>
              </w:tc>
              <w:tc>
                <w:tcPr>
                  <w:tcW w:w="1860" w:type="dxa"/>
                  <w:vAlign w:val="center"/>
                </w:tcPr>
                <w:p>
                  <w:pPr>
                    <w:keepNext/>
                    <w:jc w:val="center"/>
                  </w:pPr>
                  <w:r>
                    <w:rPr>
                      <w:rFonts w:hint="eastAsia"/>
                    </w:rPr>
                    <w:t>2021.11.28</w:t>
                  </w:r>
                </w:p>
              </w:tc>
              <w:tc>
                <w:tcPr>
                  <w:tcW w:w="2169" w:type="dxa"/>
                  <w:vAlign w:val="center"/>
                </w:tcPr>
                <w:p>
                  <w:pPr>
                    <w:keepNext/>
                    <w:jc w:val="center"/>
                  </w:pPr>
                  <w:r>
                    <w:rPr>
                      <w:rFonts w:hint="eastAsia"/>
                    </w:rPr>
                    <w:t>7.0</w:t>
                  </w:r>
                </w:p>
              </w:tc>
              <w:tc>
                <w:tcPr>
                  <w:tcW w:w="1756" w:type="dxa"/>
                  <w:vAlign w:val="center"/>
                </w:tcPr>
                <w:p>
                  <w:pPr>
                    <w:keepNext/>
                    <w:jc w:val="center"/>
                  </w:pPr>
                  <w:r>
                    <w:rPr>
                      <w:rFonts w:hint="eastAsia"/>
                    </w:rPr>
                    <w:t>7.1</w:t>
                  </w:r>
                </w:p>
              </w:tc>
              <w:tc>
                <w:tcPr>
                  <w:tcW w:w="1756" w:type="dxa"/>
                  <w:vAlign w:val="center"/>
                </w:tcPr>
                <w:p>
                  <w:pPr>
                    <w:keepNext/>
                    <w:jc w:val="center"/>
                  </w:pPr>
                  <w:r>
                    <w:rPr>
                      <w:rFonts w:hint="eastAsia"/>
                    </w:rPr>
                    <w:t>7.1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7" w:type="dxa"/>
                  <w:vMerge w:val="continue"/>
                  <w:vAlign w:val="center"/>
                </w:tcPr>
                <w:p>
                  <w:pPr>
                    <w:keepNext/>
                    <w:jc w:val="center"/>
                  </w:pPr>
                </w:p>
              </w:tc>
              <w:tc>
                <w:tcPr>
                  <w:tcW w:w="1860" w:type="dxa"/>
                  <w:vAlign w:val="center"/>
                </w:tcPr>
                <w:p>
                  <w:pPr>
                    <w:keepNext/>
                    <w:jc w:val="center"/>
                  </w:pPr>
                  <w:r>
                    <w:rPr>
                      <w:rFonts w:hint="eastAsia"/>
                    </w:rPr>
                    <w:t>2021.11.29</w:t>
                  </w:r>
                </w:p>
              </w:tc>
              <w:tc>
                <w:tcPr>
                  <w:tcW w:w="2169" w:type="dxa"/>
                  <w:vAlign w:val="center"/>
                </w:tcPr>
                <w:p>
                  <w:pPr>
                    <w:keepNext/>
                    <w:jc w:val="center"/>
                  </w:pPr>
                  <w:r>
                    <w:rPr>
                      <w:rFonts w:hint="eastAsia"/>
                    </w:rPr>
                    <w:t>7.2</w:t>
                  </w:r>
                </w:p>
              </w:tc>
              <w:tc>
                <w:tcPr>
                  <w:tcW w:w="1756" w:type="dxa"/>
                  <w:vAlign w:val="center"/>
                </w:tcPr>
                <w:p>
                  <w:pPr>
                    <w:keepNext/>
                    <w:jc w:val="center"/>
                  </w:pPr>
                  <w:r>
                    <w:rPr>
                      <w:rFonts w:hint="eastAsia"/>
                    </w:rPr>
                    <w:t>7.0</w:t>
                  </w:r>
                </w:p>
              </w:tc>
              <w:tc>
                <w:tcPr>
                  <w:tcW w:w="1756" w:type="dxa"/>
                  <w:vAlign w:val="center"/>
                </w:tcPr>
                <w:p>
                  <w:pPr>
                    <w:keepNext/>
                    <w:jc w:val="center"/>
                  </w:pPr>
                  <w:r>
                    <w:rPr>
                      <w:rFonts w:hint="eastAsia"/>
                    </w:rPr>
                    <w:t>7.1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7" w:type="dxa"/>
                  <w:vMerge w:val="continue"/>
                  <w:vAlign w:val="center"/>
                </w:tcPr>
                <w:p>
                  <w:pPr>
                    <w:keepNext/>
                    <w:jc w:val="center"/>
                  </w:pPr>
                </w:p>
              </w:tc>
              <w:tc>
                <w:tcPr>
                  <w:tcW w:w="1860" w:type="dxa"/>
                  <w:vAlign w:val="center"/>
                </w:tcPr>
                <w:p>
                  <w:pPr>
                    <w:keepNext/>
                    <w:jc w:val="center"/>
                  </w:pPr>
                  <w:r>
                    <w:rPr>
                      <w:rFonts w:hint="eastAsia"/>
                    </w:rPr>
                    <w:t>平均值</w:t>
                  </w:r>
                </w:p>
              </w:tc>
              <w:tc>
                <w:tcPr>
                  <w:tcW w:w="2169" w:type="dxa"/>
                  <w:vAlign w:val="center"/>
                </w:tcPr>
                <w:p>
                  <w:pPr>
                    <w:keepNext/>
                    <w:jc w:val="center"/>
                  </w:pPr>
                  <w:r>
                    <w:rPr>
                      <w:rFonts w:hint="eastAsia"/>
                    </w:rPr>
                    <w:t>7.1</w:t>
                  </w:r>
                </w:p>
              </w:tc>
              <w:tc>
                <w:tcPr>
                  <w:tcW w:w="1756" w:type="dxa"/>
                  <w:vAlign w:val="center"/>
                </w:tcPr>
                <w:p>
                  <w:pPr>
                    <w:keepNext/>
                    <w:jc w:val="center"/>
                  </w:pPr>
                  <w:r>
                    <w:rPr>
                      <w:rFonts w:hint="eastAsia"/>
                    </w:rPr>
                    <w:t>7.1</w:t>
                  </w:r>
                </w:p>
              </w:tc>
              <w:tc>
                <w:tcPr>
                  <w:tcW w:w="1756" w:type="dxa"/>
                  <w:vAlign w:val="center"/>
                </w:tcPr>
                <w:p>
                  <w:pPr>
                    <w:keepNext/>
                    <w:jc w:val="center"/>
                  </w:pPr>
                  <w:r>
                    <w:rPr>
                      <w:rFonts w:hint="eastAsia"/>
                    </w:rPr>
                    <w:t>7.1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7" w:type="dxa"/>
                  <w:vMerge w:val="continue"/>
                  <w:vAlign w:val="center"/>
                </w:tcPr>
                <w:p>
                  <w:pPr>
                    <w:keepNext/>
                    <w:jc w:val="center"/>
                  </w:pPr>
                </w:p>
              </w:tc>
              <w:tc>
                <w:tcPr>
                  <w:tcW w:w="1860" w:type="dxa"/>
                  <w:vAlign w:val="center"/>
                </w:tcPr>
                <w:p>
                  <w:pPr>
                    <w:keepNext/>
                    <w:jc w:val="center"/>
                    <w:rPr>
                      <w:color w:val="000000"/>
                      <w:szCs w:val="21"/>
                    </w:rPr>
                  </w:pPr>
                  <w:r>
                    <w:rPr>
                      <w:color w:val="000000"/>
                      <w:szCs w:val="21"/>
                    </w:rPr>
                    <w:t>Ⅴ</w:t>
                  </w:r>
                  <w:r>
                    <w:rPr>
                      <w:rFonts w:hint="eastAsia"/>
                      <w:color w:val="000000"/>
                      <w:szCs w:val="21"/>
                    </w:rPr>
                    <w:t>（W1、W2）/</w:t>
                  </w:r>
                </w:p>
                <w:p>
                  <w:pPr>
                    <w:keepNext/>
                    <w:jc w:val="center"/>
                  </w:pPr>
                  <w:r>
                    <w:rPr>
                      <w:color w:val="000000"/>
                      <w:szCs w:val="21"/>
                    </w:rPr>
                    <w:t>Ⅲ</w:t>
                  </w:r>
                  <w:r>
                    <w:rPr>
                      <w:rFonts w:hint="eastAsia"/>
                      <w:color w:val="000000"/>
                      <w:szCs w:val="21"/>
                    </w:rPr>
                    <w:t>（W3）</w:t>
                  </w:r>
                  <w:r>
                    <w:rPr>
                      <w:color w:val="000000"/>
                      <w:szCs w:val="21"/>
                    </w:rPr>
                    <w:t>类标准</w:t>
                  </w:r>
                </w:p>
              </w:tc>
              <w:tc>
                <w:tcPr>
                  <w:tcW w:w="2169" w:type="dxa"/>
                  <w:vAlign w:val="center"/>
                </w:tcPr>
                <w:p>
                  <w:pPr>
                    <w:keepNext/>
                    <w:jc w:val="center"/>
                  </w:pPr>
                  <w:r>
                    <w:rPr>
                      <w:rFonts w:hint="eastAsia"/>
                    </w:rPr>
                    <w:t>6~9</w:t>
                  </w:r>
                </w:p>
              </w:tc>
              <w:tc>
                <w:tcPr>
                  <w:tcW w:w="1756" w:type="dxa"/>
                  <w:vAlign w:val="center"/>
                </w:tcPr>
                <w:p>
                  <w:pPr>
                    <w:keepNext/>
                    <w:jc w:val="center"/>
                  </w:pPr>
                  <w:r>
                    <w:rPr>
                      <w:rFonts w:hint="eastAsia"/>
                    </w:rPr>
                    <w:t>6~9</w:t>
                  </w:r>
                </w:p>
              </w:tc>
              <w:tc>
                <w:tcPr>
                  <w:tcW w:w="1756" w:type="dxa"/>
                  <w:vAlign w:val="center"/>
                </w:tcPr>
                <w:p>
                  <w:pPr>
                    <w:keepNext/>
                    <w:jc w:val="center"/>
                  </w:pPr>
                  <w:r>
                    <w:rPr>
                      <w:rFonts w:hint="eastAsia"/>
                    </w:rPr>
                    <w:t>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7" w:type="dxa"/>
                  <w:vMerge w:val="continue"/>
                  <w:vAlign w:val="center"/>
                </w:tcPr>
                <w:p>
                  <w:pPr>
                    <w:keepNext/>
                    <w:jc w:val="center"/>
                  </w:pPr>
                </w:p>
              </w:tc>
              <w:tc>
                <w:tcPr>
                  <w:tcW w:w="1860" w:type="dxa"/>
                  <w:vAlign w:val="center"/>
                </w:tcPr>
                <w:p>
                  <w:pPr>
                    <w:keepNext/>
                    <w:jc w:val="center"/>
                  </w:pPr>
                  <w:r>
                    <w:rPr>
                      <w:rFonts w:hint="eastAsia"/>
                    </w:rPr>
                    <w:t>标准指数</w:t>
                  </w:r>
                </w:p>
              </w:tc>
              <w:tc>
                <w:tcPr>
                  <w:tcW w:w="2169" w:type="dxa"/>
                  <w:vAlign w:val="center"/>
                </w:tcPr>
                <w:p>
                  <w:pPr>
                    <w:keepNext/>
                    <w:jc w:val="center"/>
                  </w:pPr>
                  <w:r>
                    <w:rPr>
                      <w:rFonts w:hint="eastAsia"/>
                    </w:rPr>
                    <w:t>0.05</w:t>
                  </w:r>
                </w:p>
              </w:tc>
              <w:tc>
                <w:tcPr>
                  <w:tcW w:w="1756" w:type="dxa"/>
                  <w:vAlign w:val="center"/>
                </w:tcPr>
                <w:p>
                  <w:pPr>
                    <w:keepNext/>
                    <w:jc w:val="center"/>
                  </w:pPr>
                  <w:r>
                    <w:rPr>
                      <w:rFonts w:hint="eastAsia"/>
                    </w:rPr>
                    <w:t>0.05</w:t>
                  </w:r>
                </w:p>
              </w:tc>
              <w:tc>
                <w:tcPr>
                  <w:tcW w:w="1756" w:type="dxa"/>
                  <w:vAlign w:val="center"/>
                </w:tcPr>
                <w:p>
                  <w:pPr>
                    <w:keepNext/>
                    <w:jc w:val="center"/>
                  </w:pPr>
                  <w:r>
                    <w:rPr>
                      <w:rFonts w:hint="eastAsia"/>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7" w:type="dxa"/>
                  <w:vMerge w:val="continue"/>
                  <w:vAlign w:val="center"/>
                </w:tcPr>
                <w:p>
                  <w:pPr>
                    <w:keepNext/>
                    <w:jc w:val="center"/>
                  </w:pPr>
                </w:p>
              </w:tc>
              <w:tc>
                <w:tcPr>
                  <w:tcW w:w="1860" w:type="dxa"/>
                  <w:vAlign w:val="center"/>
                </w:tcPr>
                <w:p>
                  <w:pPr>
                    <w:keepNext/>
                    <w:jc w:val="center"/>
                  </w:pPr>
                  <w:r>
                    <w:rPr>
                      <w:rFonts w:hint="eastAsia"/>
                    </w:rPr>
                    <w:t>达标情况</w:t>
                  </w:r>
                </w:p>
              </w:tc>
              <w:tc>
                <w:tcPr>
                  <w:tcW w:w="2169" w:type="dxa"/>
                  <w:vAlign w:val="center"/>
                </w:tcPr>
                <w:p>
                  <w:pPr>
                    <w:keepNext/>
                    <w:jc w:val="center"/>
                  </w:pPr>
                  <w:r>
                    <w:rPr>
                      <w:rFonts w:hint="eastAsia"/>
                    </w:rPr>
                    <w:t>达标</w:t>
                  </w:r>
                </w:p>
              </w:tc>
              <w:tc>
                <w:tcPr>
                  <w:tcW w:w="1756" w:type="dxa"/>
                  <w:vAlign w:val="center"/>
                </w:tcPr>
                <w:p>
                  <w:pPr>
                    <w:keepNext/>
                    <w:jc w:val="center"/>
                  </w:pPr>
                  <w:r>
                    <w:rPr>
                      <w:rFonts w:hint="eastAsia"/>
                    </w:rPr>
                    <w:t>达标</w:t>
                  </w:r>
                </w:p>
              </w:tc>
              <w:tc>
                <w:tcPr>
                  <w:tcW w:w="1756" w:type="dxa"/>
                  <w:vAlign w:val="center"/>
                </w:tcPr>
                <w:p>
                  <w:pPr>
                    <w:keepNext/>
                    <w:jc w:val="center"/>
                  </w:pPr>
                  <w:r>
                    <w:rPr>
                      <w:rFonts w:hint="eastAsia"/>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237" w:type="dxa"/>
                  <w:vMerge w:val="restart"/>
                  <w:vAlign w:val="center"/>
                </w:tcPr>
                <w:p>
                  <w:pPr>
                    <w:keepNext/>
                    <w:jc w:val="center"/>
                  </w:pPr>
                  <w:r>
                    <w:rPr>
                      <w:rFonts w:hint="eastAsia"/>
                    </w:rPr>
                    <w:t>水温</w:t>
                  </w:r>
                </w:p>
                <w:p>
                  <w:pPr>
                    <w:keepNext/>
                    <w:jc w:val="center"/>
                  </w:pPr>
                  <w:r>
                    <w:rPr>
                      <w:rFonts w:hint="eastAsia"/>
                    </w:rPr>
                    <w:t>（℃）</w:t>
                  </w:r>
                </w:p>
              </w:tc>
              <w:tc>
                <w:tcPr>
                  <w:tcW w:w="1860" w:type="dxa"/>
                  <w:vAlign w:val="center"/>
                </w:tcPr>
                <w:p>
                  <w:pPr>
                    <w:keepNext/>
                    <w:jc w:val="center"/>
                    <w:rPr>
                      <w:kern w:val="2"/>
                      <w:szCs w:val="24"/>
                    </w:rPr>
                  </w:pPr>
                  <w:r>
                    <w:rPr>
                      <w:rFonts w:hint="eastAsia"/>
                    </w:rPr>
                    <w:t>2021.11.27</w:t>
                  </w:r>
                </w:p>
              </w:tc>
              <w:tc>
                <w:tcPr>
                  <w:tcW w:w="2169" w:type="dxa"/>
                  <w:vAlign w:val="center"/>
                </w:tcPr>
                <w:p>
                  <w:pPr>
                    <w:keepNext/>
                    <w:jc w:val="center"/>
                  </w:pPr>
                  <w:r>
                    <w:rPr>
                      <w:rFonts w:hint="eastAsia"/>
                    </w:rPr>
                    <w:t>21.3</w:t>
                  </w:r>
                </w:p>
              </w:tc>
              <w:tc>
                <w:tcPr>
                  <w:tcW w:w="1756" w:type="dxa"/>
                  <w:vAlign w:val="center"/>
                </w:tcPr>
                <w:p>
                  <w:pPr>
                    <w:keepNext/>
                    <w:jc w:val="center"/>
                  </w:pPr>
                  <w:r>
                    <w:rPr>
                      <w:rFonts w:hint="eastAsia"/>
                    </w:rPr>
                    <w:t>21.6</w:t>
                  </w:r>
                </w:p>
              </w:tc>
              <w:tc>
                <w:tcPr>
                  <w:tcW w:w="1756" w:type="dxa"/>
                  <w:vAlign w:val="center"/>
                </w:tcPr>
                <w:p>
                  <w:pPr>
                    <w:keepNext/>
                    <w:jc w:val="center"/>
                  </w:pPr>
                  <w:r>
                    <w:rPr>
                      <w:rFonts w:hint="eastAsia"/>
                    </w:rPr>
                    <w:t>21.7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237" w:type="dxa"/>
                  <w:vMerge w:val="continue"/>
                  <w:vAlign w:val="center"/>
                </w:tcPr>
                <w:p>
                  <w:pPr>
                    <w:keepNext/>
                    <w:jc w:val="center"/>
                  </w:pPr>
                </w:p>
              </w:tc>
              <w:tc>
                <w:tcPr>
                  <w:tcW w:w="1860" w:type="dxa"/>
                  <w:vAlign w:val="center"/>
                </w:tcPr>
                <w:p>
                  <w:pPr>
                    <w:keepNext/>
                    <w:jc w:val="center"/>
                    <w:rPr>
                      <w:kern w:val="2"/>
                      <w:szCs w:val="24"/>
                    </w:rPr>
                  </w:pPr>
                  <w:r>
                    <w:rPr>
                      <w:rFonts w:hint="eastAsia"/>
                    </w:rPr>
                    <w:t>2021.11.28</w:t>
                  </w:r>
                </w:p>
              </w:tc>
              <w:tc>
                <w:tcPr>
                  <w:tcW w:w="2169" w:type="dxa"/>
                  <w:vAlign w:val="center"/>
                </w:tcPr>
                <w:p>
                  <w:pPr>
                    <w:keepNext/>
                    <w:jc w:val="center"/>
                  </w:pPr>
                  <w:r>
                    <w:rPr>
                      <w:rFonts w:hint="eastAsia"/>
                    </w:rPr>
                    <w:t>20.8</w:t>
                  </w:r>
                </w:p>
              </w:tc>
              <w:tc>
                <w:tcPr>
                  <w:tcW w:w="1756" w:type="dxa"/>
                  <w:vAlign w:val="center"/>
                </w:tcPr>
                <w:p>
                  <w:pPr>
                    <w:keepNext/>
                    <w:jc w:val="center"/>
                  </w:pPr>
                  <w:r>
                    <w:rPr>
                      <w:rFonts w:hint="eastAsia"/>
                    </w:rPr>
                    <w:t>20.9</w:t>
                  </w:r>
                </w:p>
              </w:tc>
              <w:tc>
                <w:tcPr>
                  <w:tcW w:w="1756" w:type="dxa"/>
                  <w:vAlign w:val="center"/>
                </w:tcPr>
                <w:p>
                  <w:pPr>
                    <w:keepNext/>
                    <w:jc w:val="center"/>
                  </w:pPr>
                  <w:r>
                    <w:rPr>
                      <w:rFonts w:hint="eastAsia"/>
                    </w:rPr>
                    <w:t>21.1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7" w:type="dxa"/>
                  <w:vMerge w:val="continue"/>
                  <w:vAlign w:val="center"/>
                </w:tcPr>
                <w:p>
                  <w:pPr>
                    <w:keepNext/>
                    <w:jc w:val="center"/>
                  </w:pPr>
                </w:p>
              </w:tc>
              <w:tc>
                <w:tcPr>
                  <w:tcW w:w="1860" w:type="dxa"/>
                  <w:vAlign w:val="center"/>
                </w:tcPr>
                <w:p>
                  <w:pPr>
                    <w:keepNext/>
                    <w:jc w:val="center"/>
                    <w:rPr>
                      <w:kern w:val="2"/>
                      <w:szCs w:val="24"/>
                    </w:rPr>
                  </w:pPr>
                  <w:r>
                    <w:rPr>
                      <w:rFonts w:hint="eastAsia"/>
                    </w:rPr>
                    <w:t>2021.11.29</w:t>
                  </w:r>
                </w:p>
              </w:tc>
              <w:tc>
                <w:tcPr>
                  <w:tcW w:w="2169" w:type="dxa"/>
                  <w:vAlign w:val="center"/>
                </w:tcPr>
                <w:p>
                  <w:pPr>
                    <w:keepNext/>
                    <w:jc w:val="center"/>
                  </w:pPr>
                  <w:r>
                    <w:rPr>
                      <w:rFonts w:hint="eastAsia"/>
                    </w:rPr>
                    <w:t>20.3</w:t>
                  </w:r>
                </w:p>
              </w:tc>
              <w:tc>
                <w:tcPr>
                  <w:tcW w:w="1756" w:type="dxa"/>
                  <w:vAlign w:val="center"/>
                </w:tcPr>
                <w:p>
                  <w:pPr>
                    <w:keepNext/>
                    <w:jc w:val="center"/>
                  </w:pPr>
                  <w:r>
                    <w:rPr>
                      <w:rFonts w:hint="eastAsia"/>
                    </w:rPr>
                    <w:t>20.6</w:t>
                  </w:r>
                </w:p>
              </w:tc>
              <w:tc>
                <w:tcPr>
                  <w:tcW w:w="1756" w:type="dxa"/>
                  <w:vAlign w:val="center"/>
                </w:tcPr>
                <w:p>
                  <w:pPr>
                    <w:keepNext/>
                    <w:jc w:val="center"/>
                  </w:pPr>
                  <w:r>
                    <w:rPr>
                      <w:rFonts w:hint="eastAsia"/>
                    </w:rPr>
                    <w:t>20.9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7" w:type="dxa"/>
                  <w:vMerge w:val="continue"/>
                  <w:vAlign w:val="center"/>
                </w:tcPr>
                <w:p>
                  <w:pPr>
                    <w:keepNext/>
                    <w:jc w:val="center"/>
                  </w:pPr>
                </w:p>
              </w:tc>
              <w:tc>
                <w:tcPr>
                  <w:tcW w:w="1860" w:type="dxa"/>
                  <w:vAlign w:val="center"/>
                </w:tcPr>
                <w:p>
                  <w:pPr>
                    <w:keepNext/>
                    <w:jc w:val="center"/>
                    <w:rPr>
                      <w:kern w:val="2"/>
                      <w:szCs w:val="24"/>
                    </w:rPr>
                  </w:pPr>
                  <w:r>
                    <w:rPr>
                      <w:rFonts w:hint="eastAsia"/>
                    </w:rPr>
                    <w:t>平均值</w:t>
                  </w:r>
                </w:p>
              </w:tc>
              <w:tc>
                <w:tcPr>
                  <w:tcW w:w="2169" w:type="dxa"/>
                  <w:vAlign w:val="center"/>
                </w:tcPr>
                <w:p>
                  <w:pPr>
                    <w:keepNext/>
                    <w:jc w:val="center"/>
                  </w:pPr>
                  <w:r>
                    <w:rPr>
                      <w:rFonts w:hint="eastAsia"/>
                    </w:rPr>
                    <w:t>20.8</w:t>
                  </w:r>
                </w:p>
              </w:tc>
              <w:tc>
                <w:tcPr>
                  <w:tcW w:w="1756" w:type="dxa"/>
                  <w:vAlign w:val="center"/>
                </w:tcPr>
                <w:p>
                  <w:pPr>
                    <w:keepNext/>
                    <w:jc w:val="center"/>
                  </w:pPr>
                  <w:r>
                    <w:rPr>
                      <w:rFonts w:hint="eastAsia"/>
                    </w:rPr>
                    <w:t>21.0</w:t>
                  </w:r>
                </w:p>
              </w:tc>
              <w:tc>
                <w:tcPr>
                  <w:tcW w:w="1756" w:type="dxa"/>
                  <w:vAlign w:val="center"/>
                </w:tcPr>
                <w:p>
                  <w:pPr>
                    <w:keepNext/>
                    <w:jc w:val="center"/>
                  </w:pPr>
                  <w:r>
                    <w:rPr>
                      <w:rFonts w:hint="eastAsia"/>
                    </w:rPr>
                    <w:t>21.2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7" w:type="dxa"/>
                  <w:vMerge w:val="continue"/>
                  <w:vAlign w:val="center"/>
                </w:tcPr>
                <w:p>
                  <w:pPr>
                    <w:keepNext/>
                    <w:jc w:val="center"/>
                  </w:pPr>
                </w:p>
              </w:tc>
              <w:tc>
                <w:tcPr>
                  <w:tcW w:w="1860" w:type="dxa"/>
                  <w:vAlign w:val="center"/>
                </w:tcPr>
                <w:p>
                  <w:pPr>
                    <w:keepNext/>
                    <w:jc w:val="center"/>
                    <w:rPr>
                      <w:color w:val="000000"/>
                      <w:szCs w:val="21"/>
                    </w:rPr>
                  </w:pPr>
                  <w:r>
                    <w:rPr>
                      <w:color w:val="000000"/>
                      <w:szCs w:val="21"/>
                    </w:rPr>
                    <w:t>Ⅴ</w:t>
                  </w:r>
                  <w:r>
                    <w:rPr>
                      <w:rFonts w:hint="eastAsia"/>
                      <w:color w:val="000000"/>
                      <w:szCs w:val="21"/>
                    </w:rPr>
                    <w:t>（W1、W2）/</w:t>
                  </w:r>
                </w:p>
                <w:p>
                  <w:pPr>
                    <w:keepNext/>
                    <w:jc w:val="center"/>
                    <w:rPr>
                      <w:kern w:val="2"/>
                      <w:szCs w:val="24"/>
                    </w:rPr>
                  </w:pPr>
                  <w:r>
                    <w:rPr>
                      <w:color w:val="000000"/>
                      <w:szCs w:val="21"/>
                    </w:rPr>
                    <w:t>Ⅲ</w:t>
                  </w:r>
                  <w:r>
                    <w:rPr>
                      <w:rFonts w:hint="eastAsia"/>
                      <w:color w:val="000000"/>
                      <w:szCs w:val="21"/>
                    </w:rPr>
                    <w:t>（W3）</w:t>
                  </w:r>
                  <w:r>
                    <w:rPr>
                      <w:color w:val="000000"/>
                      <w:szCs w:val="21"/>
                    </w:rPr>
                    <w:t>类标准</w:t>
                  </w:r>
                </w:p>
              </w:tc>
              <w:tc>
                <w:tcPr>
                  <w:tcW w:w="2169" w:type="dxa"/>
                  <w:vAlign w:val="center"/>
                </w:tcPr>
                <w:p>
                  <w:pPr>
                    <w:keepNext/>
                    <w:jc w:val="center"/>
                  </w:pPr>
                  <w:r>
                    <w:rPr>
                      <w:rFonts w:hint="eastAsia"/>
                    </w:rPr>
                    <w:t>/</w:t>
                  </w:r>
                </w:p>
              </w:tc>
              <w:tc>
                <w:tcPr>
                  <w:tcW w:w="1756" w:type="dxa"/>
                  <w:vAlign w:val="center"/>
                </w:tcPr>
                <w:p>
                  <w:pPr>
                    <w:keepNext/>
                    <w:jc w:val="center"/>
                  </w:pPr>
                  <w:r>
                    <w:rPr>
                      <w:rFonts w:hint="eastAsia"/>
                    </w:rPr>
                    <w:t>/</w:t>
                  </w:r>
                </w:p>
              </w:tc>
              <w:tc>
                <w:tcPr>
                  <w:tcW w:w="1756" w:type="dxa"/>
                  <w:vAlign w:val="center"/>
                </w:tcPr>
                <w:p>
                  <w:pPr>
                    <w:keepNext/>
                    <w:jc w:val="center"/>
                  </w:pPr>
                  <w:r>
                    <w:rPr>
                      <w:rFonts w:hint="eastAsi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7" w:type="dxa"/>
                  <w:vMerge w:val="continue"/>
                  <w:vAlign w:val="center"/>
                </w:tcPr>
                <w:p>
                  <w:pPr>
                    <w:keepNext/>
                    <w:jc w:val="center"/>
                  </w:pPr>
                </w:p>
              </w:tc>
              <w:tc>
                <w:tcPr>
                  <w:tcW w:w="1860" w:type="dxa"/>
                  <w:vAlign w:val="center"/>
                </w:tcPr>
                <w:p>
                  <w:pPr>
                    <w:keepNext/>
                    <w:jc w:val="center"/>
                    <w:rPr>
                      <w:kern w:val="2"/>
                      <w:szCs w:val="24"/>
                    </w:rPr>
                  </w:pPr>
                  <w:r>
                    <w:rPr>
                      <w:rFonts w:hint="eastAsia"/>
                    </w:rPr>
                    <w:t>标准指数</w:t>
                  </w:r>
                </w:p>
              </w:tc>
              <w:tc>
                <w:tcPr>
                  <w:tcW w:w="2169" w:type="dxa"/>
                  <w:vAlign w:val="center"/>
                </w:tcPr>
                <w:p>
                  <w:pPr>
                    <w:keepNext/>
                    <w:jc w:val="center"/>
                    <w:rPr>
                      <w:kern w:val="2"/>
                      <w:szCs w:val="24"/>
                    </w:rPr>
                  </w:pPr>
                  <w:r>
                    <w:rPr>
                      <w:rFonts w:hint="eastAsia"/>
                    </w:rPr>
                    <w:t>/</w:t>
                  </w:r>
                </w:p>
              </w:tc>
              <w:tc>
                <w:tcPr>
                  <w:tcW w:w="1756" w:type="dxa"/>
                  <w:vAlign w:val="center"/>
                </w:tcPr>
                <w:p>
                  <w:pPr>
                    <w:keepNext/>
                    <w:jc w:val="center"/>
                    <w:rPr>
                      <w:kern w:val="2"/>
                      <w:szCs w:val="24"/>
                    </w:rPr>
                  </w:pPr>
                  <w:r>
                    <w:rPr>
                      <w:rFonts w:hint="eastAsia"/>
                    </w:rPr>
                    <w:t>/</w:t>
                  </w:r>
                </w:p>
              </w:tc>
              <w:tc>
                <w:tcPr>
                  <w:tcW w:w="1756" w:type="dxa"/>
                  <w:vAlign w:val="center"/>
                </w:tcPr>
                <w:p>
                  <w:pPr>
                    <w:keepNext/>
                    <w:jc w:val="center"/>
                    <w:rPr>
                      <w:kern w:val="2"/>
                      <w:szCs w:val="24"/>
                    </w:rPr>
                  </w:pPr>
                  <w:r>
                    <w:rPr>
                      <w:rFonts w:hint="eastAsi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7" w:type="dxa"/>
                  <w:vMerge w:val="continue"/>
                  <w:vAlign w:val="center"/>
                </w:tcPr>
                <w:p>
                  <w:pPr>
                    <w:keepNext/>
                    <w:jc w:val="center"/>
                  </w:pPr>
                </w:p>
              </w:tc>
              <w:tc>
                <w:tcPr>
                  <w:tcW w:w="1860" w:type="dxa"/>
                  <w:vAlign w:val="center"/>
                </w:tcPr>
                <w:p>
                  <w:pPr>
                    <w:keepNext/>
                    <w:jc w:val="center"/>
                    <w:rPr>
                      <w:kern w:val="2"/>
                      <w:szCs w:val="24"/>
                    </w:rPr>
                  </w:pPr>
                  <w:r>
                    <w:rPr>
                      <w:rFonts w:hint="eastAsia"/>
                    </w:rPr>
                    <w:t>达标情况</w:t>
                  </w:r>
                </w:p>
              </w:tc>
              <w:tc>
                <w:tcPr>
                  <w:tcW w:w="2169" w:type="dxa"/>
                  <w:vAlign w:val="center"/>
                </w:tcPr>
                <w:p>
                  <w:pPr>
                    <w:keepNext/>
                    <w:jc w:val="center"/>
                    <w:rPr>
                      <w:kern w:val="2"/>
                      <w:szCs w:val="24"/>
                    </w:rPr>
                  </w:pPr>
                  <w:r>
                    <w:rPr>
                      <w:rFonts w:hint="eastAsia"/>
                    </w:rPr>
                    <w:t>/</w:t>
                  </w:r>
                </w:p>
              </w:tc>
              <w:tc>
                <w:tcPr>
                  <w:tcW w:w="1756" w:type="dxa"/>
                  <w:vAlign w:val="center"/>
                </w:tcPr>
                <w:p>
                  <w:pPr>
                    <w:keepNext/>
                    <w:jc w:val="center"/>
                    <w:rPr>
                      <w:kern w:val="2"/>
                      <w:szCs w:val="24"/>
                    </w:rPr>
                  </w:pPr>
                  <w:r>
                    <w:rPr>
                      <w:rFonts w:hint="eastAsia"/>
                    </w:rPr>
                    <w:t>/</w:t>
                  </w:r>
                </w:p>
              </w:tc>
              <w:tc>
                <w:tcPr>
                  <w:tcW w:w="1756" w:type="dxa"/>
                  <w:vAlign w:val="center"/>
                </w:tcPr>
                <w:p>
                  <w:pPr>
                    <w:keepNext/>
                    <w:jc w:val="center"/>
                    <w:rPr>
                      <w:kern w:val="2"/>
                      <w:szCs w:val="24"/>
                    </w:rPr>
                  </w:pPr>
                  <w:r>
                    <w:rPr>
                      <w:rFonts w:hint="eastAsi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7" w:type="dxa"/>
                  <w:vMerge w:val="restart"/>
                  <w:vAlign w:val="center"/>
                </w:tcPr>
                <w:p>
                  <w:pPr>
                    <w:keepNext/>
                    <w:jc w:val="center"/>
                  </w:pPr>
                  <w:r>
                    <w:rPr>
                      <w:rFonts w:hint="eastAsia"/>
                    </w:rPr>
                    <w:t>化学</w:t>
                  </w:r>
                </w:p>
                <w:p>
                  <w:pPr>
                    <w:keepNext/>
                    <w:jc w:val="center"/>
                  </w:pPr>
                  <w:r>
                    <w:rPr>
                      <w:rFonts w:hint="eastAsia"/>
                    </w:rPr>
                    <w:t>需氧量</w:t>
                  </w:r>
                </w:p>
                <w:p>
                  <w:pPr>
                    <w:keepNext/>
                    <w:jc w:val="center"/>
                  </w:pPr>
                  <w:r>
                    <w:rPr>
                      <w:rFonts w:hint="eastAsia"/>
                    </w:rPr>
                    <w:t>（mg/L）</w:t>
                  </w:r>
                </w:p>
              </w:tc>
              <w:tc>
                <w:tcPr>
                  <w:tcW w:w="1860" w:type="dxa"/>
                  <w:vAlign w:val="center"/>
                </w:tcPr>
                <w:p>
                  <w:pPr>
                    <w:keepNext/>
                    <w:jc w:val="center"/>
                    <w:rPr>
                      <w:kern w:val="2"/>
                      <w:szCs w:val="24"/>
                    </w:rPr>
                  </w:pPr>
                  <w:r>
                    <w:rPr>
                      <w:rFonts w:hint="eastAsia"/>
                    </w:rPr>
                    <w:t>2021.11.27</w:t>
                  </w:r>
                </w:p>
              </w:tc>
              <w:tc>
                <w:tcPr>
                  <w:tcW w:w="2169" w:type="dxa"/>
                  <w:vAlign w:val="center"/>
                </w:tcPr>
                <w:p>
                  <w:pPr>
                    <w:keepNext/>
                    <w:jc w:val="center"/>
                  </w:pPr>
                  <w:r>
                    <w:rPr>
                      <w:rFonts w:hint="eastAsia"/>
                    </w:rPr>
                    <w:t>23</w:t>
                  </w:r>
                </w:p>
              </w:tc>
              <w:tc>
                <w:tcPr>
                  <w:tcW w:w="1756" w:type="dxa"/>
                  <w:vAlign w:val="center"/>
                </w:tcPr>
                <w:p>
                  <w:pPr>
                    <w:keepNext/>
                    <w:jc w:val="center"/>
                  </w:pPr>
                  <w:r>
                    <w:rPr>
                      <w:rFonts w:hint="eastAsia"/>
                    </w:rPr>
                    <w:t>20</w:t>
                  </w:r>
                </w:p>
              </w:tc>
              <w:tc>
                <w:tcPr>
                  <w:tcW w:w="1756" w:type="dxa"/>
                  <w:vAlign w:val="center"/>
                </w:tcPr>
                <w:p>
                  <w:pPr>
                    <w:keepNext/>
                    <w:jc w:val="center"/>
                  </w:pPr>
                  <w:r>
                    <w:rPr>
                      <w:rFonts w:hint="eastAsia"/>
                    </w:rPr>
                    <w:t>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7" w:type="dxa"/>
                  <w:vMerge w:val="continue"/>
                  <w:vAlign w:val="center"/>
                </w:tcPr>
                <w:p>
                  <w:pPr>
                    <w:keepNext/>
                    <w:jc w:val="center"/>
                  </w:pPr>
                </w:p>
              </w:tc>
              <w:tc>
                <w:tcPr>
                  <w:tcW w:w="1860" w:type="dxa"/>
                  <w:vAlign w:val="center"/>
                </w:tcPr>
                <w:p>
                  <w:pPr>
                    <w:keepNext/>
                    <w:jc w:val="center"/>
                    <w:rPr>
                      <w:kern w:val="2"/>
                      <w:szCs w:val="24"/>
                    </w:rPr>
                  </w:pPr>
                  <w:r>
                    <w:rPr>
                      <w:rFonts w:hint="eastAsia"/>
                    </w:rPr>
                    <w:t>2021.11.28</w:t>
                  </w:r>
                </w:p>
              </w:tc>
              <w:tc>
                <w:tcPr>
                  <w:tcW w:w="2169" w:type="dxa"/>
                  <w:vAlign w:val="center"/>
                </w:tcPr>
                <w:p>
                  <w:pPr>
                    <w:keepNext/>
                    <w:jc w:val="center"/>
                  </w:pPr>
                  <w:r>
                    <w:rPr>
                      <w:rFonts w:hint="eastAsia"/>
                    </w:rPr>
                    <w:t>17</w:t>
                  </w:r>
                </w:p>
              </w:tc>
              <w:tc>
                <w:tcPr>
                  <w:tcW w:w="1756" w:type="dxa"/>
                  <w:vAlign w:val="center"/>
                </w:tcPr>
                <w:p>
                  <w:pPr>
                    <w:keepNext/>
                    <w:jc w:val="center"/>
                  </w:pPr>
                  <w:r>
                    <w:rPr>
                      <w:rFonts w:hint="eastAsia"/>
                    </w:rPr>
                    <w:t>15</w:t>
                  </w:r>
                </w:p>
              </w:tc>
              <w:tc>
                <w:tcPr>
                  <w:tcW w:w="1756" w:type="dxa"/>
                  <w:vAlign w:val="center"/>
                </w:tcPr>
                <w:p>
                  <w:pPr>
                    <w:keepNext/>
                    <w:jc w:val="center"/>
                  </w:pPr>
                  <w:r>
                    <w:rPr>
                      <w:rFonts w:hint="eastAsia"/>
                    </w:rPr>
                    <w:t>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7" w:type="dxa"/>
                  <w:vMerge w:val="continue"/>
                  <w:vAlign w:val="center"/>
                </w:tcPr>
                <w:p>
                  <w:pPr>
                    <w:keepNext/>
                    <w:jc w:val="center"/>
                  </w:pPr>
                </w:p>
              </w:tc>
              <w:tc>
                <w:tcPr>
                  <w:tcW w:w="1860" w:type="dxa"/>
                  <w:vAlign w:val="center"/>
                </w:tcPr>
                <w:p>
                  <w:pPr>
                    <w:keepNext/>
                    <w:jc w:val="center"/>
                    <w:rPr>
                      <w:kern w:val="2"/>
                      <w:szCs w:val="24"/>
                    </w:rPr>
                  </w:pPr>
                  <w:r>
                    <w:rPr>
                      <w:rFonts w:hint="eastAsia"/>
                    </w:rPr>
                    <w:t>2021.11.29</w:t>
                  </w:r>
                </w:p>
              </w:tc>
              <w:tc>
                <w:tcPr>
                  <w:tcW w:w="2169" w:type="dxa"/>
                  <w:vAlign w:val="center"/>
                </w:tcPr>
                <w:p>
                  <w:pPr>
                    <w:keepNext/>
                    <w:jc w:val="center"/>
                  </w:pPr>
                  <w:r>
                    <w:rPr>
                      <w:rFonts w:hint="eastAsia"/>
                    </w:rPr>
                    <w:t>21</w:t>
                  </w:r>
                </w:p>
              </w:tc>
              <w:tc>
                <w:tcPr>
                  <w:tcW w:w="1756" w:type="dxa"/>
                  <w:vAlign w:val="center"/>
                </w:tcPr>
                <w:p>
                  <w:pPr>
                    <w:keepNext/>
                    <w:jc w:val="center"/>
                  </w:pPr>
                  <w:r>
                    <w:rPr>
                      <w:rFonts w:hint="eastAsia"/>
                    </w:rPr>
                    <w:t>18</w:t>
                  </w:r>
                </w:p>
              </w:tc>
              <w:tc>
                <w:tcPr>
                  <w:tcW w:w="1756" w:type="dxa"/>
                  <w:vAlign w:val="center"/>
                </w:tcPr>
                <w:p>
                  <w:pPr>
                    <w:keepNext/>
                    <w:jc w:val="center"/>
                  </w:pPr>
                  <w:r>
                    <w:rPr>
                      <w:rFonts w:hint="eastAsia"/>
                    </w:rPr>
                    <w:t>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7" w:type="dxa"/>
                  <w:vMerge w:val="continue"/>
                  <w:vAlign w:val="center"/>
                </w:tcPr>
                <w:p>
                  <w:pPr>
                    <w:keepNext/>
                    <w:jc w:val="center"/>
                  </w:pPr>
                </w:p>
              </w:tc>
              <w:tc>
                <w:tcPr>
                  <w:tcW w:w="1860" w:type="dxa"/>
                  <w:vAlign w:val="center"/>
                </w:tcPr>
                <w:p>
                  <w:pPr>
                    <w:keepNext/>
                    <w:jc w:val="center"/>
                    <w:rPr>
                      <w:kern w:val="2"/>
                      <w:szCs w:val="24"/>
                    </w:rPr>
                  </w:pPr>
                  <w:r>
                    <w:rPr>
                      <w:rFonts w:hint="eastAsia"/>
                    </w:rPr>
                    <w:t>平均值</w:t>
                  </w:r>
                </w:p>
              </w:tc>
              <w:tc>
                <w:tcPr>
                  <w:tcW w:w="2169" w:type="dxa"/>
                  <w:vAlign w:val="center"/>
                </w:tcPr>
                <w:p>
                  <w:pPr>
                    <w:keepNext/>
                    <w:jc w:val="center"/>
                  </w:pPr>
                  <w:r>
                    <w:rPr>
                      <w:rFonts w:hint="eastAsia"/>
                    </w:rPr>
                    <w:t>20.3</w:t>
                  </w:r>
                </w:p>
              </w:tc>
              <w:tc>
                <w:tcPr>
                  <w:tcW w:w="1756" w:type="dxa"/>
                  <w:vAlign w:val="center"/>
                </w:tcPr>
                <w:p>
                  <w:pPr>
                    <w:keepNext/>
                    <w:jc w:val="center"/>
                  </w:pPr>
                  <w:r>
                    <w:rPr>
                      <w:rFonts w:hint="eastAsia"/>
                    </w:rPr>
                    <w:t>17.7</w:t>
                  </w:r>
                </w:p>
              </w:tc>
              <w:tc>
                <w:tcPr>
                  <w:tcW w:w="1756" w:type="dxa"/>
                  <w:vAlign w:val="center"/>
                </w:tcPr>
                <w:p>
                  <w:pPr>
                    <w:keepNext/>
                    <w:jc w:val="center"/>
                  </w:pPr>
                  <w:r>
                    <w:rPr>
                      <w:rFonts w:hint="eastAsia"/>
                    </w:rPr>
                    <w:t>15.7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7" w:type="dxa"/>
                  <w:vMerge w:val="continue"/>
                  <w:vAlign w:val="center"/>
                </w:tcPr>
                <w:p>
                  <w:pPr>
                    <w:keepNext/>
                    <w:jc w:val="center"/>
                  </w:pPr>
                </w:p>
              </w:tc>
              <w:tc>
                <w:tcPr>
                  <w:tcW w:w="1860" w:type="dxa"/>
                  <w:vAlign w:val="center"/>
                </w:tcPr>
                <w:p>
                  <w:pPr>
                    <w:keepNext/>
                    <w:jc w:val="center"/>
                    <w:rPr>
                      <w:color w:val="000000"/>
                      <w:szCs w:val="21"/>
                    </w:rPr>
                  </w:pPr>
                  <w:r>
                    <w:rPr>
                      <w:color w:val="000000"/>
                      <w:szCs w:val="21"/>
                    </w:rPr>
                    <w:t>Ⅴ</w:t>
                  </w:r>
                  <w:r>
                    <w:rPr>
                      <w:rFonts w:hint="eastAsia"/>
                      <w:color w:val="000000"/>
                      <w:szCs w:val="21"/>
                    </w:rPr>
                    <w:t>（W1、W2）/</w:t>
                  </w:r>
                </w:p>
                <w:p>
                  <w:pPr>
                    <w:keepNext/>
                    <w:jc w:val="center"/>
                    <w:rPr>
                      <w:kern w:val="2"/>
                      <w:szCs w:val="24"/>
                    </w:rPr>
                  </w:pPr>
                  <w:r>
                    <w:rPr>
                      <w:color w:val="000000"/>
                      <w:szCs w:val="21"/>
                    </w:rPr>
                    <w:t>Ⅲ</w:t>
                  </w:r>
                  <w:r>
                    <w:rPr>
                      <w:rFonts w:hint="eastAsia"/>
                      <w:color w:val="000000"/>
                      <w:szCs w:val="21"/>
                    </w:rPr>
                    <w:t>（W3）</w:t>
                  </w:r>
                  <w:r>
                    <w:rPr>
                      <w:color w:val="000000"/>
                      <w:szCs w:val="21"/>
                    </w:rPr>
                    <w:t>类标准</w:t>
                  </w:r>
                </w:p>
              </w:tc>
              <w:tc>
                <w:tcPr>
                  <w:tcW w:w="2169" w:type="dxa"/>
                  <w:vAlign w:val="center"/>
                </w:tcPr>
                <w:p>
                  <w:pPr>
                    <w:keepNext/>
                    <w:jc w:val="center"/>
                  </w:pPr>
                  <w:r>
                    <w:rPr>
                      <w:rFonts w:hint="eastAsia"/>
                    </w:rPr>
                    <w:t>40</w:t>
                  </w:r>
                </w:p>
              </w:tc>
              <w:tc>
                <w:tcPr>
                  <w:tcW w:w="1756" w:type="dxa"/>
                  <w:vAlign w:val="center"/>
                </w:tcPr>
                <w:p>
                  <w:pPr>
                    <w:keepNext/>
                    <w:jc w:val="center"/>
                  </w:pPr>
                  <w:r>
                    <w:rPr>
                      <w:rFonts w:hint="eastAsia"/>
                    </w:rPr>
                    <w:t>40</w:t>
                  </w:r>
                </w:p>
              </w:tc>
              <w:tc>
                <w:tcPr>
                  <w:tcW w:w="1756" w:type="dxa"/>
                  <w:vAlign w:val="center"/>
                </w:tcPr>
                <w:p>
                  <w:pPr>
                    <w:keepNext/>
                    <w:jc w:val="center"/>
                  </w:pPr>
                  <w:r>
                    <w:rPr>
                      <w:rFonts w:hint="eastAsia"/>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7" w:type="dxa"/>
                  <w:vMerge w:val="continue"/>
                  <w:vAlign w:val="center"/>
                </w:tcPr>
                <w:p>
                  <w:pPr>
                    <w:keepNext/>
                    <w:jc w:val="center"/>
                  </w:pPr>
                </w:p>
              </w:tc>
              <w:tc>
                <w:tcPr>
                  <w:tcW w:w="1860" w:type="dxa"/>
                  <w:vAlign w:val="center"/>
                </w:tcPr>
                <w:p>
                  <w:pPr>
                    <w:keepNext/>
                    <w:jc w:val="center"/>
                    <w:rPr>
                      <w:kern w:val="2"/>
                      <w:szCs w:val="24"/>
                    </w:rPr>
                  </w:pPr>
                  <w:r>
                    <w:rPr>
                      <w:rFonts w:hint="eastAsia"/>
                    </w:rPr>
                    <w:t>标准指数</w:t>
                  </w:r>
                </w:p>
              </w:tc>
              <w:tc>
                <w:tcPr>
                  <w:tcW w:w="2169" w:type="dxa"/>
                  <w:vAlign w:val="center"/>
                </w:tcPr>
                <w:p>
                  <w:pPr>
                    <w:keepNext/>
                    <w:jc w:val="center"/>
                  </w:pPr>
                  <w:r>
                    <w:rPr>
                      <w:rFonts w:hint="eastAsia"/>
                    </w:rPr>
                    <w:t>0.51</w:t>
                  </w:r>
                </w:p>
              </w:tc>
              <w:tc>
                <w:tcPr>
                  <w:tcW w:w="1756" w:type="dxa"/>
                  <w:vAlign w:val="center"/>
                </w:tcPr>
                <w:p>
                  <w:pPr>
                    <w:keepNext/>
                    <w:jc w:val="center"/>
                  </w:pPr>
                  <w:r>
                    <w:rPr>
                      <w:rFonts w:hint="eastAsia"/>
                    </w:rPr>
                    <w:t>0.44</w:t>
                  </w:r>
                </w:p>
              </w:tc>
              <w:tc>
                <w:tcPr>
                  <w:tcW w:w="1756" w:type="dxa"/>
                  <w:vAlign w:val="center"/>
                </w:tcPr>
                <w:p>
                  <w:pPr>
                    <w:keepNext/>
                    <w:jc w:val="center"/>
                  </w:pPr>
                  <w:r>
                    <w:rPr>
                      <w:rFonts w:hint="eastAsia"/>
                    </w:rPr>
                    <w:t>0.79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7" w:type="dxa"/>
                  <w:vMerge w:val="continue"/>
                  <w:vAlign w:val="center"/>
                </w:tcPr>
                <w:p>
                  <w:pPr>
                    <w:keepNext/>
                    <w:jc w:val="center"/>
                  </w:pPr>
                </w:p>
              </w:tc>
              <w:tc>
                <w:tcPr>
                  <w:tcW w:w="1860" w:type="dxa"/>
                  <w:vAlign w:val="center"/>
                </w:tcPr>
                <w:p>
                  <w:pPr>
                    <w:keepNext/>
                    <w:jc w:val="center"/>
                    <w:rPr>
                      <w:kern w:val="2"/>
                      <w:szCs w:val="24"/>
                    </w:rPr>
                  </w:pPr>
                  <w:r>
                    <w:rPr>
                      <w:rFonts w:hint="eastAsia"/>
                    </w:rPr>
                    <w:t>达标情况</w:t>
                  </w:r>
                </w:p>
              </w:tc>
              <w:tc>
                <w:tcPr>
                  <w:tcW w:w="2169" w:type="dxa"/>
                  <w:vAlign w:val="center"/>
                </w:tcPr>
                <w:p>
                  <w:pPr>
                    <w:keepNext/>
                    <w:jc w:val="center"/>
                    <w:rPr>
                      <w:kern w:val="2"/>
                      <w:szCs w:val="24"/>
                    </w:rPr>
                  </w:pPr>
                  <w:r>
                    <w:rPr>
                      <w:rFonts w:hint="eastAsia"/>
                    </w:rPr>
                    <w:t>达标</w:t>
                  </w:r>
                </w:p>
              </w:tc>
              <w:tc>
                <w:tcPr>
                  <w:tcW w:w="1756" w:type="dxa"/>
                  <w:vAlign w:val="center"/>
                </w:tcPr>
                <w:p>
                  <w:pPr>
                    <w:keepNext/>
                    <w:jc w:val="center"/>
                    <w:rPr>
                      <w:kern w:val="2"/>
                      <w:szCs w:val="24"/>
                    </w:rPr>
                  </w:pPr>
                  <w:r>
                    <w:rPr>
                      <w:rFonts w:hint="eastAsia"/>
                    </w:rPr>
                    <w:t>达标</w:t>
                  </w:r>
                </w:p>
              </w:tc>
              <w:tc>
                <w:tcPr>
                  <w:tcW w:w="1756" w:type="dxa"/>
                  <w:vAlign w:val="center"/>
                </w:tcPr>
                <w:p>
                  <w:pPr>
                    <w:keepNext/>
                    <w:jc w:val="center"/>
                    <w:rPr>
                      <w:kern w:val="2"/>
                      <w:szCs w:val="24"/>
                    </w:rPr>
                  </w:pPr>
                  <w:r>
                    <w:rPr>
                      <w:rFonts w:hint="eastAsia"/>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7" w:type="dxa"/>
                  <w:vMerge w:val="restart"/>
                  <w:vAlign w:val="center"/>
                </w:tcPr>
                <w:p>
                  <w:pPr>
                    <w:keepNext/>
                    <w:jc w:val="center"/>
                  </w:pPr>
                  <w:r>
                    <w:rPr>
                      <w:rFonts w:hint="eastAsia"/>
                    </w:rPr>
                    <w:t>溶解氧</w:t>
                  </w:r>
                </w:p>
                <w:p>
                  <w:pPr>
                    <w:keepNext/>
                    <w:jc w:val="center"/>
                  </w:pPr>
                  <w:r>
                    <w:rPr>
                      <w:rFonts w:hint="eastAsia"/>
                    </w:rPr>
                    <w:t>（mg/L）</w:t>
                  </w:r>
                </w:p>
              </w:tc>
              <w:tc>
                <w:tcPr>
                  <w:tcW w:w="1860" w:type="dxa"/>
                  <w:vAlign w:val="center"/>
                </w:tcPr>
                <w:p>
                  <w:pPr>
                    <w:keepNext/>
                    <w:jc w:val="center"/>
                    <w:rPr>
                      <w:kern w:val="2"/>
                      <w:szCs w:val="24"/>
                    </w:rPr>
                  </w:pPr>
                  <w:r>
                    <w:rPr>
                      <w:rFonts w:hint="eastAsia"/>
                    </w:rPr>
                    <w:t>2021.11.27</w:t>
                  </w:r>
                </w:p>
              </w:tc>
              <w:tc>
                <w:tcPr>
                  <w:tcW w:w="2169" w:type="dxa"/>
                  <w:vAlign w:val="center"/>
                </w:tcPr>
                <w:p>
                  <w:pPr>
                    <w:keepNext/>
                    <w:jc w:val="center"/>
                  </w:pPr>
                  <w:r>
                    <w:rPr>
                      <w:rFonts w:hint="eastAsia"/>
                    </w:rPr>
                    <w:t>5.11</w:t>
                  </w:r>
                </w:p>
              </w:tc>
              <w:tc>
                <w:tcPr>
                  <w:tcW w:w="1756" w:type="dxa"/>
                  <w:vAlign w:val="center"/>
                </w:tcPr>
                <w:p>
                  <w:pPr>
                    <w:keepNext/>
                    <w:jc w:val="center"/>
                  </w:pPr>
                  <w:r>
                    <w:rPr>
                      <w:rFonts w:hint="eastAsia"/>
                    </w:rPr>
                    <w:t>5.32</w:t>
                  </w:r>
                </w:p>
              </w:tc>
              <w:tc>
                <w:tcPr>
                  <w:tcW w:w="1756" w:type="dxa"/>
                  <w:vAlign w:val="center"/>
                </w:tcPr>
                <w:p>
                  <w:pPr>
                    <w:keepNext/>
                    <w:jc w:val="center"/>
                  </w:pPr>
                  <w:r>
                    <w:rPr>
                      <w:rFonts w:hint="eastAsia"/>
                    </w:rPr>
                    <w:t>5.22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7" w:type="dxa"/>
                  <w:vMerge w:val="continue"/>
                  <w:vAlign w:val="center"/>
                </w:tcPr>
                <w:p>
                  <w:pPr>
                    <w:keepNext/>
                    <w:jc w:val="center"/>
                  </w:pPr>
                </w:p>
              </w:tc>
              <w:tc>
                <w:tcPr>
                  <w:tcW w:w="1860" w:type="dxa"/>
                  <w:vAlign w:val="center"/>
                </w:tcPr>
                <w:p>
                  <w:pPr>
                    <w:keepNext/>
                    <w:jc w:val="center"/>
                    <w:rPr>
                      <w:kern w:val="2"/>
                      <w:szCs w:val="24"/>
                    </w:rPr>
                  </w:pPr>
                  <w:r>
                    <w:rPr>
                      <w:rFonts w:hint="eastAsia"/>
                    </w:rPr>
                    <w:t>2021.11.28</w:t>
                  </w:r>
                </w:p>
              </w:tc>
              <w:tc>
                <w:tcPr>
                  <w:tcW w:w="2169" w:type="dxa"/>
                  <w:vAlign w:val="center"/>
                </w:tcPr>
                <w:p>
                  <w:pPr>
                    <w:keepNext/>
                    <w:jc w:val="center"/>
                  </w:pPr>
                  <w:r>
                    <w:rPr>
                      <w:rFonts w:hint="eastAsia"/>
                    </w:rPr>
                    <w:t>5.08</w:t>
                  </w:r>
                </w:p>
              </w:tc>
              <w:tc>
                <w:tcPr>
                  <w:tcW w:w="1756" w:type="dxa"/>
                  <w:vAlign w:val="center"/>
                </w:tcPr>
                <w:p>
                  <w:pPr>
                    <w:keepNext/>
                    <w:jc w:val="center"/>
                  </w:pPr>
                  <w:r>
                    <w:rPr>
                      <w:rFonts w:hint="eastAsia"/>
                    </w:rPr>
                    <w:t>5.17</w:t>
                  </w:r>
                </w:p>
              </w:tc>
              <w:tc>
                <w:tcPr>
                  <w:tcW w:w="1756" w:type="dxa"/>
                  <w:vAlign w:val="center"/>
                </w:tcPr>
                <w:p>
                  <w:pPr>
                    <w:keepNext/>
                    <w:jc w:val="center"/>
                  </w:pPr>
                  <w:r>
                    <w:rPr>
                      <w:rFonts w:hint="eastAsia"/>
                    </w:rPr>
                    <w:t>5.31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7" w:type="dxa"/>
                  <w:vMerge w:val="continue"/>
                  <w:vAlign w:val="center"/>
                </w:tcPr>
                <w:p>
                  <w:pPr>
                    <w:keepNext/>
                    <w:jc w:val="center"/>
                  </w:pPr>
                </w:p>
              </w:tc>
              <w:tc>
                <w:tcPr>
                  <w:tcW w:w="1860" w:type="dxa"/>
                  <w:vAlign w:val="center"/>
                </w:tcPr>
                <w:p>
                  <w:pPr>
                    <w:keepNext/>
                    <w:jc w:val="center"/>
                    <w:rPr>
                      <w:kern w:val="2"/>
                      <w:szCs w:val="24"/>
                    </w:rPr>
                  </w:pPr>
                  <w:r>
                    <w:rPr>
                      <w:rFonts w:hint="eastAsia"/>
                    </w:rPr>
                    <w:t>2021.11.29</w:t>
                  </w:r>
                </w:p>
              </w:tc>
              <w:tc>
                <w:tcPr>
                  <w:tcW w:w="2169" w:type="dxa"/>
                  <w:vAlign w:val="center"/>
                </w:tcPr>
                <w:p>
                  <w:pPr>
                    <w:keepNext/>
                    <w:jc w:val="center"/>
                  </w:pPr>
                  <w:r>
                    <w:rPr>
                      <w:rFonts w:hint="eastAsia"/>
                    </w:rPr>
                    <w:t>4.94</w:t>
                  </w:r>
                </w:p>
              </w:tc>
              <w:tc>
                <w:tcPr>
                  <w:tcW w:w="1756" w:type="dxa"/>
                  <w:vAlign w:val="center"/>
                </w:tcPr>
                <w:p>
                  <w:pPr>
                    <w:keepNext/>
                    <w:jc w:val="center"/>
                  </w:pPr>
                  <w:r>
                    <w:rPr>
                      <w:rFonts w:hint="eastAsia"/>
                    </w:rPr>
                    <w:t>5.23</w:t>
                  </w:r>
                </w:p>
              </w:tc>
              <w:tc>
                <w:tcPr>
                  <w:tcW w:w="1756" w:type="dxa"/>
                  <w:vAlign w:val="center"/>
                </w:tcPr>
                <w:p>
                  <w:pPr>
                    <w:keepNext/>
                    <w:jc w:val="center"/>
                  </w:pPr>
                  <w:r>
                    <w:rPr>
                      <w:rFonts w:hint="eastAsia"/>
                    </w:rPr>
                    <w:t>5.01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7" w:type="dxa"/>
                  <w:vMerge w:val="continue"/>
                  <w:vAlign w:val="center"/>
                </w:tcPr>
                <w:p>
                  <w:pPr>
                    <w:keepNext/>
                    <w:jc w:val="center"/>
                  </w:pPr>
                </w:p>
              </w:tc>
              <w:tc>
                <w:tcPr>
                  <w:tcW w:w="1860" w:type="dxa"/>
                  <w:vAlign w:val="center"/>
                </w:tcPr>
                <w:p>
                  <w:pPr>
                    <w:keepNext/>
                    <w:jc w:val="center"/>
                    <w:rPr>
                      <w:kern w:val="2"/>
                      <w:szCs w:val="24"/>
                    </w:rPr>
                  </w:pPr>
                  <w:r>
                    <w:rPr>
                      <w:rFonts w:hint="eastAsia"/>
                    </w:rPr>
                    <w:t>平均值</w:t>
                  </w:r>
                </w:p>
              </w:tc>
              <w:tc>
                <w:tcPr>
                  <w:tcW w:w="2169" w:type="dxa"/>
                  <w:vAlign w:val="center"/>
                </w:tcPr>
                <w:p>
                  <w:pPr>
                    <w:keepNext/>
                    <w:jc w:val="center"/>
                  </w:pPr>
                  <w:r>
                    <w:rPr>
                      <w:rFonts w:hint="eastAsia"/>
                    </w:rPr>
                    <w:t>5.0</w:t>
                  </w:r>
                </w:p>
              </w:tc>
              <w:tc>
                <w:tcPr>
                  <w:tcW w:w="1756" w:type="dxa"/>
                  <w:vAlign w:val="center"/>
                </w:tcPr>
                <w:p>
                  <w:pPr>
                    <w:keepNext/>
                    <w:jc w:val="center"/>
                  </w:pPr>
                  <w:r>
                    <w:rPr>
                      <w:rFonts w:hint="eastAsia"/>
                    </w:rPr>
                    <w:t>5.2</w:t>
                  </w:r>
                </w:p>
              </w:tc>
              <w:tc>
                <w:tcPr>
                  <w:tcW w:w="1756" w:type="dxa"/>
                  <w:vAlign w:val="center"/>
                </w:tcPr>
                <w:p>
                  <w:pPr>
                    <w:keepNext/>
                    <w:jc w:val="center"/>
                  </w:pPr>
                  <w:r>
                    <w:rPr>
                      <w:rFonts w:hint="eastAsia"/>
                    </w:rPr>
                    <w:t>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237" w:type="dxa"/>
                  <w:vMerge w:val="continue"/>
                  <w:vAlign w:val="center"/>
                </w:tcPr>
                <w:p>
                  <w:pPr>
                    <w:keepNext/>
                    <w:jc w:val="center"/>
                  </w:pPr>
                </w:p>
              </w:tc>
              <w:tc>
                <w:tcPr>
                  <w:tcW w:w="1860" w:type="dxa"/>
                  <w:vAlign w:val="center"/>
                </w:tcPr>
                <w:p>
                  <w:pPr>
                    <w:keepNext/>
                    <w:jc w:val="center"/>
                    <w:rPr>
                      <w:color w:val="000000"/>
                      <w:szCs w:val="21"/>
                    </w:rPr>
                  </w:pPr>
                  <w:r>
                    <w:rPr>
                      <w:color w:val="000000"/>
                      <w:szCs w:val="21"/>
                    </w:rPr>
                    <w:t>Ⅴ</w:t>
                  </w:r>
                  <w:r>
                    <w:rPr>
                      <w:rFonts w:hint="eastAsia"/>
                      <w:color w:val="000000"/>
                      <w:szCs w:val="21"/>
                    </w:rPr>
                    <w:t>（W1、W2）/</w:t>
                  </w:r>
                </w:p>
                <w:p>
                  <w:pPr>
                    <w:keepNext/>
                    <w:jc w:val="center"/>
                    <w:rPr>
                      <w:kern w:val="2"/>
                      <w:szCs w:val="24"/>
                    </w:rPr>
                  </w:pPr>
                  <w:r>
                    <w:rPr>
                      <w:color w:val="000000"/>
                      <w:szCs w:val="21"/>
                    </w:rPr>
                    <w:t>Ⅲ</w:t>
                  </w:r>
                  <w:r>
                    <w:rPr>
                      <w:rFonts w:hint="eastAsia"/>
                      <w:color w:val="000000"/>
                      <w:szCs w:val="21"/>
                    </w:rPr>
                    <w:t>（W3）</w:t>
                  </w:r>
                  <w:r>
                    <w:rPr>
                      <w:color w:val="000000"/>
                      <w:szCs w:val="21"/>
                    </w:rPr>
                    <w:t>类标准</w:t>
                  </w:r>
                </w:p>
              </w:tc>
              <w:tc>
                <w:tcPr>
                  <w:tcW w:w="2169" w:type="dxa"/>
                  <w:vAlign w:val="center"/>
                </w:tcPr>
                <w:p>
                  <w:pPr>
                    <w:keepNext/>
                    <w:jc w:val="center"/>
                  </w:pPr>
                  <w:r>
                    <w:rPr>
                      <w:rFonts w:hint="eastAsia"/>
                    </w:rPr>
                    <w:t>2</w:t>
                  </w:r>
                </w:p>
              </w:tc>
              <w:tc>
                <w:tcPr>
                  <w:tcW w:w="1756" w:type="dxa"/>
                  <w:vAlign w:val="center"/>
                </w:tcPr>
                <w:p>
                  <w:pPr>
                    <w:keepNext/>
                    <w:jc w:val="center"/>
                  </w:pPr>
                  <w:r>
                    <w:rPr>
                      <w:rFonts w:hint="eastAsia"/>
                    </w:rPr>
                    <w:t>2</w:t>
                  </w:r>
                </w:p>
              </w:tc>
              <w:tc>
                <w:tcPr>
                  <w:tcW w:w="1756" w:type="dxa"/>
                  <w:vAlign w:val="center"/>
                </w:tcPr>
                <w:p>
                  <w:pPr>
                    <w:keepNext/>
                    <w:jc w:val="center"/>
                  </w:pPr>
                  <w:r>
                    <w:rPr>
                      <w:rFonts w:hint="eastAsia"/>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7" w:type="dxa"/>
                  <w:vMerge w:val="continue"/>
                  <w:vAlign w:val="center"/>
                </w:tcPr>
                <w:p>
                  <w:pPr>
                    <w:keepNext/>
                    <w:jc w:val="center"/>
                  </w:pPr>
                </w:p>
              </w:tc>
              <w:tc>
                <w:tcPr>
                  <w:tcW w:w="1860" w:type="dxa"/>
                  <w:vAlign w:val="center"/>
                </w:tcPr>
                <w:p>
                  <w:pPr>
                    <w:keepNext/>
                    <w:jc w:val="center"/>
                    <w:rPr>
                      <w:kern w:val="2"/>
                      <w:szCs w:val="24"/>
                    </w:rPr>
                  </w:pPr>
                  <w:r>
                    <w:rPr>
                      <w:rFonts w:hint="eastAsia"/>
                    </w:rPr>
                    <w:t>标准指数</w:t>
                  </w:r>
                </w:p>
              </w:tc>
              <w:tc>
                <w:tcPr>
                  <w:tcW w:w="2169" w:type="dxa"/>
                  <w:vAlign w:val="center"/>
                </w:tcPr>
                <w:p>
                  <w:pPr>
                    <w:keepNext/>
                    <w:jc w:val="center"/>
                  </w:pPr>
                  <w:r>
                    <w:rPr>
                      <w:rFonts w:hint="eastAsia"/>
                    </w:rPr>
                    <w:t>0.40</w:t>
                  </w:r>
                </w:p>
              </w:tc>
              <w:tc>
                <w:tcPr>
                  <w:tcW w:w="1756" w:type="dxa"/>
                  <w:vAlign w:val="center"/>
                </w:tcPr>
                <w:p>
                  <w:pPr>
                    <w:keepNext/>
                    <w:jc w:val="center"/>
                  </w:pPr>
                  <w:r>
                    <w:rPr>
                      <w:rFonts w:hint="eastAsia"/>
                    </w:rPr>
                    <w:t>0.38</w:t>
                  </w:r>
                </w:p>
              </w:tc>
              <w:tc>
                <w:tcPr>
                  <w:tcW w:w="1756" w:type="dxa"/>
                  <w:vAlign w:val="center"/>
                </w:tcPr>
                <w:p>
                  <w:pPr>
                    <w:keepNext/>
                    <w:jc w:val="center"/>
                  </w:pPr>
                  <w:r>
                    <w:rPr>
                      <w:rFonts w:hint="eastAsia"/>
                    </w:rPr>
                    <w:t>0.96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7" w:type="dxa"/>
                  <w:vMerge w:val="continue"/>
                  <w:vAlign w:val="center"/>
                </w:tcPr>
                <w:p>
                  <w:pPr>
                    <w:keepNext/>
                    <w:jc w:val="center"/>
                  </w:pPr>
                </w:p>
              </w:tc>
              <w:tc>
                <w:tcPr>
                  <w:tcW w:w="1860" w:type="dxa"/>
                  <w:vAlign w:val="center"/>
                </w:tcPr>
                <w:p>
                  <w:pPr>
                    <w:keepNext/>
                    <w:jc w:val="center"/>
                    <w:rPr>
                      <w:kern w:val="2"/>
                      <w:szCs w:val="24"/>
                    </w:rPr>
                  </w:pPr>
                  <w:r>
                    <w:rPr>
                      <w:rFonts w:hint="eastAsia"/>
                    </w:rPr>
                    <w:t>达标情况</w:t>
                  </w:r>
                </w:p>
              </w:tc>
              <w:tc>
                <w:tcPr>
                  <w:tcW w:w="2169" w:type="dxa"/>
                  <w:vAlign w:val="center"/>
                </w:tcPr>
                <w:p>
                  <w:pPr>
                    <w:keepNext/>
                    <w:jc w:val="center"/>
                  </w:pPr>
                  <w:r>
                    <w:rPr>
                      <w:rFonts w:hint="eastAsia"/>
                    </w:rPr>
                    <w:t>达标</w:t>
                  </w:r>
                </w:p>
              </w:tc>
              <w:tc>
                <w:tcPr>
                  <w:tcW w:w="1756" w:type="dxa"/>
                  <w:vAlign w:val="center"/>
                </w:tcPr>
                <w:p>
                  <w:pPr>
                    <w:keepNext/>
                    <w:jc w:val="center"/>
                  </w:pPr>
                  <w:r>
                    <w:rPr>
                      <w:rFonts w:hint="eastAsia"/>
                    </w:rPr>
                    <w:t>达标</w:t>
                  </w:r>
                </w:p>
              </w:tc>
              <w:tc>
                <w:tcPr>
                  <w:tcW w:w="1756" w:type="dxa"/>
                  <w:vAlign w:val="center"/>
                </w:tcPr>
                <w:p>
                  <w:pPr>
                    <w:keepNext/>
                    <w:jc w:val="center"/>
                  </w:pPr>
                  <w:r>
                    <w:rPr>
                      <w:rFonts w:hint="eastAsia"/>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7" w:type="dxa"/>
                  <w:vMerge w:val="restart"/>
                  <w:vAlign w:val="center"/>
                </w:tcPr>
                <w:p>
                  <w:pPr>
                    <w:keepNext/>
                    <w:jc w:val="center"/>
                  </w:pPr>
                  <w:r>
                    <w:rPr>
                      <w:rFonts w:hint="eastAsia"/>
                    </w:rPr>
                    <w:t>悬浮物</w:t>
                  </w:r>
                </w:p>
                <w:p>
                  <w:pPr>
                    <w:keepNext/>
                    <w:jc w:val="center"/>
                  </w:pPr>
                  <w:r>
                    <w:rPr>
                      <w:rFonts w:hint="eastAsia"/>
                    </w:rPr>
                    <w:t>（mg/L）</w:t>
                  </w:r>
                </w:p>
              </w:tc>
              <w:tc>
                <w:tcPr>
                  <w:tcW w:w="1860" w:type="dxa"/>
                  <w:vAlign w:val="center"/>
                </w:tcPr>
                <w:p>
                  <w:pPr>
                    <w:keepNext/>
                    <w:jc w:val="center"/>
                    <w:rPr>
                      <w:kern w:val="2"/>
                      <w:szCs w:val="24"/>
                    </w:rPr>
                  </w:pPr>
                  <w:r>
                    <w:rPr>
                      <w:rFonts w:hint="eastAsia"/>
                    </w:rPr>
                    <w:t>2021.11.27</w:t>
                  </w:r>
                </w:p>
              </w:tc>
              <w:tc>
                <w:tcPr>
                  <w:tcW w:w="2169" w:type="dxa"/>
                  <w:vAlign w:val="center"/>
                </w:tcPr>
                <w:p>
                  <w:pPr>
                    <w:keepNext/>
                    <w:jc w:val="center"/>
                  </w:pPr>
                  <w:r>
                    <w:rPr>
                      <w:rFonts w:hint="eastAsia"/>
                    </w:rPr>
                    <w:t>19</w:t>
                  </w:r>
                </w:p>
              </w:tc>
              <w:tc>
                <w:tcPr>
                  <w:tcW w:w="1756" w:type="dxa"/>
                  <w:vAlign w:val="center"/>
                </w:tcPr>
                <w:p>
                  <w:pPr>
                    <w:keepNext/>
                    <w:jc w:val="center"/>
                  </w:pPr>
                  <w:r>
                    <w:rPr>
                      <w:rFonts w:hint="eastAsia"/>
                    </w:rPr>
                    <w:t>15</w:t>
                  </w:r>
                </w:p>
              </w:tc>
              <w:tc>
                <w:tcPr>
                  <w:tcW w:w="1756" w:type="dxa"/>
                  <w:vAlign w:val="center"/>
                </w:tcPr>
                <w:p>
                  <w:pPr>
                    <w:keepNext/>
                    <w:jc w:val="center"/>
                  </w:pPr>
                  <w:r>
                    <w:rPr>
                      <w:rFonts w:hint="eastAsia"/>
                    </w:rP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7" w:type="dxa"/>
                  <w:vMerge w:val="continue"/>
                  <w:vAlign w:val="center"/>
                </w:tcPr>
                <w:p>
                  <w:pPr>
                    <w:keepNext/>
                    <w:jc w:val="center"/>
                  </w:pPr>
                </w:p>
              </w:tc>
              <w:tc>
                <w:tcPr>
                  <w:tcW w:w="1860" w:type="dxa"/>
                  <w:vAlign w:val="center"/>
                </w:tcPr>
                <w:p>
                  <w:pPr>
                    <w:keepNext/>
                    <w:jc w:val="center"/>
                    <w:rPr>
                      <w:kern w:val="2"/>
                      <w:szCs w:val="24"/>
                    </w:rPr>
                  </w:pPr>
                  <w:r>
                    <w:rPr>
                      <w:rFonts w:hint="eastAsia"/>
                    </w:rPr>
                    <w:t>2021.11.28</w:t>
                  </w:r>
                </w:p>
              </w:tc>
              <w:tc>
                <w:tcPr>
                  <w:tcW w:w="2169" w:type="dxa"/>
                  <w:vAlign w:val="center"/>
                </w:tcPr>
                <w:p>
                  <w:pPr>
                    <w:keepNext/>
                    <w:jc w:val="center"/>
                  </w:pPr>
                  <w:r>
                    <w:rPr>
                      <w:rFonts w:hint="eastAsia"/>
                    </w:rPr>
                    <w:t>15</w:t>
                  </w:r>
                </w:p>
              </w:tc>
              <w:tc>
                <w:tcPr>
                  <w:tcW w:w="1756" w:type="dxa"/>
                  <w:vAlign w:val="center"/>
                </w:tcPr>
                <w:p>
                  <w:pPr>
                    <w:keepNext/>
                    <w:jc w:val="center"/>
                  </w:pPr>
                  <w:r>
                    <w:rPr>
                      <w:rFonts w:hint="eastAsia"/>
                    </w:rPr>
                    <w:t>12</w:t>
                  </w:r>
                </w:p>
              </w:tc>
              <w:tc>
                <w:tcPr>
                  <w:tcW w:w="1756" w:type="dxa"/>
                  <w:vAlign w:val="center"/>
                </w:tcPr>
                <w:p>
                  <w:pPr>
                    <w:keepNext/>
                    <w:jc w:val="center"/>
                  </w:pPr>
                  <w:r>
                    <w:rPr>
                      <w:rFonts w:hint="eastAsia"/>
                    </w:rPr>
                    <w:t>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7" w:type="dxa"/>
                  <w:vMerge w:val="continue"/>
                  <w:vAlign w:val="center"/>
                </w:tcPr>
                <w:p>
                  <w:pPr>
                    <w:keepNext/>
                    <w:jc w:val="center"/>
                  </w:pPr>
                </w:p>
              </w:tc>
              <w:tc>
                <w:tcPr>
                  <w:tcW w:w="1860" w:type="dxa"/>
                  <w:vAlign w:val="center"/>
                </w:tcPr>
                <w:p>
                  <w:pPr>
                    <w:keepNext/>
                    <w:jc w:val="center"/>
                    <w:rPr>
                      <w:kern w:val="2"/>
                      <w:szCs w:val="24"/>
                    </w:rPr>
                  </w:pPr>
                  <w:r>
                    <w:rPr>
                      <w:rFonts w:hint="eastAsia"/>
                    </w:rPr>
                    <w:t>2021.11.29</w:t>
                  </w:r>
                </w:p>
              </w:tc>
              <w:tc>
                <w:tcPr>
                  <w:tcW w:w="2169" w:type="dxa"/>
                  <w:vAlign w:val="center"/>
                </w:tcPr>
                <w:p>
                  <w:pPr>
                    <w:keepNext/>
                    <w:jc w:val="center"/>
                  </w:pPr>
                  <w:r>
                    <w:rPr>
                      <w:rFonts w:hint="eastAsia"/>
                    </w:rPr>
                    <w:t>12</w:t>
                  </w:r>
                </w:p>
              </w:tc>
              <w:tc>
                <w:tcPr>
                  <w:tcW w:w="1756" w:type="dxa"/>
                  <w:vAlign w:val="center"/>
                </w:tcPr>
                <w:p>
                  <w:pPr>
                    <w:keepNext/>
                    <w:jc w:val="center"/>
                  </w:pPr>
                  <w:r>
                    <w:rPr>
                      <w:rFonts w:hint="eastAsia"/>
                    </w:rPr>
                    <w:t>18</w:t>
                  </w:r>
                </w:p>
              </w:tc>
              <w:tc>
                <w:tcPr>
                  <w:tcW w:w="1756" w:type="dxa"/>
                  <w:vAlign w:val="center"/>
                </w:tcPr>
                <w:p>
                  <w:pPr>
                    <w:keepNext/>
                    <w:jc w:val="center"/>
                  </w:pPr>
                  <w:r>
                    <w:rPr>
                      <w:rFonts w:hint="eastAsia"/>
                    </w:rPr>
                    <w:t>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7" w:type="dxa"/>
                  <w:vMerge w:val="continue"/>
                  <w:vAlign w:val="center"/>
                </w:tcPr>
                <w:p>
                  <w:pPr>
                    <w:keepNext/>
                    <w:jc w:val="center"/>
                  </w:pPr>
                </w:p>
              </w:tc>
              <w:tc>
                <w:tcPr>
                  <w:tcW w:w="1860" w:type="dxa"/>
                  <w:vAlign w:val="center"/>
                </w:tcPr>
                <w:p>
                  <w:pPr>
                    <w:keepNext/>
                    <w:jc w:val="center"/>
                    <w:rPr>
                      <w:kern w:val="2"/>
                      <w:szCs w:val="24"/>
                    </w:rPr>
                  </w:pPr>
                  <w:r>
                    <w:rPr>
                      <w:rFonts w:hint="eastAsia"/>
                    </w:rPr>
                    <w:t>平均值</w:t>
                  </w:r>
                </w:p>
              </w:tc>
              <w:tc>
                <w:tcPr>
                  <w:tcW w:w="2169" w:type="dxa"/>
                  <w:vAlign w:val="center"/>
                </w:tcPr>
                <w:p>
                  <w:pPr>
                    <w:keepNext/>
                    <w:jc w:val="center"/>
                  </w:pPr>
                  <w:r>
                    <w:rPr>
                      <w:rFonts w:hint="eastAsia"/>
                    </w:rPr>
                    <w:t>15.3</w:t>
                  </w:r>
                </w:p>
              </w:tc>
              <w:tc>
                <w:tcPr>
                  <w:tcW w:w="1756" w:type="dxa"/>
                  <w:vAlign w:val="center"/>
                </w:tcPr>
                <w:p>
                  <w:pPr>
                    <w:keepNext/>
                    <w:jc w:val="center"/>
                  </w:pPr>
                  <w:r>
                    <w:rPr>
                      <w:rFonts w:hint="eastAsia"/>
                    </w:rPr>
                    <w:t>15.0</w:t>
                  </w:r>
                </w:p>
              </w:tc>
              <w:tc>
                <w:tcPr>
                  <w:tcW w:w="1756" w:type="dxa"/>
                  <w:vAlign w:val="center"/>
                </w:tcPr>
                <w:p>
                  <w:pPr>
                    <w:keepNext/>
                    <w:jc w:val="center"/>
                  </w:pPr>
                  <w:r>
                    <w:rPr>
                      <w:rFonts w:hint="eastAsia"/>
                    </w:rPr>
                    <w:t>13.3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7" w:type="dxa"/>
                  <w:vMerge w:val="continue"/>
                  <w:vAlign w:val="center"/>
                </w:tcPr>
                <w:p>
                  <w:pPr>
                    <w:keepNext/>
                    <w:jc w:val="center"/>
                  </w:pPr>
                </w:p>
              </w:tc>
              <w:tc>
                <w:tcPr>
                  <w:tcW w:w="1860" w:type="dxa"/>
                  <w:vAlign w:val="center"/>
                </w:tcPr>
                <w:p>
                  <w:pPr>
                    <w:keepNext/>
                    <w:jc w:val="center"/>
                    <w:rPr>
                      <w:color w:val="000000"/>
                      <w:szCs w:val="21"/>
                    </w:rPr>
                  </w:pPr>
                  <w:r>
                    <w:rPr>
                      <w:color w:val="000000"/>
                      <w:szCs w:val="21"/>
                    </w:rPr>
                    <w:t>Ⅴ</w:t>
                  </w:r>
                  <w:r>
                    <w:rPr>
                      <w:rFonts w:hint="eastAsia"/>
                      <w:color w:val="000000"/>
                      <w:szCs w:val="21"/>
                    </w:rPr>
                    <w:t>（W1、W2）/</w:t>
                  </w:r>
                </w:p>
                <w:p>
                  <w:pPr>
                    <w:keepNext/>
                    <w:jc w:val="center"/>
                    <w:rPr>
                      <w:kern w:val="2"/>
                      <w:szCs w:val="24"/>
                    </w:rPr>
                  </w:pPr>
                  <w:r>
                    <w:rPr>
                      <w:color w:val="000000"/>
                      <w:szCs w:val="21"/>
                    </w:rPr>
                    <w:t>Ⅲ</w:t>
                  </w:r>
                  <w:r>
                    <w:rPr>
                      <w:rFonts w:hint="eastAsia"/>
                      <w:color w:val="000000"/>
                      <w:szCs w:val="21"/>
                    </w:rPr>
                    <w:t>（W3）</w:t>
                  </w:r>
                  <w:r>
                    <w:rPr>
                      <w:color w:val="000000"/>
                      <w:szCs w:val="21"/>
                    </w:rPr>
                    <w:t>类标准</w:t>
                  </w:r>
                </w:p>
              </w:tc>
              <w:tc>
                <w:tcPr>
                  <w:tcW w:w="2169" w:type="dxa"/>
                  <w:vAlign w:val="center"/>
                </w:tcPr>
                <w:p>
                  <w:pPr>
                    <w:keepNext/>
                    <w:jc w:val="center"/>
                  </w:pPr>
                  <w:r>
                    <w:rPr>
                      <w:rFonts w:hint="eastAsia"/>
                    </w:rPr>
                    <w:t>100</w:t>
                  </w:r>
                </w:p>
              </w:tc>
              <w:tc>
                <w:tcPr>
                  <w:tcW w:w="1756" w:type="dxa"/>
                  <w:vAlign w:val="center"/>
                </w:tcPr>
                <w:p>
                  <w:pPr>
                    <w:keepNext/>
                    <w:jc w:val="center"/>
                  </w:pPr>
                  <w:r>
                    <w:rPr>
                      <w:rFonts w:hint="eastAsia"/>
                    </w:rPr>
                    <w:t>100</w:t>
                  </w:r>
                </w:p>
              </w:tc>
              <w:tc>
                <w:tcPr>
                  <w:tcW w:w="1756" w:type="dxa"/>
                  <w:vAlign w:val="center"/>
                </w:tcPr>
                <w:p>
                  <w:pPr>
                    <w:keepNext/>
                    <w:jc w:val="center"/>
                  </w:pPr>
                  <w:r>
                    <w:rPr>
                      <w:rFonts w:hint="eastAsia"/>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7" w:type="dxa"/>
                  <w:vMerge w:val="continue"/>
                  <w:vAlign w:val="center"/>
                </w:tcPr>
                <w:p>
                  <w:pPr>
                    <w:keepNext/>
                    <w:jc w:val="center"/>
                  </w:pPr>
                </w:p>
              </w:tc>
              <w:tc>
                <w:tcPr>
                  <w:tcW w:w="1860" w:type="dxa"/>
                  <w:vAlign w:val="center"/>
                </w:tcPr>
                <w:p>
                  <w:pPr>
                    <w:keepNext/>
                    <w:jc w:val="center"/>
                    <w:rPr>
                      <w:kern w:val="2"/>
                      <w:szCs w:val="24"/>
                    </w:rPr>
                  </w:pPr>
                  <w:r>
                    <w:rPr>
                      <w:rFonts w:hint="eastAsia"/>
                    </w:rPr>
                    <w:t>标准指数</w:t>
                  </w:r>
                </w:p>
              </w:tc>
              <w:tc>
                <w:tcPr>
                  <w:tcW w:w="2169" w:type="dxa"/>
                  <w:vAlign w:val="center"/>
                </w:tcPr>
                <w:p>
                  <w:pPr>
                    <w:keepNext/>
                    <w:jc w:val="center"/>
                  </w:pPr>
                  <w:r>
                    <w:rPr>
                      <w:rFonts w:hint="eastAsia"/>
                    </w:rPr>
                    <w:t>0.15</w:t>
                  </w:r>
                </w:p>
              </w:tc>
              <w:tc>
                <w:tcPr>
                  <w:tcW w:w="1756" w:type="dxa"/>
                  <w:vAlign w:val="center"/>
                </w:tcPr>
                <w:p>
                  <w:pPr>
                    <w:keepNext/>
                    <w:jc w:val="center"/>
                  </w:pPr>
                  <w:r>
                    <w:rPr>
                      <w:rFonts w:hint="eastAsia"/>
                    </w:rPr>
                    <w:t>0.15</w:t>
                  </w:r>
                </w:p>
              </w:tc>
              <w:tc>
                <w:tcPr>
                  <w:tcW w:w="1756" w:type="dxa"/>
                  <w:vAlign w:val="center"/>
                </w:tcPr>
                <w:p>
                  <w:pPr>
                    <w:keepNext/>
                    <w:jc w:val="center"/>
                  </w:pPr>
                  <w:r>
                    <w:rPr>
                      <w:rFonts w:hint="eastAsia"/>
                    </w:rPr>
                    <w:t>0.44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7" w:type="dxa"/>
                  <w:vMerge w:val="continue"/>
                  <w:vAlign w:val="center"/>
                </w:tcPr>
                <w:p>
                  <w:pPr>
                    <w:keepNext/>
                    <w:jc w:val="center"/>
                  </w:pPr>
                </w:p>
              </w:tc>
              <w:tc>
                <w:tcPr>
                  <w:tcW w:w="1860" w:type="dxa"/>
                  <w:vAlign w:val="center"/>
                </w:tcPr>
                <w:p>
                  <w:pPr>
                    <w:keepNext/>
                    <w:jc w:val="center"/>
                    <w:rPr>
                      <w:kern w:val="2"/>
                      <w:szCs w:val="24"/>
                    </w:rPr>
                  </w:pPr>
                  <w:r>
                    <w:rPr>
                      <w:rFonts w:hint="eastAsia"/>
                    </w:rPr>
                    <w:t>达标情况</w:t>
                  </w:r>
                </w:p>
              </w:tc>
              <w:tc>
                <w:tcPr>
                  <w:tcW w:w="2169" w:type="dxa"/>
                  <w:vAlign w:val="center"/>
                </w:tcPr>
                <w:p>
                  <w:pPr>
                    <w:keepNext/>
                    <w:jc w:val="center"/>
                    <w:rPr>
                      <w:kern w:val="2"/>
                      <w:szCs w:val="24"/>
                    </w:rPr>
                  </w:pPr>
                  <w:r>
                    <w:rPr>
                      <w:rFonts w:hint="eastAsia"/>
                    </w:rPr>
                    <w:t>达标</w:t>
                  </w:r>
                </w:p>
              </w:tc>
              <w:tc>
                <w:tcPr>
                  <w:tcW w:w="1756" w:type="dxa"/>
                  <w:vAlign w:val="center"/>
                </w:tcPr>
                <w:p>
                  <w:pPr>
                    <w:keepNext/>
                    <w:jc w:val="center"/>
                    <w:rPr>
                      <w:kern w:val="2"/>
                      <w:szCs w:val="24"/>
                    </w:rPr>
                  </w:pPr>
                  <w:r>
                    <w:rPr>
                      <w:rFonts w:hint="eastAsia"/>
                    </w:rPr>
                    <w:t>达标</w:t>
                  </w:r>
                </w:p>
              </w:tc>
              <w:tc>
                <w:tcPr>
                  <w:tcW w:w="1756" w:type="dxa"/>
                  <w:vAlign w:val="center"/>
                </w:tcPr>
                <w:p>
                  <w:pPr>
                    <w:keepNext/>
                    <w:jc w:val="center"/>
                    <w:rPr>
                      <w:kern w:val="2"/>
                      <w:szCs w:val="24"/>
                    </w:rPr>
                  </w:pPr>
                  <w:r>
                    <w:rPr>
                      <w:rFonts w:hint="eastAsia"/>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7" w:type="dxa"/>
                  <w:vMerge w:val="restart"/>
                  <w:vAlign w:val="center"/>
                </w:tcPr>
                <w:p>
                  <w:pPr>
                    <w:keepNext/>
                    <w:jc w:val="center"/>
                  </w:pPr>
                  <w:r>
                    <w:rPr>
                      <w:rFonts w:hint="eastAsia"/>
                    </w:rPr>
                    <w:t>氨氮</w:t>
                  </w:r>
                </w:p>
                <w:p>
                  <w:pPr>
                    <w:keepNext/>
                    <w:jc w:val="center"/>
                  </w:pPr>
                  <w:r>
                    <w:rPr>
                      <w:rFonts w:hint="eastAsia"/>
                    </w:rPr>
                    <w:t>（mg/L）</w:t>
                  </w:r>
                </w:p>
              </w:tc>
              <w:tc>
                <w:tcPr>
                  <w:tcW w:w="1860" w:type="dxa"/>
                  <w:vAlign w:val="center"/>
                </w:tcPr>
                <w:p>
                  <w:pPr>
                    <w:keepNext/>
                    <w:jc w:val="center"/>
                    <w:rPr>
                      <w:kern w:val="2"/>
                      <w:szCs w:val="24"/>
                    </w:rPr>
                  </w:pPr>
                  <w:r>
                    <w:rPr>
                      <w:rFonts w:hint="eastAsia"/>
                    </w:rPr>
                    <w:t>2021.11.27</w:t>
                  </w:r>
                </w:p>
              </w:tc>
              <w:tc>
                <w:tcPr>
                  <w:tcW w:w="2169" w:type="dxa"/>
                  <w:vAlign w:val="center"/>
                </w:tcPr>
                <w:p>
                  <w:pPr>
                    <w:keepNext/>
                    <w:jc w:val="center"/>
                  </w:pPr>
                  <w:r>
                    <w:rPr>
                      <w:rFonts w:hint="eastAsia"/>
                    </w:rPr>
                    <w:t>3.42</w:t>
                  </w:r>
                </w:p>
              </w:tc>
              <w:tc>
                <w:tcPr>
                  <w:tcW w:w="1756" w:type="dxa"/>
                  <w:vAlign w:val="center"/>
                </w:tcPr>
                <w:p>
                  <w:pPr>
                    <w:keepNext/>
                    <w:jc w:val="center"/>
                  </w:pPr>
                  <w:r>
                    <w:rPr>
                      <w:rFonts w:hint="eastAsia"/>
                    </w:rPr>
                    <w:t>2.23</w:t>
                  </w:r>
                </w:p>
              </w:tc>
              <w:tc>
                <w:tcPr>
                  <w:tcW w:w="1756" w:type="dxa"/>
                  <w:vAlign w:val="center"/>
                </w:tcPr>
                <w:p>
                  <w:pPr>
                    <w:keepNext/>
                    <w:jc w:val="center"/>
                  </w:pPr>
                  <w:r>
                    <w:rPr>
                      <w:rFonts w:hint="eastAsia"/>
                    </w:rPr>
                    <w:t>0.17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7" w:type="dxa"/>
                  <w:vMerge w:val="continue"/>
                  <w:vAlign w:val="center"/>
                </w:tcPr>
                <w:p>
                  <w:pPr>
                    <w:keepNext/>
                    <w:jc w:val="center"/>
                  </w:pPr>
                </w:p>
              </w:tc>
              <w:tc>
                <w:tcPr>
                  <w:tcW w:w="1860" w:type="dxa"/>
                  <w:vAlign w:val="center"/>
                </w:tcPr>
                <w:p>
                  <w:pPr>
                    <w:keepNext/>
                    <w:jc w:val="center"/>
                    <w:rPr>
                      <w:kern w:val="2"/>
                      <w:szCs w:val="24"/>
                    </w:rPr>
                  </w:pPr>
                  <w:r>
                    <w:rPr>
                      <w:rFonts w:hint="eastAsia"/>
                    </w:rPr>
                    <w:t>2021.11.28</w:t>
                  </w:r>
                </w:p>
              </w:tc>
              <w:tc>
                <w:tcPr>
                  <w:tcW w:w="2169" w:type="dxa"/>
                  <w:vAlign w:val="center"/>
                </w:tcPr>
                <w:p>
                  <w:pPr>
                    <w:keepNext/>
                    <w:jc w:val="center"/>
                  </w:pPr>
                  <w:r>
                    <w:rPr>
                      <w:rFonts w:hint="eastAsia"/>
                    </w:rPr>
                    <w:t>2.80</w:t>
                  </w:r>
                </w:p>
              </w:tc>
              <w:tc>
                <w:tcPr>
                  <w:tcW w:w="1756" w:type="dxa"/>
                  <w:vAlign w:val="center"/>
                </w:tcPr>
                <w:p>
                  <w:pPr>
                    <w:keepNext/>
                    <w:jc w:val="center"/>
                  </w:pPr>
                  <w:r>
                    <w:rPr>
                      <w:rFonts w:hint="eastAsia"/>
                    </w:rPr>
                    <w:t>1.69</w:t>
                  </w:r>
                </w:p>
              </w:tc>
              <w:tc>
                <w:tcPr>
                  <w:tcW w:w="1756" w:type="dxa"/>
                  <w:vAlign w:val="center"/>
                </w:tcPr>
                <w:p>
                  <w:pPr>
                    <w:keepNext/>
                    <w:jc w:val="center"/>
                  </w:pPr>
                  <w:r>
                    <w:rPr>
                      <w:rFonts w:hint="eastAsia"/>
                    </w:rPr>
                    <w:t>0.156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7" w:type="dxa"/>
                  <w:vMerge w:val="continue"/>
                  <w:vAlign w:val="center"/>
                </w:tcPr>
                <w:p>
                  <w:pPr>
                    <w:keepNext/>
                    <w:jc w:val="center"/>
                  </w:pPr>
                </w:p>
              </w:tc>
              <w:tc>
                <w:tcPr>
                  <w:tcW w:w="1860" w:type="dxa"/>
                  <w:vAlign w:val="center"/>
                </w:tcPr>
                <w:p>
                  <w:pPr>
                    <w:keepNext/>
                    <w:jc w:val="center"/>
                    <w:rPr>
                      <w:kern w:val="2"/>
                      <w:szCs w:val="24"/>
                    </w:rPr>
                  </w:pPr>
                  <w:r>
                    <w:rPr>
                      <w:rFonts w:hint="eastAsia"/>
                    </w:rPr>
                    <w:t>2021.11.29</w:t>
                  </w:r>
                </w:p>
              </w:tc>
              <w:tc>
                <w:tcPr>
                  <w:tcW w:w="2169" w:type="dxa"/>
                  <w:vAlign w:val="center"/>
                </w:tcPr>
                <w:p>
                  <w:pPr>
                    <w:keepNext/>
                    <w:jc w:val="center"/>
                  </w:pPr>
                  <w:r>
                    <w:rPr>
                      <w:rFonts w:hint="eastAsia"/>
                    </w:rPr>
                    <w:t>2.40</w:t>
                  </w:r>
                </w:p>
              </w:tc>
              <w:tc>
                <w:tcPr>
                  <w:tcW w:w="1756" w:type="dxa"/>
                  <w:vAlign w:val="center"/>
                </w:tcPr>
                <w:p>
                  <w:pPr>
                    <w:keepNext/>
                    <w:jc w:val="center"/>
                  </w:pPr>
                  <w:r>
                    <w:rPr>
                      <w:rFonts w:hint="eastAsia"/>
                    </w:rPr>
                    <w:t>1.26</w:t>
                  </w:r>
                </w:p>
              </w:tc>
              <w:tc>
                <w:tcPr>
                  <w:tcW w:w="1756" w:type="dxa"/>
                  <w:vAlign w:val="center"/>
                </w:tcPr>
                <w:p>
                  <w:pPr>
                    <w:keepNext/>
                    <w:jc w:val="center"/>
                  </w:pPr>
                  <w:r>
                    <w:rPr>
                      <w:rFonts w:hint="eastAsia"/>
                    </w:rPr>
                    <w:t>0.122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7" w:type="dxa"/>
                  <w:vMerge w:val="continue"/>
                  <w:vAlign w:val="center"/>
                </w:tcPr>
                <w:p>
                  <w:pPr>
                    <w:keepNext/>
                    <w:jc w:val="center"/>
                  </w:pPr>
                </w:p>
              </w:tc>
              <w:tc>
                <w:tcPr>
                  <w:tcW w:w="1860" w:type="dxa"/>
                  <w:vAlign w:val="center"/>
                </w:tcPr>
                <w:p>
                  <w:pPr>
                    <w:keepNext/>
                    <w:jc w:val="center"/>
                    <w:rPr>
                      <w:kern w:val="2"/>
                      <w:szCs w:val="24"/>
                    </w:rPr>
                  </w:pPr>
                  <w:r>
                    <w:rPr>
                      <w:rFonts w:hint="eastAsia"/>
                    </w:rPr>
                    <w:t>平均值</w:t>
                  </w:r>
                </w:p>
              </w:tc>
              <w:tc>
                <w:tcPr>
                  <w:tcW w:w="2169" w:type="dxa"/>
                  <w:vAlign w:val="center"/>
                </w:tcPr>
                <w:p>
                  <w:pPr>
                    <w:keepNext/>
                    <w:jc w:val="center"/>
                  </w:pPr>
                  <w:r>
                    <w:rPr>
                      <w:rFonts w:hint="eastAsia"/>
                    </w:rPr>
                    <w:t>2.9</w:t>
                  </w:r>
                </w:p>
              </w:tc>
              <w:tc>
                <w:tcPr>
                  <w:tcW w:w="1756" w:type="dxa"/>
                  <w:vAlign w:val="center"/>
                </w:tcPr>
                <w:p>
                  <w:pPr>
                    <w:keepNext/>
                    <w:jc w:val="center"/>
                  </w:pPr>
                  <w:r>
                    <w:rPr>
                      <w:rFonts w:hint="eastAsia"/>
                    </w:rPr>
                    <w:t>1.7</w:t>
                  </w:r>
                </w:p>
              </w:tc>
              <w:tc>
                <w:tcPr>
                  <w:tcW w:w="1756" w:type="dxa"/>
                  <w:vAlign w:val="center"/>
                </w:tcPr>
                <w:p>
                  <w:pPr>
                    <w:keepNext/>
                    <w:jc w:val="center"/>
                  </w:pPr>
                  <w:r>
                    <w:rPr>
                      <w:rFonts w:hint="eastAsia"/>
                    </w:rPr>
                    <w:t>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7" w:type="dxa"/>
                  <w:vMerge w:val="continue"/>
                  <w:vAlign w:val="center"/>
                </w:tcPr>
                <w:p>
                  <w:pPr>
                    <w:keepNext/>
                    <w:jc w:val="center"/>
                  </w:pPr>
                </w:p>
              </w:tc>
              <w:tc>
                <w:tcPr>
                  <w:tcW w:w="1860" w:type="dxa"/>
                  <w:vAlign w:val="center"/>
                </w:tcPr>
                <w:p>
                  <w:pPr>
                    <w:keepNext/>
                    <w:jc w:val="center"/>
                    <w:rPr>
                      <w:color w:val="000000"/>
                      <w:szCs w:val="21"/>
                    </w:rPr>
                  </w:pPr>
                  <w:r>
                    <w:rPr>
                      <w:color w:val="000000"/>
                      <w:szCs w:val="21"/>
                    </w:rPr>
                    <w:t>Ⅴ</w:t>
                  </w:r>
                  <w:r>
                    <w:rPr>
                      <w:rFonts w:hint="eastAsia"/>
                      <w:color w:val="000000"/>
                      <w:szCs w:val="21"/>
                    </w:rPr>
                    <w:t>（W1、W2）/</w:t>
                  </w:r>
                </w:p>
                <w:p>
                  <w:pPr>
                    <w:keepNext/>
                    <w:jc w:val="center"/>
                    <w:rPr>
                      <w:kern w:val="2"/>
                      <w:szCs w:val="24"/>
                    </w:rPr>
                  </w:pPr>
                  <w:r>
                    <w:rPr>
                      <w:color w:val="000000"/>
                      <w:szCs w:val="21"/>
                    </w:rPr>
                    <w:t>Ⅲ</w:t>
                  </w:r>
                  <w:r>
                    <w:rPr>
                      <w:rFonts w:hint="eastAsia"/>
                      <w:color w:val="000000"/>
                      <w:szCs w:val="21"/>
                    </w:rPr>
                    <w:t>（W3）</w:t>
                  </w:r>
                  <w:r>
                    <w:rPr>
                      <w:color w:val="000000"/>
                      <w:szCs w:val="21"/>
                    </w:rPr>
                    <w:t>类标准</w:t>
                  </w:r>
                </w:p>
              </w:tc>
              <w:tc>
                <w:tcPr>
                  <w:tcW w:w="2169" w:type="dxa"/>
                  <w:vAlign w:val="center"/>
                </w:tcPr>
                <w:p>
                  <w:pPr>
                    <w:keepNext/>
                    <w:jc w:val="center"/>
                  </w:pPr>
                  <w:r>
                    <w:rPr>
                      <w:rFonts w:hint="eastAsia"/>
                    </w:rPr>
                    <w:t>2.0</w:t>
                  </w:r>
                </w:p>
              </w:tc>
              <w:tc>
                <w:tcPr>
                  <w:tcW w:w="1756" w:type="dxa"/>
                  <w:vAlign w:val="center"/>
                </w:tcPr>
                <w:p>
                  <w:pPr>
                    <w:keepNext/>
                    <w:jc w:val="center"/>
                  </w:pPr>
                  <w:r>
                    <w:rPr>
                      <w:rFonts w:hint="eastAsia"/>
                    </w:rPr>
                    <w:t>2.0</w:t>
                  </w:r>
                </w:p>
              </w:tc>
              <w:tc>
                <w:tcPr>
                  <w:tcW w:w="1756" w:type="dxa"/>
                  <w:vAlign w:val="center"/>
                </w:tcPr>
                <w:p>
                  <w:pPr>
                    <w:keepNext/>
                    <w:jc w:val="center"/>
                  </w:pPr>
                  <w:r>
                    <w:rPr>
                      <w:rFonts w:hint="eastAsia"/>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7" w:type="dxa"/>
                  <w:vMerge w:val="continue"/>
                  <w:vAlign w:val="center"/>
                </w:tcPr>
                <w:p>
                  <w:pPr>
                    <w:keepNext/>
                    <w:jc w:val="center"/>
                  </w:pPr>
                </w:p>
              </w:tc>
              <w:tc>
                <w:tcPr>
                  <w:tcW w:w="1860" w:type="dxa"/>
                  <w:vAlign w:val="center"/>
                </w:tcPr>
                <w:p>
                  <w:pPr>
                    <w:keepNext/>
                    <w:jc w:val="center"/>
                    <w:rPr>
                      <w:kern w:val="2"/>
                      <w:szCs w:val="24"/>
                    </w:rPr>
                  </w:pPr>
                  <w:r>
                    <w:rPr>
                      <w:rFonts w:hint="eastAsia"/>
                    </w:rPr>
                    <w:t>标准指数</w:t>
                  </w:r>
                </w:p>
              </w:tc>
              <w:tc>
                <w:tcPr>
                  <w:tcW w:w="2169" w:type="dxa"/>
                  <w:vAlign w:val="center"/>
                </w:tcPr>
                <w:p>
                  <w:pPr>
                    <w:keepNext/>
                    <w:jc w:val="center"/>
                  </w:pPr>
                  <w:r>
                    <w:rPr>
                      <w:rFonts w:hint="eastAsia"/>
                    </w:rPr>
                    <w:t>1.45</w:t>
                  </w:r>
                </w:p>
              </w:tc>
              <w:tc>
                <w:tcPr>
                  <w:tcW w:w="1756" w:type="dxa"/>
                  <w:vAlign w:val="center"/>
                </w:tcPr>
                <w:p>
                  <w:pPr>
                    <w:keepNext/>
                    <w:jc w:val="center"/>
                  </w:pPr>
                  <w:r>
                    <w:rPr>
                      <w:rFonts w:hint="eastAsia"/>
                    </w:rPr>
                    <w:t>0.85</w:t>
                  </w:r>
                </w:p>
              </w:tc>
              <w:tc>
                <w:tcPr>
                  <w:tcW w:w="1756" w:type="dxa"/>
                  <w:vAlign w:val="center"/>
                </w:tcPr>
                <w:p>
                  <w:pPr>
                    <w:keepNext/>
                    <w:jc w:val="center"/>
                  </w:pPr>
                  <w:r>
                    <w:rPr>
                      <w:rFonts w:hint="eastAsia"/>
                    </w:rPr>
                    <w:t>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7" w:type="dxa"/>
                  <w:vMerge w:val="continue"/>
                  <w:vAlign w:val="center"/>
                </w:tcPr>
                <w:p>
                  <w:pPr>
                    <w:keepNext/>
                    <w:jc w:val="center"/>
                  </w:pPr>
                </w:p>
              </w:tc>
              <w:tc>
                <w:tcPr>
                  <w:tcW w:w="1860" w:type="dxa"/>
                  <w:vAlign w:val="center"/>
                </w:tcPr>
                <w:p>
                  <w:pPr>
                    <w:keepNext/>
                    <w:jc w:val="center"/>
                    <w:rPr>
                      <w:kern w:val="2"/>
                      <w:szCs w:val="24"/>
                    </w:rPr>
                  </w:pPr>
                  <w:r>
                    <w:rPr>
                      <w:rFonts w:hint="eastAsia"/>
                    </w:rPr>
                    <w:t>达标情况</w:t>
                  </w:r>
                </w:p>
              </w:tc>
              <w:tc>
                <w:tcPr>
                  <w:tcW w:w="2169" w:type="dxa"/>
                  <w:vAlign w:val="center"/>
                </w:tcPr>
                <w:p>
                  <w:pPr>
                    <w:keepNext/>
                    <w:jc w:val="center"/>
                  </w:pPr>
                  <w:r>
                    <w:rPr>
                      <w:rFonts w:hint="eastAsia"/>
                    </w:rPr>
                    <w:t>不达标</w:t>
                  </w:r>
                </w:p>
              </w:tc>
              <w:tc>
                <w:tcPr>
                  <w:tcW w:w="1756" w:type="dxa"/>
                  <w:vAlign w:val="center"/>
                </w:tcPr>
                <w:p>
                  <w:pPr>
                    <w:keepNext/>
                    <w:jc w:val="center"/>
                  </w:pPr>
                  <w:r>
                    <w:rPr>
                      <w:rFonts w:hint="eastAsia"/>
                    </w:rPr>
                    <w:t>达标</w:t>
                  </w:r>
                </w:p>
              </w:tc>
              <w:tc>
                <w:tcPr>
                  <w:tcW w:w="1756" w:type="dxa"/>
                  <w:vAlign w:val="center"/>
                </w:tcPr>
                <w:p>
                  <w:pPr>
                    <w:keepNext/>
                    <w:jc w:val="center"/>
                  </w:pPr>
                  <w:r>
                    <w:rPr>
                      <w:rFonts w:hint="eastAsia"/>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7" w:type="dxa"/>
                  <w:vMerge w:val="restart"/>
                  <w:vAlign w:val="center"/>
                </w:tcPr>
                <w:p>
                  <w:pPr>
                    <w:keepNext/>
                    <w:jc w:val="center"/>
                  </w:pPr>
                  <w:r>
                    <w:rPr>
                      <w:rFonts w:hint="eastAsia"/>
                    </w:rPr>
                    <w:t>总磷（mg/L）</w:t>
                  </w:r>
                </w:p>
              </w:tc>
              <w:tc>
                <w:tcPr>
                  <w:tcW w:w="1860" w:type="dxa"/>
                  <w:vAlign w:val="center"/>
                </w:tcPr>
                <w:p>
                  <w:pPr>
                    <w:keepNext/>
                    <w:jc w:val="center"/>
                    <w:rPr>
                      <w:kern w:val="2"/>
                      <w:szCs w:val="24"/>
                    </w:rPr>
                  </w:pPr>
                  <w:r>
                    <w:rPr>
                      <w:rFonts w:hint="eastAsia"/>
                    </w:rPr>
                    <w:t>2021.11.27</w:t>
                  </w:r>
                </w:p>
              </w:tc>
              <w:tc>
                <w:tcPr>
                  <w:tcW w:w="2169" w:type="dxa"/>
                  <w:vAlign w:val="center"/>
                </w:tcPr>
                <w:p>
                  <w:pPr>
                    <w:keepNext/>
                    <w:jc w:val="center"/>
                  </w:pPr>
                  <w:r>
                    <w:rPr>
                      <w:rFonts w:hint="eastAsia"/>
                    </w:rPr>
                    <w:t>0.16</w:t>
                  </w:r>
                </w:p>
              </w:tc>
              <w:tc>
                <w:tcPr>
                  <w:tcW w:w="1756" w:type="dxa"/>
                  <w:vAlign w:val="center"/>
                </w:tcPr>
                <w:p>
                  <w:pPr>
                    <w:keepNext/>
                    <w:jc w:val="center"/>
                  </w:pPr>
                  <w:r>
                    <w:rPr>
                      <w:rFonts w:hint="eastAsia"/>
                    </w:rPr>
                    <w:t>0.30</w:t>
                  </w:r>
                </w:p>
              </w:tc>
              <w:tc>
                <w:tcPr>
                  <w:tcW w:w="1756" w:type="dxa"/>
                  <w:vAlign w:val="center"/>
                </w:tcPr>
                <w:p>
                  <w:pPr>
                    <w:keepNext/>
                    <w:jc w:val="center"/>
                  </w:pPr>
                  <w:r>
                    <w:rPr>
                      <w:rFonts w:hint="eastAsia"/>
                    </w:rPr>
                    <w:t>0.070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7" w:type="dxa"/>
                  <w:vMerge w:val="continue"/>
                  <w:vAlign w:val="center"/>
                </w:tcPr>
                <w:p>
                  <w:pPr>
                    <w:keepNext/>
                    <w:jc w:val="center"/>
                  </w:pPr>
                </w:p>
              </w:tc>
              <w:tc>
                <w:tcPr>
                  <w:tcW w:w="1860" w:type="dxa"/>
                  <w:vAlign w:val="center"/>
                </w:tcPr>
                <w:p>
                  <w:pPr>
                    <w:keepNext/>
                    <w:jc w:val="center"/>
                    <w:rPr>
                      <w:kern w:val="2"/>
                      <w:szCs w:val="24"/>
                    </w:rPr>
                  </w:pPr>
                  <w:r>
                    <w:rPr>
                      <w:rFonts w:hint="eastAsia"/>
                    </w:rPr>
                    <w:t>2021.11.28</w:t>
                  </w:r>
                </w:p>
              </w:tc>
              <w:tc>
                <w:tcPr>
                  <w:tcW w:w="2169" w:type="dxa"/>
                  <w:vAlign w:val="center"/>
                </w:tcPr>
                <w:p>
                  <w:pPr>
                    <w:keepNext/>
                    <w:jc w:val="center"/>
                  </w:pPr>
                  <w:r>
                    <w:rPr>
                      <w:rFonts w:hint="eastAsia"/>
                    </w:rPr>
                    <w:t>0.18</w:t>
                  </w:r>
                </w:p>
              </w:tc>
              <w:tc>
                <w:tcPr>
                  <w:tcW w:w="1756" w:type="dxa"/>
                  <w:vAlign w:val="center"/>
                </w:tcPr>
                <w:p>
                  <w:pPr>
                    <w:keepNext/>
                    <w:jc w:val="center"/>
                  </w:pPr>
                  <w:r>
                    <w:rPr>
                      <w:rFonts w:hint="eastAsia"/>
                    </w:rPr>
                    <w:t>0.33</w:t>
                  </w:r>
                </w:p>
              </w:tc>
              <w:tc>
                <w:tcPr>
                  <w:tcW w:w="1756" w:type="dxa"/>
                  <w:vAlign w:val="center"/>
                </w:tcPr>
                <w:p>
                  <w:pPr>
                    <w:keepNext/>
                    <w:jc w:val="center"/>
                  </w:pPr>
                  <w:r>
                    <w:rPr>
                      <w:rFonts w:hint="eastAsia"/>
                    </w:rPr>
                    <w:t>0.090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7" w:type="dxa"/>
                  <w:vMerge w:val="continue"/>
                  <w:vAlign w:val="center"/>
                </w:tcPr>
                <w:p>
                  <w:pPr>
                    <w:keepNext/>
                    <w:jc w:val="center"/>
                  </w:pPr>
                </w:p>
              </w:tc>
              <w:tc>
                <w:tcPr>
                  <w:tcW w:w="1860" w:type="dxa"/>
                  <w:vAlign w:val="center"/>
                </w:tcPr>
                <w:p>
                  <w:pPr>
                    <w:keepNext/>
                    <w:jc w:val="center"/>
                    <w:rPr>
                      <w:kern w:val="2"/>
                      <w:szCs w:val="24"/>
                    </w:rPr>
                  </w:pPr>
                  <w:r>
                    <w:rPr>
                      <w:rFonts w:hint="eastAsia"/>
                    </w:rPr>
                    <w:t>2021.11.29</w:t>
                  </w:r>
                </w:p>
              </w:tc>
              <w:tc>
                <w:tcPr>
                  <w:tcW w:w="2169" w:type="dxa"/>
                  <w:vAlign w:val="center"/>
                </w:tcPr>
                <w:p>
                  <w:pPr>
                    <w:keepNext/>
                    <w:jc w:val="center"/>
                  </w:pPr>
                  <w:r>
                    <w:rPr>
                      <w:rFonts w:hint="eastAsia"/>
                    </w:rPr>
                    <w:t>0.21</w:t>
                  </w:r>
                </w:p>
              </w:tc>
              <w:tc>
                <w:tcPr>
                  <w:tcW w:w="1756" w:type="dxa"/>
                  <w:vAlign w:val="center"/>
                </w:tcPr>
                <w:p>
                  <w:pPr>
                    <w:keepNext/>
                    <w:jc w:val="center"/>
                  </w:pPr>
                  <w:r>
                    <w:rPr>
                      <w:rFonts w:hint="eastAsia"/>
                    </w:rPr>
                    <w:t>0.35</w:t>
                  </w:r>
                </w:p>
              </w:tc>
              <w:tc>
                <w:tcPr>
                  <w:tcW w:w="1756" w:type="dxa"/>
                  <w:vAlign w:val="center"/>
                </w:tcPr>
                <w:p>
                  <w:pPr>
                    <w:keepNext/>
                    <w:jc w:val="center"/>
                  </w:pPr>
                  <w:r>
                    <w:rPr>
                      <w:rFonts w:hint="eastAsia"/>
                    </w:rPr>
                    <w:t>0.12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7" w:type="dxa"/>
                  <w:vMerge w:val="continue"/>
                  <w:vAlign w:val="center"/>
                </w:tcPr>
                <w:p>
                  <w:pPr>
                    <w:keepNext/>
                    <w:jc w:val="center"/>
                  </w:pPr>
                </w:p>
              </w:tc>
              <w:tc>
                <w:tcPr>
                  <w:tcW w:w="1860" w:type="dxa"/>
                  <w:vAlign w:val="center"/>
                </w:tcPr>
                <w:p>
                  <w:pPr>
                    <w:keepNext/>
                    <w:jc w:val="center"/>
                    <w:rPr>
                      <w:kern w:val="2"/>
                      <w:szCs w:val="24"/>
                    </w:rPr>
                  </w:pPr>
                  <w:r>
                    <w:rPr>
                      <w:rFonts w:hint="eastAsia"/>
                    </w:rPr>
                    <w:t>平均值</w:t>
                  </w:r>
                </w:p>
              </w:tc>
              <w:tc>
                <w:tcPr>
                  <w:tcW w:w="2169" w:type="dxa"/>
                  <w:vAlign w:val="center"/>
                </w:tcPr>
                <w:p>
                  <w:pPr>
                    <w:keepNext/>
                    <w:jc w:val="center"/>
                  </w:pPr>
                  <w:r>
                    <w:rPr>
                      <w:rFonts w:hint="eastAsia"/>
                    </w:rPr>
                    <w:t>0.2</w:t>
                  </w:r>
                </w:p>
              </w:tc>
              <w:tc>
                <w:tcPr>
                  <w:tcW w:w="1756" w:type="dxa"/>
                  <w:vAlign w:val="center"/>
                </w:tcPr>
                <w:p>
                  <w:pPr>
                    <w:keepNext/>
                    <w:jc w:val="center"/>
                  </w:pPr>
                  <w:r>
                    <w:rPr>
                      <w:rFonts w:hint="eastAsia"/>
                    </w:rPr>
                    <w:t>0.3</w:t>
                  </w:r>
                </w:p>
              </w:tc>
              <w:tc>
                <w:tcPr>
                  <w:tcW w:w="1756" w:type="dxa"/>
                  <w:vAlign w:val="center"/>
                </w:tcPr>
                <w:p>
                  <w:pPr>
                    <w:keepNext/>
                    <w:jc w:val="center"/>
                  </w:pPr>
                  <w:r>
                    <w:rPr>
                      <w:rFonts w:hint="eastAsia"/>
                    </w:rPr>
                    <w:t>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7" w:type="dxa"/>
                  <w:vMerge w:val="continue"/>
                  <w:vAlign w:val="center"/>
                </w:tcPr>
                <w:p>
                  <w:pPr>
                    <w:keepNext/>
                    <w:jc w:val="center"/>
                  </w:pPr>
                </w:p>
              </w:tc>
              <w:tc>
                <w:tcPr>
                  <w:tcW w:w="1860" w:type="dxa"/>
                  <w:vAlign w:val="center"/>
                </w:tcPr>
                <w:p>
                  <w:pPr>
                    <w:keepNext/>
                    <w:jc w:val="center"/>
                    <w:rPr>
                      <w:color w:val="000000"/>
                      <w:szCs w:val="21"/>
                    </w:rPr>
                  </w:pPr>
                  <w:r>
                    <w:rPr>
                      <w:color w:val="000000"/>
                      <w:szCs w:val="21"/>
                    </w:rPr>
                    <w:t>Ⅴ</w:t>
                  </w:r>
                  <w:r>
                    <w:rPr>
                      <w:rFonts w:hint="eastAsia"/>
                      <w:color w:val="000000"/>
                      <w:szCs w:val="21"/>
                    </w:rPr>
                    <w:t>（W1、W2）/</w:t>
                  </w:r>
                </w:p>
                <w:p>
                  <w:pPr>
                    <w:keepNext/>
                    <w:jc w:val="center"/>
                    <w:rPr>
                      <w:kern w:val="2"/>
                      <w:szCs w:val="24"/>
                    </w:rPr>
                  </w:pPr>
                  <w:r>
                    <w:rPr>
                      <w:color w:val="000000"/>
                      <w:szCs w:val="21"/>
                    </w:rPr>
                    <w:t>Ⅲ</w:t>
                  </w:r>
                  <w:r>
                    <w:rPr>
                      <w:rFonts w:hint="eastAsia"/>
                      <w:color w:val="000000"/>
                      <w:szCs w:val="21"/>
                    </w:rPr>
                    <w:t>（W3）</w:t>
                  </w:r>
                  <w:r>
                    <w:rPr>
                      <w:color w:val="000000"/>
                      <w:szCs w:val="21"/>
                    </w:rPr>
                    <w:t>类标准</w:t>
                  </w:r>
                </w:p>
              </w:tc>
              <w:tc>
                <w:tcPr>
                  <w:tcW w:w="2169" w:type="dxa"/>
                  <w:vAlign w:val="center"/>
                </w:tcPr>
                <w:p>
                  <w:pPr>
                    <w:keepNext/>
                    <w:jc w:val="center"/>
                  </w:pPr>
                  <w:r>
                    <w:rPr>
                      <w:rFonts w:hint="eastAsia"/>
                    </w:rPr>
                    <w:t>0.4</w:t>
                  </w:r>
                </w:p>
              </w:tc>
              <w:tc>
                <w:tcPr>
                  <w:tcW w:w="1756" w:type="dxa"/>
                  <w:vAlign w:val="center"/>
                </w:tcPr>
                <w:p>
                  <w:pPr>
                    <w:keepNext/>
                    <w:jc w:val="center"/>
                  </w:pPr>
                  <w:r>
                    <w:rPr>
                      <w:rFonts w:hint="eastAsia"/>
                    </w:rPr>
                    <w:t>0.4</w:t>
                  </w:r>
                </w:p>
              </w:tc>
              <w:tc>
                <w:tcPr>
                  <w:tcW w:w="1756" w:type="dxa"/>
                  <w:vAlign w:val="center"/>
                </w:tcPr>
                <w:p>
                  <w:pPr>
                    <w:keepNext/>
                    <w:jc w:val="center"/>
                  </w:pPr>
                  <w:r>
                    <w:rPr>
                      <w:rFonts w:hint="eastAsia"/>
                    </w:rPr>
                    <w:t>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7" w:type="dxa"/>
                  <w:vMerge w:val="continue"/>
                  <w:vAlign w:val="center"/>
                </w:tcPr>
                <w:p>
                  <w:pPr>
                    <w:keepNext/>
                    <w:jc w:val="center"/>
                  </w:pPr>
                </w:p>
              </w:tc>
              <w:tc>
                <w:tcPr>
                  <w:tcW w:w="1860" w:type="dxa"/>
                  <w:vAlign w:val="center"/>
                </w:tcPr>
                <w:p>
                  <w:pPr>
                    <w:keepNext/>
                    <w:jc w:val="center"/>
                    <w:rPr>
                      <w:kern w:val="2"/>
                      <w:szCs w:val="24"/>
                    </w:rPr>
                  </w:pPr>
                  <w:r>
                    <w:rPr>
                      <w:rFonts w:hint="eastAsia"/>
                    </w:rPr>
                    <w:t>标准指数</w:t>
                  </w:r>
                </w:p>
              </w:tc>
              <w:tc>
                <w:tcPr>
                  <w:tcW w:w="2169" w:type="dxa"/>
                  <w:vAlign w:val="center"/>
                </w:tcPr>
                <w:p>
                  <w:pPr>
                    <w:keepNext/>
                    <w:jc w:val="center"/>
                  </w:pPr>
                  <w:r>
                    <w:rPr>
                      <w:rFonts w:hint="eastAsia"/>
                    </w:rPr>
                    <w:t>0.50</w:t>
                  </w:r>
                </w:p>
              </w:tc>
              <w:tc>
                <w:tcPr>
                  <w:tcW w:w="1756" w:type="dxa"/>
                  <w:vAlign w:val="center"/>
                </w:tcPr>
                <w:p>
                  <w:pPr>
                    <w:keepNext/>
                    <w:jc w:val="center"/>
                  </w:pPr>
                  <w:r>
                    <w:rPr>
                      <w:rFonts w:hint="eastAsia"/>
                    </w:rPr>
                    <w:t>0.75</w:t>
                  </w:r>
                </w:p>
              </w:tc>
              <w:tc>
                <w:tcPr>
                  <w:tcW w:w="1756" w:type="dxa"/>
                  <w:vAlign w:val="center"/>
                </w:tcPr>
                <w:p>
                  <w:pPr>
                    <w:keepNext/>
                    <w:jc w:val="center"/>
                  </w:pPr>
                  <w:r>
                    <w:rPr>
                      <w:rFonts w:hint="eastAsia"/>
                    </w:rPr>
                    <w:t>0.50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7" w:type="dxa"/>
                  <w:vMerge w:val="continue"/>
                  <w:vAlign w:val="center"/>
                </w:tcPr>
                <w:p>
                  <w:pPr>
                    <w:keepNext/>
                    <w:jc w:val="center"/>
                  </w:pPr>
                </w:p>
              </w:tc>
              <w:tc>
                <w:tcPr>
                  <w:tcW w:w="1860" w:type="dxa"/>
                  <w:vAlign w:val="center"/>
                </w:tcPr>
                <w:p>
                  <w:pPr>
                    <w:keepNext/>
                    <w:jc w:val="center"/>
                    <w:rPr>
                      <w:kern w:val="2"/>
                      <w:szCs w:val="24"/>
                    </w:rPr>
                  </w:pPr>
                  <w:r>
                    <w:rPr>
                      <w:rFonts w:hint="eastAsia"/>
                    </w:rPr>
                    <w:t>达标情况</w:t>
                  </w:r>
                </w:p>
              </w:tc>
              <w:tc>
                <w:tcPr>
                  <w:tcW w:w="2169" w:type="dxa"/>
                  <w:vAlign w:val="center"/>
                </w:tcPr>
                <w:p>
                  <w:pPr>
                    <w:keepNext/>
                    <w:jc w:val="center"/>
                  </w:pPr>
                  <w:r>
                    <w:rPr>
                      <w:rFonts w:hint="eastAsia"/>
                    </w:rPr>
                    <w:t>达标</w:t>
                  </w:r>
                </w:p>
              </w:tc>
              <w:tc>
                <w:tcPr>
                  <w:tcW w:w="1756" w:type="dxa"/>
                  <w:vAlign w:val="center"/>
                </w:tcPr>
                <w:p>
                  <w:pPr>
                    <w:keepNext/>
                    <w:jc w:val="center"/>
                  </w:pPr>
                  <w:r>
                    <w:rPr>
                      <w:rFonts w:hint="eastAsia"/>
                    </w:rPr>
                    <w:t>达标</w:t>
                  </w:r>
                </w:p>
              </w:tc>
              <w:tc>
                <w:tcPr>
                  <w:tcW w:w="1756" w:type="dxa"/>
                  <w:vAlign w:val="center"/>
                </w:tcPr>
                <w:p>
                  <w:pPr>
                    <w:keepNext/>
                    <w:jc w:val="center"/>
                  </w:pPr>
                  <w:r>
                    <w:rPr>
                      <w:rFonts w:hint="eastAsia"/>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7" w:type="dxa"/>
                  <w:vMerge w:val="restart"/>
                  <w:vAlign w:val="center"/>
                </w:tcPr>
                <w:p>
                  <w:pPr>
                    <w:keepNext/>
                    <w:jc w:val="center"/>
                  </w:pPr>
                  <w:r>
                    <w:rPr>
                      <w:rFonts w:hint="eastAsia"/>
                    </w:rPr>
                    <w:t>总氮</w:t>
                  </w:r>
                </w:p>
                <w:p>
                  <w:pPr>
                    <w:keepNext/>
                    <w:jc w:val="center"/>
                  </w:pPr>
                  <w:r>
                    <w:rPr>
                      <w:rFonts w:hint="eastAsia"/>
                    </w:rPr>
                    <w:t>（mg/L）</w:t>
                  </w:r>
                </w:p>
              </w:tc>
              <w:tc>
                <w:tcPr>
                  <w:tcW w:w="1860" w:type="dxa"/>
                  <w:vAlign w:val="center"/>
                </w:tcPr>
                <w:p>
                  <w:pPr>
                    <w:keepNext/>
                    <w:jc w:val="center"/>
                    <w:rPr>
                      <w:kern w:val="2"/>
                      <w:szCs w:val="24"/>
                    </w:rPr>
                  </w:pPr>
                  <w:r>
                    <w:rPr>
                      <w:rFonts w:hint="eastAsia"/>
                    </w:rPr>
                    <w:t>2021.11.27</w:t>
                  </w:r>
                </w:p>
              </w:tc>
              <w:tc>
                <w:tcPr>
                  <w:tcW w:w="2169" w:type="dxa"/>
                  <w:vAlign w:val="center"/>
                </w:tcPr>
                <w:p>
                  <w:pPr>
                    <w:keepNext/>
                    <w:jc w:val="center"/>
                  </w:pPr>
                  <w:r>
                    <w:rPr>
                      <w:rFonts w:hint="eastAsia"/>
                    </w:rPr>
                    <w:t>7.05</w:t>
                  </w:r>
                </w:p>
              </w:tc>
              <w:tc>
                <w:tcPr>
                  <w:tcW w:w="1756" w:type="dxa"/>
                  <w:vAlign w:val="center"/>
                </w:tcPr>
                <w:p>
                  <w:pPr>
                    <w:keepNext/>
                    <w:jc w:val="center"/>
                  </w:pPr>
                  <w:r>
                    <w:rPr>
                      <w:rFonts w:hint="eastAsia"/>
                    </w:rPr>
                    <w:t>6.96</w:t>
                  </w:r>
                </w:p>
              </w:tc>
              <w:tc>
                <w:tcPr>
                  <w:tcW w:w="1756" w:type="dxa"/>
                  <w:vAlign w:val="center"/>
                </w:tcPr>
                <w:p>
                  <w:pPr>
                    <w:keepNext/>
                    <w:jc w:val="center"/>
                  </w:pPr>
                  <w:r>
                    <w:rPr>
                      <w:rFonts w:hint="eastAsia"/>
                    </w:rPr>
                    <w:t>3.82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7" w:type="dxa"/>
                  <w:vMerge w:val="continue"/>
                  <w:vAlign w:val="center"/>
                </w:tcPr>
                <w:p>
                  <w:pPr>
                    <w:keepNext/>
                    <w:jc w:val="center"/>
                  </w:pPr>
                </w:p>
              </w:tc>
              <w:tc>
                <w:tcPr>
                  <w:tcW w:w="1860" w:type="dxa"/>
                  <w:vAlign w:val="center"/>
                </w:tcPr>
                <w:p>
                  <w:pPr>
                    <w:keepNext/>
                    <w:jc w:val="center"/>
                    <w:rPr>
                      <w:kern w:val="2"/>
                      <w:szCs w:val="24"/>
                    </w:rPr>
                  </w:pPr>
                  <w:r>
                    <w:rPr>
                      <w:rFonts w:hint="eastAsia"/>
                    </w:rPr>
                    <w:t>2021.11.28</w:t>
                  </w:r>
                </w:p>
              </w:tc>
              <w:tc>
                <w:tcPr>
                  <w:tcW w:w="2169" w:type="dxa"/>
                  <w:vAlign w:val="center"/>
                </w:tcPr>
                <w:p>
                  <w:pPr>
                    <w:keepNext/>
                    <w:jc w:val="center"/>
                  </w:pPr>
                  <w:r>
                    <w:rPr>
                      <w:rFonts w:hint="eastAsia"/>
                    </w:rPr>
                    <w:t>6.95</w:t>
                  </w:r>
                </w:p>
              </w:tc>
              <w:tc>
                <w:tcPr>
                  <w:tcW w:w="1756" w:type="dxa"/>
                  <w:vAlign w:val="center"/>
                </w:tcPr>
                <w:p>
                  <w:pPr>
                    <w:keepNext/>
                    <w:jc w:val="center"/>
                  </w:pPr>
                  <w:r>
                    <w:rPr>
                      <w:rFonts w:hint="eastAsia"/>
                    </w:rPr>
                    <w:t>6.82</w:t>
                  </w:r>
                </w:p>
              </w:tc>
              <w:tc>
                <w:tcPr>
                  <w:tcW w:w="1756" w:type="dxa"/>
                  <w:vAlign w:val="center"/>
                </w:tcPr>
                <w:p>
                  <w:pPr>
                    <w:keepNext/>
                    <w:jc w:val="center"/>
                  </w:pPr>
                  <w:r>
                    <w:rPr>
                      <w:rFonts w:hint="eastAsia"/>
                    </w:rPr>
                    <w:t>3.73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7" w:type="dxa"/>
                  <w:vMerge w:val="continue"/>
                  <w:vAlign w:val="center"/>
                </w:tcPr>
                <w:p>
                  <w:pPr>
                    <w:keepNext/>
                    <w:jc w:val="center"/>
                  </w:pPr>
                </w:p>
              </w:tc>
              <w:tc>
                <w:tcPr>
                  <w:tcW w:w="1860" w:type="dxa"/>
                  <w:vAlign w:val="center"/>
                </w:tcPr>
                <w:p>
                  <w:pPr>
                    <w:keepNext/>
                    <w:jc w:val="center"/>
                    <w:rPr>
                      <w:kern w:val="2"/>
                      <w:szCs w:val="24"/>
                    </w:rPr>
                  </w:pPr>
                  <w:r>
                    <w:rPr>
                      <w:rFonts w:hint="eastAsia"/>
                    </w:rPr>
                    <w:t>2021.11.29</w:t>
                  </w:r>
                </w:p>
              </w:tc>
              <w:tc>
                <w:tcPr>
                  <w:tcW w:w="2169" w:type="dxa"/>
                  <w:vAlign w:val="center"/>
                </w:tcPr>
                <w:p>
                  <w:pPr>
                    <w:keepNext/>
                    <w:jc w:val="center"/>
                  </w:pPr>
                  <w:r>
                    <w:rPr>
                      <w:rFonts w:hint="eastAsia"/>
                    </w:rPr>
                    <w:t>6.58</w:t>
                  </w:r>
                </w:p>
              </w:tc>
              <w:tc>
                <w:tcPr>
                  <w:tcW w:w="1756" w:type="dxa"/>
                  <w:vAlign w:val="center"/>
                </w:tcPr>
                <w:p>
                  <w:pPr>
                    <w:keepNext/>
                    <w:jc w:val="center"/>
                  </w:pPr>
                  <w:r>
                    <w:rPr>
                      <w:rFonts w:hint="eastAsia"/>
                    </w:rPr>
                    <w:t>6.48</w:t>
                  </w:r>
                </w:p>
              </w:tc>
              <w:tc>
                <w:tcPr>
                  <w:tcW w:w="1756" w:type="dxa"/>
                  <w:vAlign w:val="center"/>
                </w:tcPr>
                <w:p>
                  <w:pPr>
                    <w:keepNext/>
                    <w:jc w:val="center"/>
                  </w:pPr>
                  <w:r>
                    <w:rPr>
                      <w:rFonts w:hint="eastAsia"/>
                    </w:rPr>
                    <w:t>3.52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7" w:type="dxa"/>
                  <w:vMerge w:val="continue"/>
                  <w:vAlign w:val="center"/>
                </w:tcPr>
                <w:p>
                  <w:pPr>
                    <w:keepNext/>
                    <w:jc w:val="center"/>
                  </w:pPr>
                </w:p>
              </w:tc>
              <w:tc>
                <w:tcPr>
                  <w:tcW w:w="1860" w:type="dxa"/>
                  <w:vAlign w:val="center"/>
                </w:tcPr>
                <w:p>
                  <w:pPr>
                    <w:keepNext/>
                    <w:jc w:val="center"/>
                    <w:rPr>
                      <w:kern w:val="2"/>
                      <w:szCs w:val="24"/>
                    </w:rPr>
                  </w:pPr>
                  <w:r>
                    <w:rPr>
                      <w:rFonts w:hint="eastAsia"/>
                    </w:rPr>
                    <w:t>平均值</w:t>
                  </w:r>
                </w:p>
              </w:tc>
              <w:tc>
                <w:tcPr>
                  <w:tcW w:w="2169" w:type="dxa"/>
                  <w:vAlign w:val="center"/>
                </w:tcPr>
                <w:p>
                  <w:pPr>
                    <w:keepNext/>
                    <w:jc w:val="center"/>
                  </w:pPr>
                  <w:r>
                    <w:rPr>
                      <w:rFonts w:hint="eastAsia"/>
                    </w:rPr>
                    <w:t>6.9</w:t>
                  </w:r>
                </w:p>
              </w:tc>
              <w:tc>
                <w:tcPr>
                  <w:tcW w:w="1756" w:type="dxa"/>
                  <w:vAlign w:val="center"/>
                </w:tcPr>
                <w:p>
                  <w:pPr>
                    <w:keepNext/>
                    <w:jc w:val="center"/>
                  </w:pPr>
                  <w:r>
                    <w:rPr>
                      <w:rFonts w:hint="eastAsia"/>
                    </w:rPr>
                    <w:t>6.8</w:t>
                  </w:r>
                </w:p>
              </w:tc>
              <w:tc>
                <w:tcPr>
                  <w:tcW w:w="1756" w:type="dxa"/>
                  <w:vAlign w:val="center"/>
                </w:tcPr>
                <w:p>
                  <w:pPr>
                    <w:keepNext/>
                    <w:jc w:val="center"/>
                  </w:pPr>
                  <w:r>
                    <w:rPr>
                      <w:rFonts w:hint="eastAsia"/>
                    </w:rPr>
                    <w:t>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7" w:type="dxa"/>
                  <w:vMerge w:val="continue"/>
                  <w:vAlign w:val="center"/>
                </w:tcPr>
                <w:p>
                  <w:pPr>
                    <w:keepNext/>
                    <w:jc w:val="center"/>
                  </w:pPr>
                </w:p>
              </w:tc>
              <w:tc>
                <w:tcPr>
                  <w:tcW w:w="1860" w:type="dxa"/>
                  <w:vAlign w:val="center"/>
                </w:tcPr>
                <w:p>
                  <w:pPr>
                    <w:keepNext/>
                    <w:jc w:val="center"/>
                    <w:rPr>
                      <w:color w:val="000000"/>
                      <w:szCs w:val="21"/>
                    </w:rPr>
                  </w:pPr>
                  <w:r>
                    <w:rPr>
                      <w:color w:val="000000"/>
                      <w:szCs w:val="21"/>
                    </w:rPr>
                    <w:t>Ⅴ</w:t>
                  </w:r>
                  <w:r>
                    <w:rPr>
                      <w:rFonts w:hint="eastAsia"/>
                      <w:color w:val="000000"/>
                      <w:szCs w:val="21"/>
                    </w:rPr>
                    <w:t>（W1、W2）/</w:t>
                  </w:r>
                </w:p>
                <w:p>
                  <w:pPr>
                    <w:keepNext/>
                    <w:jc w:val="center"/>
                    <w:rPr>
                      <w:kern w:val="2"/>
                      <w:szCs w:val="24"/>
                    </w:rPr>
                  </w:pPr>
                  <w:r>
                    <w:rPr>
                      <w:color w:val="000000"/>
                      <w:szCs w:val="21"/>
                    </w:rPr>
                    <w:t>Ⅲ</w:t>
                  </w:r>
                  <w:r>
                    <w:rPr>
                      <w:rFonts w:hint="eastAsia"/>
                      <w:color w:val="000000"/>
                      <w:szCs w:val="21"/>
                    </w:rPr>
                    <w:t>（W3）</w:t>
                  </w:r>
                  <w:r>
                    <w:rPr>
                      <w:color w:val="000000"/>
                      <w:szCs w:val="21"/>
                    </w:rPr>
                    <w:t>类标准</w:t>
                  </w:r>
                </w:p>
              </w:tc>
              <w:tc>
                <w:tcPr>
                  <w:tcW w:w="2169" w:type="dxa"/>
                  <w:vAlign w:val="center"/>
                </w:tcPr>
                <w:p>
                  <w:pPr>
                    <w:keepNext/>
                    <w:jc w:val="center"/>
                    <w:rPr>
                      <w:kern w:val="2"/>
                      <w:szCs w:val="24"/>
                    </w:rPr>
                  </w:pPr>
                  <w:r>
                    <w:rPr>
                      <w:rFonts w:hint="eastAsia"/>
                    </w:rPr>
                    <w:t>/</w:t>
                  </w:r>
                </w:p>
              </w:tc>
              <w:tc>
                <w:tcPr>
                  <w:tcW w:w="1756" w:type="dxa"/>
                  <w:vAlign w:val="center"/>
                </w:tcPr>
                <w:p>
                  <w:pPr>
                    <w:keepNext/>
                    <w:jc w:val="center"/>
                    <w:rPr>
                      <w:kern w:val="2"/>
                      <w:szCs w:val="24"/>
                    </w:rPr>
                  </w:pPr>
                  <w:r>
                    <w:rPr>
                      <w:rFonts w:hint="eastAsia"/>
                    </w:rPr>
                    <w:t>/</w:t>
                  </w:r>
                </w:p>
              </w:tc>
              <w:tc>
                <w:tcPr>
                  <w:tcW w:w="1756" w:type="dxa"/>
                  <w:vAlign w:val="center"/>
                </w:tcPr>
                <w:p>
                  <w:pPr>
                    <w:keepNext/>
                    <w:jc w:val="center"/>
                    <w:rPr>
                      <w:kern w:val="2"/>
                      <w:szCs w:val="24"/>
                    </w:rPr>
                  </w:pPr>
                  <w:r>
                    <w:rPr>
                      <w:rFonts w:hint="eastAsi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7" w:type="dxa"/>
                  <w:vMerge w:val="continue"/>
                  <w:vAlign w:val="center"/>
                </w:tcPr>
                <w:p>
                  <w:pPr>
                    <w:keepNext/>
                    <w:jc w:val="center"/>
                  </w:pPr>
                </w:p>
              </w:tc>
              <w:tc>
                <w:tcPr>
                  <w:tcW w:w="1860" w:type="dxa"/>
                  <w:vAlign w:val="center"/>
                </w:tcPr>
                <w:p>
                  <w:pPr>
                    <w:keepNext/>
                    <w:jc w:val="center"/>
                    <w:rPr>
                      <w:kern w:val="2"/>
                      <w:szCs w:val="24"/>
                    </w:rPr>
                  </w:pPr>
                  <w:r>
                    <w:rPr>
                      <w:rFonts w:hint="eastAsia"/>
                    </w:rPr>
                    <w:t>标准指数</w:t>
                  </w:r>
                </w:p>
              </w:tc>
              <w:tc>
                <w:tcPr>
                  <w:tcW w:w="2169" w:type="dxa"/>
                  <w:vAlign w:val="center"/>
                </w:tcPr>
                <w:p>
                  <w:pPr>
                    <w:keepNext/>
                    <w:jc w:val="center"/>
                    <w:rPr>
                      <w:kern w:val="2"/>
                      <w:szCs w:val="24"/>
                    </w:rPr>
                  </w:pPr>
                  <w:r>
                    <w:rPr>
                      <w:rFonts w:hint="eastAsia"/>
                    </w:rPr>
                    <w:t>/</w:t>
                  </w:r>
                </w:p>
              </w:tc>
              <w:tc>
                <w:tcPr>
                  <w:tcW w:w="1756" w:type="dxa"/>
                  <w:vAlign w:val="center"/>
                </w:tcPr>
                <w:p>
                  <w:pPr>
                    <w:keepNext/>
                    <w:jc w:val="center"/>
                    <w:rPr>
                      <w:kern w:val="2"/>
                      <w:szCs w:val="24"/>
                    </w:rPr>
                  </w:pPr>
                  <w:r>
                    <w:rPr>
                      <w:rFonts w:hint="eastAsia"/>
                    </w:rPr>
                    <w:t>/</w:t>
                  </w:r>
                </w:p>
              </w:tc>
              <w:tc>
                <w:tcPr>
                  <w:tcW w:w="1756" w:type="dxa"/>
                  <w:vAlign w:val="center"/>
                </w:tcPr>
                <w:p>
                  <w:pPr>
                    <w:keepNext/>
                    <w:jc w:val="center"/>
                    <w:rPr>
                      <w:kern w:val="2"/>
                      <w:szCs w:val="24"/>
                    </w:rPr>
                  </w:pPr>
                  <w:r>
                    <w:rPr>
                      <w:rFonts w:hint="eastAsi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7" w:type="dxa"/>
                  <w:vMerge w:val="continue"/>
                  <w:vAlign w:val="center"/>
                </w:tcPr>
                <w:p>
                  <w:pPr>
                    <w:keepNext/>
                    <w:jc w:val="center"/>
                  </w:pPr>
                </w:p>
              </w:tc>
              <w:tc>
                <w:tcPr>
                  <w:tcW w:w="1860" w:type="dxa"/>
                  <w:vAlign w:val="center"/>
                </w:tcPr>
                <w:p>
                  <w:pPr>
                    <w:keepNext/>
                    <w:jc w:val="center"/>
                    <w:rPr>
                      <w:kern w:val="2"/>
                      <w:szCs w:val="24"/>
                    </w:rPr>
                  </w:pPr>
                  <w:r>
                    <w:rPr>
                      <w:rFonts w:hint="eastAsia"/>
                    </w:rPr>
                    <w:t>达标情况</w:t>
                  </w:r>
                </w:p>
              </w:tc>
              <w:tc>
                <w:tcPr>
                  <w:tcW w:w="2169" w:type="dxa"/>
                  <w:vAlign w:val="center"/>
                </w:tcPr>
                <w:p>
                  <w:pPr>
                    <w:keepNext/>
                    <w:jc w:val="center"/>
                    <w:rPr>
                      <w:kern w:val="2"/>
                      <w:szCs w:val="24"/>
                    </w:rPr>
                  </w:pPr>
                  <w:r>
                    <w:rPr>
                      <w:rFonts w:hint="eastAsia"/>
                    </w:rPr>
                    <w:t>/</w:t>
                  </w:r>
                </w:p>
              </w:tc>
              <w:tc>
                <w:tcPr>
                  <w:tcW w:w="1756" w:type="dxa"/>
                  <w:vAlign w:val="center"/>
                </w:tcPr>
                <w:p>
                  <w:pPr>
                    <w:keepNext/>
                    <w:jc w:val="center"/>
                    <w:rPr>
                      <w:kern w:val="2"/>
                      <w:szCs w:val="24"/>
                    </w:rPr>
                  </w:pPr>
                  <w:r>
                    <w:rPr>
                      <w:rFonts w:hint="eastAsia"/>
                    </w:rPr>
                    <w:t>/</w:t>
                  </w:r>
                </w:p>
              </w:tc>
              <w:tc>
                <w:tcPr>
                  <w:tcW w:w="1756" w:type="dxa"/>
                  <w:vAlign w:val="center"/>
                </w:tcPr>
                <w:p>
                  <w:pPr>
                    <w:keepNext/>
                    <w:jc w:val="center"/>
                    <w:rPr>
                      <w:kern w:val="2"/>
                      <w:szCs w:val="24"/>
                    </w:rPr>
                  </w:pPr>
                  <w:r>
                    <w:rPr>
                      <w:rFonts w:hint="eastAsi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7" w:type="dxa"/>
                  <w:vMerge w:val="restart"/>
                  <w:vAlign w:val="center"/>
                </w:tcPr>
                <w:p>
                  <w:pPr>
                    <w:keepNext/>
                    <w:jc w:val="center"/>
                  </w:pPr>
                  <w:r>
                    <w:rPr>
                      <w:rFonts w:hint="eastAsia"/>
                    </w:rPr>
                    <w:t>氟化物</w:t>
                  </w:r>
                </w:p>
                <w:p>
                  <w:pPr>
                    <w:keepNext/>
                    <w:jc w:val="center"/>
                  </w:pPr>
                  <w:r>
                    <w:rPr>
                      <w:rFonts w:hint="eastAsia"/>
                    </w:rPr>
                    <w:t>（mg/L）</w:t>
                  </w:r>
                </w:p>
              </w:tc>
              <w:tc>
                <w:tcPr>
                  <w:tcW w:w="1860" w:type="dxa"/>
                  <w:vAlign w:val="center"/>
                </w:tcPr>
                <w:p>
                  <w:pPr>
                    <w:keepNext/>
                    <w:jc w:val="center"/>
                    <w:rPr>
                      <w:kern w:val="2"/>
                      <w:szCs w:val="24"/>
                    </w:rPr>
                  </w:pPr>
                  <w:r>
                    <w:rPr>
                      <w:rFonts w:hint="eastAsia"/>
                    </w:rPr>
                    <w:t>2021.11.27</w:t>
                  </w:r>
                </w:p>
              </w:tc>
              <w:tc>
                <w:tcPr>
                  <w:tcW w:w="2169" w:type="dxa"/>
                  <w:vAlign w:val="center"/>
                </w:tcPr>
                <w:p>
                  <w:pPr>
                    <w:keepNext/>
                    <w:jc w:val="center"/>
                  </w:pPr>
                  <w:r>
                    <w:rPr>
                      <w:rFonts w:hint="eastAsia"/>
                    </w:rPr>
                    <w:t>0.09</w:t>
                  </w:r>
                </w:p>
              </w:tc>
              <w:tc>
                <w:tcPr>
                  <w:tcW w:w="1756" w:type="dxa"/>
                  <w:vAlign w:val="center"/>
                </w:tcPr>
                <w:p>
                  <w:pPr>
                    <w:keepNext/>
                    <w:jc w:val="center"/>
                  </w:pPr>
                  <w:r>
                    <w:rPr>
                      <w:rFonts w:hint="eastAsia"/>
                    </w:rPr>
                    <w:t>0.11</w:t>
                  </w:r>
                </w:p>
              </w:tc>
              <w:tc>
                <w:tcPr>
                  <w:tcW w:w="1756" w:type="dxa"/>
                  <w:vAlign w:val="center"/>
                </w:tcPr>
                <w:p>
                  <w:pPr>
                    <w:keepNext/>
                    <w:jc w:val="center"/>
                  </w:pPr>
                  <w:r>
                    <w:rPr>
                      <w:rFonts w:hint="eastAsia"/>
                    </w:rPr>
                    <w:t>0.12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7" w:type="dxa"/>
                  <w:vMerge w:val="continue"/>
                  <w:vAlign w:val="center"/>
                </w:tcPr>
                <w:p>
                  <w:pPr>
                    <w:keepNext/>
                    <w:jc w:val="center"/>
                  </w:pPr>
                </w:p>
              </w:tc>
              <w:tc>
                <w:tcPr>
                  <w:tcW w:w="1860" w:type="dxa"/>
                  <w:vAlign w:val="center"/>
                </w:tcPr>
                <w:p>
                  <w:pPr>
                    <w:keepNext/>
                    <w:jc w:val="center"/>
                    <w:rPr>
                      <w:kern w:val="2"/>
                      <w:szCs w:val="24"/>
                    </w:rPr>
                  </w:pPr>
                  <w:r>
                    <w:rPr>
                      <w:rFonts w:hint="eastAsia"/>
                    </w:rPr>
                    <w:t>2021.11.28</w:t>
                  </w:r>
                </w:p>
              </w:tc>
              <w:tc>
                <w:tcPr>
                  <w:tcW w:w="2169" w:type="dxa"/>
                  <w:vAlign w:val="center"/>
                </w:tcPr>
                <w:p>
                  <w:pPr>
                    <w:keepNext/>
                    <w:jc w:val="center"/>
                  </w:pPr>
                  <w:r>
                    <w:rPr>
                      <w:rFonts w:hint="eastAsia"/>
                    </w:rPr>
                    <w:t>0.10</w:t>
                  </w:r>
                </w:p>
              </w:tc>
              <w:tc>
                <w:tcPr>
                  <w:tcW w:w="1756" w:type="dxa"/>
                  <w:vAlign w:val="center"/>
                </w:tcPr>
                <w:p>
                  <w:pPr>
                    <w:keepNext/>
                    <w:jc w:val="center"/>
                  </w:pPr>
                  <w:r>
                    <w:rPr>
                      <w:rFonts w:hint="eastAsia"/>
                    </w:rPr>
                    <w:t>0.14</w:t>
                  </w:r>
                </w:p>
              </w:tc>
              <w:tc>
                <w:tcPr>
                  <w:tcW w:w="1756" w:type="dxa"/>
                  <w:vAlign w:val="center"/>
                </w:tcPr>
                <w:p>
                  <w:pPr>
                    <w:keepNext/>
                    <w:jc w:val="center"/>
                  </w:pPr>
                  <w:r>
                    <w:rPr>
                      <w:rFonts w:hint="eastAsia"/>
                    </w:rPr>
                    <w:t>0.19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7" w:type="dxa"/>
                  <w:vMerge w:val="continue"/>
                  <w:vAlign w:val="center"/>
                </w:tcPr>
                <w:p>
                  <w:pPr>
                    <w:keepNext/>
                    <w:jc w:val="center"/>
                  </w:pPr>
                </w:p>
              </w:tc>
              <w:tc>
                <w:tcPr>
                  <w:tcW w:w="1860" w:type="dxa"/>
                  <w:vAlign w:val="center"/>
                </w:tcPr>
                <w:p>
                  <w:pPr>
                    <w:keepNext/>
                    <w:jc w:val="center"/>
                    <w:rPr>
                      <w:kern w:val="2"/>
                      <w:szCs w:val="24"/>
                    </w:rPr>
                  </w:pPr>
                  <w:r>
                    <w:rPr>
                      <w:rFonts w:hint="eastAsia"/>
                    </w:rPr>
                    <w:t>2021.11.29</w:t>
                  </w:r>
                </w:p>
              </w:tc>
              <w:tc>
                <w:tcPr>
                  <w:tcW w:w="2169" w:type="dxa"/>
                  <w:vAlign w:val="center"/>
                </w:tcPr>
                <w:p>
                  <w:pPr>
                    <w:keepNext/>
                    <w:jc w:val="center"/>
                  </w:pPr>
                  <w:r>
                    <w:rPr>
                      <w:rFonts w:hint="eastAsia"/>
                    </w:rPr>
                    <w:t>0.12</w:t>
                  </w:r>
                </w:p>
              </w:tc>
              <w:tc>
                <w:tcPr>
                  <w:tcW w:w="1756" w:type="dxa"/>
                  <w:vAlign w:val="center"/>
                </w:tcPr>
                <w:p>
                  <w:pPr>
                    <w:keepNext/>
                    <w:jc w:val="center"/>
                  </w:pPr>
                  <w:r>
                    <w:rPr>
                      <w:rFonts w:hint="eastAsia"/>
                    </w:rPr>
                    <w:t>0.15</w:t>
                  </w:r>
                </w:p>
              </w:tc>
              <w:tc>
                <w:tcPr>
                  <w:tcW w:w="1747" w:type="dxa"/>
                  <w:vAlign w:val="center"/>
                </w:tcPr>
                <w:p>
                  <w:pPr>
                    <w:keepNext/>
                    <w:jc w:val="center"/>
                  </w:pPr>
                  <w:r>
                    <w:rPr>
                      <w:rFonts w:hint="eastAsia"/>
                    </w:rPr>
                    <w:t>0.18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7" w:type="dxa"/>
                  <w:vMerge w:val="continue"/>
                  <w:vAlign w:val="center"/>
                </w:tcPr>
                <w:p>
                  <w:pPr>
                    <w:keepNext/>
                    <w:jc w:val="center"/>
                  </w:pPr>
                </w:p>
              </w:tc>
              <w:tc>
                <w:tcPr>
                  <w:tcW w:w="1860" w:type="dxa"/>
                  <w:vAlign w:val="center"/>
                </w:tcPr>
                <w:p>
                  <w:pPr>
                    <w:keepNext/>
                    <w:jc w:val="center"/>
                    <w:rPr>
                      <w:kern w:val="2"/>
                      <w:szCs w:val="24"/>
                    </w:rPr>
                  </w:pPr>
                  <w:r>
                    <w:rPr>
                      <w:rFonts w:hint="eastAsia"/>
                    </w:rPr>
                    <w:t>平均值</w:t>
                  </w:r>
                </w:p>
              </w:tc>
              <w:tc>
                <w:tcPr>
                  <w:tcW w:w="2169" w:type="dxa"/>
                  <w:vAlign w:val="center"/>
                </w:tcPr>
                <w:p>
                  <w:pPr>
                    <w:keepNext/>
                    <w:jc w:val="center"/>
                  </w:pPr>
                  <w:r>
                    <w:rPr>
                      <w:rFonts w:hint="eastAsia"/>
                    </w:rPr>
                    <w:t>0.1</w:t>
                  </w:r>
                </w:p>
              </w:tc>
              <w:tc>
                <w:tcPr>
                  <w:tcW w:w="1756" w:type="dxa"/>
                  <w:vAlign w:val="center"/>
                </w:tcPr>
                <w:p>
                  <w:pPr>
                    <w:keepNext/>
                    <w:jc w:val="center"/>
                  </w:pPr>
                  <w:r>
                    <w:rPr>
                      <w:rFonts w:hint="eastAsia"/>
                    </w:rPr>
                    <w:t>0.1</w:t>
                  </w:r>
                </w:p>
              </w:tc>
              <w:tc>
                <w:tcPr>
                  <w:tcW w:w="1747" w:type="dxa"/>
                  <w:vAlign w:val="center"/>
                </w:tcPr>
                <w:p>
                  <w:pPr>
                    <w:keepNext/>
                    <w:jc w:val="center"/>
                  </w:pPr>
                  <w:r>
                    <w:rPr>
                      <w:rFonts w:hint="eastAsia"/>
                    </w:rPr>
                    <w:t>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7" w:type="dxa"/>
                  <w:vMerge w:val="continue"/>
                  <w:vAlign w:val="center"/>
                </w:tcPr>
                <w:p>
                  <w:pPr>
                    <w:keepNext/>
                    <w:jc w:val="center"/>
                  </w:pPr>
                </w:p>
              </w:tc>
              <w:tc>
                <w:tcPr>
                  <w:tcW w:w="1860" w:type="dxa"/>
                  <w:vAlign w:val="center"/>
                </w:tcPr>
                <w:p>
                  <w:pPr>
                    <w:keepNext/>
                    <w:jc w:val="center"/>
                    <w:rPr>
                      <w:color w:val="000000"/>
                      <w:szCs w:val="21"/>
                    </w:rPr>
                  </w:pPr>
                  <w:r>
                    <w:rPr>
                      <w:color w:val="000000"/>
                      <w:szCs w:val="21"/>
                    </w:rPr>
                    <w:t>Ⅴ</w:t>
                  </w:r>
                  <w:r>
                    <w:rPr>
                      <w:rFonts w:hint="eastAsia"/>
                      <w:color w:val="000000"/>
                      <w:szCs w:val="21"/>
                    </w:rPr>
                    <w:t>（W1、W2）/</w:t>
                  </w:r>
                </w:p>
                <w:p>
                  <w:pPr>
                    <w:keepNext/>
                    <w:jc w:val="center"/>
                    <w:rPr>
                      <w:kern w:val="2"/>
                      <w:szCs w:val="24"/>
                    </w:rPr>
                  </w:pPr>
                  <w:r>
                    <w:rPr>
                      <w:color w:val="000000"/>
                      <w:szCs w:val="21"/>
                    </w:rPr>
                    <w:t>Ⅲ</w:t>
                  </w:r>
                  <w:r>
                    <w:rPr>
                      <w:rFonts w:hint="eastAsia"/>
                      <w:color w:val="000000"/>
                      <w:szCs w:val="21"/>
                    </w:rPr>
                    <w:t>（W3）</w:t>
                  </w:r>
                  <w:r>
                    <w:rPr>
                      <w:color w:val="000000"/>
                      <w:szCs w:val="21"/>
                    </w:rPr>
                    <w:t>类标准</w:t>
                  </w:r>
                </w:p>
              </w:tc>
              <w:tc>
                <w:tcPr>
                  <w:tcW w:w="2169" w:type="dxa"/>
                  <w:vAlign w:val="center"/>
                </w:tcPr>
                <w:p>
                  <w:pPr>
                    <w:keepNext/>
                    <w:jc w:val="center"/>
                  </w:pPr>
                  <w:r>
                    <w:rPr>
                      <w:rFonts w:hint="eastAsia"/>
                    </w:rPr>
                    <w:t>1.5</w:t>
                  </w:r>
                </w:p>
              </w:tc>
              <w:tc>
                <w:tcPr>
                  <w:tcW w:w="1756" w:type="dxa"/>
                  <w:vAlign w:val="center"/>
                </w:tcPr>
                <w:p>
                  <w:pPr>
                    <w:keepNext/>
                    <w:jc w:val="center"/>
                  </w:pPr>
                  <w:r>
                    <w:rPr>
                      <w:rFonts w:hint="eastAsia"/>
                    </w:rPr>
                    <w:t>1.5</w:t>
                  </w:r>
                </w:p>
              </w:tc>
              <w:tc>
                <w:tcPr>
                  <w:tcW w:w="1747" w:type="dxa"/>
                  <w:vAlign w:val="center"/>
                </w:tcPr>
                <w:p>
                  <w:pPr>
                    <w:keepNext/>
                    <w:jc w:val="center"/>
                  </w:pPr>
                  <w:r>
                    <w:rPr>
                      <w:rFonts w:hint="eastAsia"/>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7" w:type="dxa"/>
                  <w:vMerge w:val="continue"/>
                  <w:vAlign w:val="center"/>
                </w:tcPr>
                <w:p>
                  <w:pPr>
                    <w:keepNext/>
                    <w:jc w:val="center"/>
                  </w:pPr>
                </w:p>
              </w:tc>
              <w:tc>
                <w:tcPr>
                  <w:tcW w:w="1860" w:type="dxa"/>
                  <w:vAlign w:val="center"/>
                </w:tcPr>
                <w:p>
                  <w:pPr>
                    <w:keepNext/>
                    <w:jc w:val="center"/>
                    <w:rPr>
                      <w:kern w:val="2"/>
                      <w:szCs w:val="24"/>
                    </w:rPr>
                  </w:pPr>
                  <w:r>
                    <w:rPr>
                      <w:rFonts w:hint="eastAsia"/>
                    </w:rPr>
                    <w:t>标准指数</w:t>
                  </w:r>
                </w:p>
              </w:tc>
              <w:tc>
                <w:tcPr>
                  <w:tcW w:w="2169" w:type="dxa"/>
                  <w:vAlign w:val="center"/>
                </w:tcPr>
                <w:p>
                  <w:pPr>
                    <w:keepNext/>
                    <w:jc w:val="center"/>
                  </w:pPr>
                  <w:r>
                    <w:rPr>
                      <w:rFonts w:hint="eastAsia"/>
                    </w:rPr>
                    <w:t>0.07</w:t>
                  </w:r>
                </w:p>
              </w:tc>
              <w:tc>
                <w:tcPr>
                  <w:tcW w:w="1756" w:type="dxa"/>
                  <w:vAlign w:val="center"/>
                </w:tcPr>
                <w:p>
                  <w:pPr>
                    <w:keepNext/>
                    <w:jc w:val="center"/>
                  </w:pPr>
                  <w:r>
                    <w:rPr>
                      <w:rFonts w:hint="eastAsia"/>
                    </w:rPr>
                    <w:t>0.07</w:t>
                  </w:r>
                </w:p>
              </w:tc>
              <w:tc>
                <w:tcPr>
                  <w:tcW w:w="1747" w:type="dxa"/>
                  <w:vAlign w:val="center"/>
                </w:tcPr>
                <w:p>
                  <w:pPr>
                    <w:keepNext/>
                    <w:jc w:val="center"/>
                  </w:pPr>
                  <w:r>
                    <w:rPr>
                      <w:rFonts w:hint="eastAsia"/>
                    </w:rPr>
                    <w:t>0.20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7" w:type="dxa"/>
                  <w:vMerge w:val="continue"/>
                  <w:vAlign w:val="center"/>
                </w:tcPr>
                <w:p>
                  <w:pPr>
                    <w:keepNext/>
                    <w:jc w:val="center"/>
                  </w:pPr>
                </w:p>
              </w:tc>
              <w:tc>
                <w:tcPr>
                  <w:tcW w:w="1860" w:type="dxa"/>
                  <w:vAlign w:val="center"/>
                </w:tcPr>
                <w:p>
                  <w:pPr>
                    <w:keepNext/>
                    <w:jc w:val="center"/>
                    <w:rPr>
                      <w:kern w:val="2"/>
                      <w:szCs w:val="24"/>
                    </w:rPr>
                  </w:pPr>
                  <w:r>
                    <w:rPr>
                      <w:rFonts w:hint="eastAsia"/>
                    </w:rPr>
                    <w:t>达标情况</w:t>
                  </w:r>
                </w:p>
              </w:tc>
              <w:tc>
                <w:tcPr>
                  <w:tcW w:w="2169" w:type="dxa"/>
                  <w:vAlign w:val="center"/>
                </w:tcPr>
                <w:p>
                  <w:pPr>
                    <w:keepNext/>
                    <w:jc w:val="center"/>
                  </w:pPr>
                  <w:r>
                    <w:rPr>
                      <w:rFonts w:hint="eastAsia"/>
                    </w:rPr>
                    <w:t>达标</w:t>
                  </w:r>
                </w:p>
              </w:tc>
              <w:tc>
                <w:tcPr>
                  <w:tcW w:w="1756" w:type="dxa"/>
                  <w:vAlign w:val="center"/>
                </w:tcPr>
                <w:p>
                  <w:pPr>
                    <w:keepNext/>
                    <w:jc w:val="center"/>
                  </w:pPr>
                  <w:r>
                    <w:rPr>
                      <w:rFonts w:hint="eastAsia"/>
                    </w:rPr>
                    <w:t>达标</w:t>
                  </w:r>
                </w:p>
              </w:tc>
              <w:tc>
                <w:tcPr>
                  <w:tcW w:w="1747" w:type="dxa"/>
                  <w:vAlign w:val="center"/>
                </w:tcPr>
                <w:p>
                  <w:pPr>
                    <w:keepNext/>
                    <w:jc w:val="center"/>
                  </w:pPr>
                  <w:r>
                    <w:rPr>
                      <w:rFonts w:hint="eastAsia"/>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7" w:type="dxa"/>
                  <w:vMerge w:val="restart"/>
                  <w:vAlign w:val="center"/>
                </w:tcPr>
                <w:p>
                  <w:pPr>
                    <w:keepNext/>
                    <w:jc w:val="center"/>
                  </w:pPr>
                  <w:r>
                    <w:rPr>
                      <w:rFonts w:hint="eastAsia"/>
                    </w:rPr>
                    <w:t>石油类</w:t>
                  </w:r>
                </w:p>
                <w:p>
                  <w:pPr>
                    <w:keepNext/>
                    <w:jc w:val="center"/>
                  </w:pPr>
                  <w:r>
                    <w:rPr>
                      <w:rFonts w:hint="eastAsia"/>
                    </w:rPr>
                    <w:t>（mg/L）</w:t>
                  </w:r>
                </w:p>
              </w:tc>
              <w:tc>
                <w:tcPr>
                  <w:tcW w:w="1860" w:type="dxa"/>
                  <w:vAlign w:val="center"/>
                </w:tcPr>
                <w:p>
                  <w:pPr>
                    <w:keepNext/>
                    <w:jc w:val="center"/>
                    <w:rPr>
                      <w:kern w:val="2"/>
                      <w:szCs w:val="24"/>
                    </w:rPr>
                  </w:pPr>
                  <w:r>
                    <w:rPr>
                      <w:rFonts w:hint="eastAsia"/>
                    </w:rPr>
                    <w:t>2021.11.27</w:t>
                  </w:r>
                </w:p>
              </w:tc>
              <w:tc>
                <w:tcPr>
                  <w:tcW w:w="2169" w:type="dxa"/>
                  <w:vAlign w:val="center"/>
                </w:tcPr>
                <w:p>
                  <w:pPr>
                    <w:keepNext/>
                    <w:jc w:val="center"/>
                  </w:pPr>
                  <w:r>
                    <w:rPr>
                      <w:rFonts w:hint="eastAsia"/>
                    </w:rPr>
                    <w:t>0.06</w:t>
                  </w:r>
                </w:p>
              </w:tc>
              <w:tc>
                <w:tcPr>
                  <w:tcW w:w="1756" w:type="dxa"/>
                  <w:vAlign w:val="center"/>
                </w:tcPr>
                <w:p>
                  <w:pPr>
                    <w:keepNext/>
                    <w:jc w:val="center"/>
                  </w:pPr>
                  <w:r>
                    <w:rPr>
                      <w:rFonts w:hint="eastAsia"/>
                    </w:rPr>
                    <w:t>0.05</w:t>
                  </w:r>
                </w:p>
              </w:tc>
              <w:tc>
                <w:tcPr>
                  <w:tcW w:w="1747" w:type="dxa"/>
                  <w:vAlign w:val="center"/>
                </w:tcPr>
                <w:p>
                  <w:pPr>
                    <w:keepNext/>
                    <w:jc w:val="center"/>
                  </w:pPr>
                  <w:r>
                    <w:rPr>
                      <w:rFonts w:hint="eastAsia"/>
                    </w:rPr>
                    <w:t>0.03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7" w:type="dxa"/>
                  <w:vMerge w:val="continue"/>
                  <w:vAlign w:val="center"/>
                </w:tcPr>
                <w:p>
                  <w:pPr>
                    <w:keepNext/>
                    <w:jc w:val="center"/>
                  </w:pPr>
                </w:p>
              </w:tc>
              <w:tc>
                <w:tcPr>
                  <w:tcW w:w="1860" w:type="dxa"/>
                  <w:vAlign w:val="center"/>
                </w:tcPr>
                <w:p>
                  <w:pPr>
                    <w:keepNext/>
                    <w:jc w:val="center"/>
                    <w:rPr>
                      <w:kern w:val="2"/>
                      <w:szCs w:val="24"/>
                    </w:rPr>
                  </w:pPr>
                  <w:r>
                    <w:rPr>
                      <w:rFonts w:hint="eastAsia"/>
                    </w:rPr>
                    <w:t>2021.11.28</w:t>
                  </w:r>
                </w:p>
              </w:tc>
              <w:tc>
                <w:tcPr>
                  <w:tcW w:w="2169" w:type="dxa"/>
                  <w:vAlign w:val="center"/>
                </w:tcPr>
                <w:p>
                  <w:pPr>
                    <w:keepNext/>
                    <w:jc w:val="center"/>
                  </w:pPr>
                  <w:r>
                    <w:rPr>
                      <w:rFonts w:hint="eastAsia"/>
                    </w:rPr>
                    <w:t>0.04</w:t>
                  </w:r>
                </w:p>
              </w:tc>
              <w:tc>
                <w:tcPr>
                  <w:tcW w:w="1756" w:type="dxa"/>
                  <w:vAlign w:val="center"/>
                </w:tcPr>
                <w:p>
                  <w:pPr>
                    <w:keepNext/>
                    <w:jc w:val="center"/>
                  </w:pPr>
                  <w:r>
                    <w:rPr>
                      <w:rFonts w:hint="eastAsia"/>
                    </w:rPr>
                    <w:t>0.04</w:t>
                  </w:r>
                </w:p>
              </w:tc>
              <w:tc>
                <w:tcPr>
                  <w:tcW w:w="1747" w:type="dxa"/>
                  <w:vAlign w:val="center"/>
                </w:tcPr>
                <w:p>
                  <w:pPr>
                    <w:keepNext/>
                    <w:jc w:val="center"/>
                  </w:pPr>
                  <w:r>
                    <w:rPr>
                      <w:rFonts w:hint="eastAsia"/>
                    </w:rPr>
                    <w:t>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7" w:type="dxa"/>
                  <w:vMerge w:val="continue"/>
                  <w:vAlign w:val="center"/>
                </w:tcPr>
                <w:p>
                  <w:pPr>
                    <w:keepNext/>
                    <w:jc w:val="center"/>
                  </w:pPr>
                </w:p>
              </w:tc>
              <w:tc>
                <w:tcPr>
                  <w:tcW w:w="1860" w:type="dxa"/>
                  <w:vAlign w:val="center"/>
                </w:tcPr>
                <w:p>
                  <w:pPr>
                    <w:keepNext/>
                    <w:jc w:val="center"/>
                    <w:rPr>
                      <w:kern w:val="2"/>
                      <w:szCs w:val="24"/>
                    </w:rPr>
                  </w:pPr>
                  <w:r>
                    <w:rPr>
                      <w:rFonts w:hint="eastAsia"/>
                    </w:rPr>
                    <w:t>2021.11.29</w:t>
                  </w:r>
                </w:p>
              </w:tc>
              <w:tc>
                <w:tcPr>
                  <w:tcW w:w="2169" w:type="dxa"/>
                  <w:vAlign w:val="center"/>
                </w:tcPr>
                <w:p>
                  <w:pPr>
                    <w:keepNext/>
                    <w:jc w:val="center"/>
                  </w:pPr>
                  <w:r>
                    <w:rPr>
                      <w:rFonts w:hint="eastAsia"/>
                    </w:rPr>
                    <w:t>0.03</w:t>
                  </w:r>
                </w:p>
              </w:tc>
              <w:tc>
                <w:tcPr>
                  <w:tcW w:w="1756" w:type="dxa"/>
                  <w:vAlign w:val="center"/>
                </w:tcPr>
                <w:p>
                  <w:pPr>
                    <w:keepNext/>
                    <w:jc w:val="center"/>
                  </w:pPr>
                  <w:r>
                    <w:rPr>
                      <w:rFonts w:hint="eastAsia"/>
                    </w:rPr>
                    <w:t>0.03</w:t>
                  </w:r>
                </w:p>
              </w:tc>
              <w:tc>
                <w:tcPr>
                  <w:tcW w:w="1747" w:type="dxa"/>
                  <w:vAlign w:val="center"/>
                </w:tcPr>
                <w:p>
                  <w:pPr>
                    <w:keepNext/>
                    <w:jc w:val="center"/>
                  </w:pPr>
                  <w:r>
                    <w:rPr>
                      <w:rFonts w:hint="eastAsia"/>
                    </w:rPr>
                    <w:t>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7" w:type="dxa"/>
                  <w:vMerge w:val="continue"/>
                  <w:vAlign w:val="center"/>
                </w:tcPr>
                <w:p>
                  <w:pPr>
                    <w:keepNext/>
                    <w:jc w:val="center"/>
                  </w:pPr>
                </w:p>
              </w:tc>
              <w:tc>
                <w:tcPr>
                  <w:tcW w:w="1860" w:type="dxa"/>
                  <w:vAlign w:val="center"/>
                </w:tcPr>
                <w:p>
                  <w:pPr>
                    <w:keepNext/>
                    <w:jc w:val="center"/>
                    <w:rPr>
                      <w:kern w:val="2"/>
                      <w:szCs w:val="24"/>
                    </w:rPr>
                  </w:pPr>
                  <w:r>
                    <w:rPr>
                      <w:rFonts w:hint="eastAsia"/>
                    </w:rPr>
                    <w:t>平均值</w:t>
                  </w:r>
                </w:p>
              </w:tc>
              <w:tc>
                <w:tcPr>
                  <w:tcW w:w="2169" w:type="dxa"/>
                  <w:vAlign w:val="center"/>
                </w:tcPr>
                <w:p>
                  <w:pPr>
                    <w:keepNext/>
                    <w:jc w:val="center"/>
                  </w:pPr>
                  <w:r>
                    <w:rPr>
                      <w:rFonts w:hint="eastAsia"/>
                    </w:rPr>
                    <w:t>0.04</w:t>
                  </w:r>
                </w:p>
              </w:tc>
              <w:tc>
                <w:tcPr>
                  <w:tcW w:w="1756" w:type="dxa"/>
                  <w:vAlign w:val="center"/>
                </w:tcPr>
                <w:p>
                  <w:pPr>
                    <w:keepNext/>
                    <w:jc w:val="center"/>
                  </w:pPr>
                  <w:r>
                    <w:rPr>
                      <w:rFonts w:hint="eastAsia"/>
                    </w:rPr>
                    <w:t>0.04</w:t>
                  </w:r>
                </w:p>
              </w:tc>
              <w:tc>
                <w:tcPr>
                  <w:tcW w:w="1747" w:type="dxa"/>
                  <w:vAlign w:val="center"/>
                </w:tcPr>
                <w:p>
                  <w:pPr>
                    <w:keepNext/>
                    <w:jc w:val="center"/>
                  </w:pPr>
                  <w:r>
                    <w:rPr>
                      <w:rFonts w:hint="eastAsia"/>
                    </w:rPr>
                    <w:t>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7" w:type="dxa"/>
                  <w:vMerge w:val="continue"/>
                  <w:vAlign w:val="center"/>
                </w:tcPr>
                <w:p>
                  <w:pPr>
                    <w:keepNext/>
                    <w:jc w:val="center"/>
                  </w:pPr>
                </w:p>
              </w:tc>
              <w:tc>
                <w:tcPr>
                  <w:tcW w:w="1860" w:type="dxa"/>
                  <w:vAlign w:val="center"/>
                </w:tcPr>
                <w:p>
                  <w:pPr>
                    <w:keepNext/>
                    <w:jc w:val="center"/>
                    <w:rPr>
                      <w:color w:val="000000"/>
                      <w:szCs w:val="21"/>
                    </w:rPr>
                  </w:pPr>
                  <w:r>
                    <w:rPr>
                      <w:color w:val="000000"/>
                      <w:szCs w:val="21"/>
                    </w:rPr>
                    <w:t>Ⅴ</w:t>
                  </w:r>
                  <w:r>
                    <w:rPr>
                      <w:rFonts w:hint="eastAsia"/>
                      <w:color w:val="000000"/>
                      <w:szCs w:val="21"/>
                    </w:rPr>
                    <w:t>（W1、W2）/</w:t>
                  </w:r>
                </w:p>
                <w:p>
                  <w:pPr>
                    <w:keepNext/>
                    <w:jc w:val="center"/>
                    <w:rPr>
                      <w:kern w:val="2"/>
                      <w:szCs w:val="24"/>
                    </w:rPr>
                  </w:pPr>
                  <w:r>
                    <w:rPr>
                      <w:color w:val="000000"/>
                      <w:szCs w:val="21"/>
                    </w:rPr>
                    <w:t>Ⅲ</w:t>
                  </w:r>
                  <w:r>
                    <w:rPr>
                      <w:rFonts w:hint="eastAsia"/>
                      <w:color w:val="000000"/>
                      <w:szCs w:val="21"/>
                    </w:rPr>
                    <w:t>（W3）</w:t>
                  </w:r>
                  <w:r>
                    <w:rPr>
                      <w:color w:val="000000"/>
                      <w:szCs w:val="21"/>
                    </w:rPr>
                    <w:t>类标准</w:t>
                  </w:r>
                </w:p>
              </w:tc>
              <w:tc>
                <w:tcPr>
                  <w:tcW w:w="2169" w:type="dxa"/>
                  <w:vAlign w:val="center"/>
                </w:tcPr>
                <w:p>
                  <w:pPr>
                    <w:keepNext/>
                    <w:jc w:val="center"/>
                  </w:pPr>
                  <w:r>
                    <w:rPr>
                      <w:rFonts w:hint="eastAsia"/>
                    </w:rPr>
                    <w:t>1.0</w:t>
                  </w:r>
                </w:p>
              </w:tc>
              <w:tc>
                <w:tcPr>
                  <w:tcW w:w="1756" w:type="dxa"/>
                  <w:vAlign w:val="center"/>
                </w:tcPr>
                <w:p>
                  <w:pPr>
                    <w:keepNext/>
                    <w:jc w:val="center"/>
                  </w:pPr>
                  <w:r>
                    <w:rPr>
                      <w:rFonts w:hint="eastAsia"/>
                    </w:rPr>
                    <w:t>1.0</w:t>
                  </w:r>
                </w:p>
              </w:tc>
              <w:tc>
                <w:tcPr>
                  <w:tcW w:w="1747" w:type="dxa"/>
                  <w:vAlign w:val="center"/>
                </w:tcPr>
                <w:p>
                  <w:pPr>
                    <w:keepNext/>
                    <w:jc w:val="center"/>
                  </w:pPr>
                  <w:r>
                    <w:rPr>
                      <w:rFonts w:hint="eastAsia"/>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7" w:type="dxa"/>
                  <w:vMerge w:val="continue"/>
                  <w:vAlign w:val="center"/>
                </w:tcPr>
                <w:p>
                  <w:pPr>
                    <w:keepNext/>
                    <w:jc w:val="center"/>
                  </w:pPr>
                </w:p>
              </w:tc>
              <w:tc>
                <w:tcPr>
                  <w:tcW w:w="1860" w:type="dxa"/>
                  <w:vAlign w:val="center"/>
                </w:tcPr>
                <w:p>
                  <w:pPr>
                    <w:keepNext/>
                    <w:jc w:val="center"/>
                    <w:rPr>
                      <w:kern w:val="2"/>
                      <w:szCs w:val="24"/>
                    </w:rPr>
                  </w:pPr>
                  <w:r>
                    <w:rPr>
                      <w:rFonts w:hint="eastAsia"/>
                    </w:rPr>
                    <w:t>标准指数</w:t>
                  </w:r>
                </w:p>
              </w:tc>
              <w:tc>
                <w:tcPr>
                  <w:tcW w:w="2169" w:type="dxa"/>
                  <w:vAlign w:val="center"/>
                </w:tcPr>
                <w:p>
                  <w:pPr>
                    <w:keepNext/>
                    <w:jc w:val="center"/>
                  </w:pPr>
                  <w:r>
                    <w:rPr>
                      <w:rFonts w:hint="eastAsia"/>
                    </w:rPr>
                    <w:t>0.04</w:t>
                  </w:r>
                </w:p>
              </w:tc>
              <w:tc>
                <w:tcPr>
                  <w:tcW w:w="1756" w:type="dxa"/>
                  <w:vAlign w:val="center"/>
                </w:tcPr>
                <w:p>
                  <w:pPr>
                    <w:keepNext/>
                    <w:jc w:val="center"/>
                  </w:pPr>
                  <w:r>
                    <w:rPr>
                      <w:rFonts w:hint="eastAsia"/>
                    </w:rPr>
                    <w:t>0.04</w:t>
                  </w:r>
                </w:p>
              </w:tc>
              <w:tc>
                <w:tcPr>
                  <w:tcW w:w="1747" w:type="dxa"/>
                  <w:vAlign w:val="center"/>
                </w:tcPr>
                <w:p>
                  <w:pPr>
                    <w:keepNext/>
                    <w:jc w:val="center"/>
                  </w:pPr>
                  <w:r>
                    <w:rPr>
                      <w:rFonts w:hint="eastAsia"/>
                    </w:rPr>
                    <w:t>0.40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7" w:type="dxa"/>
                  <w:vMerge w:val="continue"/>
                  <w:vAlign w:val="center"/>
                </w:tcPr>
                <w:p>
                  <w:pPr>
                    <w:keepNext/>
                    <w:jc w:val="center"/>
                  </w:pPr>
                </w:p>
              </w:tc>
              <w:tc>
                <w:tcPr>
                  <w:tcW w:w="1860" w:type="dxa"/>
                  <w:vAlign w:val="center"/>
                </w:tcPr>
                <w:p>
                  <w:pPr>
                    <w:keepNext/>
                    <w:jc w:val="center"/>
                    <w:rPr>
                      <w:kern w:val="2"/>
                      <w:szCs w:val="24"/>
                    </w:rPr>
                  </w:pPr>
                  <w:r>
                    <w:rPr>
                      <w:rFonts w:hint="eastAsia"/>
                    </w:rPr>
                    <w:t>达标情况</w:t>
                  </w:r>
                </w:p>
              </w:tc>
              <w:tc>
                <w:tcPr>
                  <w:tcW w:w="2169" w:type="dxa"/>
                  <w:vAlign w:val="center"/>
                </w:tcPr>
                <w:p>
                  <w:pPr>
                    <w:keepNext/>
                    <w:jc w:val="center"/>
                  </w:pPr>
                  <w:r>
                    <w:rPr>
                      <w:rFonts w:hint="eastAsia"/>
                    </w:rPr>
                    <w:t>达标</w:t>
                  </w:r>
                </w:p>
              </w:tc>
              <w:tc>
                <w:tcPr>
                  <w:tcW w:w="1756" w:type="dxa"/>
                  <w:vAlign w:val="center"/>
                </w:tcPr>
                <w:p>
                  <w:pPr>
                    <w:keepNext/>
                    <w:jc w:val="center"/>
                  </w:pPr>
                  <w:r>
                    <w:rPr>
                      <w:rFonts w:hint="eastAsia"/>
                    </w:rPr>
                    <w:t>达标</w:t>
                  </w:r>
                </w:p>
              </w:tc>
              <w:tc>
                <w:tcPr>
                  <w:tcW w:w="1747" w:type="dxa"/>
                  <w:vAlign w:val="center"/>
                </w:tcPr>
                <w:p>
                  <w:pPr>
                    <w:keepNext/>
                    <w:jc w:val="center"/>
                  </w:pPr>
                  <w:r>
                    <w:rPr>
                      <w:rFonts w:hint="eastAsia"/>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7" w:type="dxa"/>
                  <w:vMerge w:val="restart"/>
                  <w:vAlign w:val="center"/>
                </w:tcPr>
                <w:p>
                  <w:pPr>
                    <w:keepNext/>
                    <w:jc w:val="center"/>
                  </w:pPr>
                  <w:r>
                    <w:rPr>
                      <w:rFonts w:hint="eastAsia"/>
                    </w:rPr>
                    <w:t>阴离子表面活性剂</w:t>
                  </w:r>
                </w:p>
                <w:p>
                  <w:pPr>
                    <w:keepNext/>
                    <w:jc w:val="center"/>
                  </w:pPr>
                  <w:r>
                    <w:rPr>
                      <w:rFonts w:hint="eastAsia"/>
                    </w:rPr>
                    <w:t>（mg/L）</w:t>
                  </w:r>
                </w:p>
              </w:tc>
              <w:tc>
                <w:tcPr>
                  <w:tcW w:w="1860" w:type="dxa"/>
                  <w:vAlign w:val="center"/>
                </w:tcPr>
                <w:p>
                  <w:pPr>
                    <w:keepNext/>
                    <w:jc w:val="center"/>
                    <w:rPr>
                      <w:kern w:val="2"/>
                      <w:szCs w:val="24"/>
                    </w:rPr>
                  </w:pPr>
                  <w:r>
                    <w:rPr>
                      <w:rFonts w:hint="eastAsia"/>
                    </w:rPr>
                    <w:t>2021.11.27</w:t>
                  </w:r>
                </w:p>
              </w:tc>
              <w:tc>
                <w:tcPr>
                  <w:tcW w:w="2169" w:type="dxa"/>
                  <w:vAlign w:val="center"/>
                </w:tcPr>
                <w:p>
                  <w:pPr>
                    <w:keepNext/>
                    <w:jc w:val="center"/>
                  </w:pPr>
                  <w:r>
                    <w:rPr>
                      <w:rFonts w:hint="eastAsia"/>
                    </w:rPr>
                    <w:t>0.30</w:t>
                  </w:r>
                </w:p>
              </w:tc>
              <w:tc>
                <w:tcPr>
                  <w:tcW w:w="1756" w:type="dxa"/>
                  <w:vAlign w:val="center"/>
                </w:tcPr>
                <w:p>
                  <w:pPr>
                    <w:keepNext/>
                    <w:jc w:val="center"/>
                  </w:pPr>
                  <w:r>
                    <w:rPr>
                      <w:rFonts w:hint="eastAsia"/>
                    </w:rPr>
                    <w:t>0.26</w:t>
                  </w:r>
                </w:p>
              </w:tc>
              <w:tc>
                <w:tcPr>
                  <w:tcW w:w="1747" w:type="dxa"/>
                  <w:vAlign w:val="center"/>
                </w:tcPr>
                <w:p>
                  <w:pPr>
                    <w:keepNext/>
                    <w:jc w:val="center"/>
                  </w:pPr>
                  <w:r>
                    <w:rPr>
                      <w:rFonts w:hint="eastAsia"/>
                    </w:rPr>
                    <w:t>0.22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7" w:type="dxa"/>
                  <w:vMerge w:val="continue"/>
                  <w:vAlign w:val="center"/>
                </w:tcPr>
                <w:p>
                  <w:pPr>
                    <w:keepNext/>
                    <w:jc w:val="center"/>
                  </w:pPr>
                </w:p>
              </w:tc>
              <w:tc>
                <w:tcPr>
                  <w:tcW w:w="1860" w:type="dxa"/>
                  <w:vAlign w:val="center"/>
                </w:tcPr>
                <w:p>
                  <w:pPr>
                    <w:keepNext/>
                    <w:jc w:val="center"/>
                    <w:rPr>
                      <w:kern w:val="2"/>
                      <w:szCs w:val="24"/>
                    </w:rPr>
                  </w:pPr>
                  <w:r>
                    <w:rPr>
                      <w:rFonts w:hint="eastAsia"/>
                    </w:rPr>
                    <w:t>2021.11.28</w:t>
                  </w:r>
                </w:p>
              </w:tc>
              <w:tc>
                <w:tcPr>
                  <w:tcW w:w="2169" w:type="dxa"/>
                  <w:vAlign w:val="center"/>
                </w:tcPr>
                <w:p>
                  <w:pPr>
                    <w:keepNext/>
                    <w:jc w:val="center"/>
                  </w:pPr>
                  <w:r>
                    <w:rPr>
                      <w:rFonts w:hint="eastAsia"/>
                    </w:rPr>
                    <w:t>0.27</w:t>
                  </w:r>
                </w:p>
              </w:tc>
              <w:tc>
                <w:tcPr>
                  <w:tcW w:w="1756" w:type="dxa"/>
                  <w:vAlign w:val="center"/>
                </w:tcPr>
                <w:p>
                  <w:pPr>
                    <w:keepNext/>
                    <w:jc w:val="center"/>
                  </w:pPr>
                  <w:r>
                    <w:rPr>
                      <w:rFonts w:hint="eastAsia"/>
                    </w:rPr>
                    <w:t>0.31</w:t>
                  </w:r>
                </w:p>
              </w:tc>
              <w:tc>
                <w:tcPr>
                  <w:tcW w:w="1747" w:type="dxa"/>
                  <w:vAlign w:val="center"/>
                </w:tcPr>
                <w:p>
                  <w:pPr>
                    <w:keepNext/>
                    <w:jc w:val="center"/>
                  </w:pPr>
                  <w:r>
                    <w:rPr>
                      <w:rFonts w:hint="eastAsia"/>
                    </w:rPr>
                    <w:t>0.11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7" w:type="dxa"/>
                  <w:vMerge w:val="continue"/>
                  <w:vAlign w:val="center"/>
                </w:tcPr>
                <w:p>
                  <w:pPr>
                    <w:keepNext/>
                    <w:jc w:val="center"/>
                  </w:pPr>
                </w:p>
              </w:tc>
              <w:tc>
                <w:tcPr>
                  <w:tcW w:w="1860" w:type="dxa"/>
                  <w:vAlign w:val="center"/>
                </w:tcPr>
                <w:p>
                  <w:pPr>
                    <w:keepNext/>
                    <w:jc w:val="center"/>
                    <w:rPr>
                      <w:kern w:val="2"/>
                      <w:szCs w:val="24"/>
                    </w:rPr>
                  </w:pPr>
                  <w:r>
                    <w:rPr>
                      <w:rFonts w:hint="eastAsia"/>
                    </w:rPr>
                    <w:t>2021.11.29</w:t>
                  </w:r>
                </w:p>
              </w:tc>
              <w:tc>
                <w:tcPr>
                  <w:tcW w:w="2169" w:type="dxa"/>
                  <w:vAlign w:val="center"/>
                </w:tcPr>
                <w:p>
                  <w:pPr>
                    <w:keepNext/>
                    <w:jc w:val="center"/>
                  </w:pPr>
                  <w:r>
                    <w:rPr>
                      <w:rFonts w:hint="eastAsia"/>
                    </w:rPr>
                    <w:t>0.24</w:t>
                  </w:r>
                </w:p>
              </w:tc>
              <w:tc>
                <w:tcPr>
                  <w:tcW w:w="1756" w:type="dxa"/>
                  <w:vAlign w:val="center"/>
                </w:tcPr>
                <w:p>
                  <w:pPr>
                    <w:keepNext/>
                    <w:jc w:val="center"/>
                  </w:pPr>
                  <w:r>
                    <w:rPr>
                      <w:rFonts w:hint="eastAsia"/>
                    </w:rPr>
                    <w:t>0.28</w:t>
                  </w:r>
                </w:p>
              </w:tc>
              <w:tc>
                <w:tcPr>
                  <w:tcW w:w="1747" w:type="dxa"/>
                  <w:vAlign w:val="center"/>
                </w:tcPr>
                <w:p>
                  <w:pPr>
                    <w:keepNext/>
                    <w:jc w:val="center"/>
                  </w:pPr>
                  <w:r>
                    <w:rPr>
                      <w:rFonts w:hint="eastAsia"/>
                    </w:rPr>
                    <w:t>0.22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7" w:type="dxa"/>
                  <w:vMerge w:val="continue"/>
                  <w:vAlign w:val="center"/>
                </w:tcPr>
                <w:p>
                  <w:pPr>
                    <w:keepNext/>
                    <w:jc w:val="center"/>
                  </w:pPr>
                </w:p>
              </w:tc>
              <w:tc>
                <w:tcPr>
                  <w:tcW w:w="1860" w:type="dxa"/>
                  <w:vAlign w:val="center"/>
                </w:tcPr>
                <w:p>
                  <w:pPr>
                    <w:keepNext/>
                    <w:jc w:val="center"/>
                    <w:rPr>
                      <w:kern w:val="2"/>
                      <w:szCs w:val="24"/>
                    </w:rPr>
                  </w:pPr>
                  <w:r>
                    <w:rPr>
                      <w:rFonts w:hint="eastAsia"/>
                    </w:rPr>
                    <w:t>平均值</w:t>
                  </w:r>
                </w:p>
              </w:tc>
              <w:tc>
                <w:tcPr>
                  <w:tcW w:w="2169" w:type="dxa"/>
                  <w:vAlign w:val="center"/>
                </w:tcPr>
                <w:p>
                  <w:pPr>
                    <w:keepNext/>
                    <w:jc w:val="center"/>
                  </w:pPr>
                  <w:r>
                    <w:rPr>
                      <w:rFonts w:hint="eastAsia"/>
                    </w:rPr>
                    <w:t>0.3</w:t>
                  </w:r>
                </w:p>
              </w:tc>
              <w:tc>
                <w:tcPr>
                  <w:tcW w:w="1756" w:type="dxa"/>
                  <w:vAlign w:val="center"/>
                </w:tcPr>
                <w:p>
                  <w:pPr>
                    <w:keepNext/>
                    <w:jc w:val="center"/>
                  </w:pPr>
                  <w:r>
                    <w:rPr>
                      <w:rFonts w:hint="eastAsia"/>
                    </w:rPr>
                    <w:t>0.3</w:t>
                  </w:r>
                </w:p>
              </w:tc>
              <w:tc>
                <w:tcPr>
                  <w:tcW w:w="1747" w:type="dxa"/>
                  <w:vAlign w:val="center"/>
                </w:tcPr>
                <w:p>
                  <w:pPr>
                    <w:keepNext/>
                    <w:jc w:val="center"/>
                  </w:pPr>
                  <w:r>
                    <w:rPr>
                      <w:rFonts w:hint="eastAsia"/>
                    </w:rPr>
                    <w:t>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7" w:type="dxa"/>
                  <w:vMerge w:val="continue"/>
                  <w:vAlign w:val="center"/>
                </w:tcPr>
                <w:p>
                  <w:pPr>
                    <w:keepNext/>
                    <w:jc w:val="center"/>
                  </w:pPr>
                </w:p>
              </w:tc>
              <w:tc>
                <w:tcPr>
                  <w:tcW w:w="1860" w:type="dxa"/>
                  <w:vAlign w:val="center"/>
                </w:tcPr>
                <w:p>
                  <w:pPr>
                    <w:keepNext/>
                    <w:jc w:val="center"/>
                    <w:rPr>
                      <w:color w:val="000000"/>
                      <w:szCs w:val="21"/>
                    </w:rPr>
                  </w:pPr>
                  <w:r>
                    <w:rPr>
                      <w:color w:val="000000"/>
                      <w:szCs w:val="21"/>
                    </w:rPr>
                    <w:t>Ⅴ</w:t>
                  </w:r>
                  <w:r>
                    <w:rPr>
                      <w:rFonts w:hint="eastAsia"/>
                      <w:color w:val="000000"/>
                      <w:szCs w:val="21"/>
                    </w:rPr>
                    <w:t>（W1、W2）/</w:t>
                  </w:r>
                </w:p>
                <w:p>
                  <w:pPr>
                    <w:keepNext/>
                    <w:jc w:val="center"/>
                    <w:rPr>
                      <w:kern w:val="2"/>
                      <w:szCs w:val="24"/>
                    </w:rPr>
                  </w:pPr>
                  <w:r>
                    <w:rPr>
                      <w:color w:val="000000"/>
                      <w:szCs w:val="21"/>
                    </w:rPr>
                    <w:t>Ⅲ</w:t>
                  </w:r>
                  <w:r>
                    <w:rPr>
                      <w:rFonts w:hint="eastAsia"/>
                      <w:color w:val="000000"/>
                      <w:szCs w:val="21"/>
                    </w:rPr>
                    <w:t>（W3）</w:t>
                  </w:r>
                  <w:r>
                    <w:rPr>
                      <w:color w:val="000000"/>
                      <w:szCs w:val="21"/>
                    </w:rPr>
                    <w:t>类标准</w:t>
                  </w:r>
                </w:p>
              </w:tc>
              <w:tc>
                <w:tcPr>
                  <w:tcW w:w="2169" w:type="dxa"/>
                  <w:vAlign w:val="center"/>
                </w:tcPr>
                <w:p>
                  <w:pPr>
                    <w:keepNext/>
                    <w:jc w:val="center"/>
                  </w:pPr>
                  <w:r>
                    <w:rPr>
                      <w:rFonts w:hint="eastAsia"/>
                    </w:rPr>
                    <w:t>0.3</w:t>
                  </w:r>
                </w:p>
              </w:tc>
              <w:tc>
                <w:tcPr>
                  <w:tcW w:w="1756" w:type="dxa"/>
                  <w:vAlign w:val="center"/>
                </w:tcPr>
                <w:p>
                  <w:pPr>
                    <w:keepNext/>
                    <w:jc w:val="center"/>
                  </w:pPr>
                  <w:r>
                    <w:rPr>
                      <w:rFonts w:hint="eastAsia"/>
                    </w:rPr>
                    <w:t>0.3</w:t>
                  </w:r>
                </w:p>
              </w:tc>
              <w:tc>
                <w:tcPr>
                  <w:tcW w:w="1747" w:type="dxa"/>
                  <w:vAlign w:val="center"/>
                </w:tcPr>
                <w:p>
                  <w:pPr>
                    <w:keepNext/>
                    <w:jc w:val="center"/>
                  </w:pPr>
                  <w:r>
                    <w:rPr>
                      <w:rFonts w:hint="eastAsia"/>
                    </w:rPr>
                    <w:t>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7" w:type="dxa"/>
                  <w:vMerge w:val="continue"/>
                  <w:vAlign w:val="center"/>
                </w:tcPr>
                <w:p>
                  <w:pPr>
                    <w:keepNext/>
                    <w:jc w:val="center"/>
                  </w:pPr>
                </w:p>
              </w:tc>
              <w:tc>
                <w:tcPr>
                  <w:tcW w:w="1860" w:type="dxa"/>
                  <w:vAlign w:val="center"/>
                </w:tcPr>
                <w:p>
                  <w:pPr>
                    <w:keepNext/>
                    <w:jc w:val="center"/>
                    <w:rPr>
                      <w:kern w:val="2"/>
                      <w:szCs w:val="24"/>
                    </w:rPr>
                  </w:pPr>
                  <w:r>
                    <w:rPr>
                      <w:rFonts w:hint="eastAsia"/>
                    </w:rPr>
                    <w:t>标准指数</w:t>
                  </w:r>
                </w:p>
              </w:tc>
              <w:tc>
                <w:tcPr>
                  <w:tcW w:w="2169" w:type="dxa"/>
                  <w:vAlign w:val="center"/>
                </w:tcPr>
                <w:p>
                  <w:pPr>
                    <w:keepNext/>
                    <w:jc w:val="center"/>
                  </w:pPr>
                  <w:r>
                    <w:rPr>
                      <w:rFonts w:hint="eastAsia"/>
                    </w:rPr>
                    <w:t>1.00</w:t>
                  </w:r>
                </w:p>
              </w:tc>
              <w:tc>
                <w:tcPr>
                  <w:tcW w:w="1756" w:type="dxa"/>
                  <w:vAlign w:val="center"/>
                </w:tcPr>
                <w:p>
                  <w:pPr>
                    <w:keepNext/>
                    <w:jc w:val="center"/>
                  </w:pPr>
                  <w:r>
                    <w:rPr>
                      <w:rFonts w:hint="eastAsia"/>
                    </w:rPr>
                    <w:t>1.00</w:t>
                  </w:r>
                </w:p>
              </w:tc>
              <w:tc>
                <w:tcPr>
                  <w:tcW w:w="1747" w:type="dxa"/>
                  <w:vAlign w:val="center"/>
                </w:tcPr>
                <w:p>
                  <w:pPr>
                    <w:keepNext/>
                    <w:jc w:val="center"/>
                  </w:pPr>
                  <w:r>
                    <w:rPr>
                      <w:rFonts w:hint="eastAsia"/>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7" w:type="dxa"/>
                  <w:vMerge w:val="continue"/>
                  <w:vAlign w:val="center"/>
                </w:tcPr>
                <w:p>
                  <w:pPr>
                    <w:keepNext/>
                    <w:jc w:val="center"/>
                  </w:pPr>
                </w:p>
              </w:tc>
              <w:tc>
                <w:tcPr>
                  <w:tcW w:w="1860" w:type="dxa"/>
                  <w:vAlign w:val="center"/>
                </w:tcPr>
                <w:p>
                  <w:pPr>
                    <w:keepNext/>
                    <w:jc w:val="center"/>
                    <w:rPr>
                      <w:kern w:val="2"/>
                      <w:szCs w:val="24"/>
                    </w:rPr>
                  </w:pPr>
                  <w:r>
                    <w:rPr>
                      <w:rFonts w:hint="eastAsia"/>
                    </w:rPr>
                    <w:t>达标情况</w:t>
                  </w:r>
                </w:p>
              </w:tc>
              <w:tc>
                <w:tcPr>
                  <w:tcW w:w="2169" w:type="dxa"/>
                  <w:vAlign w:val="center"/>
                </w:tcPr>
                <w:p>
                  <w:pPr>
                    <w:keepNext/>
                    <w:jc w:val="center"/>
                  </w:pPr>
                  <w:r>
                    <w:rPr>
                      <w:rFonts w:hint="eastAsia"/>
                    </w:rPr>
                    <w:t>达标</w:t>
                  </w:r>
                </w:p>
              </w:tc>
              <w:tc>
                <w:tcPr>
                  <w:tcW w:w="1756" w:type="dxa"/>
                  <w:vAlign w:val="center"/>
                </w:tcPr>
                <w:p>
                  <w:pPr>
                    <w:keepNext/>
                    <w:jc w:val="center"/>
                  </w:pPr>
                  <w:r>
                    <w:rPr>
                      <w:rFonts w:hint="eastAsia"/>
                    </w:rPr>
                    <w:t>达标</w:t>
                  </w:r>
                </w:p>
              </w:tc>
              <w:tc>
                <w:tcPr>
                  <w:tcW w:w="1747" w:type="dxa"/>
                  <w:vAlign w:val="center"/>
                </w:tcPr>
                <w:p>
                  <w:pPr>
                    <w:keepNext/>
                    <w:jc w:val="center"/>
                  </w:pPr>
                  <w:r>
                    <w:rPr>
                      <w:rFonts w:hint="eastAsia"/>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7" w:type="dxa"/>
                  <w:vMerge w:val="restart"/>
                  <w:vAlign w:val="center"/>
                </w:tcPr>
                <w:p>
                  <w:pPr>
                    <w:keepNext/>
                    <w:jc w:val="center"/>
                  </w:pPr>
                  <w:r>
                    <w:rPr>
                      <w:rFonts w:hint="eastAsia"/>
                    </w:rPr>
                    <w:t>粪大肠</w:t>
                  </w:r>
                </w:p>
                <w:p>
                  <w:pPr>
                    <w:keepNext/>
                    <w:jc w:val="center"/>
                  </w:pPr>
                  <w:r>
                    <w:rPr>
                      <w:rFonts w:hint="eastAsia"/>
                    </w:rPr>
                    <w:t>菌群（MPN/L）</w:t>
                  </w:r>
                </w:p>
              </w:tc>
              <w:tc>
                <w:tcPr>
                  <w:tcW w:w="1860" w:type="dxa"/>
                  <w:vAlign w:val="center"/>
                </w:tcPr>
                <w:p>
                  <w:pPr>
                    <w:keepNext/>
                    <w:jc w:val="center"/>
                    <w:rPr>
                      <w:kern w:val="2"/>
                      <w:szCs w:val="24"/>
                    </w:rPr>
                  </w:pPr>
                  <w:r>
                    <w:rPr>
                      <w:rFonts w:hint="eastAsia"/>
                    </w:rPr>
                    <w:t>2021.11.27</w:t>
                  </w:r>
                </w:p>
              </w:tc>
              <w:tc>
                <w:tcPr>
                  <w:tcW w:w="2169" w:type="dxa"/>
                  <w:vAlign w:val="center"/>
                </w:tcPr>
                <w:p>
                  <w:pPr>
                    <w:keepNext/>
                    <w:jc w:val="center"/>
                    <w:rPr>
                      <w:vertAlign w:val="superscript"/>
                    </w:rPr>
                  </w:pPr>
                  <w:r>
                    <w:rPr>
                      <w:rFonts w:hint="eastAsia"/>
                    </w:rPr>
                    <w:t>2.8</w:t>
                  </w:r>
                  <w:r>
                    <w:rPr>
                      <w:rFonts w:ascii="Arial" w:hAnsi="Arial" w:cs="Arial"/>
                    </w:rPr>
                    <w:t>×</w:t>
                  </w:r>
                  <w:r>
                    <w:rPr>
                      <w:rFonts w:hint="eastAsia"/>
                    </w:rPr>
                    <w:t>10</w:t>
                  </w:r>
                  <w:r>
                    <w:rPr>
                      <w:rFonts w:hint="eastAsia"/>
                      <w:vertAlign w:val="superscript"/>
                    </w:rPr>
                    <w:t>4</w:t>
                  </w:r>
                </w:p>
              </w:tc>
              <w:tc>
                <w:tcPr>
                  <w:tcW w:w="1756" w:type="dxa"/>
                  <w:vAlign w:val="center"/>
                </w:tcPr>
                <w:p>
                  <w:pPr>
                    <w:keepNext/>
                    <w:jc w:val="center"/>
                  </w:pPr>
                  <w:r>
                    <w:rPr>
                      <w:rFonts w:hint="eastAsia"/>
                    </w:rPr>
                    <w:t>3.3</w:t>
                  </w:r>
                  <w:r>
                    <w:rPr>
                      <w:rFonts w:ascii="Arial" w:hAnsi="Arial" w:cs="Arial"/>
                    </w:rPr>
                    <w:t>×</w:t>
                  </w:r>
                  <w:r>
                    <w:rPr>
                      <w:rFonts w:hint="eastAsia"/>
                    </w:rPr>
                    <w:t>10</w:t>
                  </w:r>
                  <w:r>
                    <w:rPr>
                      <w:rFonts w:hint="eastAsia"/>
                      <w:vertAlign w:val="superscript"/>
                    </w:rPr>
                    <w:t>3</w:t>
                  </w:r>
                </w:p>
              </w:tc>
              <w:tc>
                <w:tcPr>
                  <w:tcW w:w="1747" w:type="dxa"/>
                  <w:vAlign w:val="center"/>
                </w:tcPr>
                <w:p>
                  <w:pPr>
                    <w:keepNext/>
                    <w:jc w:val="center"/>
                  </w:pPr>
                  <w:r>
                    <w:rPr>
                      <w:rFonts w:hint="eastAsia"/>
                    </w:rPr>
                    <w:t>6.5</w:t>
                  </w:r>
                  <w:r>
                    <w:rPr>
                      <w:rFonts w:ascii="Arial" w:hAnsi="Arial" w:cs="Arial"/>
                    </w:rPr>
                    <w:t>×</w:t>
                  </w:r>
                  <w:r>
                    <w:rPr>
                      <w:rFonts w:hint="eastAsia"/>
                    </w:rPr>
                    <w:t>10</w:t>
                  </w:r>
                  <w:r>
                    <w:rPr>
                      <w:rFonts w:hint="eastAsia"/>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7" w:type="dxa"/>
                  <w:vMerge w:val="continue"/>
                  <w:vAlign w:val="center"/>
                </w:tcPr>
                <w:p>
                  <w:pPr>
                    <w:keepNext/>
                    <w:jc w:val="center"/>
                  </w:pPr>
                </w:p>
              </w:tc>
              <w:tc>
                <w:tcPr>
                  <w:tcW w:w="1860" w:type="dxa"/>
                  <w:vAlign w:val="center"/>
                </w:tcPr>
                <w:p>
                  <w:pPr>
                    <w:keepNext/>
                    <w:jc w:val="center"/>
                    <w:rPr>
                      <w:kern w:val="2"/>
                      <w:szCs w:val="24"/>
                    </w:rPr>
                  </w:pPr>
                  <w:r>
                    <w:rPr>
                      <w:rFonts w:hint="eastAsia"/>
                    </w:rPr>
                    <w:t>2021.11.28</w:t>
                  </w:r>
                </w:p>
              </w:tc>
              <w:tc>
                <w:tcPr>
                  <w:tcW w:w="2169" w:type="dxa"/>
                  <w:vAlign w:val="center"/>
                </w:tcPr>
                <w:p>
                  <w:pPr>
                    <w:keepNext/>
                    <w:jc w:val="center"/>
                  </w:pPr>
                  <w:r>
                    <w:rPr>
                      <w:rFonts w:hint="eastAsia"/>
                    </w:rPr>
                    <w:t>1.0</w:t>
                  </w:r>
                  <w:r>
                    <w:rPr>
                      <w:rFonts w:ascii="Arial" w:hAnsi="Arial" w:cs="Arial"/>
                    </w:rPr>
                    <w:t>×</w:t>
                  </w:r>
                  <w:r>
                    <w:rPr>
                      <w:rFonts w:hint="eastAsia"/>
                    </w:rPr>
                    <w:t>10</w:t>
                  </w:r>
                  <w:r>
                    <w:rPr>
                      <w:rFonts w:hint="eastAsia"/>
                      <w:vertAlign w:val="superscript"/>
                    </w:rPr>
                    <w:t>4</w:t>
                  </w:r>
                </w:p>
              </w:tc>
              <w:tc>
                <w:tcPr>
                  <w:tcW w:w="1756" w:type="dxa"/>
                  <w:vAlign w:val="center"/>
                </w:tcPr>
                <w:p>
                  <w:pPr>
                    <w:keepNext/>
                    <w:jc w:val="center"/>
                  </w:pPr>
                  <w:r>
                    <w:rPr>
                      <w:rFonts w:hint="eastAsia"/>
                    </w:rPr>
                    <w:t>4.5</w:t>
                  </w:r>
                  <w:r>
                    <w:rPr>
                      <w:rFonts w:ascii="Arial" w:hAnsi="Arial" w:cs="Arial"/>
                    </w:rPr>
                    <w:t>×</w:t>
                  </w:r>
                  <w:r>
                    <w:rPr>
                      <w:rFonts w:hint="eastAsia"/>
                    </w:rPr>
                    <w:t>10</w:t>
                  </w:r>
                  <w:r>
                    <w:rPr>
                      <w:rFonts w:hint="eastAsia"/>
                      <w:vertAlign w:val="superscript"/>
                    </w:rPr>
                    <w:t>3</w:t>
                  </w:r>
                </w:p>
              </w:tc>
              <w:tc>
                <w:tcPr>
                  <w:tcW w:w="1747" w:type="dxa"/>
                  <w:vAlign w:val="center"/>
                </w:tcPr>
                <w:p>
                  <w:pPr>
                    <w:keepNext/>
                    <w:jc w:val="center"/>
                  </w:pPr>
                  <w:r>
                    <w:rPr>
                      <w:rFonts w:hint="eastAsia"/>
                    </w:rPr>
                    <w:t>7.5</w:t>
                  </w:r>
                  <w:r>
                    <w:rPr>
                      <w:rFonts w:ascii="Arial" w:hAnsi="Arial" w:cs="Arial"/>
                    </w:rPr>
                    <w:t>×</w:t>
                  </w:r>
                  <w:r>
                    <w:rPr>
                      <w:rFonts w:hint="eastAsia"/>
                    </w:rPr>
                    <w:t>10</w:t>
                  </w:r>
                  <w:r>
                    <w:rPr>
                      <w:rFonts w:hint="eastAsia"/>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7" w:type="dxa"/>
                  <w:vMerge w:val="continue"/>
                  <w:vAlign w:val="center"/>
                </w:tcPr>
                <w:p>
                  <w:pPr>
                    <w:keepNext/>
                    <w:jc w:val="center"/>
                  </w:pPr>
                </w:p>
              </w:tc>
              <w:tc>
                <w:tcPr>
                  <w:tcW w:w="1860" w:type="dxa"/>
                  <w:vAlign w:val="center"/>
                </w:tcPr>
                <w:p>
                  <w:pPr>
                    <w:keepNext/>
                    <w:jc w:val="center"/>
                    <w:rPr>
                      <w:kern w:val="2"/>
                      <w:szCs w:val="24"/>
                    </w:rPr>
                  </w:pPr>
                  <w:r>
                    <w:rPr>
                      <w:rFonts w:hint="eastAsia"/>
                    </w:rPr>
                    <w:t>2021.11.29</w:t>
                  </w:r>
                </w:p>
              </w:tc>
              <w:tc>
                <w:tcPr>
                  <w:tcW w:w="2169" w:type="dxa"/>
                  <w:vAlign w:val="center"/>
                </w:tcPr>
                <w:p>
                  <w:pPr>
                    <w:keepNext/>
                    <w:jc w:val="center"/>
                  </w:pPr>
                  <w:r>
                    <w:rPr>
                      <w:rFonts w:hint="eastAsia"/>
                    </w:rPr>
                    <w:t>2.0</w:t>
                  </w:r>
                  <w:r>
                    <w:rPr>
                      <w:rFonts w:ascii="Arial" w:hAnsi="Arial" w:cs="Arial"/>
                    </w:rPr>
                    <w:t>×</w:t>
                  </w:r>
                  <w:r>
                    <w:rPr>
                      <w:rFonts w:hint="eastAsia"/>
                    </w:rPr>
                    <w:t>10</w:t>
                  </w:r>
                  <w:r>
                    <w:rPr>
                      <w:rFonts w:hint="eastAsia"/>
                      <w:vertAlign w:val="superscript"/>
                    </w:rPr>
                    <w:t>4</w:t>
                  </w:r>
                </w:p>
              </w:tc>
              <w:tc>
                <w:tcPr>
                  <w:tcW w:w="1756" w:type="dxa"/>
                  <w:vAlign w:val="center"/>
                </w:tcPr>
                <w:p>
                  <w:pPr>
                    <w:keepNext/>
                    <w:jc w:val="center"/>
                  </w:pPr>
                  <w:r>
                    <w:rPr>
                      <w:rFonts w:hint="eastAsia"/>
                    </w:rPr>
                    <w:t>5.1</w:t>
                  </w:r>
                  <w:r>
                    <w:rPr>
                      <w:rFonts w:ascii="Arial" w:hAnsi="Arial" w:cs="Arial"/>
                    </w:rPr>
                    <w:t>×</w:t>
                  </w:r>
                  <w:r>
                    <w:rPr>
                      <w:rFonts w:hint="eastAsia"/>
                    </w:rPr>
                    <w:t>10</w:t>
                  </w:r>
                  <w:r>
                    <w:rPr>
                      <w:rFonts w:hint="eastAsia"/>
                      <w:vertAlign w:val="superscript"/>
                    </w:rPr>
                    <w:t>3</w:t>
                  </w:r>
                </w:p>
              </w:tc>
              <w:tc>
                <w:tcPr>
                  <w:tcW w:w="1747" w:type="dxa"/>
                  <w:vAlign w:val="center"/>
                </w:tcPr>
                <w:p>
                  <w:pPr>
                    <w:keepNext/>
                    <w:jc w:val="center"/>
                  </w:pPr>
                  <w:r>
                    <w:rPr>
                      <w:rFonts w:hint="eastAsia"/>
                    </w:rPr>
                    <w:t>8.7</w:t>
                  </w:r>
                  <w:r>
                    <w:rPr>
                      <w:rFonts w:ascii="Arial" w:hAnsi="Arial" w:cs="Arial"/>
                    </w:rPr>
                    <w:t>×</w:t>
                  </w:r>
                  <w:r>
                    <w:rPr>
                      <w:rFonts w:hint="eastAsia"/>
                    </w:rPr>
                    <w:t>10</w:t>
                  </w:r>
                  <w:r>
                    <w:rPr>
                      <w:rFonts w:hint="eastAsia"/>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7" w:type="dxa"/>
                  <w:vMerge w:val="continue"/>
                  <w:vAlign w:val="center"/>
                </w:tcPr>
                <w:p>
                  <w:pPr>
                    <w:keepNext/>
                    <w:jc w:val="center"/>
                  </w:pPr>
                </w:p>
              </w:tc>
              <w:tc>
                <w:tcPr>
                  <w:tcW w:w="1860" w:type="dxa"/>
                  <w:vAlign w:val="center"/>
                </w:tcPr>
                <w:p>
                  <w:pPr>
                    <w:keepNext/>
                    <w:jc w:val="center"/>
                    <w:rPr>
                      <w:kern w:val="2"/>
                      <w:szCs w:val="24"/>
                    </w:rPr>
                  </w:pPr>
                  <w:r>
                    <w:rPr>
                      <w:rFonts w:hint="eastAsia"/>
                    </w:rPr>
                    <w:t>平均值</w:t>
                  </w:r>
                </w:p>
              </w:tc>
              <w:tc>
                <w:tcPr>
                  <w:tcW w:w="2169" w:type="dxa"/>
                  <w:vAlign w:val="center"/>
                </w:tcPr>
                <w:p>
                  <w:pPr>
                    <w:keepNext/>
                    <w:jc w:val="center"/>
                    <w:rPr>
                      <w:kern w:val="2"/>
                      <w:szCs w:val="24"/>
                    </w:rPr>
                  </w:pPr>
                  <w:r>
                    <w:rPr>
                      <w:rFonts w:hint="eastAsia"/>
                    </w:rPr>
                    <w:t>1.9</w:t>
                  </w:r>
                  <w:r>
                    <w:rPr>
                      <w:rFonts w:ascii="Arial" w:hAnsi="Arial" w:cs="Arial"/>
                    </w:rPr>
                    <w:t>×</w:t>
                  </w:r>
                  <w:r>
                    <w:rPr>
                      <w:rFonts w:hint="eastAsia"/>
                    </w:rPr>
                    <w:t>10</w:t>
                  </w:r>
                  <w:r>
                    <w:rPr>
                      <w:rFonts w:hint="eastAsia"/>
                      <w:vertAlign w:val="superscript"/>
                    </w:rPr>
                    <w:t>4</w:t>
                  </w:r>
                </w:p>
              </w:tc>
              <w:tc>
                <w:tcPr>
                  <w:tcW w:w="1756" w:type="dxa"/>
                  <w:vAlign w:val="center"/>
                </w:tcPr>
                <w:p>
                  <w:pPr>
                    <w:keepNext/>
                    <w:jc w:val="center"/>
                    <w:rPr>
                      <w:kern w:val="2"/>
                      <w:szCs w:val="24"/>
                    </w:rPr>
                  </w:pPr>
                  <w:r>
                    <w:rPr>
                      <w:rFonts w:hint="eastAsia"/>
                    </w:rPr>
                    <w:t>4.3</w:t>
                  </w:r>
                  <w:r>
                    <w:rPr>
                      <w:rFonts w:ascii="Arial" w:hAnsi="Arial" w:cs="Arial"/>
                    </w:rPr>
                    <w:t>×</w:t>
                  </w:r>
                  <w:r>
                    <w:rPr>
                      <w:rFonts w:hint="eastAsia"/>
                    </w:rPr>
                    <w:t>10</w:t>
                  </w:r>
                  <w:r>
                    <w:rPr>
                      <w:rFonts w:hint="eastAsia"/>
                      <w:vertAlign w:val="superscript"/>
                    </w:rPr>
                    <w:t>3</w:t>
                  </w:r>
                </w:p>
              </w:tc>
              <w:tc>
                <w:tcPr>
                  <w:tcW w:w="1747" w:type="dxa"/>
                  <w:vAlign w:val="center"/>
                </w:tcPr>
                <w:p>
                  <w:pPr>
                    <w:keepNext/>
                    <w:jc w:val="center"/>
                    <w:rPr>
                      <w:kern w:val="2"/>
                      <w:szCs w:val="24"/>
                    </w:rPr>
                  </w:pPr>
                  <w:r>
                    <w:rPr>
                      <w:rFonts w:hint="eastAsia"/>
                    </w:rPr>
                    <w:t>7.6</w:t>
                  </w:r>
                  <w:r>
                    <w:rPr>
                      <w:rFonts w:ascii="Arial" w:hAnsi="Arial" w:cs="Arial"/>
                    </w:rPr>
                    <w:t>×</w:t>
                  </w:r>
                  <w:r>
                    <w:rPr>
                      <w:rFonts w:hint="eastAsia"/>
                    </w:rPr>
                    <w:t>10</w:t>
                  </w:r>
                  <w:r>
                    <w:rPr>
                      <w:rFonts w:hint="eastAsia"/>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7" w:type="dxa"/>
                  <w:vMerge w:val="continue"/>
                  <w:vAlign w:val="center"/>
                </w:tcPr>
                <w:p>
                  <w:pPr>
                    <w:keepNext/>
                    <w:jc w:val="center"/>
                  </w:pPr>
                </w:p>
              </w:tc>
              <w:tc>
                <w:tcPr>
                  <w:tcW w:w="1860" w:type="dxa"/>
                  <w:vAlign w:val="center"/>
                </w:tcPr>
                <w:p>
                  <w:pPr>
                    <w:keepNext/>
                    <w:jc w:val="center"/>
                    <w:rPr>
                      <w:color w:val="000000"/>
                      <w:szCs w:val="21"/>
                    </w:rPr>
                  </w:pPr>
                  <w:r>
                    <w:rPr>
                      <w:color w:val="000000"/>
                      <w:szCs w:val="21"/>
                    </w:rPr>
                    <w:t>Ⅴ</w:t>
                  </w:r>
                  <w:r>
                    <w:rPr>
                      <w:rFonts w:hint="eastAsia"/>
                      <w:color w:val="000000"/>
                      <w:szCs w:val="21"/>
                    </w:rPr>
                    <w:t>（W1、W2）/</w:t>
                  </w:r>
                </w:p>
                <w:p>
                  <w:pPr>
                    <w:keepNext/>
                    <w:jc w:val="center"/>
                    <w:rPr>
                      <w:kern w:val="2"/>
                      <w:szCs w:val="24"/>
                    </w:rPr>
                  </w:pPr>
                  <w:r>
                    <w:rPr>
                      <w:color w:val="000000"/>
                      <w:szCs w:val="21"/>
                    </w:rPr>
                    <w:t>Ⅲ</w:t>
                  </w:r>
                  <w:r>
                    <w:rPr>
                      <w:rFonts w:hint="eastAsia"/>
                      <w:color w:val="000000"/>
                      <w:szCs w:val="21"/>
                    </w:rPr>
                    <w:t>（W3）</w:t>
                  </w:r>
                  <w:r>
                    <w:rPr>
                      <w:color w:val="000000"/>
                      <w:szCs w:val="21"/>
                    </w:rPr>
                    <w:t>类标准</w:t>
                  </w:r>
                </w:p>
              </w:tc>
              <w:tc>
                <w:tcPr>
                  <w:tcW w:w="2169" w:type="dxa"/>
                  <w:vAlign w:val="center"/>
                </w:tcPr>
                <w:p>
                  <w:pPr>
                    <w:keepNext/>
                    <w:jc w:val="center"/>
                  </w:pPr>
                  <w:r>
                    <w:rPr>
                      <w:rFonts w:hint="eastAsia"/>
                    </w:rPr>
                    <w:t>40000</w:t>
                  </w:r>
                </w:p>
              </w:tc>
              <w:tc>
                <w:tcPr>
                  <w:tcW w:w="1756" w:type="dxa"/>
                  <w:vAlign w:val="center"/>
                </w:tcPr>
                <w:p>
                  <w:pPr>
                    <w:keepNext/>
                    <w:jc w:val="center"/>
                  </w:pPr>
                  <w:r>
                    <w:rPr>
                      <w:rFonts w:hint="eastAsia"/>
                    </w:rPr>
                    <w:t>40000</w:t>
                  </w:r>
                </w:p>
              </w:tc>
              <w:tc>
                <w:tcPr>
                  <w:tcW w:w="1747" w:type="dxa"/>
                  <w:vAlign w:val="center"/>
                </w:tcPr>
                <w:p>
                  <w:pPr>
                    <w:keepNext/>
                    <w:jc w:val="center"/>
                  </w:pPr>
                  <w:r>
                    <w:rPr>
                      <w:rFonts w:hint="eastAsia"/>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7" w:type="dxa"/>
                  <w:vMerge w:val="continue"/>
                  <w:vAlign w:val="center"/>
                </w:tcPr>
                <w:p>
                  <w:pPr>
                    <w:keepNext/>
                    <w:jc w:val="center"/>
                  </w:pPr>
                </w:p>
              </w:tc>
              <w:tc>
                <w:tcPr>
                  <w:tcW w:w="1860" w:type="dxa"/>
                  <w:vAlign w:val="center"/>
                </w:tcPr>
                <w:p>
                  <w:pPr>
                    <w:keepNext/>
                    <w:jc w:val="center"/>
                    <w:rPr>
                      <w:kern w:val="2"/>
                      <w:szCs w:val="24"/>
                    </w:rPr>
                  </w:pPr>
                  <w:r>
                    <w:rPr>
                      <w:rFonts w:hint="eastAsia"/>
                    </w:rPr>
                    <w:t>标准指数</w:t>
                  </w:r>
                </w:p>
              </w:tc>
              <w:tc>
                <w:tcPr>
                  <w:tcW w:w="2169" w:type="dxa"/>
                  <w:vAlign w:val="center"/>
                </w:tcPr>
                <w:p>
                  <w:pPr>
                    <w:keepNext/>
                    <w:jc w:val="center"/>
                  </w:pPr>
                  <w:r>
                    <w:rPr>
                      <w:rFonts w:hint="eastAsia"/>
                    </w:rPr>
                    <w:t>0.48</w:t>
                  </w:r>
                </w:p>
              </w:tc>
              <w:tc>
                <w:tcPr>
                  <w:tcW w:w="1756" w:type="dxa"/>
                  <w:vAlign w:val="center"/>
                </w:tcPr>
                <w:p>
                  <w:pPr>
                    <w:keepNext/>
                    <w:jc w:val="center"/>
                  </w:pPr>
                  <w:r>
                    <w:rPr>
                      <w:rFonts w:hint="eastAsia"/>
                    </w:rPr>
                    <w:t>0.11</w:t>
                  </w:r>
                </w:p>
              </w:tc>
              <w:tc>
                <w:tcPr>
                  <w:tcW w:w="1747" w:type="dxa"/>
                  <w:vAlign w:val="center"/>
                </w:tcPr>
                <w:p>
                  <w:pPr>
                    <w:keepNext/>
                    <w:jc w:val="center"/>
                  </w:pPr>
                  <w:r>
                    <w:rPr>
                      <w:rFonts w:hint="eastAsia"/>
                    </w:rPr>
                    <w:t>0.76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7" w:type="dxa"/>
                  <w:vMerge w:val="continue"/>
                  <w:vAlign w:val="center"/>
                </w:tcPr>
                <w:p>
                  <w:pPr>
                    <w:keepNext/>
                    <w:jc w:val="center"/>
                  </w:pPr>
                </w:p>
              </w:tc>
              <w:tc>
                <w:tcPr>
                  <w:tcW w:w="1860" w:type="dxa"/>
                  <w:vAlign w:val="center"/>
                </w:tcPr>
                <w:p>
                  <w:pPr>
                    <w:keepNext/>
                    <w:jc w:val="center"/>
                    <w:rPr>
                      <w:kern w:val="2"/>
                      <w:szCs w:val="24"/>
                    </w:rPr>
                  </w:pPr>
                  <w:r>
                    <w:rPr>
                      <w:rFonts w:hint="eastAsia"/>
                    </w:rPr>
                    <w:t>达标情况</w:t>
                  </w:r>
                </w:p>
              </w:tc>
              <w:tc>
                <w:tcPr>
                  <w:tcW w:w="2169" w:type="dxa"/>
                  <w:vAlign w:val="center"/>
                </w:tcPr>
                <w:p>
                  <w:pPr>
                    <w:keepNext/>
                    <w:jc w:val="center"/>
                  </w:pPr>
                  <w:r>
                    <w:rPr>
                      <w:rFonts w:hint="eastAsia"/>
                    </w:rPr>
                    <w:t>达标</w:t>
                  </w:r>
                </w:p>
              </w:tc>
              <w:tc>
                <w:tcPr>
                  <w:tcW w:w="1756" w:type="dxa"/>
                  <w:vAlign w:val="center"/>
                </w:tcPr>
                <w:p>
                  <w:pPr>
                    <w:keepNext/>
                    <w:jc w:val="center"/>
                  </w:pPr>
                  <w:r>
                    <w:rPr>
                      <w:rFonts w:hint="eastAsia"/>
                    </w:rPr>
                    <w:t>达标</w:t>
                  </w:r>
                </w:p>
              </w:tc>
              <w:tc>
                <w:tcPr>
                  <w:tcW w:w="1747" w:type="dxa"/>
                  <w:vAlign w:val="center"/>
                </w:tcPr>
                <w:p>
                  <w:pPr>
                    <w:keepNext/>
                    <w:jc w:val="center"/>
                  </w:pPr>
                  <w:r>
                    <w:rPr>
                      <w:rFonts w:hint="eastAsia"/>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7" w:type="dxa"/>
                  <w:vMerge w:val="restart"/>
                  <w:vAlign w:val="center"/>
                </w:tcPr>
                <w:p>
                  <w:pPr>
                    <w:keepNext/>
                    <w:jc w:val="center"/>
                  </w:pPr>
                  <w:r>
                    <w:rPr>
                      <w:rFonts w:hint="eastAsia"/>
                    </w:rPr>
                    <w:t>五日生化</w:t>
                  </w:r>
                </w:p>
                <w:p>
                  <w:pPr>
                    <w:keepNext/>
                    <w:jc w:val="center"/>
                  </w:pPr>
                  <w:r>
                    <w:rPr>
                      <w:rFonts w:hint="eastAsia"/>
                    </w:rPr>
                    <w:t>需氧量</w:t>
                  </w:r>
                </w:p>
                <w:p>
                  <w:pPr>
                    <w:keepNext/>
                    <w:jc w:val="center"/>
                  </w:pPr>
                  <w:r>
                    <w:rPr>
                      <w:rFonts w:hint="eastAsia"/>
                    </w:rPr>
                    <w:t>（mg/L）</w:t>
                  </w:r>
                </w:p>
              </w:tc>
              <w:tc>
                <w:tcPr>
                  <w:tcW w:w="1860" w:type="dxa"/>
                  <w:vAlign w:val="center"/>
                </w:tcPr>
                <w:p>
                  <w:pPr>
                    <w:keepNext/>
                    <w:jc w:val="center"/>
                    <w:rPr>
                      <w:kern w:val="2"/>
                      <w:szCs w:val="24"/>
                    </w:rPr>
                  </w:pPr>
                  <w:r>
                    <w:rPr>
                      <w:rFonts w:hint="eastAsia"/>
                    </w:rPr>
                    <w:t>2021.11.27</w:t>
                  </w:r>
                </w:p>
              </w:tc>
              <w:tc>
                <w:tcPr>
                  <w:tcW w:w="2169" w:type="dxa"/>
                  <w:vAlign w:val="center"/>
                </w:tcPr>
                <w:p>
                  <w:pPr>
                    <w:keepNext/>
                    <w:jc w:val="center"/>
                  </w:pPr>
                  <w:r>
                    <w:rPr>
                      <w:rFonts w:hint="eastAsia"/>
                    </w:rPr>
                    <w:t>5.6</w:t>
                  </w:r>
                </w:p>
              </w:tc>
              <w:tc>
                <w:tcPr>
                  <w:tcW w:w="1756" w:type="dxa"/>
                  <w:vAlign w:val="center"/>
                </w:tcPr>
                <w:p>
                  <w:pPr>
                    <w:keepNext/>
                    <w:jc w:val="center"/>
                  </w:pPr>
                  <w:r>
                    <w:rPr>
                      <w:rFonts w:hint="eastAsia"/>
                    </w:rPr>
                    <w:t>3.7</w:t>
                  </w:r>
                </w:p>
              </w:tc>
              <w:tc>
                <w:tcPr>
                  <w:tcW w:w="1747" w:type="dxa"/>
                  <w:vAlign w:val="center"/>
                </w:tcPr>
                <w:p>
                  <w:pPr>
                    <w:keepNext/>
                    <w:jc w:val="center"/>
                  </w:pPr>
                  <w:r>
                    <w:rPr>
                      <w:rFonts w:hint="eastAsia"/>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7" w:type="dxa"/>
                  <w:vMerge w:val="continue"/>
                  <w:vAlign w:val="center"/>
                </w:tcPr>
                <w:p>
                  <w:pPr>
                    <w:keepNext/>
                    <w:jc w:val="center"/>
                  </w:pPr>
                </w:p>
              </w:tc>
              <w:tc>
                <w:tcPr>
                  <w:tcW w:w="1860" w:type="dxa"/>
                  <w:vAlign w:val="center"/>
                </w:tcPr>
                <w:p>
                  <w:pPr>
                    <w:keepNext/>
                    <w:jc w:val="center"/>
                    <w:rPr>
                      <w:kern w:val="2"/>
                      <w:szCs w:val="24"/>
                    </w:rPr>
                  </w:pPr>
                  <w:r>
                    <w:rPr>
                      <w:rFonts w:hint="eastAsia"/>
                    </w:rPr>
                    <w:t>2021.11.28</w:t>
                  </w:r>
                </w:p>
              </w:tc>
              <w:tc>
                <w:tcPr>
                  <w:tcW w:w="2169" w:type="dxa"/>
                  <w:vAlign w:val="center"/>
                </w:tcPr>
                <w:p>
                  <w:pPr>
                    <w:keepNext/>
                    <w:jc w:val="center"/>
                  </w:pPr>
                  <w:r>
                    <w:rPr>
                      <w:rFonts w:hint="eastAsia"/>
                    </w:rPr>
                    <w:t>4.9</w:t>
                  </w:r>
                </w:p>
              </w:tc>
              <w:tc>
                <w:tcPr>
                  <w:tcW w:w="1756" w:type="dxa"/>
                  <w:vAlign w:val="center"/>
                </w:tcPr>
                <w:p>
                  <w:pPr>
                    <w:keepNext/>
                    <w:jc w:val="center"/>
                  </w:pPr>
                  <w:r>
                    <w:rPr>
                      <w:rFonts w:hint="eastAsia"/>
                    </w:rPr>
                    <w:t>4.1</w:t>
                  </w:r>
                </w:p>
              </w:tc>
              <w:tc>
                <w:tcPr>
                  <w:tcW w:w="1747" w:type="dxa"/>
                  <w:vAlign w:val="center"/>
                </w:tcPr>
                <w:p>
                  <w:pPr>
                    <w:keepNext/>
                    <w:jc w:val="center"/>
                  </w:pPr>
                  <w:r>
                    <w:rPr>
                      <w:rFonts w:hint="eastAsia"/>
                    </w:rPr>
                    <w:t>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7" w:type="dxa"/>
                  <w:vMerge w:val="continue"/>
                  <w:vAlign w:val="center"/>
                </w:tcPr>
                <w:p>
                  <w:pPr>
                    <w:keepNext/>
                    <w:jc w:val="center"/>
                  </w:pPr>
                </w:p>
              </w:tc>
              <w:tc>
                <w:tcPr>
                  <w:tcW w:w="1860" w:type="dxa"/>
                  <w:vAlign w:val="center"/>
                </w:tcPr>
                <w:p>
                  <w:pPr>
                    <w:keepNext/>
                    <w:jc w:val="center"/>
                    <w:rPr>
                      <w:kern w:val="2"/>
                      <w:szCs w:val="24"/>
                    </w:rPr>
                  </w:pPr>
                  <w:r>
                    <w:rPr>
                      <w:rFonts w:hint="eastAsia"/>
                    </w:rPr>
                    <w:t>2021.11.29</w:t>
                  </w:r>
                </w:p>
              </w:tc>
              <w:tc>
                <w:tcPr>
                  <w:tcW w:w="2169" w:type="dxa"/>
                  <w:vAlign w:val="center"/>
                </w:tcPr>
                <w:p>
                  <w:pPr>
                    <w:keepNext/>
                    <w:jc w:val="center"/>
                  </w:pPr>
                  <w:r>
                    <w:rPr>
                      <w:rFonts w:hint="eastAsia"/>
                    </w:rPr>
                    <w:t>4.5</w:t>
                  </w:r>
                </w:p>
              </w:tc>
              <w:tc>
                <w:tcPr>
                  <w:tcW w:w="1756" w:type="dxa"/>
                  <w:vAlign w:val="center"/>
                </w:tcPr>
                <w:p>
                  <w:pPr>
                    <w:keepNext/>
                    <w:jc w:val="center"/>
                  </w:pPr>
                  <w:r>
                    <w:rPr>
                      <w:rFonts w:hint="eastAsia"/>
                    </w:rPr>
                    <w:t>5</w:t>
                  </w:r>
                </w:p>
              </w:tc>
              <w:tc>
                <w:tcPr>
                  <w:tcW w:w="1747" w:type="dxa"/>
                  <w:vAlign w:val="center"/>
                </w:tcPr>
                <w:p>
                  <w:pPr>
                    <w:keepNext/>
                    <w:jc w:val="center"/>
                  </w:pPr>
                  <w:r>
                    <w:rPr>
                      <w:rFonts w:hint="eastAsia"/>
                    </w:rPr>
                    <w:t>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7" w:type="dxa"/>
                  <w:vMerge w:val="continue"/>
                  <w:vAlign w:val="center"/>
                </w:tcPr>
                <w:p>
                  <w:pPr>
                    <w:keepNext/>
                    <w:jc w:val="center"/>
                  </w:pPr>
                </w:p>
              </w:tc>
              <w:tc>
                <w:tcPr>
                  <w:tcW w:w="1860" w:type="dxa"/>
                  <w:vAlign w:val="center"/>
                </w:tcPr>
                <w:p>
                  <w:pPr>
                    <w:keepNext/>
                    <w:jc w:val="center"/>
                    <w:rPr>
                      <w:kern w:val="2"/>
                      <w:szCs w:val="24"/>
                    </w:rPr>
                  </w:pPr>
                  <w:r>
                    <w:rPr>
                      <w:rFonts w:hint="eastAsia"/>
                    </w:rPr>
                    <w:t>平均值</w:t>
                  </w:r>
                </w:p>
              </w:tc>
              <w:tc>
                <w:tcPr>
                  <w:tcW w:w="2169" w:type="dxa"/>
                  <w:vAlign w:val="center"/>
                </w:tcPr>
                <w:p>
                  <w:pPr>
                    <w:keepNext/>
                    <w:jc w:val="center"/>
                  </w:pPr>
                  <w:r>
                    <w:rPr>
                      <w:rFonts w:hint="eastAsia"/>
                    </w:rPr>
                    <w:t>5.0</w:t>
                  </w:r>
                </w:p>
              </w:tc>
              <w:tc>
                <w:tcPr>
                  <w:tcW w:w="1756" w:type="dxa"/>
                  <w:vAlign w:val="center"/>
                </w:tcPr>
                <w:p>
                  <w:pPr>
                    <w:keepNext/>
                    <w:jc w:val="center"/>
                  </w:pPr>
                  <w:r>
                    <w:rPr>
                      <w:rFonts w:hint="eastAsia"/>
                    </w:rPr>
                    <w:t>4.3</w:t>
                  </w:r>
                </w:p>
              </w:tc>
              <w:tc>
                <w:tcPr>
                  <w:tcW w:w="1747" w:type="dxa"/>
                  <w:vAlign w:val="center"/>
                </w:tcPr>
                <w:p>
                  <w:pPr>
                    <w:keepNext/>
                    <w:jc w:val="center"/>
                  </w:pPr>
                  <w:r>
                    <w:rPr>
                      <w:rFonts w:hint="eastAsia"/>
                    </w:rPr>
                    <w:t>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7" w:type="dxa"/>
                  <w:vMerge w:val="continue"/>
                  <w:vAlign w:val="center"/>
                </w:tcPr>
                <w:p>
                  <w:pPr>
                    <w:keepNext/>
                    <w:jc w:val="center"/>
                  </w:pPr>
                </w:p>
              </w:tc>
              <w:tc>
                <w:tcPr>
                  <w:tcW w:w="1860" w:type="dxa"/>
                  <w:vAlign w:val="center"/>
                </w:tcPr>
                <w:p>
                  <w:pPr>
                    <w:keepNext/>
                    <w:jc w:val="center"/>
                    <w:rPr>
                      <w:color w:val="000000"/>
                      <w:szCs w:val="21"/>
                    </w:rPr>
                  </w:pPr>
                  <w:r>
                    <w:rPr>
                      <w:color w:val="000000"/>
                      <w:szCs w:val="21"/>
                    </w:rPr>
                    <w:t>Ⅴ</w:t>
                  </w:r>
                  <w:r>
                    <w:rPr>
                      <w:rFonts w:hint="eastAsia"/>
                      <w:color w:val="000000"/>
                      <w:szCs w:val="21"/>
                    </w:rPr>
                    <w:t>（W1、W2）/</w:t>
                  </w:r>
                </w:p>
                <w:p>
                  <w:pPr>
                    <w:keepNext/>
                    <w:jc w:val="center"/>
                    <w:rPr>
                      <w:kern w:val="2"/>
                      <w:szCs w:val="24"/>
                    </w:rPr>
                  </w:pPr>
                  <w:r>
                    <w:rPr>
                      <w:color w:val="000000"/>
                      <w:szCs w:val="21"/>
                    </w:rPr>
                    <w:t>Ⅲ</w:t>
                  </w:r>
                  <w:r>
                    <w:rPr>
                      <w:rFonts w:hint="eastAsia"/>
                      <w:color w:val="000000"/>
                      <w:szCs w:val="21"/>
                    </w:rPr>
                    <w:t>（W3）</w:t>
                  </w:r>
                  <w:r>
                    <w:rPr>
                      <w:color w:val="000000"/>
                      <w:szCs w:val="21"/>
                    </w:rPr>
                    <w:t>类标准</w:t>
                  </w:r>
                </w:p>
              </w:tc>
              <w:tc>
                <w:tcPr>
                  <w:tcW w:w="2169" w:type="dxa"/>
                  <w:vAlign w:val="center"/>
                </w:tcPr>
                <w:p>
                  <w:pPr>
                    <w:keepNext/>
                    <w:jc w:val="center"/>
                  </w:pPr>
                  <w:r>
                    <w:rPr>
                      <w:rFonts w:hint="eastAsia"/>
                    </w:rPr>
                    <w:t>10</w:t>
                  </w:r>
                </w:p>
              </w:tc>
              <w:tc>
                <w:tcPr>
                  <w:tcW w:w="1756" w:type="dxa"/>
                  <w:vAlign w:val="center"/>
                </w:tcPr>
                <w:p>
                  <w:pPr>
                    <w:keepNext/>
                    <w:jc w:val="center"/>
                  </w:pPr>
                  <w:r>
                    <w:rPr>
                      <w:rFonts w:hint="eastAsia"/>
                    </w:rPr>
                    <w:t>10</w:t>
                  </w:r>
                </w:p>
              </w:tc>
              <w:tc>
                <w:tcPr>
                  <w:tcW w:w="1747" w:type="dxa"/>
                  <w:vAlign w:val="center"/>
                </w:tcPr>
                <w:p>
                  <w:pPr>
                    <w:keepNext/>
                    <w:jc w:val="center"/>
                  </w:pPr>
                  <w:r>
                    <w:rPr>
                      <w:rFonts w:hint="eastAsia"/>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7" w:type="dxa"/>
                  <w:vMerge w:val="continue"/>
                  <w:vAlign w:val="center"/>
                </w:tcPr>
                <w:p>
                  <w:pPr>
                    <w:keepNext/>
                    <w:jc w:val="center"/>
                  </w:pPr>
                </w:p>
              </w:tc>
              <w:tc>
                <w:tcPr>
                  <w:tcW w:w="1860" w:type="dxa"/>
                  <w:vAlign w:val="center"/>
                </w:tcPr>
                <w:p>
                  <w:pPr>
                    <w:keepNext/>
                    <w:jc w:val="center"/>
                    <w:rPr>
                      <w:kern w:val="2"/>
                      <w:szCs w:val="24"/>
                    </w:rPr>
                  </w:pPr>
                  <w:r>
                    <w:rPr>
                      <w:rFonts w:hint="eastAsia"/>
                    </w:rPr>
                    <w:t>标准指数</w:t>
                  </w:r>
                </w:p>
              </w:tc>
              <w:tc>
                <w:tcPr>
                  <w:tcW w:w="2169" w:type="dxa"/>
                  <w:vAlign w:val="center"/>
                </w:tcPr>
                <w:p>
                  <w:pPr>
                    <w:keepNext/>
                    <w:jc w:val="center"/>
                  </w:pPr>
                  <w:r>
                    <w:rPr>
                      <w:rFonts w:hint="eastAsia"/>
                    </w:rPr>
                    <w:t>0.50</w:t>
                  </w:r>
                </w:p>
              </w:tc>
              <w:tc>
                <w:tcPr>
                  <w:tcW w:w="1756" w:type="dxa"/>
                  <w:vAlign w:val="center"/>
                </w:tcPr>
                <w:p>
                  <w:pPr>
                    <w:keepNext/>
                    <w:jc w:val="center"/>
                  </w:pPr>
                  <w:r>
                    <w:rPr>
                      <w:rFonts w:hint="eastAsia"/>
                    </w:rPr>
                    <w:t>0.43</w:t>
                  </w:r>
                </w:p>
              </w:tc>
              <w:tc>
                <w:tcPr>
                  <w:tcW w:w="1747" w:type="dxa"/>
                  <w:vAlign w:val="center"/>
                </w:tcPr>
                <w:p>
                  <w:pPr>
                    <w:keepNext/>
                    <w:jc w:val="center"/>
                  </w:pPr>
                  <w:r>
                    <w:rPr>
                      <w:rFonts w:hint="eastAsia"/>
                    </w:rPr>
                    <w:t>0.93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7" w:type="dxa"/>
                  <w:vMerge w:val="continue"/>
                  <w:vAlign w:val="center"/>
                </w:tcPr>
                <w:p>
                  <w:pPr>
                    <w:keepNext/>
                    <w:jc w:val="center"/>
                  </w:pPr>
                </w:p>
              </w:tc>
              <w:tc>
                <w:tcPr>
                  <w:tcW w:w="1860" w:type="dxa"/>
                  <w:vAlign w:val="center"/>
                </w:tcPr>
                <w:p>
                  <w:pPr>
                    <w:keepNext/>
                    <w:jc w:val="center"/>
                    <w:rPr>
                      <w:kern w:val="2"/>
                      <w:szCs w:val="24"/>
                    </w:rPr>
                  </w:pPr>
                  <w:r>
                    <w:rPr>
                      <w:rFonts w:hint="eastAsia"/>
                    </w:rPr>
                    <w:t>达标情况</w:t>
                  </w:r>
                </w:p>
              </w:tc>
              <w:tc>
                <w:tcPr>
                  <w:tcW w:w="2169" w:type="dxa"/>
                  <w:vAlign w:val="center"/>
                </w:tcPr>
                <w:p>
                  <w:pPr>
                    <w:keepNext/>
                    <w:jc w:val="center"/>
                  </w:pPr>
                  <w:r>
                    <w:rPr>
                      <w:rFonts w:hint="eastAsia"/>
                    </w:rPr>
                    <w:t>达标</w:t>
                  </w:r>
                </w:p>
              </w:tc>
              <w:tc>
                <w:tcPr>
                  <w:tcW w:w="1756" w:type="dxa"/>
                  <w:vAlign w:val="center"/>
                </w:tcPr>
                <w:p>
                  <w:pPr>
                    <w:keepNext/>
                    <w:jc w:val="center"/>
                  </w:pPr>
                  <w:r>
                    <w:rPr>
                      <w:rFonts w:hint="eastAsia"/>
                    </w:rPr>
                    <w:t>达标</w:t>
                  </w:r>
                </w:p>
              </w:tc>
              <w:tc>
                <w:tcPr>
                  <w:tcW w:w="1747" w:type="dxa"/>
                  <w:vAlign w:val="center"/>
                </w:tcPr>
                <w:p>
                  <w:pPr>
                    <w:keepNext/>
                    <w:jc w:val="center"/>
                  </w:pPr>
                  <w:r>
                    <w:rPr>
                      <w:rFonts w:hint="eastAsia"/>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78" w:type="dxa"/>
                  <w:gridSpan w:val="5"/>
                  <w:vAlign w:val="center"/>
                </w:tcPr>
                <w:p>
                  <w:pPr>
                    <w:keepNext/>
                    <w:jc w:val="left"/>
                    <w:rPr>
                      <w:sz w:val="18"/>
                      <w:szCs w:val="18"/>
                    </w:rPr>
                  </w:pPr>
                  <w:r>
                    <w:rPr>
                      <w:rFonts w:hint="eastAsia"/>
                      <w:sz w:val="18"/>
                      <w:szCs w:val="18"/>
                    </w:rPr>
                    <w:t>备注：总氮无相应的地表水环境质量标准值，因此不对总氮进行评价分析。</w:t>
                  </w:r>
                </w:p>
              </w:tc>
            </w:tr>
          </w:tbl>
          <w:p>
            <w:pPr>
              <w:keepNext/>
              <w:spacing w:before="120" w:beforeLines="50" w:line="360" w:lineRule="auto"/>
              <w:ind w:firstLine="420" w:firstLineChars="200"/>
            </w:pPr>
            <w:r>
              <w:t>监测结果表明，</w:t>
            </w:r>
            <w:r>
              <w:rPr>
                <w:rFonts w:hint="eastAsia"/>
              </w:rPr>
              <w:t>南蛇沥（监测断面W1）监测因子氨氮不能满足《地表水环境质量标准》（GB3838-2002）Ⅴ类标准，南蛇沥（监测断面W1、W2）其余监测指标均能满足《地表水环境质量标准》（GB3838-2002）Ⅴ类标准，公庄河（监测断面W3）的各监测因子均满足《地表水环境质量标准》（GB3838-2002）Ⅲ类标准，</w:t>
            </w:r>
            <w:r>
              <w:rPr>
                <w:rFonts w:hint="eastAsia"/>
                <w:szCs w:val="21"/>
              </w:rPr>
              <w:t>由此可见，</w:t>
            </w:r>
            <w:r>
              <w:rPr>
                <w:rFonts w:hint="eastAsia"/>
              </w:rPr>
              <w:t>公庄河水环境质量良好，南蛇沥水环境质量有待改善</w:t>
            </w:r>
            <w:r>
              <w:t>。</w:t>
            </w:r>
          </w:p>
          <w:p>
            <w:pPr>
              <w:pStyle w:val="23"/>
              <w:spacing w:line="360" w:lineRule="auto"/>
              <w:rPr>
                <w:sz w:val="21"/>
                <w:szCs w:val="21"/>
              </w:rPr>
            </w:pPr>
            <w:r>
              <w:rPr>
                <w:sz w:val="21"/>
                <w:szCs w:val="21"/>
              </w:rPr>
              <w:t>根据现场调查，造成超标的原因主要是沿岸部分地区的污水管网未完善，河道沿线生活和生产废水的排放所致。鉴于项目区域水质较差，地方政府一方面应加快城镇生活污水处理厂及其管网的建设，另一方面环保部门需加强工业污染源的监管，确保水质达标：</w:t>
            </w:r>
          </w:p>
          <w:p>
            <w:pPr>
              <w:pStyle w:val="23"/>
              <w:spacing w:line="360" w:lineRule="auto"/>
              <w:rPr>
                <w:sz w:val="21"/>
                <w:szCs w:val="21"/>
                <w:lang w:eastAsia="zh-CN"/>
              </w:rPr>
            </w:pPr>
            <w:r>
              <w:rPr>
                <w:sz w:val="21"/>
                <w:szCs w:val="21"/>
              </w:rPr>
              <w:t>①加快片区生活污水处理厂建设进度：本项目所在地属于杨侨镇生活污水处理厂的纳污范围。片区内部分企业生活污水直接经化粪池处理后排放，这是造成水质污染日益严重的重要原因。因此，随着片区内企业的增加，片区必须尽快集中生活污水处理厂的建设进度，以削减进入排污渠的污染物总量</w:t>
            </w:r>
            <w:r>
              <w:rPr>
                <w:rFonts w:hint="eastAsia"/>
                <w:sz w:val="21"/>
                <w:szCs w:val="21"/>
                <w:lang w:eastAsia="zh-CN"/>
              </w:rPr>
              <w:t>；</w:t>
            </w:r>
          </w:p>
          <w:p>
            <w:pPr>
              <w:pStyle w:val="23"/>
              <w:spacing w:line="360" w:lineRule="auto"/>
              <w:rPr>
                <w:sz w:val="21"/>
                <w:szCs w:val="21"/>
                <w:lang w:eastAsia="zh-CN"/>
              </w:rPr>
            </w:pPr>
            <w:r>
              <w:rPr>
                <w:sz w:val="21"/>
                <w:szCs w:val="21"/>
              </w:rPr>
              <w:t>②清理河涌淤泥，并妥善处理处置</w:t>
            </w:r>
            <w:r>
              <w:rPr>
                <w:rFonts w:hint="eastAsia"/>
                <w:sz w:val="21"/>
                <w:szCs w:val="21"/>
                <w:lang w:eastAsia="zh-CN"/>
              </w:rPr>
              <w:t>；</w:t>
            </w:r>
          </w:p>
          <w:p>
            <w:pPr>
              <w:pStyle w:val="23"/>
              <w:spacing w:line="360" w:lineRule="auto"/>
              <w:rPr>
                <w:sz w:val="21"/>
                <w:szCs w:val="21"/>
                <w:lang w:eastAsia="zh-CN"/>
              </w:rPr>
            </w:pPr>
            <w:r>
              <w:rPr>
                <w:sz w:val="21"/>
                <w:szCs w:val="21"/>
              </w:rPr>
              <w:t>③促进企业实施清洁生产，尽可能将处理后的废水回用于绿化、冲厕等方面，减少废水的产生和排放</w:t>
            </w:r>
            <w:r>
              <w:rPr>
                <w:rFonts w:hint="eastAsia"/>
                <w:sz w:val="21"/>
                <w:szCs w:val="21"/>
                <w:lang w:eastAsia="zh-CN"/>
              </w:rPr>
              <w:t>；</w:t>
            </w:r>
          </w:p>
          <w:p>
            <w:pPr>
              <w:pStyle w:val="23"/>
              <w:spacing w:line="360" w:lineRule="auto"/>
              <w:rPr>
                <w:sz w:val="21"/>
                <w:szCs w:val="21"/>
              </w:rPr>
            </w:pPr>
            <w:r>
              <w:rPr>
                <w:sz w:val="21"/>
                <w:szCs w:val="21"/>
              </w:rPr>
              <w:t>④加强杨侨镇工业企业环境管理：杨侨镇排污企业偷排、漏排不达标污水以及超水量排放污水也是造成南蛇沥、东江污染的主要因素之一，因此，环境监察部门应严查严惩杨侨镇偷排漏排企业，使企业做到达标且不超水量排放。</w:t>
            </w:r>
          </w:p>
          <w:p>
            <w:pPr>
              <w:pStyle w:val="23"/>
              <w:spacing w:line="360" w:lineRule="auto"/>
              <w:rPr>
                <w:sz w:val="21"/>
                <w:szCs w:val="21"/>
              </w:rPr>
            </w:pPr>
            <w:r>
              <w:rPr>
                <w:sz w:val="21"/>
                <w:szCs w:val="21"/>
              </w:rPr>
              <w:t>随着沿岸居民生活</w:t>
            </w:r>
            <w:r>
              <w:rPr>
                <w:rFonts w:hint="eastAsia"/>
                <w:sz w:val="21"/>
                <w:szCs w:val="21"/>
                <w:lang w:eastAsia="zh-CN"/>
              </w:rPr>
              <w:t>及工业企业生活污水</w:t>
            </w:r>
            <w:r>
              <w:rPr>
                <w:sz w:val="21"/>
                <w:szCs w:val="21"/>
              </w:rPr>
              <w:t>排入市政管网，南蛇沥水质将逐步得到改善。</w:t>
            </w:r>
          </w:p>
          <w:p>
            <w:pPr>
              <w:keepNext/>
              <w:adjustRightInd w:val="0"/>
              <w:snapToGrid w:val="0"/>
              <w:spacing w:line="360" w:lineRule="auto"/>
              <w:ind w:firstLine="422" w:firstLineChars="200"/>
              <w:jc w:val="left"/>
              <w:rPr>
                <w:b/>
                <w:szCs w:val="21"/>
              </w:rPr>
            </w:pPr>
            <w:r>
              <w:rPr>
                <w:b/>
                <w:szCs w:val="21"/>
              </w:rPr>
              <w:t>3、声环境</w:t>
            </w:r>
          </w:p>
          <w:p>
            <w:pPr>
              <w:adjustRightInd w:val="0"/>
              <w:snapToGrid w:val="0"/>
              <w:spacing w:line="360" w:lineRule="auto"/>
              <w:ind w:firstLine="420" w:firstLineChars="200"/>
            </w:pPr>
            <w:r>
              <w:rPr>
                <w:bCs/>
              </w:rPr>
              <w:t>根据</w:t>
            </w:r>
            <w:r>
              <w:rPr>
                <w:color w:val="000000"/>
                <w:szCs w:val="21"/>
              </w:rPr>
              <w:t>《广东博罗县产业转移工业园区总体规划环境影响报告书》及其审查意见</w:t>
            </w:r>
            <w:r>
              <w:rPr>
                <w:rFonts w:hint="eastAsia"/>
                <w:color w:val="000000"/>
                <w:szCs w:val="21"/>
              </w:rPr>
              <w:t>（</w:t>
            </w:r>
            <w:r>
              <w:rPr>
                <w:szCs w:val="21"/>
              </w:rPr>
              <w:t>粤环审〔2021〕84号</w:t>
            </w:r>
            <w:r>
              <w:rPr>
                <w:rFonts w:hint="eastAsia"/>
                <w:color w:val="000000"/>
                <w:szCs w:val="21"/>
              </w:rPr>
              <w:t>）中</w:t>
            </w:r>
            <w:r>
              <w:rPr>
                <w:bCs/>
              </w:rPr>
              <w:t>对声功能区分类标准，本项目所在区域属于</w:t>
            </w:r>
            <w:r>
              <w:rPr>
                <w:rFonts w:hint="eastAsia"/>
                <w:bCs/>
              </w:rPr>
              <w:t>3</w:t>
            </w:r>
            <w:r>
              <w:rPr>
                <w:bCs/>
              </w:rPr>
              <w:t>类声环境功能区，</w:t>
            </w:r>
            <w:r>
              <w:t>执行《声环境质量标准》（GB3096-2008）</w:t>
            </w:r>
            <w:r>
              <w:rPr>
                <w:rFonts w:hint="eastAsia"/>
              </w:rPr>
              <w:t>3</w:t>
            </w:r>
            <w:r>
              <w:t>类标准。</w:t>
            </w:r>
          </w:p>
          <w:p>
            <w:pPr>
              <w:keepNext/>
              <w:adjustRightInd w:val="0"/>
              <w:snapToGrid w:val="0"/>
              <w:spacing w:line="360" w:lineRule="auto"/>
              <w:ind w:firstLine="420" w:firstLineChars="200"/>
              <w:rPr>
                <w:bCs/>
                <w:kern w:val="2"/>
              </w:rPr>
            </w:pPr>
            <w:r>
              <w:rPr>
                <w:rFonts w:hint="eastAsia" w:cs="宋体"/>
                <w:color w:val="000000"/>
                <w:szCs w:val="21"/>
              </w:rPr>
              <w:t>根据</w:t>
            </w:r>
            <w:r>
              <w:rPr>
                <w:rFonts w:hint="eastAsia" w:cs="宋体"/>
                <w:szCs w:val="21"/>
              </w:rPr>
              <w:t>《20</w:t>
            </w:r>
            <w:r>
              <w:rPr>
                <w:rFonts w:cs="宋体"/>
                <w:szCs w:val="21"/>
              </w:rPr>
              <w:t>2</w:t>
            </w:r>
            <w:r>
              <w:rPr>
                <w:rFonts w:hint="eastAsia" w:cs="宋体"/>
                <w:szCs w:val="21"/>
              </w:rPr>
              <w:t>1年惠州市生态环境状况公报》，2021年，惠州市城市区域声环境质量昼间平均等效声级为54.5分贝，质量等级为较好；城市道路交通噪声昼间平均等效声级为67.2分贝，质量等级为好；市区功能区声环境昼间、夜间达标率均为100%。与2020年相比，惠州市城市区域声环境质量保持稳定</w:t>
            </w:r>
            <w:r>
              <w:rPr>
                <w:szCs w:val="21"/>
              </w:rPr>
              <w:t>。</w:t>
            </w:r>
          </w:p>
          <w:p>
            <w:pPr>
              <w:keepNext/>
              <w:adjustRightInd w:val="0"/>
              <w:snapToGrid w:val="0"/>
              <w:spacing w:line="360" w:lineRule="auto"/>
              <w:ind w:firstLine="420" w:firstLineChars="200"/>
              <w:rPr>
                <w:bCs/>
                <w:kern w:val="2"/>
              </w:rPr>
            </w:pPr>
            <w:r>
              <w:rPr>
                <w:rFonts w:hint="eastAsia"/>
                <w:bCs/>
                <w:kern w:val="2"/>
              </w:rPr>
              <w:t>根据《建设项目环境影响报告表编制技术指南（污染影响类）（试行）》（</w:t>
            </w:r>
            <w:r>
              <w:rPr>
                <w:rFonts w:hint="eastAsia"/>
                <w:color w:val="000000"/>
                <w:szCs w:val="21"/>
              </w:rPr>
              <w:t>环办环评〔2020〕33号）</w:t>
            </w:r>
            <w:r>
              <w:rPr>
                <w:rFonts w:hint="eastAsia"/>
                <w:bCs/>
                <w:kern w:val="2"/>
              </w:rPr>
              <w:t>相关规定，项目50m范围内不存在声环境保护目标，无需监测声环境质量现状。</w:t>
            </w:r>
          </w:p>
          <w:p>
            <w:pPr>
              <w:keepNext/>
              <w:adjustRightInd w:val="0"/>
              <w:snapToGrid w:val="0"/>
              <w:spacing w:line="360" w:lineRule="auto"/>
              <w:ind w:firstLine="422" w:firstLineChars="200"/>
              <w:rPr>
                <w:b/>
                <w:bCs/>
              </w:rPr>
            </w:pPr>
            <w:r>
              <w:rPr>
                <w:rFonts w:hint="eastAsia"/>
                <w:b/>
                <w:bCs/>
              </w:rPr>
              <w:t>4</w:t>
            </w:r>
            <w:r>
              <w:rPr>
                <w:b/>
                <w:bCs/>
              </w:rPr>
              <w:t>、生态环境</w:t>
            </w:r>
          </w:p>
          <w:p>
            <w:pPr>
              <w:adjustRightInd w:val="0"/>
              <w:snapToGrid w:val="0"/>
              <w:spacing w:line="360" w:lineRule="auto"/>
              <w:ind w:firstLine="420" w:firstLineChars="200"/>
              <w:textAlignment w:val="baseline"/>
              <w:rPr>
                <w:rFonts w:cs="宋体"/>
                <w:lang w:bidi="ar"/>
              </w:rPr>
            </w:pPr>
            <w:r>
              <w:rPr>
                <w:rFonts w:hint="eastAsia" w:cs="宋体"/>
                <w:lang w:bidi="ar"/>
              </w:rPr>
              <w:t>本项目生态环境由于周围地区人为开发活动，已由自然生态环境转为城市人工生态环境。根据地方或生境重要性评判，该区域属于非重要生境，没有特别受保护的生境和生物区系及水产资源。</w:t>
            </w:r>
          </w:p>
          <w:p>
            <w:pPr>
              <w:adjustRightInd w:val="0"/>
              <w:snapToGrid w:val="0"/>
              <w:spacing w:line="360" w:lineRule="auto"/>
              <w:ind w:firstLine="420" w:firstLineChars="200"/>
              <w:textAlignment w:val="baseline"/>
              <w:rPr>
                <w:szCs w:val="21"/>
              </w:rPr>
            </w:pPr>
            <w:r>
              <w:rPr>
                <w:rFonts w:hint="eastAsia" w:cs="宋体"/>
                <w:lang w:bidi="ar"/>
              </w:rPr>
              <w:t>《2021年惠州市生态环境状况公报》表明：2020年，惠州市生态环境状况指数（EI）为81.4，生态质量级别为优。与2019年相比，惠州市及各县（区）生态环境质量保持优良。</w:t>
            </w:r>
          </w:p>
          <w:p>
            <w:pPr>
              <w:keepNext/>
              <w:adjustRightInd w:val="0"/>
              <w:snapToGrid w:val="0"/>
              <w:spacing w:line="360" w:lineRule="auto"/>
              <w:ind w:firstLine="422" w:firstLineChars="200"/>
              <w:rPr>
                <w:b/>
                <w:bCs/>
                <w:szCs w:val="21"/>
              </w:rPr>
            </w:pPr>
            <w:r>
              <w:rPr>
                <w:rFonts w:hint="eastAsia"/>
                <w:b/>
                <w:bCs/>
                <w:szCs w:val="21"/>
              </w:rPr>
              <w:t>5</w:t>
            </w:r>
            <w:r>
              <w:rPr>
                <w:b/>
                <w:bCs/>
                <w:szCs w:val="21"/>
              </w:rPr>
              <w:t>、电磁辐射</w:t>
            </w:r>
          </w:p>
          <w:p>
            <w:pPr>
              <w:keepNext/>
              <w:adjustRightInd w:val="0"/>
              <w:snapToGrid w:val="0"/>
              <w:spacing w:line="360" w:lineRule="auto"/>
              <w:ind w:firstLine="420" w:firstLineChars="200"/>
              <w:rPr>
                <w:szCs w:val="21"/>
              </w:rPr>
            </w:pPr>
            <w:r>
              <w:rPr>
                <w:szCs w:val="21"/>
              </w:rPr>
              <w:t>无。</w:t>
            </w:r>
          </w:p>
          <w:p>
            <w:pPr>
              <w:keepNext/>
              <w:adjustRightInd w:val="0"/>
              <w:snapToGrid w:val="0"/>
              <w:spacing w:line="360" w:lineRule="auto"/>
              <w:ind w:firstLine="422" w:firstLineChars="200"/>
              <w:rPr>
                <w:b/>
                <w:bCs/>
                <w:szCs w:val="21"/>
              </w:rPr>
            </w:pPr>
            <w:r>
              <w:rPr>
                <w:rFonts w:hint="eastAsia"/>
                <w:b/>
                <w:bCs/>
                <w:szCs w:val="21"/>
              </w:rPr>
              <w:t>6</w:t>
            </w:r>
            <w:r>
              <w:rPr>
                <w:b/>
                <w:bCs/>
                <w:szCs w:val="21"/>
              </w:rPr>
              <w:t>、</w:t>
            </w:r>
            <w:r>
              <w:rPr>
                <w:b/>
                <w:bCs/>
                <w:kern w:val="21"/>
                <w:szCs w:val="21"/>
              </w:rPr>
              <w:t>地下水、土壤环境</w:t>
            </w:r>
          </w:p>
          <w:p>
            <w:pPr>
              <w:pStyle w:val="108"/>
              <w:keepNext/>
              <w:adjustRightInd w:val="0"/>
              <w:snapToGrid w:val="0"/>
              <w:spacing w:line="360" w:lineRule="auto"/>
              <w:ind w:firstLine="420"/>
              <w:rPr>
                <w:color w:val="auto"/>
                <w:lang w:eastAsia="zh-CN"/>
              </w:rPr>
            </w:pPr>
            <w:r>
              <w:rPr>
                <w:rFonts w:hint="eastAsia"/>
                <w:lang w:eastAsia="zh-CN"/>
              </w:rPr>
              <w:t>根据《建设项目环境影响报告表编制指南（污染影响类）（试行）》，“地下水、土壤环境。原则上不</w:t>
            </w:r>
            <w:r>
              <w:rPr>
                <w:rFonts w:hint="eastAsia"/>
                <w:color w:val="auto"/>
                <w:lang w:eastAsia="zh-CN"/>
              </w:rPr>
              <w:t>开展环境质量现状调查。建设项目存在土壤、地下水环境污染途径的，应结合污染源、保护目标分布情况开展现状调查以留作背景值。”</w:t>
            </w:r>
          </w:p>
          <w:p>
            <w:pPr>
              <w:pStyle w:val="108"/>
              <w:adjustRightInd w:val="0"/>
              <w:snapToGrid w:val="0"/>
              <w:spacing w:line="360" w:lineRule="auto"/>
              <w:ind w:firstLine="420"/>
            </w:pPr>
            <w:r>
              <w:rPr>
                <w:color w:val="auto"/>
                <w:kern w:val="0"/>
                <w:szCs w:val="21"/>
              </w:rPr>
              <w:t>本项目</w:t>
            </w:r>
            <w:r>
              <w:rPr>
                <w:rStyle w:val="104"/>
                <w:rFonts w:hint="eastAsia" w:cs="Times New Roman"/>
                <w:color w:val="auto"/>
                <w:kern w:val="0"/>
                <w:lang w:eastAsia="zh-CN"/>
              </w:rPr>
              <w:t>建成后，厂区内</w:t>
            </w:r>
            <w:r>
              <w:rPr>
                <w:color w:val="auto"/>
              </w:rPr>
              <w:t>会做好相应的防渗</w:t>
            </w:r>
            <w:r>
              <w:rPr>
                <w:rFonts w:hint="eastAsia"/>
                <w:color w:val="auto"/>
              </w:rPr>
              <w:t>和</w:t>
            </w:r>
            <w:r>
              <w:rPr>
                <w:color w:val="auto"/>
              </w:rPr>
              <w:t>防泄漏</w:t>
            </w:r>
            <w:r>
              <w:rPr>
                <w:rFonts w:hint="eastAsia"/>
                <w:color w:val="auto"/>
              </w:rPr>
              <w:t>措施，</w:t>
            </w:r>
            <w:r>
              <w:rPr>
                <w:color w:val="auto"/>
                <w:kern w:val="0"/>
                <w:szCs w:val="21"/>
              </w:rPr>
              <w:t>无地下水、土壤污染途径，故不开展地下水、土壤现状调查。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48" w:type="pct"/>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环境</w:t>
            </w:r>
          </w:p>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保护</w:t>
            </w:r>
          </w:p>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目标</w:t>
            </w:r>
          </w:p>
        </w:tc>
        <w:tc>
          <w:tcPr>
            <w:tcW w:w="4651" w:type="pct"/>
            <w:vAlign w:val="center"/>
          </w:tcPr>
          <w:p>
            <w:pPr>
              <w:pStyle w:val="878"/>
              <w:spacing w:line="360" w:lineRule="auto"/>
              <w:ind w:firstLine="422"/>
              <w:rPr>
                <w:b/>
                <w:kern w:val="2"/>
                <w:sz w:val="21"/>
              </w:rPr>
            </w:pPr>
            <w:r>
              <w:rPr>
                <w:rFonts w:hint="eastAsia"/>
                <w:b/>
                <w:kern w:val="2"/>
                <w:sz w:val="21"/>
              </w:rPr>
              <w:t>1</w:t>
            </w:r>
            <w:r>
              <w:rPr>
                <w:b/>
                <w:kern w:val="2"/>
                <w:sz w:val="21"/>
              </w:rPr>
              <w:t>、大气环境</w:t>
            </w:r>
          </w:p>
          <w:p>
            <w:pPr>
              <w:pStyle w:val="878"/>
              <w:spacing w:line="360" w:lineRule="auto"/>
              <w:ind w:firstLine="420"/>
              <w:rPr>
                <w:rFonts w:eastAsia="等线"/>
                <w:b/>
                <w:kern w:val="2"/>
                <w:sz w:val="21"/>
              </w:rPr>
            </w:pPr>
            <w:r>
              <w:rPr>
                <w:sz w:val="21"/>
                <w:szCs w:val="21"/>
              </w:rPr>
              <w:t>本项目大气环境保护目标为周边的环境空气，使其符合《环境空气质量标准》（GB3095-2012）及其修改单中的二级标准，项目500米范围内的环境敏感点及保护目标详见下表。</w:t>
            </w:r>
          </w:p>
          <w:p>
            <w:pPr>
              <w:adjustRightInd w:val="0"/>
              <w:jc w:val="center"/>
              <w:rPr>
                <w:b/>
                <w:bCs/>
                <w:szCs w:val="21"/>
              </w:rPr>
            </w:pPr>
            <w:r>
              <w:rPr>
                <w:b/>
                <w:bCs/>
                <w:szCs w:val="21"/>
              </w:rPr>
              <w:t>表</w:t>
            </w:r>
            <w:r>
              <w:rPr>
                <w:rFonts w:hint="eastAsia"/>
                <w:b/>
                <w:bCs/>
                <w:szCs w:val="21"/>
              </w:rPr>
              <w:t>3-4</w:t>
            </w:r>
            <w:r>
              <w:rPr>
                <w:b/>
                <w:bCs/>
                <w:szCs w:val="21"/>
              </w:rPr>
              <w:t xml:space="preserve"> 项目环境空气保护目标一览表</w:t>
            </w:r>
          </w:p>
          <w:tbl>
            <w:tblPr>
              <w:tblStyle w:val="92"/>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3"/>
              <w:gridCol w:w="1148"/>
              <w:gridCol w:w="1188"/>
              <w:gridCol w:w="732"/>
              <w:gridCol w:w="1806"/>
              <w:gridCol w:w="931"/>
              <w:gridCol w:w="985"/>
              <w:gridCol w:w="12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49" w:type="pct"/>
                  <w:vMerge w:val="restart"/>
                  <w:vAlign w:val="center"/>
                </w:tcPr>
                <w:p>
                  <w:pPr>
                    <w:pStyle w:val="85"/>
                    <w:widowControl w:val="0"/>
                    <w:adjustRightInd w:val="0"/>
                    <w:snapToGrid w:val="0"/>
                    <w:spacing w:before="0" w:beforeAutospacing="0" w:after="0" w:afterAutospacing="0"/>
                    <w:jc w:val="center"/>
                    <w:rPr>
                      <w:rFonts w:ascii="Times New Roman" w:hAnsi="Times New Roman"/>
                      <w:b/>
                      <w:bCs/>
                      <w:color w:val="auto"/>
                      <w:sz w:val="18"/>
                      <w:szCs w:val="18"/>
                    </w:rPr>
                  </w:pPr>
                  <w:r>
                    <w:rPr>
                      <w:rFonts w:ascii="Times New Roman" w:hAnsi="Times New Roman"/>
                      <w:b/>
                      <w:bCs/>
                      <w:color w:val="auto"/>
                      <w:sz w:val="18"/>
                      <w:szCs w:val="18"/>
                    </w:rPr>
                    <w:t>名称</w:t>
                  </w:r>
                </w:p>
              </w:tc>
              <w:tc>
                <w:tcPr>
                  <w:tcW w:w="1292" w:type="pct"/>
                  <w:gridSpan w:val="2"/>
                  <w:vAlign w:val="center"/>
                </w:tcPr>
                <w:p>
                  <w:pPr>
                    <w:pStyle w:val="85"/>
                    <w:widowControl w:val="0"/>
                    <w:adjustRightInd w:val="0"/>
                    <w:snapToGrid w:val="0"/>
                    <w:spacing w:before="0" w:beforeAutospacing="0" w:after="0" w:afterAutospacing="0"/>
                    <w:jc w:val="center"/>
                    <w:rPr>
                      <w:rFonts w:ascii="Times New Roman" w:hAnsi="Times New Roman"/>
                      <w:b/>
                      <w:bCs/>
                      <w:color w:val="auto"/>
                      <w:sz w:val="18"/>
                      <w:szCs w:val="18"/>
                    </w:rPr>
                  </w:pPr>
                  <w:r>
                    <w:rPr>
                      <w:rFonts w:ascii="Times New Roman" w:hAnsi="Times New Roman"/>
                      <w:b/>
                      <w:bCs/>
                      <w:color w:val="auto"/>
                      <w:sz w:val="18"/>
                      <w:szCs w:val="18"/>
                    </w:rPr>
                    <w:t>地理坐标</w:t>
                  </w:r>
                </w:p>
              </w:tc>
              <w:tc>
                <w:tcPr>
                  <w:tcW w:w="405" w:type="pct"/>
                  <w:vMerge w:val="restart"/>
                  <w:vAlign w:val="center"/>
                </w:tcPr>
                <w:p>
                  <w:pPr>
                    <w:pStyle w:val="85"/>
                    <w:widowControl w:val="0"/>
                    <w:adjustRightInd w:val="0"/>
                    <w:snapToGrid w:val="0"/>
                    <w:spacing w:before="0" w:beforeAutospacing="0" w:after="0" w:afterAutospacing="0"/>
                    <w:jc w:val="center"/>
                    <w:rPr>
                      <w:rFonts w:ascii="Times New Roman" w:hAnsi="Times New Roman"/>
                      <w:b/>
                      <w:bCs/>
                      <w:color w:val="auto"/>
                      <w:sz w:val="18"/>
                      <w:szCs w:val="18"/>
                    </w:rPr>
                  </w:pPr>
                  <w:r>
                    <w:rPr>
                      <w:rFonts w:ascii="Times New Roman" w:hAnsi="Times New Roman"/>
                      <w:b/>
                      <w:bCs/>
                      <w:color w:val="auto"/>
                      <w:sz w:val="18"/>
                      <w:szCs w:val="18"/>
                    </w:rPr>
                    <w:t>保护对象</w:t>
                  </w:r>
                </w:p>
              </w:tc>
              <w:tc>
                <w:tcPr>
                  <w:tcW w:w="999" w:type="pct"/>
                  <w:vMerge w:val="restart"/>
                  <w:vAlign w:val="center"/>
                </w:tcPr>
                <w:p>
                  <w:pPr>
                    <w:pStyle w:val="85"/>
                    <w:widowControl w:val="0"/>
                    <w:adjustRightInd w:val="0"/>
                    <w:snapToGrid w:val="0"/>
                    <w:spacing w:before="0" w:beforeAutospacing="0" w:after="0" w:afterAutospacing="0"/>
                    <w:jc w:val="center"/>
                    <w:rPr>
                      <w:rFonts w:ascii="Times New Roman" w:hAnsi="Times New Roman"/>
                      <w:b/>
                      <w:bCs/>
                      <w:color w:val="auto"/>
                      <w:sz w:val="18"/>
                      <w:szCs w:val="18"/>
                    </w:rPr>
                  </w:pPr>
                  <w:r>
                    <w:rPr>
                      <w:rFonts w:ascii="Times New Roman" w:hAnsi="Times New Roman"/>
                      <w:b/>
                      <w:bCs/>
                      <w:color w:val="auto"/>
                      <w:sz w:val="18"/>
                      <w:szCs w:val="18"/>
                    </w:rPr>
                    <w:t>保护内容</w:t>
                  </w:r>
                </w:p>
              </w:tc>
              <w:tc>
                <w:tcPr>
                  <w:tcW w:w="515" w:type="pct"/>
                  <w:vMerge w:val="restart"/>
                  <w:vAlign w:val="center"/>
                </w:tcPr>
                <w:p>
                  <w:pPr>
                    <w:pStyle w:val="85"/>
                    <w:widowControl w:val="0"/>
                    <w:adjustRightInd w:val="0"/>
                    <w:snapToGrid w:val="0"/>
                    <w:spacing w:before="0" w:beforeAutospacing="0" w:after="0" w:afterAutospacing="0"/>
                    <w:jc w:val="center"/>
                    <w:rPr>
                      <w:rFonts w:ascii="Times New Roman" w:hAnsi="Times New Roman"/>
                      <w:b/>
                      <w:bCs/>
                      <w:color w:val="auto"/>
                      <w:sz w:val="18"/>
                      <w:szCs w:val="18"/>
                    </w:rPr>
                  </w:pPr>
                  <w:r>
                    <w:rPr>
                      <w:rFonts w:ascii="Times New Roman" w:hAnsi="Times New Roman"/>
                      <w:b/>
                      <w:bCs/>
                      <w:color w:val="auto"/>
                      <w:sz w:val="18"/>
                      <w:szCs w:val="18"/>
                    </w:rPr>
                    <w:t>环境功能区</w:t>
                  </w:r>
                </w:p>
              </w:tc>
              <w:tc>
                <w:tcPr>
                  <w:tcW w:w="545" w:type="pct"/>
                  <w:vMerge w:val="restart"/>
                  <w:vAlign w:val="center"/>
                </w:tcPr>
                <w:p>
                  <w:pPr>
                    <w:pStyle w:val="85"/>
                    <w:widowControl w:val="0"/>
                    <w:adjustRightInd w:val="0"/>
                    <w:snapToGrid w:val="0"/>
                    <w:spacing w:before="0" w:beforeAutospacing="0" w:after="0" w:afterAutospacing="0"/>
                    <w:jc w:val="center"/>
                    <w:rPr>
                      <w:rFonts w:ascii="Times New Roman" w:hAnsi="Times New Roman"/>
                      <w:b/>
                      <w:bCs/>
                      <w:color w:val="auto"/>
                      <w:sz w:val="18"/>
                      <w:szCs w:val="18"/>
                    </w:rPr>
                  </w:pPr>
                  <w:r>
                    <w:rPr>
                      <w:rFonts w:ascii="Times New Roman" w:hAnsi="Times New Roman"/>
                      <w:b/>
                      <w:bCs/>
                      <w:color w:val="auto"/>
                      <w:sz w:val="18"/>
                      <w:szCs w:val="18"/>
                    </w:rPr>
                    <w:t>相对厂址方位</w:t>
                  </w:r>
                </w:p>
              </w:tc>
              <w:tc>
                <w:tcPr>
                  <w:tcW w:w="692" w:type="pct"/>
                  <w:vMerge w:val="restart"/>
                  <w:vAlign w:val="center"/>
                </w:tcPr>
                <w:p>
                  <w:pPr>
                    <w:pStyle w:val="85"/>
                    <w:widowControl w:val="0"/>
                    <w:adjustRightInd w:val="0"/>
                    <w:snapToGrid w:val="0"/>
                    <w:spacing w:before="0" w:beforeAutospacing="0" w:after="0" w:afterAutospacing="0"/>
                    <w:jc w:val="center"/>
                    <w:rPr>
                      <w:rFonts w:ascii="Times New Roman" w:hAnsi="Times New Roman"/>
                      <w:b/>
                      <w:bCs/>
                      <w:color w:val="auto"/>
                      <w:sz w:val="18"/>
                      <w:szCs w:val="18"/>
                    </w:rPr>
                  </w:pPr>
                  <w:r>
                    <w:rPr>
                      <w:rFonts w:ascii="Times New Roman" w:hAnsi="Times New Roman"/>
                      <w:b/>
                      <w:bCs/>
                      <w:color w:val="auto"/>
                      <w:sz w:val="18"/>
                      <w:szCs w:val="18"/>
                    </w:rPr>
                    <w:t>相对厂界距离/m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49" w:type="pct"/>
                  <w:vMerge w:val="continue"/>
                  <w:vAlign w:val="center"/>
                </w:tcPr>
                <w:p>
                  <w:pPr>
                    <w:jc w:val="left"/>
                    <w:rPr>
                      <w:b/>
                      <w:bCs/>
                      <w:color w:val="auto"/>
                      <w:sz w:val="18"/>
                      <w:szCs w:val="18"/>
                    </w:rPr>
                  </w:pPr>
                </w:p>
              </w:tc>
              <w:tc>
                <w:tcPr>
                  <w:tcW w:w="635" w:type="pct"/>
                  <w:vAlign w:val="center"/>
                </w:tcPr>
                <w:p>
                  <w:pPr>
                    <w:pStyle w:val="85"/>
                    <w:widowControl w:val="0"/>
                    <w:adjustRightInd w:val="0"/>
                    <w:snapToGrid w:val="0"/>
                    <w:spacing w:before="0" w:beforeAutospacing="0" w:after="0" w:afterAutospacing="0"/>
                    <w:jc w:val="center"/>
                    <w:rPr>
                      <w:rFonts w:ascii="Times New Roman" w:hAnsi="Times New Roman"/>
                      <w:b/>
                      <w:bCs/>
                      <w:color w:val="auto"/>
                      <w:sz w:val="18"/>
                      <w:szCs w:val="18"/>
                    </w:rPr>
                  </w:pPr>
                  <w:r>
                    <w:rPr>
                      <w:rFonts w:ascii="Times New Roman" w:hAnsi="Times New Roman"/>
                      <w:b/>
                      <w:bCs/>
                      <w:color w:val="auto"/>
                      <w:sz w:val="18"/>
                      <w:szCs w:val="18"/>
                    </w:rPr>
                    <w:t>经度</w:t>
                  </w:r>
                  <w:r>
                    <w:rPr>
                      <w:rFonts w:ascii="Times New Roman" w:hAnsi="Times New Roman"/>
                      <w:color w:val="auto"/>
                      <w:sz w:val="18"/>
                      <w:szCs w:val="18"/>
                    </w:rPr>
                    <w:t>E</w:t>
                  </w:r>
                </w:p>
              </w:tc>
              <w:tc>
                <w:tcPr>
                  <w:tcW w:w="657" w:type="pct"/>
                  <w:vAlign w:val="center"/>
                </w:tcPr>
                <w:p>
                  <w:pPr>
                    <w:pStyle w:val="85"/>
                    <w:widowControl w:val="0"/>
                    <w:adjustRightInd w:val="0"/>
                    <w:snapToGrid w:val="0"/>
                    <w:spacing w:before="0" w:beforeAutospacing="0" w:after="0" w:afterAutospacing="0"/>
                    <w:jc w:val="center"/>
                    <w:rPr>
                      <w:rFonts w:ascii="Times New Roman" w:hAnsi="Times New Roman"/>
                      <w:b/>
                      <w:bCs/>
                      <w:color w:val="auto"/>
                      <w:sz w:val="18"/>
                      <w:szCs w:val="18"/>
                    </w:rPr>
                  </w:pPr>
                  <w:r>
                    <w:rPr>
                      <w:rFonts w:ascii="Times New Roman" w:hAnsi="Times New Roman"/>
                      <w:b/>
                      <w:bCs/>
                      <w:color w:val="auto"/>
                      <w:sz w:val="18"/>
                      <w:szCs w:val="18"/>
                    </w:rPr>
                    <w:t>纬度</w:t>
                  </w:r>
                  <w:r>
                    <w:rPr>
                      <w:rFonts w:ascii="Times New Roman" w:hAnsi="Times New Roman"/>
                      <w:color w:val="auto"/>
                      <w:sz w:val="18"/>
                      <w:szCs w:val="18"/>
                    </w:rPr>
                    <w:t>N</w:t>
                  </w:r>
                </w:p>
              </w:tc>
              <w:tc>
                <w:tcPr>
                  <w:tcW w:w="405" w:type="pct"/>
                  <w:vMerge w:val="continue"/>
                  <w:vAlign w:val="center"/>
                </w:tcPr>
                <w:p>
                  <w:pPr>
                    <w:jc w:val="left"/>
                    <w:rPr>
                      <w:b/>
                      <w:bCs/>
                      <w:color w:val="auto"/>
                      <w:sz w:val="18"/>
                      <w:szCs w:val="18"/>
                    </w:rPr>
                  </w:pPr>
                </w:p>
              </w:tc>
              <w:tc>
                <w:tcPr>
                  <w:tcW w:w="999" w:type="pct"/>
                  <w:vMerge w:val="continue"/>
                  <w:vAlign w:val="center"/>
                </w:tcPr>
                <w:p>
                  <w:pPr>
                    <w:jc w:val="left"/>
                    <w:rPr>
                      <w:b/>
                      <w:bCs/>
                      <w:color w:val="auto"/>
                      <w:sz w:val="18"/>
                      <w:szCs w:val="18"/>
                    </w:rPr>
                  </w:pPr>
                </w:p>
              </w:tc>
              <w:tc>
                <w:tcPr>
                  <w:tcW w:w="515" w:type="pct"/>
                  <w:vMerge w:val="continue"/>
                  <w:vAlign w:val="center"/>
                </w:tcPr>
                <w:p>
                  <w:pPr>
                    <w:jc w:val="left"/>
                    <w:rPr>
                      <w:b/>
                      <w:bCs/>
                      <w:color w:val="auto"/>
                      <w:sz w:val="18"/>
                      <w:szCs w:val="18"/>
                    </w:rPr>
                  </w:pPr>
                </w:p>
              </w:tc>
              <w:tc>
                <w:tcPr>
                  <w:tcW w:w="545" w:type="pct"/>
                  <w:vMerge w:val="continue"/>
                  <w:vAlign w:val="center"/>
                </w:tcPr>
                <w:p>
                  <w:pPr>
                    <w:jc w:val="left"/>
                    <w:rPr>
                      <w:b/>
                      <w:bCs/>
                      <w:color w:val="auto"/>
                      <w:sz w:val="18"/>
                      <w:szCs w:val="18"/>
                    </w:rPr>
                  </w:pPr>
                </w:p>
              </w:tc>
              <w:tc>
                <w:tcPr>
                  <w:tcW w:w="692" w:type="pct"/>
                  <w:vMerge w:val="continue"/>
                  <w:vAlign w:val="center"/>
                </w:tcPr>
                <w:p>
                  <w:pPr>
                    <w:jc w:val="left"/>
                    <w:rPr>
                      <w:b/>
                      <w:bCs/>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49" w:type="pct"/>
                  <w:vAlign w:val="center"/>
                </w:tcPr>
                <w:p>
                  <w:pPr>
                    <w:autoSpaceDE w:val="0"/>
                    <w:jc w:val="center"/>
                    <w:rPr>
                      <w:color w:val="auto"/>
                      <w:sz w:val="18"/>
                      <w:szCs w:val="18"/>
                    </w:rPr>
                  </w:pPr>
                  <w:r>
                    <w:rPr>
                      <w:rFonts w:hint="eastAsia"/>
                      <w:color w:val="auto"/>
                      <w:sz w:val="18"/>
                      <w:szCs w:val="18"/>
                    </w:rPr>
                    <w:t>潭湖村</w:t>
                  </w:r>
                </w:p>
              </w:tc>
              <w:tc>
                <w:tcPr>
                  <w:tcW w:w="635" w:type="pct"/>
                  <w:vAlign w:val="center"/>
                </w:tcPr>
                <w:p>
                  <w:pPr>
                    <w:pStyle w:val="85"/>
                    <w:widowControl w:val="0"/>
                    <w:adjustRightInd w:val="0"/>
                    <w:snapToGrid w:val="0"/>
                    <w:spacing w:before="0" w:beforeAutospacing="0" w:after="0" w:afterAutospacing="0"/>
                    <w:jc w:val="center"/>
                    <w:rPr>
                      <w:rFonts w:ascii="Times New Roman" w:hAnsi="Times New Roman"/>
                      <w:color w:val="auto"/>
                      <w:sz w:val="18"/>
                      <w:szCs w:val="18"/>
                    </w:rPr>
                  </w:pPr>
                  <w:r>
                    <w:rPr>
                      <w:rFonts w:hint="eastAsia" w:ascii="Times New Roman" w:hAnsi="Times New Roman"/>
                      <w:color w:val="auto"/>
                      <w:sz w:val="18"/>
                      <w:szCs w:val="18"/>
                    </w:rPr>
                    <w:t>114.48450</w:t>
                  </w:r>
                  <w:r>
                    <w:rPr>
                      <w:rFonts w:ascii="Times New Roman" w:hAnsi="Times New Roman"/>
                      <w:color w:val="auto"/>
                      <w:sz w:val="18"/>
                      <w:szCs w:val="18"/>
                    </w:rPr>
                    <w:t>°</w:t>
                  </w:r>
                </w:p>
              </w:tc>
              <w:tc>
                <w:tcPr>
                  <w:tcW w:w="657" w:type="pct"/>
                  <w:vAlign w:val="center"/>
                </w:tcPr>
                <w:p>
                  <w:pPr>
                    <w:pStyle w:val="85"/>
                    <w:widowControl w:val="0"/>
                    <w:adjustRightInd w:val="0"/>
                    <w:snapToGrid w:val="0"/>
                    <w:spacing w:before="0" w:beforeAutospacing="0" w:after="0" w:afterAutospacing="0"/>
                    <w:jc w:val="center"/>
                    <w:rPr>
                      <w:rFonts w:ascii="Times New Roman" w:hAnsi="Times New Roman"/>
                      <w:color w:val="auto"/>
                      <w:sz w:val="18"/>
                      <w:szCs w:val="18"/>
                    </w:rPr>
                  </w:pPr>
                  <w:r>
                    <w:rPr>
                      <w:rFonts w:hint="eastAsia" w:ascii="Times New Roman" w:hAnsi="Times New Roman"/>
                      <w:color w:val="auto"/>
                      <w:sz w:val="18"/>
                      <w:szCs w:val="18"/>
                    </w:rPr>
                    <w:t>23.44537</w:t>
                  </w:r>
                  <w:r>
                    <w:rPr>
                      <w:rFonts w:ascii="Times New Roman" w:hAnsi="Times New Roman"/>
                      <w:color w:val="auto"/>
                      <w:sz w:val="18"/>
                      <w:szCs w:val="18"/>
                    </w:rPr>
                    <w:t>°</w:t>
                  </w:r>
                </w:p>
              </w:tc>
              <w:tc>
                <w:tcPr>
                  <w:tcW w:w="405" w:type="pct"/>
                  <w:vAlign w:val="center"/>
                </w:tcPr>
                <w:p>
                  <w:pPr>
                    <w:pStyle w:val="85"/>
                    <w:widowControl w:val="0"/>
                    <w:adjustRightInd w:val="0"/>
                    <w:snapToGrid w:val="0"/>
                    <w:spacing w:before="0" w:beforeAutospacing="0" w:after="0" w:afterAutospacing="0"/>
                    <w:jc w:val="center"/>
                    <w:rPr>
                      <w:rFonts w:ascii="Times New Roman" w:hAnsi="Times New Roman"/>
                      <w:color w:val="auto"/>
                      <w:sz w:val="18"/>
                      <w:szCs w:val="18"/>
                    </w:rPr>
                  </w:pPr>
                  <w:r>
                    <w:rPr>
                      <w:rFonts w:ascii="Times New Roman" w:hAnsi="Times New Roman"/>
                      <w:color w:val="auto"/>
                      <w:sz w:val="18"/>
                      <w:szCs w:val="18"/>
                    </w:rPr>
                    <w:t>居住区</w:t>
                  </w:r>
                </w:p>
              </w:tc>
              <w:tc>
                <w:tcPr>
                  <w:tcW w:w="999" w:type="pct"/>
                  <w:vAlign w:val="center"/>
                </w:tcPr>
                <w:p>
                  <w:pPr>
                    <w:adjustRightInd w:val="0"/>
                    <w:snapToGrid w:val="0"/>
                    <w:jc w:val="center"/>
                    <w:rPr>
                      <w:color w:val="auto"/>
                      <w:sz w:val="18"/>
                      <w:szCs w:val="18"/>
                    </w:rPr>
                  </w:pPr>
                  <w:r>
                    <w:rPr>
                      <w:color w:val="auto"/>
                      <w:sz w:val="18"/>
                      <w:szCs w:val="18"/>
                    </w:rPr>
                    <w:t>居民，约</w:t>
                  </w:r>
                  <w:r>
                    <w:rPr>
                      <w:rFonts w:hint="eastAsia"/>
                      <w:color w:val="auto"/>
                      <w:sz w:val="18"/>
                      <w:szCs w:val="18"/>
                    </w:rPr>
                    <w:t>150</w:t>
                  </w:r>
                  <w:r>
                    <w:rPr>
                      <w:color w:val="auto"/>
                      <w:sz w:val="18"/>
                      <w:szCs w:val="18"/>
                    </w:rPr>
                    <w:t>人</w:t>
                  </w:r>
                </w:p>
              </w:tc>
              <w:tc>
                <w:tcPr>
                  <w:tcW w:w="515" w:type="pct"/>
                  <w:vMerge w:val="restart"/>
                  <w:vAlign w:val="center"/>
                </w:tcPr>
                <w:p>
                  <w:pPr>
                    <w:pStyle w:val="85"/>
                    <w:widowControl w:val="0"/>
                    <w:adjustRightInd w:val="0"/>
                    <w:snapToGrid w:val="0"/>
                    <w:spacing w:before="0" w:beforeAutospacing="0" w:after="0" w:afterAutospacing="0"/>
                    <w:jc w:val="center"/>
                    <w:rPr>
                      <w:rFonts w:ascii="Times New Roman" w:hAnsi="Times New Roman"/>
                      <w:color w:val="auto"/>
                      <w:sz w:val="18"/>
                      <w:szCs w:val="18"/>
                    </w:rPr>
                  </w:pPr>
                  <w:r>
                    <w:rPr>
                      <w:rFonts w:ascii="Times New Roman" w:hAnsi="Times New Roman"/>
                      <w:color w:val="auto"/>
                      <w:sz w:val="18"/>
                      <w:szCs w:val="18"/>
                    </w:rPr>
                    <w:t>环境空气功能区二类区</w:t>
                  </w:r>
                </w:p>
              </w:tc>
              <w:tc>
                <w:tcPr>
                  <w:tcW w:w="545" w:type="pct"/>
                  <w:vAlign w:val="center"/>
                </w:tcPr>
                <w:p>
                  <w:pPr>
                    <w:autoSpaceDE w:val="0"/>
                    <w:jc w:val="center"/>
                    <w:rPr>
                      <w:color w:val="auto"/>
                      <w:sz w:val="18"/>
                      <w:szCs w:val="18"/>
                    </w:rPr>
                  </w:pPr>
                  <w:r>
                    <w:rPr>
                      <w:rFonts w:hint="eastAsia"/>
                      <w:color w:val="auto"/>
                      <w:sz w:val="18"/>
                      <w:szCs w:val="18"/>
                    </w:rPr>
                    <w:t>西北</w:t>
                  </w:r>
                </w:p>
              </w:tc>
              <w:tc>
                <w:tcPr>
                  <w:tcW w:w="692" w:type="pct"/>
                  <w:vAlign w:val="center"/>
                </w:tcPr>
                <w:p>
                  <w:pPr>
                    <w:autoSpaceDE w:val="0"/>
                    <w:jc w:val="center"/>
                    <w:rPr>
                      <w:color w:val="auto"/>
                      <w:sz w:val="18"/>
                      <w:szCs w:val="18"/>
                    </w:rPr>
                  </w:pPr>
                  <w:r>
                    <w:rPr>
                      <w:rFonts w:hint="eastAsia"/>
                      <w:color w:val="auto"/>
                      <w:sz w:val="18"/>
                      <w:szCs w:val="18"/>
                    </w:rPr>
                    <w:t>347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49" w:type="pct"/>
                  <w:vAlign w:val="center"/>
                </w:tcPr>
                <w:p>
                  <w:pPr>
                    <w:autoSpaceDE w:val="0"/>
                    <w:jc w:val="center"/>
                    <w:rPr>
                      <w:rFonts w:hint="default" w:eastAsia="宋体"/>
                      <w:color w:val="auto"/>
                      <w:sz w:val="18"/>
                      <w:szCs w:val="18"/>
                      <w:lang w:val="en-US" w:eastAsia="zh-CN"/>
                    </w:rPr>
                  </w:pPr>
                  <w:r>
                    <w:rPr>
                      <w:rFonts w:hint="eastAsia"/>
                      <w:color w:val="auto"/>
                      <w:sz w:val="18"/>
                      <w:szCs w:val="18"/>
                      <w:lang w:val="en-US" w:eastAsia="zh-CN"/>
                    </w:rPr>
                    <w:t>大坑村</w:t>
                  </w:r>
                </w:p>
              </w:tc>
              <w:tc>
                <w:tcPr>
                  <w:tcW w:w="635" w:type="pct"/>
                  <w:vAlign w:val="center"/>
                </w:tcPr>
                <w:p>
                  <w:pPr>
                    <w:pStyle w:val="85"/>
                    <w:widowControl w:val="0"/>
                    <w:adjustRightInd w:val="0"/>
                    <w:snapToGrid w:val="0"/>
                    <w:spacing w:before="0" w:beforeAutospacing="0" w:after="0" w:afterAutospacing="0"/>
                    <w:jc w:val="center"/>
                    <w:rPr>
                      <w:rFonts w:ascii="Times New Roman" w:hAnsi="Times New Roman"/>
                      <w:color w:val="auto"/>
                      <w:sz w:val="18"/>
                      <w:szCs w:val="18"/>
                    </w:rPr>
                  </w:pPr>
                  <w:r>
                    <w:rPr>
                      <w:rFonts w:hint="eastAsia" w:ascii="Times New Roman" w:hAnsi="Times New Roman"/>
                      <w:color w:val="auto"/>
                      <w:sz w:val="18"/>
                      <w:szCs w:val="18"/>
                    </w:rPr>
                    <w:t>114.49388</w:t>
                  </w:r>
                  <w:r>
                    <w:rPr>
                      <w:rFonts w:ascii="Times New Roman" w:hAnsi="Times New Roman"/>
                      <w:color w:val="auto"/>
                      <w:sz w:val="18"/>
                      <w:szCs w:val="18"/>
                    </w:rPr>
                    <w:t>°</w:t>
                  </w:r>
                </w:p>
              </w:tc>
              <w:tc>
                <w:tcPr>
                  <w:tcW w:w="657" w:type="pct"/>
                  <w:vAlign w:val="center"/>
                </w:tcPr>
                <w:p>
                  <w:pPr>
                    <w:pStyle w:val="85"/>
                    <w:widowControl w:val="0"/>
                    <w:adjustRightInd w:val="0"/>
                    <w:snapToGrid w:val="0"/>
                    <w:spacing w:before="0" w:beforeAutospacing="0" w:after="0" w:afterAutospacing="0"/>
                    <w:jc w:val="center"/>
                    <w:rPr>
                      <w:rFonts w:ascii="Times New Roman" w:hAnsi="Times New Roman"/>
                      <w:color w:val="auto"/>
                      <w:sz w:val="18"/>
                      <w:szCs w:val="18"/>
                    </w:rPr>
                  </w:pPr>
                  <w:r>
                    <w:rPr>
                      <w:rFonts w:hint="eastAsia" w:ascii="Times New Roman" w:hAnsi="Times New Roman"/>
                      <w:color w:val="auto"/>
                      <w:sz w:val="18"/>
                      <w:szCs w:val="18"/>
                    </w:rPr>
                    <w:t>23.44256</w:t>
                  </w:r>
                  <w:r>
                    <w:rPr>
                      <w:rFonts w:ascii="Times New Roman" w:hAnsi="Times New Roman"/>
                      <w:color w:val="auto"/>
                      <w:sz w:val="18"/>
                      <w:szCs w:val="18"/>
                    </w:rPr>
                    <w:t>°</w:t>
                  </w:r>
                </w:p>
              </w:tc>
              <w:tc>
                <w:tcPr>
                  <w:tcW w:w="405" w:type="pct"/>
                  <w:vAlign w:val="center"/>
                </w:tcPr>
                <w:p>
                  <w:pPr>
                    <w:pStyle w:val="85"/>
                    <w:widowControl w:val="0"/>
                    <w:adjustRightInd w:val="0"/>
                    <w:snapToGrid w:val="0"/>
                    <w:spacing w:before="0" w:beforeAutospacing="0" w:after="0" w:afterAutospacing="0"/>
                    <w:jc w:val="center"/>
                    <w:rPr>
                      <w:rFonts w:ascii="Times New Roman" w:hAnsi="Times New Roman"/>
                      <w:color w:val="auto"/>
                      <w:sz w:val="18"/>
                      <w:szCs w:val="18"/>
                    </w:rPr>
                  </w:pPr>
                  <w:r>
                    <w:rPr>
                      <w:rFonts w:ascii="Times New Roman" w:hAnsi="Times New Roman"/>
                      <w:color w:val="auto"/>
                      <w:sz w:val="18"/>
                      <w:szCs w:val="18"/>
                    </w:rPr>
                    <w:t>居住区</w:t>
                  </w:r>
                </w:p>
              </w:tc>
              <w:tc>
                <w:tcPr>
                  <w:tcW w:w="999" w:type="pct"/>
                  <w:vAlign w:val="center"/>
                </w:tcPr>
                <w:p>
                  <w:pPr>
                    <w:adjustRightInd w:val="0"/>
                    <w:snapToGrid w:val="0"/>
                    <w:jc w:val="center"/>
                    <w:rPr>
                      <w:color w:val="auto"/>
                      <w:sz w:val="18"/>
                      <w:szCs w:val="18"/>
                    </w:rPr>
                  </w:pPr>
                  <w:r>
                    <w:rPr>
                      <w:rFonts w:hint="eastAsia"/>
                      <w:color w:val="auto"/>
                      <w:sz w:val="18"/>
                      <w:szCs w:val="18"/>
                    </w:rPr>
                    <w:t>居民</w:t>
                  </w:r>
                  <w:r>
                    <w:rPr>
                      <w:color w:val="auto"/>
                      <w:sz w:val="18"/>
                      <w:szCs w:val="18"/>
                    </w:rPr>
                    <w:t>，约</w:t>
                  </w:r>
                  <w:r>
                    <w:rPr>
                      <w:rFonts w:hint="eastAsia"/>
                      <w:color w:val="auto"/>
                      <w:sz w:val="18"/>
                      <w:szCs w:val="18"/>
                    </w:rPr>
                    <w:t>100</w:t>
                  </w:r>
                  <w:r>
                    <w:rPr>
                      <w:color w:val="auto"/>
                      <w:sz w:val="18"/>
                      <w:szCs w:val="18"/>
                    </w:rPr>
                    <w:t>人</w:t>
                  </w:r>
                </w:p>
              </w:tc>
              <w:tc>
                <w:tcPr>
                  <w:tcW w:w="515" w:type="pct"/>
                  <w:vMerge w:val="continue"/>
                  <w:vAlign w:val="center"/>
                </w:tcPr>
                <w:p>
                  <w:pPr>
                    <w:pStyle w:val="85"/>
                    <w:widowControl w:val="0"/>
                    <w:adjustRightInd w:val="0"/>
                    <w:snapToGrid w:val="0"/>
                    <w:spacing w:before="0" w:beforeAutospacing="0" w:after="0" w:afterAutospacing="0"/>
                    <w:jc w:val="center"/>
                    <w:rPr>
                      <w:rFonts w:ascii="Times New Roman" w:hAnsi="Times New Roman"/>
                      <w:color w:val="auto"/>
                      <w:sz w:val="18"/>
                      <w:szCs w:val="18"/>
                    </w:rPr>
                  </w:pPr>
                </w:p>
              </w:tc>
              <w:tc>
                <w:tcPr>
                  <w:tcW w:w="545" w:type="pct"/>
                  <w:vAlign w:val="center"/>
                </w:tcPr>
                <w:p>
                  <w:pPr>
                    <w:autoSpaceDE w:val="0"/>
                    <w:jc w:val="center"/>
                    <w:rPr>
                      <w:color w:val="auto"/>
                      <w:sz w:val="18"/>
                      <w:szCs w:val="18"/>
                    </w:rPr>
                  </w:pPr>
                  <w:r>
                    <w:rPr>
                      <w:rFonts w:hint="eastAsia"/>
                      <w:color w:val="auto"/>
                      <w:sz w:val="18"/>
                      <w:szCs w:val="18"/>
                    </w:rPr>
                    <w:t>东</w:t>
                  </w:r>
                </w:p>
              </w:tc>
              <w:tc>
                <w:tcPr>
                  <w:tcW w:w="692" w:type="pct"/>
                  <w:vAlign w:val="center"/>
                </w:tcPr>
                <w:p>
                  <w:pPr>
                    <w:autoSpaceDE w:val="0"/>
                    <w:jc w:val="center"/>
                    <w:rPr>
                      <w:color w:val="auto"/>
                      <w:sz w:val="18"/>
                      <w:szCs w:val="18"/>
                    </w:rPr>
                  </w:pPr>
                  <w:r>
                    <w:rPr>
                      <w:rFonts w:hint="eastAsia"/>
                      <w:color w:val="auto"/>
                      <w:sz w:val="18"/>
                      <w:szCs w:val="18"/>
                    </w:rPr>
                    <w:t>263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49" w:type="pct"/>
                  <w:vAlign w:val="center"/>
                </w:tcPr>
                <w:p>
                  <w:pPr>
                    <w:autoSpaceDE w:val="0"/>
                    <w:jc w:val="center"/>
                    <w:rPr>
                      <w:color w:val="auto"/>
                      <w:sz w:val="18"/>
                      <w:szCs w:val="18"/>
                    </w:rPr>
                  </w:pPr>
                  <w:r>
                    <w:rPr>
                      <w:rFonts w:hint="eastAsia"/>
                      <w:color w:val="auto"/>
                      <w:sz w:val="18"/>
                      <w:szCs w:val="18"/>
                      <w:lang w:val="en-US" w:eastAsia="zh-CN"/>
                    </w:rPr>
                    <w:t>杨侨中学</w:t>
                  </w:r>
                </w:p>
              </w:tc>
              <w:tc>
                <w:tcPr>
                  <w:tcW w:w="635" w:type="pct"/>
                  <w:vAlign w:val="center"/>
                </w:tcPr>
                <w:p>
                  <w:pPr>
                    <w:pStyle w:val="85"/>
                    <w:widowControl w:val="0"/>
                    <w:adjustRightInd w:val="0"/>
                    <w:snapToGrid w:val="0"/>
                    <w:spacing w:before="0" w:beforeAutospacing="0" w:after="0" w:afterAutospacing="0"/>
                    <w:jc w:val="center"/>
                    <w:rPr>
                      <w:rFonts w:ascii="Times New Roman" w:hAnsi="Times New Roman"/>
                      <w:color w:val="auto"/>
                      <w:sz w:val="18"/>
                      <w:szCs w:val="18"/>
                    </w:rPr>
                  </w:pPr>
                  <w:r>
                    <w:rPr>
                      <w:rFonts w:hint="eastAsia" w:ascii="Times New Roman" w:hAnsi="Times New Roman"/>
                      <w:color w:val="auto"/>
                      <w:sz w:val="18"/>
                      <w:szCs w:val="18"/>
                    </w:rPr>
                    <w:t>114.4</w:t>
                  </w:r>
                  <w:r>
                    <w:rPr>
                      <w:rFonts w:hint="eastAsia" w:ascii="Times New Roman" w:hAnsi="Times New Roman"/>
                      <w:color w:val="auto"/>
                      <w:sz w:val="18"/>
                      <w:szCs w:val="18"/>
                      <w:lang w:val="en-US" w:eastAsia="zh-CN"/>
                    </w:rPr>
                    <w:t>9426</w:t>
                  </w:r>
                  <w:r>
                    <w:rPr>
                      <w:rFonts w:ascii="Times New Roman" w:hAnsi="Times New Roman"/>
                      <w:color w:val="auto"/>
                      <w:sz w:val="18"/>
                      <w:szCs w:val="18"/>
                    </w:rPr>
                    <w:t>°</w:t>
                  </w:r>
                </w:p>
              </w:tc>
              <w:tc>
                <w:tcPr>
                  <w:tcW w:w="657" w:type="pct"/>
                  <w:vAlign w:val="center"/>
                </w:tcPr>
                <w:p>
                  <w:pPr>
                    <w:pStyle w:val="85"/>
                    <w:widowControl w:val="0"/>
                    <w:adjustRightInd w:val="0"/>
                    <w:snapToGrid w:val="0"/>
                    <w:spacing w:before="0" w:beforeAutospacing="0" w:after="0" w:afterAutospacing="0"/>
                    <w:jc w:val="center"/>
                    <w:rPr>
                      <w:rFonts w:ascii="Times New Roman" w:hAnsi="Times New Roman"/>
                      <w:color w:val="auto"/>
                      <w:sz w:val="18"/>
                      <w:szCs w:val="18"/>
                    </w:rPr>
                  </w:pPr>
                  <w:r>
                    <w:rPr>
                      <w:rFonts w:hint="eastAsia" w:ascii="Times New Roman" w:hAnsi="Times New Roman"/>
                      <w:color w:val="auto"/>
                      <w:sz w:val="18"/>
                      <w:szCs w:val="18"/>
                    </w:rPr>
                    <w:t>23.4</w:t>
                  </w:r>
                  <w:r>
                    <w:rPr>
                      <w:rFonts w:hint="eastAsia" w:ascii="Times New Roman" w:hAnsi="Times New Roman"/>
                      <w:color w:val="auto"/>
                      <w:sz w:val="18"/>
                      <w:szCs w:val="18"/>
                      <w:lang w:val="en-US" w:eastAsia="zh-CN"/>
                    </w:rPr>
                    <w:t>4294</w:t>
                  </w:r>
                  <w:r>
                    <w:rPr>
                      <w:rFonts w:ascii="Times New Roman" w:hAnsi="Times New Roman"/>
                      <w:color w:val="auto"/>
                      <w:sz w:val="18"/>
                      <w:szCs w:val="18"/>
                    </w:rPr>
                    <w:t>°</w:t>
                  </w:r>
                </w:p>
              </w:tc>
              <w:tc>
                <w:tcPr>
                  <w:tcW w:w="405" w:type="pct"/>
                  <w:vAlign w:val="center"/>
                </w:tcPr>
                <w:p>
                  <w:pPr>
                    <w:pStyle w:val="85"/>
                    <w:widowControl w:val="0"/>
                    <w:adjustRightInd w:val="0"/>
                    <w:snapToGrid w:val="0"/>
                    <w:spacing w:before="0" w:beforeAutospacing="0" w:after="0" w:afterAutospacing="0"/>
                    <w:jc w:val="center"/>
                    <w:rPr>
                      <w:rFonts w:ascii="Times New Roman" w:hAnsi="Times New Roman"/>
                      <w:color w:val="auto"/>
                      <w:sz w:val="18"/>
                      <w:szCs w:val="18"/>
                    </w:rPr>
                  </w:pPr>
                  <w:r>
                    <w:rPr>
                      <w:rFonts w:hint="eastAsia" w:ascii="Times New Roman" w:hAnsi="Times New Roman"/>
                      <w:color w:val="auto"/>
                      <w:sz w:val="18"/>
                      <w:szCs w:val="18"/>
                      <w:lang w:val="en-US" w:eastAsia="zh-CN"/>
                    </w:rPr>
                    <w:t>学校</w:t>
                  </w:r>
                </w:p>
              </w:tc>
              <w:tc>
                <w:tcPr>
                  <w:tcW w:w="999" w:type="pct"/>
                  <w:vAlign w:val="center"/>
                </w:tcPr>
                <w:p>
                  <w:pPr>
                    <w:adjustRightInd w:val="0"/>
                    <w:snapToGrid w:val="0"/>
                    <w:jc w:val="center"/>
                    <w:rPr>
                      <w:color w:val="auto"/>
                      <w:sz w:val="18"/>
                      <w:szCs w:val="18"/>
                    </w:rPr>
                  </w:pPr>
                  <w:r>
                    <w:rPr>
                      <w:rFonts w:hint="eastAsia"/>
                      <w:color w:val="auto"/>
                      <w:sz w:val="18"/>
                      <w:szCs w:val="18"/>
                      <w:lang w:val="en-US" w:eastAsia="zh-CN"/>
                    </w:rPr>
                    <w:t>学校，约1500人</w:t>
                  </w:r>
                </w:p>
              </w:tc>
              <w:tc>
                <w:tcPr>
                  <w:tcW w:w="515" w:type="pct"/>
                  <w:vMerge w:val="continue"/>
                  <w:vAlign w:val="center"/>
                </w:tcPr>
                <w:p>
                  <w:pPr>
                    <w:pStyle w:val="85"/>
                    <w:widowControl w:val="0"/>
                    <w:adjustRightInd w:val="0"/>
                    <w:snapToGrid w:val="0"/>
                    <w:spacing w:before="0" w:beforeAutospacing="0" w:after="0" w:afterAutospacing="0"/>
                    <w:jc w:val="center"/>
                    <w:rPr>
                      <w:rFonts w:ascii="Times New Roman" w:hAnsi="Times New Roman"/>
                      <w:color w:val="auto"/>
                      <w:sz w:val="18"/>
                      <w:szCs w:val="18"/>
                    </w:rPr>
                  </w:pPr>
                </w:p>
              </w:tc>
              <w:tc>
                <w:tcPr>
                  <w:tcW w:w="545" w:type="pct"/>
                  <w:vAlign w:val="center"/>
                </w:tcPr>
                <w:p>
                  <w:pPr>
                    <w:autoSpaceDE w:val="0"/>
                    <w:jc w:val="center"/>
                    <w:rPr>
                      <w:color w:val="auto"/>
                      <w:sz w:val="18"/>
                      <w:szCs w:val="18"/>
                    </w:rPr>
                  </w:pPr>
                  <w:r>
                    <w:rPr>
                      <w:rFonts w:hint="eastAsia"/>
                      <w:color w:val="auto"/>
                      <w:sz w:val="18"/>
                      <w:szCs w:val="18"/>
                    </w:rPr>
                    <w:t>东</w:t>
                  </w:r>
                </w:p>
              </w:tc>
              <w:tc>
                <w:tcPr>
                  <w:tcW w:w="692" w:type="pct"/>
                  <w:vAlign w:val="center"/>
                </w:tcPr>
                <w:p>
                  <w:pPr>
                    <w:autoSpaceDE w:val="0"/>
                    <w:jc w:val="center"/>
                    <w:rPr>
                      <w:color w:val="auto"/>
                      <w:sz w:val="18"/>
                      <w:szCs w:val="18"/>
                    </w:rPr>
                  </w:pPr>
                  <w:r>
                    <w:rPr>
                      <w:rFonts w:hint="eastAsia" w:cs="Times New Roman"/>
                      <w:color w:val="auto"/>
                      <w:sz w:val="18"/>
                      <w:szCs w:val="18"/>
                      <w:lang w:val="en-US" w:eastAsia="zh-CN" w:bidi="ar-SA"/>
                    </w:rPr>
                    <w:t>301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49" w:type="pct"/>
                  <w:vAlign w:val="center"/>
                </w:tcPr>
                <w:p>
                  <w:pPr>
                    <w:autoSpaceDE w:val="0"/>
                    <w:jc w:val="center"/>
                    <w:rPr>
                      <w:rFonts w:hint="default" w:eastAsia="宋体"/>
                      <w:color w:val="auto"/>
                      <w:sz w:val="18"/>
                      <w:szCs w:val="18"/>
                      <w:lang w:val="en-US" w:eastAsia="zh-CN"/>
                    </w:rPr>
                  </w:pPr>
                  <w:r>
                    <w:rPr>
                      <w:rFonts w:hint="eastAsia"/>
                      <w:color w:val="auto"/>
                      <w:sz w:val="18"/>
                      <w:szCs w:val="18"/>
                    </w:rPr>
                    <w:t>长征村</w:t>
                  </w:r>
                </w:p>
              </w:tc>
              <w:tc>
                <w:tcPr>
                  <w:tcW w:w="635" w:type="pct"/>
                  <w:vAlign w:val="center"/>
                </w:tcPr>
                <w:p>
                  <w:pPr>
                    <w:pStyle w:val="85"/>
                    <w:widowControl w:val="0"/>
                    <w:adjustRightInd w:val="0"/>
                    <w:snapToGrid w:val="0"/>
                    <w:spacing w:before="0" w:beforeAutospacing="0" w:after="0" w:afterAutospacing="0"/>
                    <w:jc w:val="center"/>
                    <w:rPr>
                      <w:rFonts w:hint="eastAsia" w:ascii="Times New Roman" w:hAnsi="Times New Roman" w:eastAsia="宋体" w:cs="Times New Roman"/>
                      <w:color w:val="auto"/>
                      <w:sz w:val="18"/>
                      <w:szCs w:val="18"/>
                      <w:lang w:val="en-US" w:eastAsia="zh-CN" w:bidi="ar-SA"/>
                    </w:rPr>
                  </w:pPr>
                  <w:r>
                    <w:rPr>
                      <w:rFonts w:hint="eastAsia" w:ascii="Times New Roman" w:hAnsi="Times New Roman"/>
                      <w:color w:val="auto"/>
                      <w:sz w:val="18"/>
                      <w:szCs w:val="18"/>
                    </w:rPr>
                    <w:t>114.48984</w:t>
                  </w:r>
                  <w:r>
                    <w:rPr>
                      <w:rFonts w:ascii="Times New Roman" w:hAnsi="Times New Roman"/>
                      <w:color w:val="auto"/>
                      <w:sz w:val="18"/>
                      <w:szCs w:val="18"/>
                    </w:rPr>
                    <w:t>°</w:t>
                  </w:r>
                </w:p>
              </w:tc>
              <w:tc>
                <w:tcPr>
                  <w:tcW w:w="657" w:type="pct"/>
                  <w:vAlign w:val="center"/>
                </w:tcPr>
                <w:p>
                  <w:pPr>
                    <w:pStyle w:val="85"/>
                    <w:widowControl w:val="0"/>
                    <w:adjustRightInd w:val="0"/>
                    <w:snapToGrid w:val="0"/>
                    <w:spacing w:before="0" w:beforeAutospacing="0" w:after="0" w:afterAutospacing="0"/>
                    <w:jc w:val="center"/>
                    <w:rPr>
                      <w:rFonts w:hint="eastAsia" w:ascii="Times New Roman" w:hAnsi="Times New Roman" w:eastAsia="宋体" w:cs="Times New Roman"/>
                      <w:color w:val="auto"/>
                      <w:sz w:val="18"/>
                      <w:szCs w:val="18"/>
                      <w:lang w:val="en-US" w:eastAsia="zh-CN" w:bidi="ar-SA"/>
                    </w:rPr>
                  </w:pPr>
                  <w:r>
                    <w:rPr>
                      <w:rFonts w:hint="eastAsia" w:ascii="Times New Roman" w:hAnsi="Times New Roman"/>
                      <w:color w:val="auto"/>
                      <w:sz w:val="18"/>
                      <w:szCs w:val="18"/>
                    </w:rPr>
                    <w:t>23.43879</w:t>
                  </w:r>
                  <w:r>
                    <w:rPr>
                      <w:rFonts w:ascii="Times New Roman" w:hAnsi="Times New Roman"/>
                      <w:color w:val="auto"/>
                      <w:sz w:val="18"/>
                      <w:szCs w:val="18"/>
                    </w:rPr>
                    <w:t>°</w:t>
                  </w:r>
                </w:p>
              </w:tc>
              <w:tc>
                <w:tcPr>
                  <w:tcW w:w="405" w:type="pct"/>
                  <w:vAlign w:val="center"/>
                </w:tcPr>
                <w:p>
                  <w:pPr>
                    <w:pStyle w:val="85"/>
                    <w:widowControl w:val="0"/>
                    <w:adjustRightInd w:val="0"/>
                    <w:snapToGrid w:val="0"/>
                    <w:spacing w:before="0" w:beforeAutospacing="0" w:after="0" w:afterAutospacing="0"/>
                    <w:jc w:val="center"/>
                    <w:rPr>
                      <w:rFonts w:hint="eastAsia" w:ascii="Times New Roman" w:hAnsi="Times New Roman" w:eastAsia="宋体"/>
                      <w:color w:val="auto"/>
                      <w:sz w:val="18"/>
                      <w:szCs w:val="18"/>
                      <w:lang w:val="en-US" w:eastAsia="zh-CN"/>
                    </w:rPr>
                  </w:pPr>
                  <w:r>
                    <w:rPr>
                      <w:rFonts w:ascii="Times New Roman" w:hAnsi="Times New Roman"/>
                      <w:color w:val="auto"/>
                      <w:sz w:val="18"/>
                      <w:szCs w:val="18"/>
                    </w:rPr>
                    <w:t>居住区</w:t>
                  </w:r>
                </w:p>
              </w:tc>
              <w:tc>
                <w:tcPr>
                  <w:tcW w:w="999" w:type="pct"/>
                  <w:vAlign w:val="center"/>
                </w:tcPr>
                <w:p>
                  <w:pPr>
                    <w:adjustRightInd w:val="0"/>
                    <w:snapToGrid w:val="0"/>
                    <w:jc w:val="center"/>
                    <w:rPr>
                      <w:rFonts w:hint="default" w:eastAsia="宋体"/>
                      <w:color w:val="auto"/>
                      <w:sz w:val="18"/>
                      <w:szCs w:val="18"/>
                      <w:lang w:val="en-US" w:eastAsia="zh-CN"/>
                    </w:rPr>
                  </w:pPr>
                  <w:r>
                    <w:rPr>
                      <w:color w:val="auto"/>
                      <w:sz w:val="18"/>
                      <w:szCs w:val="18"/>
                    </w:rPr>
                    <w:t>居住</w:t>
                  </w:r>
                  <w:r>
                    <w:rPr>
                      <w:rFonts w:hint="eastAsia"/>
                      <w:color w:val="auto"/>
                      <w:sz w:val="18"/>
                      <w:szCs w:val="18"/>
                    </w:rPr>
                    <w:t>，</w:t>
                  </w:r>
                  <w:r>
                    <w:rPr>
                      <w:color w:val="auto"/>
                      <w:sz w:val="18"/>
                      <w:szCs w:val="18"/>
                    </w:rPr>
                    <w:t>约</w:t>
                  </w:r>
                  <w:r>
                    <w:rPr>
                      <w:rFonts w:hint="eastAsia"/>
                      <w:color w:val="auto"/>
                      <w:sz w:val="18"/>
                      <w:szCs w:val="18"/>
                    </w:rPr>
                    <w:t>100人</w:t>
                  </w:r>
                </w:p>
              </w:tc>
              <w:tc>
                <w:tcPr>
                  <w:tcW w:w="515" w:type="pct"/>
                  <w:vMerge w:val="continue"/>
                  <w:vAlign w:val="center"/>
                </w:tcPr>
                <w:p>
                  <w:pPr>
                    <w:pStyle w:val="85"/>
                    <w:widowControl w:val="0"/>
                    <w:adjustRightInd w:val="0"/>
                    <w:snapToGrid w:val="0"/>
                    <w:spacing w:before="0" w:beforeAutospacing="0" w:after="0" w:afterAutospacing="0"/>
                    <w:jc w:val="center"/>
                    <w:rPr>
                      <w:rFonts w:ascii="Times New Roman" w:hAnsi="Times New Roman"/>
                      <w:color w:val="auto"/>
                      <w:sz w:val="18"/>
                      <w:szCs w:val="18"/>
                    </w:rPr>
                  </w:pPr>
                </w:p>
              </w:tc>
              <w:tc>
                <w:tcPr>
                  <w:tcW w:w="545" w:type="pct"/>
                  <w:vAlign w:val="center"/>
                </w:tcPr>
                <w:p>
                  <w:pPr>
                    <w:autoSpaceDE w:val="0"/>
                    <w:jc w:val="center"/>
                    <w:rPr>
                      <w:rFonts w:hint="eastAsia" w:ascii="Times New Roman" w:hAnsi="Times New Roman" w:eastAsia="宋体" w:cs="Times New Roman"/>
                      <w:color w:val="auto"/>
                      <w:sz w:val="18"/>
                      <w:szCs w:val="18"/>
                      <w:lang w:val="en-US" w:eastAsia="zh-CN" w:bidi="ar-SA"/>
                    </w:rPr>
                  </w:pPr>
                  <w:r>
                    <w:rPr>
                      <w:rFonts w:hint="eastAsia"/>
                      <w:color w:val="auto"/>
                      <w:sz w:val="18"/>
                      <w:szCs w:val="18"/>
                    </w:rPr>
                    <w:t>东南</w:t>
                  </w:r>
                </w:p>
              </w:tc>
              <w:tc>
                <w:tcPr>
                  <w:tcW w:w="692" w:type="pct"/>
                  <w:vAlign w:val="center"/>
                </w:tcPr>
                <w:p>
                  <w:pPr>
                    <w:autoSpaceDE w:val="0"/>
                    <w:jc w:val="center"/>
                    <w:rPr>
                      <w:rFonts w:hint="default" w:ascii="Times New Roman" w:hAnsi="Times New Roman" w:eastAsia="宋体" w:cs="Times New Roman"/>
                      <w:color w:val="auto"/>
                      <w:sz w:val="18"/>
                      <w:szCs w:val="18"/>
                      <w:lang w:val="en-US" w:eastAsia="zh-CN" w:bidi="ar-SA"/>
                    </w:rPr>
                  </w:pPr>
                  <w:r>
                    <w:rPr>
                      <w:rFonts w:hint="eastAsia"/>
                      <w:color w:val="auto"/>
                      <w:sz w:val="18"/>
                      <w:szCs w:val="18"/>
                    </w:rPr>
                    <w:t>243</w:t>
                  </w:r>
                </w:p>
              </w:tc>
            </w:tr>
          </w:tbl>
          <w:p>
            <w:pPr>
              <w:pStyle w:val="878"/>
              <w:spacing w:before="120" w:beforeLines="50" w:line="360" w:lineRule="auto"/>
              <w:ind w:firstLine="409" w:firstLineChars="194"/>
              <w:rPr>
                <w:b/>
                <w:kern w:val="2"/>
                <w:sz w:val="21"/>
              </w:rPr>
            </w:pPr>
            <w:r>
              <w:rPr>
                <w:rFonts w:hint="eastAsia"/>
                <w:b/>
                <w:kern w:val="2"/>
                <w:sz w:val="21"/>
              </w:rPr>
              <w:t>2</w:t>
            </w:r>
            <w:r>
              <w:rPr>
                <w:b/>
                <w:kern w:val="2"/>
                <w:sz w:val="21"/>
              </w:rPr>
              <w:t>、声环境</w:t>
            </w:r>
          </w:p>
          <w:p>
            <w:pPr>
              <w:pStyle w:val="878"/>
              <w:spacing w:line="360" w:lineRule="auto"/>
              <w:ind w:firstLine="420"/>
              <w:rPr>
                <w:sz w:val="21"/>
                <w:szCs w:val="21"/>
              </w:rPr>
            </w:pPr>
            <w:r>
              <w:rPr>
                <w:sz w:val="21"/>
                <w:szCs w:val="21"/>
              </w:rPr>
              <w:t>本项目厂界外50米范围内</w:t>
            </w:r>
            <w:r>
              <w:rPr>
                <w:rFonts w:hint="eastAsia"/>
                <w:sz w:val="21"/>
                <w:szCs w:val="21"/>
              </w:rPr>
              <w:t>不存在</w:t>
            </w:r>
            <w:r>
              <w:rPr>
                <w:sz w:val="21"/>
                <w:szCs w:val="21"/>
              </w:rPr>
              <w:t>声环境保护目标</w:t>
            </w:r>
            <w:r>
              <w:rPr>
                <w:rFonts w:hint="eastAsia"/>
                <w:sz w:val="21"/>
                <w:szCs w:val="21"/>
              </w:rPr>
              <w:t>。</w:t>
            </w:r>
          </w:p>
          <w:p>
            <w:pPr>
              <w:pStyle w:val="878"/>
              <w:spacing w:line="360" w:lineRule="auto"/>
              <w:ind w:firstLine="422"/>
              <w:rPr>
                <w:b/>
                <w:kern w:val="2"/>
                <w:sz w:val="21"/>
              </w:rPr>
            </w:pPr>
            <w:r>
              <w:rPr>
                <w:rFonts w:hint="eastAsia"/>
                <w:b/>
                <w:kern w:val="2"/>
                <w:sz w:val="21"/>
              </w:rPr>
              <w:t>3</w:t>
            </w:r>
            <w:r>
              <w:rPr>
                <w:b/>
                <w:kern w:val="2"/>
                <w:sz w:val="21"/>
              </w:rPr>
              <w:t>、地下水环境</w:t>
            </w:r>
          </w:p>
          <w:p>
            <w:pPr>
              <w:adjustRightInd w:val="0"/>
              <w:snapToGrid w:val="0"/>
              <w:spacing w:line="360" w:lineRule="auto"/>
              <w:ind w:firstLine="420" w:firstLineChars="200"/>
              <w:rPr>
                <w:b/>
                <w:bCs/>
                <w:szCs w:val="21"/>
              </w:rPr>
            </w:pPr>
            <w:r>
              <w:t>本项目厂界外500米范围内无地下水集中式饮用水源和热水、矿泉水、温泉等特殊地下水资源。</w:t>
            </w:r>
          </w:p>
          <w:p>
            <w:pPr>
              <w:adjustRightInd w:val="0"/>
              <w:snapToGrid w:val="0"/>
              <w:spacing w:line="360" w:lineRule="auto"/>
              <w:ind w:firstLine="422" w:firstLineChars="200"/>
              <w:rPr>
                <w:b/>
                <w:bCs/>
              </w:rPr>
            </w:pPr>
            <w:r>
              <w:rPr>
                <w:rFonts w:hint="eastAsia"/>
                <w:b/>
                <w:bCs/>
              </w:rPr>
              <w:t>4</w:t>
            </w:r>
            <w:r>
              <w:rPr>
                <w:b/>
                <w:bCs/>
              </w:rPr>
              <w:t>、生态环境</w:t>
            </w:r>
          </w:p>
          <w:p>
            <w:pPr>
              <w:spacing w:line="360" w:lineRule="auto"/>
              <w:ind w:firstLine="420" w:firstLineChars="200"/>
              <w:rPr>
                <w:b/>
                <w:bCs/>
                <w:color w:val="000000" w:themeColor="text1"/>
                <w14:textFill>
                  <w14:solidFill>
                    <w14:schemeClr w14:val="tx1"/>
                  </w14:solidFill>
                </w14:textFill>
              </w:rPr>
            </w:pPr>
            <w:r>
              <w:t>保护本项目建设地块的生态环境，使其能实现生态环境的良性循环，不对现有的生态环境造成大面积的破坏。</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48" w:type="pct"/>
            <w:tcMar>
              <w:left w:w="28" w:type="dxa"/>
              <w:right w:w="28" w:type="dxa"/>
            </w:tcMar>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污染</w:t>
            </w:r>
          </w:p>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物排</w:t>
            </w:r>
          </w:p>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放控</w:t>
            </w:r>
          </w:p>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制标</w:t>
            </w:r>
          </w:p>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准</w:t>
            </w:r>
          </w:p>
        </w:tc>
        <w:tc>
          <w:tcPr>
            <w:tcW w:w="4651" w:type="pct"/>
            <w:vAlign w:val="center"/>
          </w:tcPr>
          <w:p>
            <w:pPr>
              <w:snapToGrid w:val="0"/>
              <w:spacing w:line="360" w:lineRule="auto"/>
              <w:ind w:firstLine="422" w:firstLineChars="200"/>
              <w:rPr>
                <w:color w:val="auto"/>
              </w:rPr>
            </w:pPr>
            <w:r>
              <w:rPr>
                <w:rFonts w:hint="eastAsia"/>
                <w:b/>
                <w:color w:val="auto"/>
                <w:szCs w:val="21"/>
              </w:rPr>
              <w:t>1、废气排放标准</w:t>
            </w:r>
          </w:p>
          <w:p>
            <w:pPr>
              <w:adjustRightInd w:val="0"/>
              <w:snapToGrid w:val="0"/>
              <w:spacing w:line="360" w:lineRule="auto"/>
              <w:ind w:firstLine="422" w:firstLineChars="200"/>
              <w:rPr>
                <w:b/>
                <w:bCs/>
                <w:color w:val="auto"/>
              </w:rPr>
            </w:pPr>
            <w:r>
              <w:rPr>
                <w:rFonts w:hint="eastAsia"/>
                <w:b/>
                <w:bCs/>
                <w:color w:val="auto"/>
              </w:rPr>
              <w:t>（1）施工期</w:t>
            </w:r>
          </w:p>
          <w:p>
            <w:pPr>
              <w:adjustRightInd w:val="0"/>
              <w:snapToGrid w:val="0"/>
              <w:spacing w:line="360" w:lineRule="auto"/>
              <w:ind w:firstLine="420" w:firstLineChars="200"/>
              <w:textAlignment w:val="baseline"/>
              <w:rPr>
                <w:rFonts w:cs="宋体"/>
                <w:color w:val="auto"/>
                <w:lang w:bidi="ar"/>
              </w:rPr>
            </w:pPr>
            <w:r>
              <w:rPr>
                <w:rFonts w:hint="eastAsia" w:cs="宋体"/>
                <w:color w:val="auto"/>
                <w:lang w:bidi="ar"/>
              </w:rPr>
              <w:t>施工扬尘、机械柴油燃烧废气执行广东省地方标准《大气污染物排放限值》（DB44/27-2001）第二时段无组织监控浓度限值要求，具体排放限值见下表。</w:t>
            </w:r>
          </w:p>
          <w:p>
            <w:pPr>
              <w:tabs>
                <w:tab w:val="left" w:pos="0"/>
              </w:tabs>
              <w:adjustRightInd w:val="0"/>
              <w:snapToGrid w:val="0"/>
              <w:jc w:val="center"/>
              <w:rPr>
                <w:b/>
                <w:bCs/>
                <w:color w:val="auto"/>
              </w:rPr>
            </w:pPr>
            <w:r>
              <w:rPr>
                <w:rFonts w:hint="eastAsia" w:cs="宋体"/>
                <w:b/>
                <w:bCs/>
                <w:color w:val="auto"/>
                <w:lang w:bidi="ar"/>
              </w:rPr>
              <w:t>表11 大气污染物排放限值（摘录）</w:t>
            </w:r>
          </w:p>
          <w:tbl>
            <w:tblPr>
              <w:tblStyle w:val="92"/>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36"/>
              <w:gridCol w:w="1647"/>
              <w:gridCol w:w="3681"/>
              <w:gridCol w:w="24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jc w:val="center"/>
              </w:trPr>
              <w:tc>
                <w:tcPr>
                  <w:tcW w:w="684" w:type="pct"/>
                  <w:vMerge w:val="restart"/>
                  <w:tcBorders>
                    <w:top w:val="single" w:color="auto" w:sz="4" w:space="0"/>
                    <w:left w:val="single" w:color="auto" w:sz="4" w:space="0"/>
                    <w:bottom w:val="single" w:color="auto" w:sz="4" w:space="0"/>
                    <w:right w:val="single" w:color="auto" w:sz="4" w:space="0"/>
                  </w:tcBorders>
                  <w:vAlign w:val="center"/>
                </w:tcPr>
                <w:p>
                  <w:pPr>
                    <w:jc w:val="center"/>
                    <w:rPr>
                      <w:b/>
                      <w:bCs/>
                      <w:color w:val="auto"/>
                    </w:rPr>
                  </w:pPr>
                  <w:r>
                    <w:rPr>
                      <w:rFonts w:hint="eastAsia" w:cs="宋体"/>
                      <w:b/>
                      <w:bCs/>
                      <w:color w:val="auto"/>
                      <w:lang w:bidi="ar"/>
                    </w:rPr>
                    <w:t>序号</w:t>
                  </w:r>
                </w:p>
              </w:tc>
              <w:tc>
                <w:tcPr>
                  <w:tcW w:w="911" w:type="pct"/>
                  <w:vMerge w:val="restart"/>
                  <w:tcBorders>
                    <w:top w:val="single" w:color="auto" w:sz="4" w:space="0"/>
                    <w:left w:val="single" w:color="auto" w:sz="4" w:space="0"/>
                    <w:bottom w:val="single" w:color="auto" w:sz="4" w:space="0"/>
                    <w:right w:val="single" w:color="auto" w:sz="4" w:space="0"/>
                  </w:tcBorders>
                  <w:vAlign w:val="center"/>
                </w:tcPr>
                <w:p>
                  <w:pPr>
                    <w:jc w:val="center"/>
                    <w:rPr>
                      <w:b/>
                      <w:bCs/>
                      <w:color w:val="auto"/>
                    </w:rPr>
                  </w:pPr>
                  <w:r>
                    <w:rPr>
                      <w:rFonts w:hint="eastAsia" w:cs="宋体"/>
                      <w:b/>
                      <w:bCs/>
                      <w:color w:val="auto"/>
                      <w:lang w:bidi="ar"/>
                    </w:rPr>
                    <w:t>污染物</w:t>
                  </w:r>
                </w:p>
              </w:tc>
              <w:tc>
                <w:tcPr>
                  <w:tcW w:w="3403" w:type="pct"/>
                  <w:gridSpan w:val="2"/>
                  <w:tcBorders>
                    <w:top w:val="single" w:color="auto" w:sz="4" w:space="0"/>
                    <w:left w:val="single" w:color="auto" w:sz="4" w:space="0"/>
                    <w:bottom w:val="single" w:color="auto" w:sz="4" w:space="0"/>
                    <w:right w:val="single" w:color="auto" w:sz="4" w:space="0"/>
                  </w:tcBorders>
                  <w:vAlign w:val="center"/>
                </w:tcPr>
                <w:p>
                  <w:pPr>
                    <w:jc w:val="center"/>
                    <w:rPr>
                      <w:b/>
                      <w:bCs/>
                      <w:color w:val="auto"/>
                    </w:rPr>
                  </w:pPr>
                  <w:r>
                    <w:rPr>
                      <w:rFonts w:hint="eastAsia" w:cs="宋体"/>
                      <w:b/>
                      <w:bCs/>
                      <w:color w:val="auto"/>
                      <w:lang w:bidi="ar"/>
                    </w:rPr>
                    <w:t>无组织排放监控浓度限值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84" w:type="pct"/>
                  <w:vMerge w:val="continue"/>
                  <w:tcBorders>
                    <w:top w:val="single" w:color="auto" w:sz="4" w:space="0"/>
                    <w:left w:val="single" w:color="auto" w:sz="4" w:space="0"/>
                    <w:bottom w:val="single" w:color="auto" w:sz="4" w:space="0"/>
                    <w:right w:val="single" w:color="auto" w:sz="4" w:space="0"/>
                  </w:tcBorders>
                  <w:vAlign w:val="center"/>
                </w:tcPr>
                <w:p>
                  <w:pPr>
                    <w:rPr>
                      <w:color w:val="auto"/>
                    </w:rPr>
                  </w:pPr>
                </w:p>
              </w:tc>
              <w:tc>
                <w:tcPr>
                  <w:tcW w:w="911" w:type="pct"/>
                  <w:vMerge w:val="continue"/>
                  <w:tcBorders>
                    <w:top w:val="single" w:color="auto" w:sz="4" w:space="0"/>
                    <w:left w:val="single" w:color="auto" w:sz="4" w:space="0"/>
                    <w:bottom w:val="single" w:color="auto" w:sz="4" w:space="0"/>
                    <w:right w:val="single" w:color="auto" w:sz="4" w:space="0"/>
                  </w:tcBorders>
                  <w:vAlign w:val="center"/>
                </w:tcPr>
                <w:p>
                  <w:pPr>
                    <w:rPr>
                      <w:color w:val="auto"/>
                    </w:rPr>
                  </w:pPr>
                </w:p>
              </w:tc>
              <w:tc>
                <w:tcPr>
                  <w:tcW w:w="2036" w:type="pct"/>
                  <w:tcBorders>
                    <w:top w:val="single" w:color="auto" w:sz="4" w:space="0"/>
                    <w:left w:val="single" w:color="auto" w:sz="4" w:space="0"/>
                    <w:bottom w:val="single" w:color="auto" w:sz="4" w:space="0"/>
                    <w:right w:val="single" w:color="auto" w:sz="4" w:space="0"/>
                  </w:tcBorders>
                  <w:vAlign w:val="center"/>
                </w:tcPr>
                <w:p>
                  <w:pPr>
                    <w:jc w:val="center"/>
                    <w:rPr>
                      <w:b/>
                      <w:bCs/>
                      <w:color w:val="auto"/>
                    </w:rPr>
                  </w:pPr>
                  <w:r>
                    <w:rPr>
                      <w:rFonts w:hint="eastAsia" w:cs="宋体"/>
                      <w:b/>
                      <w:bCs/>
                      <w:color w:val="auto"/>
                      <w:lang w:bidi="ar"/>
                    </w:rPr>
                    <w:t>监控点</w:t>
                  </w:r>
                </w:p>
              </w:tc>
              <w:tc>
                <w:tcPr>
                  <w:tcW w:w="1366" w:type="pct"/>
                  <w:tcBorders>
                    <w:top w:val="single" w:color="auto" w:sz="4" w:space="0"/>
                    <w:left w:val="single" w:color="auto" w:sz="4" w:space="0"/>
                    <w:bottom w:val="single" w:color="auto" w:sz="4" w:space="0"/>
                    <w:right w:val="single" w:color="auto" w:sz="4" w:space="0"/>
                  </w:tcBorders>
                  <w:vAlign w:val="center"/>
                </w:tcPr>
                <w:p>
                  <w:pPr>
                    <w:jc w:val="center"/>
                    <w:rPr>
                      <w:b/>
                      <w:bCs/>
                      <w:color w:val="auto"/>
                    </w:rPr>
                  </w:pPr>
                  <w:r>
                    <w:rPr>
                      <w:rFonts w:hint="eastAsia" w:cs="宋体"/>
                      <w:b/>
                      <w:bCs/>
                      <w:color w:val="auto"/>
                      <w:lang w:bidi="ar"/>
                    </w:rPr>
                    <w:t>浓度</w:t>
                  </w:r>
                  <w:r>
                    <w:rPr>
                      <w:b/>
                      <w:bCs/>
                      <w:color w:val="auto"/>
                      <w:lang w:bidi="ar"/>
                    </w:rPr>
                    <w:t>mg/m</w:t>
                  </w:r>
                  <w:r>
                    <w:rPr>
                      <w:b/>
                      <w:bCs/>
                      <w:color w:val="auto"/>
                      <w:vertAlign w:val="superscript"/>
                      <w:lang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4" w:type="pct"/>
                  <w:tcBorders>
                    <w:top w:val="single" w:color="auto" w:sz="4" w:space="0"/>
                    <w:left w:val="single" w:color="auto" w:sz="4" w:space="0"/>
                    <w:bottom w:val="single" w:color="auto" w:sz="4" w:space="0"/>
                    <w:right w:val="single" w:color="auto" w:sz="4" w:space="0"/>
                  </w:tcBorders>
                  <w:vAlign w:val="center"/>
                </w:tcPr>
                <w:p>
                  <w:pPr>
                    <w:jc w:val="center"/>
                    <w:rPr>
                      <w:color w:val="auto"/>
                    </w:rPr>
                  </w:pPr>
                  <w:r>
                    <w:rPr>
                      <w:color w:val="auto"/>
                      <w:lang w:bidi="ar"/>
                    </w:rPr>
                    <w:t>1</w:t>
                  </w:r>
                </w:p>
              </w:tc>
              <w:tc>
                <w:tcPr>
                  <w:tcW w:w="911" w:type="pct"/>
                  <w:tcBorders>
                    <w:top w:val="single" w:color="auto" w:sz="4" w:space="0"/>
                    <w:left w:val="single" w:color="auto" w:sz="4" w:space="0"/>
                    <w:bottom w:val="single" w:color="auto" w:sz="4" w:space="0"/>
                    <w:right w:val="single" w:color="auto" w:sz="4" w:space="0"/>
                  </w:tcBorders>
                  <w:vAlign w:val="center"/>
                </w:tcPr>
                <w:p>
                  <w:pPr>
                    <w:jc w:val="center"/>
                    <w:rPr>
                      <w:color w:val="auto"/>
                    </w:rPr>
                  </w:pPr>
                  <w:r>
                    <w:rPr>
                      <w:color w:val="auto"/>
                      <w:lang w:bidi="ar"/>
                    </w:rPr>
                    <w:t>CO</w:t>
                  </w:r>
                </w:p>
              </w:tc>
              <w:tc>
                <w:tcPr>
                  <w:tcW w:w="2036" w:type="pct"/>
                  <w:tcBorders>
                    <w:top w:val="single" w:color="auto" w:sz="4" w:space="0"/>
                    <w:left w:val="single" w:color="auto" w:sz="4" w:space="0"/>
                    <w:bottom w:val="single" w:color="auto" w:sz="4" w:space="0"/>
                    <w:right w:val="single" w:color="auto" w:sz="4" w:space="0"/>
                  </w:tcBorders>
                  <w:vAlign w:val="center"/>
                </w:tcPr>
                <w:p>
                  <w:pPr>
                    <w:jc w:val="center"/>
                    <w:rPr>
                      <w:color w:val="auto"/>
                    </w:rPr>
                  </w:pPr>
                  <w:r>
                    <w:rPr>
                      <w:rFonts w:hint="eastAsia" w:cs="宋体"/>
                      <w:color w:val="auto"/>
                      <w:lang w:bidi="ar"/>
                    </w:rPr>
                    <w:t>周界外浓度最高点</w:t>
                  </w:r>
                </w:p>
              </w:tc>
              <w:tc>
                <w:tcPr>
                  <w:tcW w:w="1366" w:type="pct"/>
                  <w:tcBorders>
                    <w:top w:val="single" w:color="auto" w:sz="4" w:space="0"/>
                    <w:left w:val="single" w:color="auto" w:sz="4" w:space="0"/>
                    <w:bottom w:val="single" w:color="auto" w:sz="4" w:space="0"/>
                    <w:right w:val="single" w:color="auto" w:sz="4" w:space="0"/>
                  </w:tcBorders>
                  <w:vAlign w:val="center"/>
                </w:tcPr>
                <w:p>
                  <w:pPr>
                    <w:jc w:val="center"/>
                    <w:rPr>
                      <w:color w:val="auto"/>
                    </w:rPr>
                  </w:pPr>
                  <w:r>
                    <w:rPr>
                      <w:color w:val="auto"/>
                      <w:lang w:bidi="ar"/>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4" w:type="pct"/>
                  <w:tcBorders>
                    <w:top w:val="single" w:color="auto" w:sz="4" w:space="0"/>
                    <w:left w:val="single" w:color="auto" w:sz="4" w:space="0"/>
                    <w:bottom w:val="single" w:color="auto" w:sz="4" w:space="0"/>
                    <w:right w:val="single" w:color="auto" w:sz="4" w:space="0"/>
                  </w:tcBorders>
                  <w:vAlign w:val="center"/>
                </w:tcPr>
                <w:p>
                  <w:pPr>
                    <w:jc w:val="center"/>
                    <w:rPr>
                      <w:color w:val="auto"/>
                    </w:rPr>
                  </w:pPr>
                  <w:r>
                    <w:rPr>
                      <w:color w:val="auto"/>
                      <w:lang w:bidi="ar"/>
                    </w:rPr>
                    <w:t>2</w:t>
                  </w:r>
                </w:p>
              </w:tc>
              <w:tc>
                <w:tcPr>
                  <w:tcW w:w="911" w:type="pct"/>
                  <w:tcBorders>
                    <w:top w:val="single" w:color="auto" w:sz="4" w:space="0"/>
                    <w:left w:val="single" w:color="auto" w:sz="4" w:space="0"/>
                    <w:bottom w:val="single" w:color="auto" w:sz="4" w:space="0"/>
                    <w:right w:val="single" w:color="auto" w:sz="4" w:space="0"/>
                  </w:tcBorders>
                  <w:vAlign w:val="center"/>
                </w:tcPr>
                <w:p>
                  <w:pPr>
                    <w:jc w:val="center"/>
                    <w:rPr>
                      <w:color w:val="auto"/>
                    </w:rPr>
                  </w:pPr>
                  <w:r>
                    <w:rPr>
                      <w:color w:val="auto"/>
                      <w:lang w:bidi="ar"/>
                    </w:rPr>
                    <w:t>HC</w:t>
                  </w:r>
                </w:p>
              </w:tc>
              <w:tc>
                <w:tcPr>
                  <w:tcW w:w="2036" w:type="pct"/>
                  <w:tcBorders>
                    <w:top w:val="single" w:color="auto" w:sz="4" w:space="0"/>
                    <w:left w:val="single" w:color="auto" w:sz="4" w:space="0"/>
                    <w:bottom w:val="single" w:color="auto" w:sz="4" w:space="0"/>
                    <w:right w:val="single" w:color="auto" w:sz="4" w:space="0"/>
                  </w:tcBorders>
                  <w:vAlign w:val="center"/>
                </w:tcPr>
                <w:p>
                  <w:pPr>
                    <w:jc w:val="center"/>
                    <w:rPr>
                      <w:color w:val="auto"/>
                    </w:rPr>
                  </w:pPr>
                  <w:r>
                    <w:rPr>
                      <w:rFonts w:hint="eastAsia" w:cs="宋体"/>
                      <w:color w:val="auto"/>
                      <w:lang w:bidi="ar"/>
                    </w:rPr>
                    <w:t>周界外浓度最高点</w:t>
                  </w:r>
                </w:p>
              </w:tc>
              <w:tc>
                <w:tcPr>
                  <w:tcW w:w="1366" w:type="pct"/>
                  <w:tcBorders>
                    <w:top w:val="single" w:color="auto" w:sz="4" w:space="0"/>
                    <w:left w:val="single" w:color="auto" w:sz="4" w:space="0"/>
                    <w:bottom w:val="single" w:color="auto" w:sz="4" w:space="0"/>
                    <w:right w:val="single" w:color="auto" w:sz="4" w:space="0"/>
                  </w:tcBorders>
                  <w:vAlign w:val="center"/>
                </w:tcPr>
                <w:p>
                  <w:pPr>
                    <w:jc w:val="center"/>
                    <w:rPr>
                      <w:color w:val="auto"/>
                    </w:rPr>
                  </w:pPr>
                  <w:r>
                    <w:rPr>
                      <w:color w:val="auto"/>
                      <w:lang w:bidi="ar"/>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4" w:type="pct"/>
                  <w:tcBorders>
                    <w:top w:val="single" w:color="auto" w:sz="4" w:space="0"/>
                    <w:left w:val="single" w:color="auto" w:sz="4" w:space="0"/>
                    <w:bottom w:val="single" w:color="auto" w:sz="4" w:space="0"/>
                    <w:right w:val="single" w:color="auto" w:sz="4" w:space="0"/>
                  </w:tcBorders>
                  <w:vAlign w:val="center"/>
                </w:tcPr>
                <w:p>
                  <w:pPr>
                    <w:jc w:val="center"/>
                    <w:rPr>
                      <w:color w:val="auto"/>
                    </w:rPr>
                  </w:pPr>
                  <w:r>
                    <w:rPr>
                      <w:color w:val="auto"/>
                      <w:lang w:bidi="ar"/>
                    </w:rPr>
                    <w:t>3</w:t>
                  </w:r>
                </w:p>
              </w:tc>
              <w:tc>
                <w:tcPr>
                  <w:tcW w:w="911" w:type="pct"/>
                  <w:tcBorders>
                    <w:top w:val="single" w:color="auto" w:sz="4" w:space="0"/>
                    <w:left w:val="single" w:color="auto" w:sz="4" w:space="0"/>
                    <w:bottom w:val="single" w:color="auto" w:sz="4" w:space="0"/>
                    <w:right w:val="single" w:color="auto" w:sz="4" w:space="0"/>
                  </w:tcBorders>
                  <w:vAlign w:val="center"/>
                </w:tcPr>
                <w:p>
                  <w:pPr>
                    <w:jc w:val="center"/>
                    <w:rPr>
                      <w:color w:val="auto"/>
                    </w:rPr>
                  </w:pPr>
                  <w:r>
                    <w:rPr>
                      <w:color w:val="auto"/>
                      <w:lang w:bidi="ar"/>
                    </w:rPr>
                    <w:t>NO</w:t>
                  </w:r>
                  <w:r>
                    <w:rPr>
                      <w:color w:val="auto"/>
                      <w:vertAlign w:val="subscript"/>
                      <w:lang w:bidi="ar"/>
                    </w:rPr>
                    <w:t>X</w:t>
                  </w:r>
                </w:p>
              </w:tc>
              <w:tc>
                <w:tcPr>
                  <w:tcW w:w="2036" w:type="pct"/>
                  <w:tcBorders>
                    <w:top w:val="single" w:color="auto" w:sz="4" w:space="0"/>
                    <w:left w:val="single" w:color="auto" w:sz="4" w:space="0"/>
                    <w:bottom w:val="single" w:color="auto" w:sz="4" w:space="0"/>
                    <w:right w:val="single" w:color="auto" w:sz="4" w:space="0"/>
                  </w:tcBorders>
                  <w:vAlign w:val="center"/>
                </w:tcPr>
                <w:p>
                  <w:pPr>
                    <w:jc w:val="center"/>
                    <w:rPr>
                      <w:color w:val="auto"/>
                    </w:rPr>
                  </w:pPr>
                  <w:r>
                    <w:rPr>
                      <w:rFonts w:hint="eastAsia" w:cs="宋体"/>
                      <w:color w:val="auto"/>
                      <w:lang w:bidi="ar"/>
                    </w:rPr>
                    <w:t>周界外浓度最高点</w:t>
                  </w:r>
                </w:p>
              </w:tc>
              <w:tc>
                <w:tcPr>
                  <w:tcW w:w="1366" w:type="pct"/>
                  <w:tcBorders>
                    <w:top w:val="single" w:color="auto" w:sz="4" w:space="0"/>
                    <w:left w:val="single" w:color="auto" w:sz="4" w:space="0"/>
                    <w:bottom w:val="single" w:color="auto" w:sz="4" w:space="0"/>
                    <w:right w:val="single" w:color="auto" w:sz="4" w:space="0"/>
                  </w:tcBorders>
                  <w:vAlign w:val="center"/>
                </w:tcPr>
                <w:p>
                  <w:pPr>
                    <w:jc w:val="center"/>
                    <w:rPr>
                      <w:color w:val="auto"/>
                    </w:rPr>
                  </w:pPr>
                  <w:r>
                    <w:rPr>
                      <w:color w:val="auto"/>
                      <w:lang w:bidi="ar"/>
                    </w:rPr>
                    <w:t>0.12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4" w:type="pct"/>
                  <w:tcBorders>
                    <w:top w:val="single" w:color="auto" w:sz="4" w:space="0"/>
                    <w:left w:val="single" w:color="auto" w:sz="4" w:space="0"/>
                    <w:bottom w:val="single" w:color="auto" w:sz="4" w:space="0"/>
                    <w:right w:val="single" w:color="auto" w:sz="4" w:space="0"/>
                  </w:tcBorders>
                  <w:vAlign w:val="center"/>
                </w:tcPr>
                <w:p>
                  <w:pPr>
                    <w:jc w:val="center"/>
                    <w:rPr>
                      <w:color w:val="auto"/>
                    </w:rPr>
                  </w:pPr>
                  <w:r>
                    <w:rPr>
                      <w:color w:val="auto"/>
                      <w:lang w:bidi="ar"/>
                    </w:rPr>
                    <w:t>4</w:t>
                  </w:r>
                </w:p>
              </w:tc>
              <w:tc>
                <w:tcPr>
                  <w:tcW w:w="911" w:type="pct"/>
                  <w:tcBorders>
                    <w:top w:val="single" w:color="auto" w:sz="4" w:space="0"/>
                    <w:left w:val="single" w:color="auto" w:sz="4" w:space="0"/>
                    <w:bottom w:val="single" w:color="auto" w:sz="4" w:space="0"/>
                    <w:right w:val="single" w:color="auto" w:sz="4" w:space="0"/>
                  </w:tcBorders>
                  <w:vAlign w:val="center"/>
                </w:tcPr>
                <w:p>
                  <w:pPr>
                    <w:jc w:val="center"/>
                    <w:rPr>
                      <w:color w:val="auto"/>
                    </w:rPr>
                  </w:pPr>
                  <w:r>
                    <w:rPr>
                      <w:rFonts w:hint="eastAsia" w:cs="宋体"/>
                      <w:color w:val="auto"/>
                      <w:lang w:bidi="ar"/>
                    </w:rPr>
                    <w:t>颗粒物</w:t>
                  </w:r>
                </w:p>
              </w:tc>
              <w:tc>
                <w:tcPr>
                  <w:tcW w:w="2036" w:type="pct"/>
                  <w:tcBorders>
                    <w:top w:val="single" w:color="auto" w:sz="4" w:space="0"/>
                    <w:left w:val="single" w:color="auto" w:sz="4" w:space="0"/>
                    <w:bottom w:val="single" w:color="auto" w:sz="4" w:space="0"/>
                    <w:right w:val="single" w:color="auto" w:sz="4" w:space="0"/>
                  </w:tcBorders>
                  <w:vAlign w:val="center"/>
                </w:tcPr>
                <w:p>
                  <w:pPr>
                    <w:jc w:val="center"/>
                    <w:rPr>
                      <w:color w:val="auto"/>
                    </w:rPr>
                  </w:pPr>
                  <w:r>
                    <w:rPr>
                      <w:rFonts w:hint="eastAsia" w:cs="宋体"/>
                      <w:color w:val="auto"/>
                      <w:lang w:bidi="ar"/>
                    </w:rPr>
                    <w:t>周界外浓度最高点</w:t>
                  </w:r>
                </w:p>
              </w:tc>
              <w:tc>
                <w:tcPr>
                  <w:tcW w:w="1366" w:type="pct"/>
                  <w:tcBorders>
                    <w:top w:val="single" w:color="auto" w:sz="4" w:space="0"/>
                    <w:left w:val="single" w:color="auto" w:sz="4" w:space="0"/>
                    <w:bottom w:val="single" w:color="auto" w:sz="4" w:space="0"/>
                    <w:right w:val="single" w:color="auto" w:sz="4" w:space="0"/>
                  </w:tcBorders>
                  <w:vAlign w:val="center"/>
                </w:tcPr>
                <w:p>
                  <w:pPr>
                    <w:jc w:val="center"/>
                    <w:rPr>
                      <w:color w:val="auto"/>
                    </w:rPr>
                  </w:pPr>
                  <w:r>
                    <w:rPr>
                      <w:color w:val="auto"/>
                      <w:lang w:bidi="ar"/>
                    </w:rPr>
                    <w:t>1.0</w:t>
                  </w:r>
                </w:p>
              </w:tc>
            </w:tr>
          </w:tbl>
          <w:p>
            <w:pPr>
              <w:adjustRightInd w:val="0"/>
              <w:snapToGrid w:val="0"/>
              <w:spacing w:before="120" w:beforeLines="50" w:line="360" w:lineRule="auto"/>
              <w:ind w:firstLine="422" w:firstLineChars="200"/>
              <w:textAlignment w:val="baseline"/>
              <w:rPr>
                <w:color w:val="auto"/>
              </w:rPr>
            </w:pPr>
            <w:r>
              <w:rPr>
                <w:rFonts w:hint="eastAsia" w:cs="宋体"/>
                <w:b/>
                <w:bCs/>
                <w:color w:val="auto"/>
                <w:lang w:bidi="ar"/>
              </w:rPr>
              <w:t>（2）运营期</w:t>
            </w:r>
          </w:p>
          <w:p>
            <w:pPr>
              <w:spacing w:line="360" w:lineRule="auto"/>
              <w:ind w:firstLine="420" w:firstLineChars="200"/>
              <w:rPr>
                <w:bCs/>
                <w:color w:val="auto"/>
                <w:szCs w:val="21"/>
              </w:rPr>
            </w:pPr>
            <w:r>
              <w:rPr>
                <w:rFonts w:hint="eastAsia"/>
                <w:bCs/>
                <w:color w:val="auto"/>
                <w:szCs w:val="21"/>
              </w:rPr>
              <w:t>1、厨房油烟</w:t>
            </w:r>
          </w:p>
          <w:p>
            <w:pPr>
              <w:adjustRightInd w:val="0"/>
              <w:snapToGrid w:val="0"/>
              <w:spacing w:line="360" w:lineRule="auto"/>
              <w:ind w:firstLine="480"/>
              <w:rPr>
                <w:color w:val="auto"/>
                <w:szCs w:val="21"/>
              </w:rPr>
            </w:pPr>
            <w:r>
              <w:rPr>
                <w:rFonts w:hint="eastAsia"/>
                <w:color w:val="auto"/>
                <w:szCs w:val="21"/>
              </w:rPr>
              <w:t>本</w:t>
            </w:r>
            <w:r>
              <w:rPr>
                <w:color w:val="auto"/>
                <w:szCs w:val="21"/>
              </w:rPr>
              <w:t>项目</w:t>
            </w:r>
            <w:r>
              <w:rPr>
                <w:rFonts w:hint="eastAsia"/>
                <w:color w:val="auto"/>
                <w:szCs w:val="21"/>
              </w:rPr>
              <w:t>食堂油烟废气排放执行《饮食业油烟排放标准》（GB18483-2001）小型规模标准。</w:t>
            </w:r>
          </w:p>
          <w:p>
            <w:pPr>
              <w:adjustRightInd w:val="0"/>
              <w:snapToGrid w:val="0"/>
              <w:spacing w:line="360" w:lineRule="auto"/>
              <w:jc w:val="center"/>
              <w:rPr>
                <w:b/>
                <w:color w:val="auto"/>
                <w:szCs w:val="21"/>
              </w:rPr>
            </w:pPr>
            <w:r>
              <w:rPr>
                <w:rFonts w:hint="eastAsia"/>
                <w:b/>
                <w:color w:val="auto"/>
                <w:szCs w:val="21"/>
              </w:rPr>
              <w:t>表3-</w:t>
            </w:r>
            <w:r>
              <w:rPr>
                <w:b/>
                <w:color w:val="auto"/>
                <w:szCs w:val="21"/>
              </w:rPr>
              <w:t xml:space="preserve">7 </w:t>
            </w:r>
            <w:r>
              <w:rPr>
                <w:rFonts w:hint="eastAsia"/>
                <w:b/>
                <w:color w:val="auto"/>
                <w:szCs w:val="21"/>
              </w:rPr>
              <w:t>项目食堂</w:t>
            </w:r>
            <w:r>
              <w:rPr>
                <w:b/>
                <w:color w:val="auto"/>
                <w:szCs w:val="21"/>
              </w:rPr>
              <w:t>油烟</w:t>
            </w:r>
            <w:r>
              <w:rPr>
                <w:rFonts w:hint="eastAsia"/>
                <w:b/>
                <w:color w:val="auto"/>
                <w:szCs w:val="21"/>
              </w:rPr>
              <w:t>排放</w:t>
            </w:r>
            <w:r>
              <w:rPr>
                <w:b/>
                <w:color w:val="auto"/>
                <w:szCs w:val="21"/>
              </w:rPr>
              <w:t>标准</w:t>
            </w:r>
          </w:p>
          <w:tbl>
            <w:tblPr>
              <w:tblStyle w:val="9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236"/>
              <w:gridCol w:w="1855"/>
              <w:gridCol w:w="39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790" w:type="pct"/>
                  <w:vAlign w:val="center"/>
                </w:tcPr>
                <w:p>
                  <w:pPr>
                    <w:pStyle w:val="36"/>
                    <w:adjustRightInd w:val="0"/>
                    <w:spacing w:after="0"/>
                    <w:jc w:val="center"/>
                    <w:rPr>
                      <w:b/>
                      <w:bCs/>
                      <w:color w:val="auto"/>
                      <w:sz w:val="21"/>
                      <w:szCs w:val="21"/>
                    </w:rPr>
                  </w:pPr>
                  <w:r>
                    <w:rPr>
                      <w:rFonts w:hint="eastAsia"/>
                      <w:b/>
                      <w:bCs/>
                      <w:color w:val="auto"/>
                      <w:sz w:val="21"/>
                      <w:szCs w:val="21"/>
                    </w:rPr>
                    <w:t>产污环节</w:t>
                  </w:r>
                </w:p>
              </w:tc>
              <w:tc>
                <w:tcPr>
                  <w:tcW w:w="1026" w:type="pct"/>
                  <w:vAlign w:val="center"/>
                </w:tcPr>
                <w:p>
                  <w:pPr>
                    <w:pStyle w:val="36"/>
                    <w:adjustRightInd w:val="0"/>
                    <w:spacing w:after="0"/>
                    <w:jc w:val="center"/>
                    <w:rPr>
                      <w:b/>
                      <w:bCs/>
                      <w:color w:val="auto"/>
                      <w:sz w:val="21"/>
                      <w:szCs w:val="21"/>
                    </w:rPr>
                  </w:pPr>
                  <w:r>
                    <w:rPr>
                      <w:b/>
                      <w:bCs/>
                      <w:color w:val="auto"/>
                      <w:sz w:val="21"/>
                      <w:szCs w:val="21"/>
                    </w:rPr>
                    <w:t>污染物类型</w:t>
                  </w:r>
                </w:p>
              </w:tc>
              <w:tc>
                <w:tcPr>
                  <w:tcW w:w="2184" w:type="pct"/>
                  <w:vAlign w:val="center"/>
                </w:tcPr>
                <w:p>
                  <w:pPr>
                    <w:pStyle w:val="36"/>
                    <w:adjustRightInd w:val="0"/>
                    <w:spacing w:after="0"/>
                    <w:jc w:val="center"/>
                    <w:rPr>
                      <w:b/>
                      <w:bCs/>
                      <w:color w:val="auto"/>
                      <w:sz w:val="21"/>
                      <w:szCs w:val="21"/>
                    </w:rPr>
                  </w:pPr>
                  <w:r>
                    <w:rPr>
                      <w:b/>
                      <w:bCs/>
                      <w:color w:val="auto"/>
                      <w:sz w:val="21"/>
                      <w:szCs w:val="21"/>
                    </w:rPr>
                    <w:t>最高允许排放浓度（mg/m</w:t>
                  </w:r>
                  <w:r>
                    <w:rPr>
                      <w:b/>
                      <w:bCs/>
                      <w:color w:val="auto"/>
                      <w:sz w:val="21"/>
                      <w:szCs w:val="21"/>
                      <w:vertAlign w:val="superscript"/>
                    </w:rPr>
                    <w:t>3</w:t>
                  </w:r>
                  <w:r>
                    <w:rPr>
                      <w:b/>
                      <w:bCs/>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jc w:val="center"/>
              </w:trPr>
              <w:tc>
                <w:tcPr>
                  <w:tcW w:w="1790" w:type="pct"/>
                  <w:vAlign w:val="center"/>
                </w:tcPr>
                <w:p>
                  <w:pPr>
                    <w:pStyle w:val="36"/>
                    <w:adjustRightInd w:val="0"/>
                    <w:spacing w:after="0"/>
                    <w:jc w:val="center"/>
                    <w:rPr>
                      <w:color w:val="auto"/>
                      <w:sz w:val="21"/>
                      <w:szCs w:val="21"/>
                    </w:rPr>
                  </w:pPr>
                  <w:r>
                    <w:rPr>
                      <w:rFonts w:hint="eastAsia"/>
                      <w:color w:val="auto"/>
                      <w:sz w:val="21"/>
                      <w:szCs w:val="21"/>
                    </w:rPr>
                    <w:t>食堂</w:t>
                  </w:r>
                  <w:r>
                    <w:rPr>
                      <w:color w:val="auto"/>
                      <w:sz w:val="21"/>
                      <w:szCs w:val="21"/>
                    </w:rPr>
                    <w:t>油烟</w:t>
                  </w:r>
                </w:p>
              </w:tc>
              <w:tc>
                <w:tcPr>
                  <w:tcW w:w="1026" w:type="pct"/>
                  <w:vAlign w:val="center"/>
                </w:tcPr>
                <w:p>
                  <w:pPr>
                    <w:snapToGrid w:val="0"/>
                    <w:jc w:val="center"/>
                    <w:rPr>
                      <w:color w:val="auto"/>
                      <w:szCs w:val="21"/>
                    </w:rPr>
                  </w:pPr>
                  <w:r>
                    <w:rPr>
                      <w:rFonts w:hint="eastAsia"/>
                      <w:color w:val="auto"/>
                      <w:szCs w:val="21"/>
                    </w:rPr>
                    <w:t>油烟</w:t>
                  </w:r>
                </w:p>
              </w:tc>
              <w:tc>
                <w:tcPr>
                  <w:tcW w:w="2184" w:type="pct"/>
                  <w:vAlign w:val="center"/>
                </w:tcPr>
                <w:p>
                  <w:pPr>
                    <w:pStyle w:val="36"/>
                    <w:adjustRightInd w:val="0"/>
                    <w:spacing w:after="0"/>
                    <w:jc w:val="center"/>
                    <w:rPr>
                      <w:bCs/>
                      <w:color w:val="auto"/>
                      <w:sz w:val="21"/>
                      <w:szCs w:val="21"/>
                    </w:rPr>
                  </w:pPr>
                  <w:r>
                    <w:rPr>
                      <w:rFonts w:hint="eastAsia"/>
                      <w:bCs/>
                      <w:color w:val="auto"/>
                      <w:sz w:val="21"/>
                      <w:szCs w:val="21"/>
                    </w:rPr>
                    <w:t>2.0（净化</w:t>
                  </w:r>
                  <w:r>
                    <w:rPr>
                      <w:bCs/>
                      <w:color w:val="auto"/>
                      <w:sz w:val="21"/>
                      <w:szCs w:val="21"/>
                    </w:rPr>
                    <w:t>设施最低去除率60%</w:t>
                  </w:r>
                  <w:r>
                    <w:rPr>
                      <w:rFonts w:hint="eastAsia"/>
                      <w:bCs/>
                      <w:color w:val="auto"/>
                      <w:sz w:val="21"/>
                      <w:szCs w:val="21"/>
                    </w:rPr>
                    <w:t>）</w:t>
                  </w:r>
                </w:p>
              </w:tc>
            </w:tr>
          </w:tbl>
          <w:p>
            <w:pPr>
              <w:adjustRightInd w:val="0"/>
              <w:snapToGrid w:val="0"/>
              <w:spacing w:before="120" w:beforeLines="50" w:line="360" w:lineRule="auto"/>
              <w:ind w:firstLine="420" w:firstLineChars="200"/>
              <w:textAlignment w:val="baseline"/>
              <w:rPr>
                <w:rFonts w:cs="宋体"/>
                <w:color w:val="auto"/>
                <w:lang w:bidi="ar"/>
              </w:rPr>
            </w:pPr>
            <w:r>
              <w:rPr>
                <w:rFonts w:hint="eastAsia" w:cs="宋体"/>
                <w:color w:val="auto"/>
                <w:lang w:bidi="ar"/>
              </w:rPr>
              <w:t>2、项目产生废气</w:t>
            </w:r>
          </w:p>
          <w:p>
            <w:pPr>
              <w:spacing w:line="360" w:lineRule="auto"/>
              <w:ind w:firstLine="420" w:firstLineChars="200"/>
              <w:rPr>
                <w:bCs/>
                <w:szCs w:val="21"/>
                <w:highlight w:val="yellow"/>
              </w:rPr>
            </w:pPr>
            <w:r>
              <w:rPr>
                <w:bCs/>
                <w:szCs w:val="21"/>
              </w:rPr>
              <w:t>项目</w:t>
            </w:r>
            <w:r>
              <w:rPr>
                <w:rFonts w:hint="eastAsia"/>
                <w:bCs/>
                <w:szCs w:val="21"/>
              </w:rPr>
              <w:t>配料、密炼、开炼和模压等</w:t>
            </w:r>
            <w:r>
              <w:rPr>
                <w:bCs/>
                <w:szCs w:val="21"/>
              </w:rPr>
              <w:t>工序产生的</w:t>
            </w:r>
            <w:r>
              <w:rPr>
                <w:rFonts w:hint="eastAsia"/>
                <w:bCs/>
                <w:szCs w:val="21"/>
              </w:rPr>
              <w:t>粉尘、</w:t>
            </w:r>
            <w:r>
              <w:rPr>
                <w:bCs/>
                <w:szCs w:val="21"/>
              </w:rPr>
              <w:t>有机废气</w:t>
            </w:r>
            <w:r>
              <w:rPr>
                <w:rFonts w:hint="eastAsia"/>
                <w:bCs/>
                <w:szCs w:val="21"/>
              </w:rPr>
              <w:t>有组织</w:t>
            </w:r>
            <w:r>
              <w:rPr>
                <w:bCs/>
                <w:szCs w:val="21"/>
              </w:rPr>
              <w:t>排放执行</w:t>
            </w:r>
            <w:r>
              <w:t>《</w:t>
            </w:r>
            <w:r>
              <w:rPr>
                <w:rFonts w:hint="eastAsia"/>
              </w:rPr>
              <w:t>橡胶制品工业污染物</w:t>
            </w:r>
            <w:r>
              <w:t>排放标准》（</w:t>
            </w:r>
            <w:r>
              <w:rPr>
                <w:rFonts w:hint="eastAsia"/>
              </w:rPr>
              <w:t>GB27632</w:t>
            </w:r>
            <w:r>
              <w:t>-20</w:t>
            </w:r>
            <w:r>
              <w:rPr>
                <w:rFonts w:hint="eastAsia"/>
              </w:rPr>
              <w:t>11</w:t>
            </w:r>
            <w:r>
              <w:t>）</w:t>
            </w:r>
            <w:r>
              <w:rPr>
                <w:rFonts w:hint="eastAsia"/>
              </w:rPr>
              <w:t>表5</w:t>
            </w:r>
            <w:r>
              <w:rPr>
                <w:bCs/>
                <w:szCs w:val="21"/>
              </w:rPr>
              <w:t>中</w:t>
            </w:r>
            <w:r>
              <w:rPr>
                <w:rFonts w:hint="eastAsia"/>
                <w:bCs/>
                <w:szCs w:val="21"/>
              </w:rPr>
              <w:t>轮胎企业及其他制品企业炼胶、硫化装置</w:t>
            </w:r>
            <w:r>
              <w:rPr>
                <w:bCs/>
                <w:szCs w:val="21"/>
              </w:rPr>
              <w:t>排放限值要求</w:t>
            </w:r>
            <w:r>
              <w:rPr>
                <w:rFonts w:hint="eastAsia"/>
                <w:bCs/>
                <w:szCs w:val="21"/>
              </w:rPr>
              <w:t>，厂界无组织排放执行表6中限值标准，厂房外无组织排放执行广东省地方标准《固定污染物挥发性有机物综合排放标准》（DB 44/2367-2022）表3中的</w:t>
            </w:r>
            <w:r>
              <w:rPr>
                <w:bCs/>
                <w:szCs w:val="21"/>
              </w:rPr>
              <w:t>排放限值要求</w:t>
            </w:r>
            <w:r>
              <w:rPr>
                <w:rFonts w:hint="eastAsia"/>
                <w:bCs/>
                <w:szCs w:val="21"/>
              </w:rPr>
              <w:t>：</w:t>
            </w:r>
          </w:p>
          <w:p>
            <w:pPr>
              <w:adjustRightInd w:val="0"/>
              <w:snapToGrid w:val="0"/>
              <w:jc w:val="center"/>
              <w:rPr>
                <w:b/>
                <w:bCs/>
                <w:szCs w:val="21"/>
              </w:rPr>
            </w:pPr>
            <w:r>
              <w:rPr>
                <w:b/>
                <w:bCs/>
                <w:szCs w:val="21"/>
              </w:rPr>
              <w:t>表</w:t>
            </w:r>
            <w:r>
              <w:rPr>
                <w:rFonts w:hint="eastAsia"/>
                <w:b/>
                <w:bCs/>
                <w:szCs w:val="21"/>
              </w:rPr>
              <w:t>3-5</w:t>
            </w:r>
            <w:r>
              <w:rPr>
                <w:b/>
                <w:bCs/>
                <w:szCs w:val="21"/>
              </w:rPr>
              <w:t xml:space="preserve"> </w:t>
            </w:r>
            <w:r>
              <w:rPr>
                <w:rFonts w:hint="eastAsia"/>
                <w:b/>
                <w:szCs w:val="21"/>
              </w:rPr>
              <w:t>项目运营期</w:t>
            </w:r>
            <w:r>
              <w:rPr>
                <w:b/>
                <w:szCs w:val="21"/>
              </w:rPr>
              <w:t>大气污染物排放标准</w:t>
            </w:r>
          </w:p>
          <w:tbl>
            <w:tblPr>
              <w:tblStyle w:val="9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9"/>
              <w:gridCol w:w="904"/>
              <w:gridCol w:w="961"/>
              <w:gridCol w:w="1365"/>
              <w:gridCol w:w="1181"/>
              <w:gridCol w:w="1492"/>
              <w:gridCol w:w="23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0" w:type="auto"/>
                  <w:vMerge w:val="restart"/>
                  <w:vAlign w:val="center"/>
                </w:tcPr>
                <w:p>
                  <w:pPr>
                    <w:adjustRightInd w:val="0"/>
                    <w:snapToGrid w:val="0"/>
                    <w:jc w:val="center"/>
                    <w:rPr>
                      <w:b/>
                      <w:bCs/>
                      <w:szCs w:val="21"/>
                    </w:rPr>
                  </w:pPr>
                  <w:r>
                    <w:rPr>
                      <w:b/>
                      <w:bCs/>
                      <w:szCs w:val="21"/>
                    </w:rPr>
                    <w:t>产污</w:t>
                  </w:r>
                </w:p>
                <w:p>
                  <w:pPr>
                    <w:adjustRightInd w:val="0"/>
                    <w:snapToGrid w:val="0"/>
                    <w:jc w:val="center"/>
                    <w:rPr>
                      <w:b/>
                      <w:bCs/>
                      <w:szCs w:val="21"/>
                    </w:rPr>
                  </w:pPr>
                  <w:r>
                    <w:rPr>
                      <w:b/>
                      <w:bCs/>
                      <w:szCs w:val="21"/>
                    </w:rPr>
                    <w:t>环节</w:t>
                  </w:r>
                </w:p>
              </w:tc>
              <w:tc>
                <w:tcPr>
                  <w:tcW w:w="0" w:type="auto"/>
                  <w:vMerge w:val="restart"/>
                  <w:vAlign w:val="center"/>
                </w:tcPr>
                <w:p>
                  <w:pPr>
                    <w:adjustRightInd w:val="0"/>
                    <w:snapToGrid w:val="0"/>
                    <w:jc w:val="center"/>
                    <w:rPr>
                      <w:b/>
                      <w:bCs/>
                      <w:szCs w:val="21"/>
                    </w:rPr>
                  </w:pPr>
                  <w:r>
                    <w:rPr>
                      <w:b/>
                      <w:bCs/>
                      <w:szCs w:val="21"/>
                    </w:rPr>
                    <w:t>排气筒高度（m）</w:t>
                  </w:r>
                </w:p>
              </w:tc>
              <w:tc>
                <w:tcPr>
                  <w:tcW w:w="0" w:type="auto"/>
                  <w:vMerge w:val="restart"/>
                  <w:vAlign w:val="center"/>
                </w:tcPr>
                <w:p>
                  <w:pPr>
                    <w:adjustRightInd w:val="0"/>
                    <w:snapToGrid w:val="0"/>
                    <w:jc w:val="center"/>
                    <w:rPr>
                      <w:b/>
                      <w:bCs/>
                      <w:szCs w:val="21"/>
                      <w:lang w:eastAsia="en-US"/>
                    </w:rPr>
                  </w:pPr>
                  <w:r>
                    <w:rPr>
                      <w:b/>
                      <w:bCs/>
                      <w:szCs w:val="21"/>
                      <w:lang w:eastAsia="en-US"/>
                    </w:rPr>
                    <w:t>污染物类型</w:t>
                  </w:r>
                </w:p>
              </w:tc>
              <w:tc>
                <w:tcPr>
                  <w:tcW w:w="0" w:type="auto"/>
                  <w:gridSpan w:val="2"/>
                  <w:vAlign w:val="center"/>
                </w:tcPr>
                <w:p>
                  <w:pPr>
                    <w:adjustRightInd w:val="0"/>
                    <w:snapToGrid w:val="0"/>
                    <w:jc w:val="center"/>
                    <w:rPr>
                      <w:b/>
                      <w:bCs/>
                      <w:szCs w:val="21"/>
                    </w:rPr>
                  </w:pPr>
                  <w:r>
                    <w:rPr>
                      <w:rFonts w:hint="eastAsia"/>
                      <w:b/>
                      <w:bCs/>
                      <w:szCs w:val="21"/>
                    </w:rPr>
                    <w:t>有</w:t>
                  </w:r>
                  <w:r>
                    <w:rPr>
                      <w:b/>
                      <w:bCs/>
                      <w:szCs w:val="21"/>
                    </w:rPr>
                    <w:t>组织排放</w:t>
                  </w:r>
                </w:p>
              </w:tc>
              <w:tc>
                <w:tcPr>
                  <w:tcW w:w="0" w:type="auto"/>
                  <w:vMerge w:val="restart"/>
                  <w:vAlign w:val="center"/>
                </w:tcPr>
                <w:p>
                  <w:pPr>
                    <w:adjustRightInd w:val="0"/>
                    <w:snapToGrid w:val="0"/>
                    <w:jc w:val="center"/>
                    <w:rPr>
                      <w:b/>
                      <w:bCs/>
                      <w:szCs w:val="21"/>
                    </w:rPr>
                  </w:pPr>
                  <w:r>
                    <w:rPr>
                      <w:rFonts w:hint="eastAsia"/>
                      <w:b/>
                      <w:bCs/>
                      <w:szCs w:val="21"/>
                    </w:rPr>
                    <w:t>企业边界</w:t>
                  </w:r>
                  <w:r>
                    <w:rPr>
                      <w:b/>
                      <w:bCs/>
                      <w:szCs w:val="21"/>
                    </w:rPr>
                    <w:t>无组织排放浓度监控限值</w:t>
                  </w:r>
                  <w:r>
                    <w:rPr>
                      <w:rFonts w:hint="eastAsia"/>
                      <w:b/>
                      <w:bCs/>
                      <w:szCs w:val="21"/>
                    </w:rPr>
                    <w:t>（</w:t>
                  </w:r>
                  <w:r>
                    <w:rPr>
                      <w:b/>
                      <w:bCs/>
                      <w:szCs w:val="21"/>
                    </w:rPr>
                    <w:t>mg/m</w:t>
                  </w:r>
                  <w:r>
                    <w:rPr>
                      <w:b/>
                      <w:bCs/>
                      <w:szCs w:val="21"/>
                      <w:vertAlign w:val="superscript"/>
                    </w:rPr>
                    <w:t>3</w:t>
                  </w:r>
                  <w:r>
                    <w:rPr>
                      <w:rFonts w:hint="eastAsia"/>
                      <w:b/>
                      <w:bCs/>
                      <w:szCs w:val="21"/>
                    </w:rPr>
                    <w:t>）</w:t>
                  </w:r>
                </w:p>
              </w:tc>
              <w:tc>
                <w:tcPr>
                  <w:tcW w:w="0" w:type="auto"/>
                  <w:vMerge w:val="restart"/>
                  <w:vAlign w:val="center"/>
                </w:tcPr>
                <w:p>
                  <w:pPr>
                    <w:adjustRightInd w:val="0"/>
                    <w:snapToGrid w:val="0"/>
                    <w:jc w:val="center"/>
                    <w:rPr>
                      <w:b/>
                      <w:bCs/>
                      <w:szCs w:val="21"/>
                    </w:rPr>
                  </w:pPr>
                  <w:r>
                    <w:rPr>
                      <w:b/>
                      <w:bCs/>
                      <w:szCs w:val="21"/>
                    </w:rPr>
                    <w:t>执行标准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0" w:type="auto"/>
                  <w:vMerge w:val="continue"/>
                  <w:vAlign w:val="center"/>
                </w:tcPr>
                <w:p>
                  <w:pPr>
                    <w:adjustRightInd w:val="0"/>
                    <w:snapToGrid w:val="0"/>
                    <w:jc w:val="center"/>
                  </w:pPr>
                </w:p>
              </w:tc>
              <w:tc>
                <w:tcPr>
                  <w:tcW w:w="0" w:type="auto"/>
                  <w:vMerge w:val="continue"/>
                  <w:vAlign w:val="center"/>
                </w:tcPr>
                <w:p>
                  <w:pPr>
                    <w:adjustRightInd w:val="0"/>
                    <w:snapToGrid w:val="0"/>
                    <w:jc w:val="center"/>
                  </w:pPr>
                </w:p>
              </w:tc>
              <w:tc>
                <w:tcPr>
                  <w:tcW w:w="0" w:type="auto"/>
                  <w:vMerge w:val="continue"/>
                  <w:vAlign w:val="center"/>
                </w:tcPr>
                <w:p>
                  <w:pPr>
                    <w:adjustRightInd w:val="0"/>
                    <w:snapToGrid w:val="0"/>
                    <w:jc w:val="center"/>
                  </w:pPr>
                </w:p>
              </w:tc>
              <w:tc>
                <w:tcPr>
                  <w:tcW w:w="0" w:type="auto"/>
                  <w:vAlign w:val="center"/>
                </w:tcPr>
                <w:p>
                  <w:pPr>
                    <w:adjustRightInd w:val="0"/>
                    <w:snapToGrid w:val="0"/>
                    <w:jc w:val="center"/>
                    <w:rPr>
                      <w:b/>
                      <w:bCs/>
                      <w:szCs w:val="21"/>
                    </w:rPr>
                  </w:pPr>
                  <w:r>
                    <w:rPr>
                      <w:b/>
                      <w:bCs/>
                      <w:szCs w:val="21"/>
                    </w:rPr>
                    <w:t>最高允许排放浓度（mg/m</w:t>
                  </w:r>
                  <w:r>
                    <w:rPr>
                      <w:b/>
                      <w:bCs/>
                      <w:szCs w:val="21"/>
                      <w:vertAlign w:val="superscript"/>
                    </w:rPr>
                    <w:t>3</w:t>
                  </w:r>
                  <w:r>
                    <w:rPr>
                      <w:b/>
                      <w:bCs/>
                      <w:szCs w:val="21"/>
                    </w:rPr>
                    <w:t>）</w:t>
                  </w:r>
                </w:p>
              </w:tc>
              <w:tc>
                <w:tcPr>
                  <w:tcW w:w="0" w:type="auto"/>
                  <w:vAlign w:val="center"/>
                </w:tcPr>
                <w:p>
                  <w:pPr>
                    <w:adjustRightInd w:val="0"/>
                    <w:snapToGrid w:val="0"/>
                    <w:jc w:val="center"/>
                    <w:rPr>
                      <w:b/>
                      <w:bCs/>
                      <w:szCs w:val="21"/>
                    </w:rPr>
                  </w:pPr>
                  <w:r>
                    <w:rPr>
                      <w:b/>
                      <w:bCs/>
                      <w:szCs w:val="21"/>
                    </w:rPr>
                    <w:t>最高允许排放速率（kg/h）</w:t>
                  </w:r>
                </w:p>
              </w:tc>
              <w:tc>
                <w:tcPr>
                  <w:tcW w:w="0" w:type="auto"/>
                  <w:vMerge w:val="continue"/>
                  <w:vAlign w:val="center"/>
                </w:tcPr>
                <w:p>
                  <w:pPr>
                    <w:adjustRightInd w:val="0"/>
                    <w:snapToGrid w:val="0"/>
                    <w:jc w:val="center"/>
                    <w:rPr>
                      <w:b/>
                      <w:bCs/>
                      <w:szCs w:val="21"/>
                    </w:rPr>
                  </w:pPr>
                </w:p>
              </w:tc>
              <w:tc>
                <w:tcPr>
                  <w:tcW w:w="0" w:type="auto"/>
                  <w:vMerge w:val="continue"/>
                  <w:vAlign w:val="center"/>
                </w:tcPr>
                <w:p>
                  <w:pPr>
                    <w:adjustRightInd w:val="0"/>
                    <w:snapToGrid w:val="0"/>
                    <w:jc w:val="center"/>
                    <w:rPr>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0" w:type="auto"/>
                  <w:vMerge w:val="restart"/>
                  <w:vAlign w:val="center"/>
                </w:tcPr>
                <w:p>
                  <w:pPr>
                    <w:adjustRightInd w:val="0"/>
                    <w:snapToGrid w:val="0"/>
                    <w:jc w:val="center"/>
                    <w:rPr>
                      <w:color w:val="FF0000"/>
                      <w:szCs w:val="21"/>
                    </w:rPr>
                  </w:pPr>
                  <w:r>
                    <w:rPr>
                      <w:rFonts w:hint="eastAsia"/>
                      <w:bCs/>
                      <w:szCs w:val="21"/>
                    </w:rPr>
                    <w:t>密炼、开炼和模压等工序</w:t>
                  </w:r>
                </w:p>
              </w:tc>
              <w:tc>
                <w:tcPr>
                  <w:tcW w:w="0" w:type="auto"/>
                  <w:vMerge w:val="restart"/>
                  <w:vAlign w:val="center"/>
                </w:tcPr>
                <w:p>
                  <w:pPr>
                    <w:adjustRightInd w:val="0"/>
                    <w:snapToGrid w:val="0"/>
                    <w:jc w:val="center"/>
                    <w:rPr>
                      <w:color w:val="auto"/>
                      <w:szCs w:val="21"/>
                    </w:rPr>
                  </w:pPr>
                  <w:r>
                    <w:rPr>
                      <w:rFonts w:hint="eastAsia"/>
                      <w:color w:val="auto"/>
                      <w:szCs w:val="21"/>
                    </w:rPr>
                    <w:t>15</w:t>
                  </w:r>
                </w:p>
              </w:tc>
              <w:tc>
                <w:tcPr>
                  <w:tcW w:w="0" w:type="auto"/>
                  <w:vAlign w:val="center"/>
                </w:tcPr>
                <w:p>
                  <w:pPr>
                    <w:adjustRightInd w:val="0"/>
                    <w:snapToGrid w:val="0"/>
                    <w:jc w:val="center"/>
                    <w:rPr>
                      <w:color w:val="auto"/>
                      <w:szCs w:val="21"/>
                    </w:rPr>
                  </w:pPr>
                  <w:r>
                    <w:rPr>
                      <w:rFonts w:hint="eastAsia"/>
                      <w:color w:val="auto"/>
                      <w:szCs w:val="21"/>
                    </w:rPr>
                    <w:t>TVOC</w:t>
                  </w:r>
                  <w:r>
                    <w:rPr>
                      <w:rFonts w:hint="eastAsia"/>
                      <w:color w:val="auto"/>
                      <w:szCs w:val="21"/>
                      <w:vertAlign w:val="superscript"/>
                    </w:rPr>
                    <w:t>①</w:t>
                  </w:r>
                </w:p>
                <w:p>
                  <w:pPr>
                    <w:adjustRightInd w:val="0"/>
                    <w:snapToGrid w:val="0"/>
                    <w:jc w:val="center"/>
                    <w:rPr>
                      <w:color w:val="auto"/>
                      <w:szCs w:val="21"/>
                      <w:vertAlign w:val="superscript"/>
                    </w:rPr>
                  </w:pPr>
                  <w:r>
                    <w:rPr>
                      <w:rFonts w:hint="eastAsia"/>
                      <w:color w:val="auto"/>
                      <w:szCs w:val="21"/>
                    </w:rPr>
                    <w:t>（非甲烷总烃）</w:t>
                  </w:r>
                </w:p>
              </w:tc>
              <w:tc>
                <w:tcPr>
                  <w:tcW w:w="0" w:type="auto"/>
                  <w:vAlign w:val="center"/>
                </w:tcPr>
                <w:p>
                  <w:pPr>
                    <w:adjustRightInd w:val="0"/>
                    <w:snapToGrid w:val="0"/>
                    <w:jc w:val="center"/>
                    <w:rPr>
                      <w:bCs/>
                      <w:color w:val="auto"/>
                      <w:szCs w:val="21"/>
                    </w:rPr>
                  </w:pPr>
                  <w:r>
                    <w:rPr>
                      <w:rFonts w:hint="eastAsia"/>
                      <w:bCs/>
                      <w:color w:val="auto"/>
                      <w:szCs w:val="21"/>
                    </w:rPr>
                    <w:t>10</w:t>
                  </w:r>
                </w:p>
              </w:tc>
              <w:tc>
                <w:tcPr>
                  <w:tcW w:w="0" w:type="auto"/>
                  <w:vAlign w:val="center"/>
                </w:tcPr>
                <w:p>
                  <w:pPr>
                    <w:adjustRightInd w:val="0"/>
                    <w:snapToGrid w:val="0"/>
                    <w:jc w:val="center"/>
                    <w:rPr>
                      <w:bCs/>
                      <w:color w:val="auto"/>
                      <w:szCs w:val="21"/>
                    </w:rPr>
                  </w:pPr>
                  <w:r>
                    <w:rPr>
                      <w:rFonts w:hint="eastAsia"/>
                      <w:bCs/>
                      <w:color w:val="auto"/>
                      <w:szCs w:val="21"/>
                    </w:rPr>
                    <w:t>/</w:t>
                  </w:r>
                </w:p>
              </w:tc>
              <w:tc>
                <w:tcPr>
                  <w:tcW w:w="0" w:type="auto"/>
                  <w:vAlign w:val="center"/>
                </w:tcPr>
                <w:p>
                  <w:pPr>
                    <w:adjustRightInd w:val="0"/>
                    <w:snapToGrid w:val="0"/>
                    <w:jc w:val="center"/>
                    <w:rPr>
                      <w:bCs/>
                      <w:color w:val="auto"/>
                      <w:szCs w:val="21"/>
                    </w:rPr>
                  </w:pPr>
                  <w:r>
                    <w:rPr>
                      <w:bCs/>
                      <w:color w:val="auto"/>
                      <w:szCs w:val="21"/>
                    </w:rPr>
                    <w:t>4.0</w:t>
                  </w:r>
                </w:p>
              </w:tc>
              <w:tc>
                <w:tcPr>
                  <w:tcW w:w="0" w:type="auto"/>
                  <w:vMerge w:val="restart"/>
                  <w:vAlign w:val="center"/>
                </w:tcPr>
                <w:p>
                  <w:pPr>
                    <w:adjustRightInd w:val="0"/>
                    <w:snapToGrid w:val="0"/>
                    <w:rPr>
                      <w:color w:val="auto"/>
                    </w:rPr>
                  </w:pPr>
                  <w:r>
                    <w:rPr>
                      <w:color w:val="auto"/>
                    </w:rPr>
                    <w:t>《</w:t>
                  </w:r>
                  <w:r>
                    <w:rPr>
                      <w:rFonts w:hint="eastAsia"/>
                      <w:color w:val="auto"/>
                    </w:rPr>
                    <w:t>橡胶制品工业污染物排放标准》（GB27632-2011）表5、表6标准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0" w:type="auto"/>
                  <w:vMerge w:val="continue"/>
                  <w:vAlign w:val="center"/>
                </w:tcPr>
                <w:p>
                  <w:pPr>
                    <w:adjustRightInd w:val="0"/>
                    <w:snapToGrid w:val="0"/>
                    <w:jc w:val="center"/>
                    <w:rPr>
                      <w:rFonts w:hint="eastAsia"/>
                      <w:bCs/>
                      <w:szCs w:val="21"/>
                    </w:rPr>
                  </w:pPr>
                </w:p>
              </w:tc>
              <w:tc>
                <w:tcPr>
                  <w:tcW w:w="0" w:type="auto"/>
                  <w:vMerge w:val="continue"/>
                  <w:vAlign w:val="center"/>
                </w:tcPr>
                <w:p>
                  <w:pPr>
                    <w:adjustRightInd w:val="0"/>
                    <w:snapToGrid w:val="0"/>
                    <w:jc w:val="center"/>
                    <w:rPr>
                      <w:rFonts w:hint="eastAsia"/>
                      <w:color w:val="auto"/>
                      <w:szCs w:val="21"/>
                    </w:rPr>
                  </w:pPr>
                </w:p>
              </w:tc>
              <w:tc>
                <w:tcPr>
                  <w:tcW w:w="0" w:type="auto"/>
                  <w:vAlign w:val="center"/>
                </w:tcPr>
                <w:p>
                  <w:pPr>
                    <w:adjustRightInd w:val="0"/>
                    <w:snapToGrid w:val="0"/>
                    <w:jc w:val="center"/>
                    <w:rPr>
                      <w:rFonts w:hint="eastAsia" w:eastAsia="宋体"/>
                      <w:color w:val="auto"/>
                      <w:szCs w:val="21"/>
                      <w:lang w:val="en-US" w:eastAsia="zh-CN"/>
                    </w:rPr>
                  </w:pPr>
                  <w:r>
                    <w:rPr>
                      <w:rFonts w:hint="eastAsia"/>
                      <w:color w:val="auto"/>
                      <w:szCs w:val="21"/>
                      <w:lang w:val="en-US" w:eastAsia="zh-CN"/>
                    </w:rPr>
                    <w:t>颗粒物</w:t>
                  </w:r>
                </w:p>
              </w:tc>
              <w:tc>
                <w:tcPr>
                  <w:tcW w:w="0" w:type="auto"/>
                  <w:vAlign w:val="center"/>
                </w:tcPr>
                <w:p>
                  <w:pPr>
                    <w:adjustRightInd w:val="0"/>
                    <w:snapToGrid w:val="0"/>
                    <w:jc w:val="center"/>
                    <w:rPr>
                      <w:rFonts w:hint="default" w:eastAsia="宋体"/>
                      <w:bCs/>
                      <w:color w:val="auto"/>
                      <w:szCs w:val="21"/>
                      <w:lang w:val="en-US" w:eastAsia="zh-CN"/>
                    </w:rPr>
                  </w:pPr>
                  <w:r>
                    <w:rPr>
                      <w:rFonts w:hint="eastAsia"/>
                      <w:bCs/>
                      <w:color w:val="auto"/>
                      <w:szCs w:val="21"/>
                      <w:lang w:val="en-US" w:eastAsia="zh-CN"/>
                    </w:rPr>
                    <w:t>12</w:t>
                  </w:r>
                </w:p>
              </w:tc>
              <w:tc>
                <w:tcPr>
                  <w:tcW w:w="0" w:type="auto"/>
                  <w:vAlign w:val="center"/>
                </w:tcPr>
                <w:p>
                  <w:pPr>
                    <w:adjustRightInd w:val="0"/>
                    <w:snapToGrid w:val="0"/>
                    <w:jc w:val="center"/>
                    <w:rPr>
                      <w:rFonts w:hint="eastAsia" w:ascii="Times New Roman" w:hAnsi="Times New Roman" w:eastAsia="宋体" w:cs="Times New Roman"/>
                      <w:bCs/>
                      <w:color w:val="auto"/>
                      <w:sz w:val="21"/>
                      <w:szCs w:val="21"/>
                      <w:vertAlign w:val="superscript"/>
                      <w:lang w:val="en-US" w:eastAsia="zh-CN" w:bidi="ar-SA"/>
                    </w:rPr>
                  </w:pPr>
                  <w:r>
                    <w:rPr>
                      <w:rFonts w:hint="eastAsia"/>
                      <w:bCs/>
                      <w:color w:val="auto"/>
                      <w:szCs w:val="21"/>
                    </w:rPr>
                    <w:t>/</w:t>
                  </w:r>
                </w:p>
              </w:tc>
              <w:tc>
                <w:tcPr>
                  <w:tcW w:w="0" w:type="auto"/>
                  <w:vAlign w:val="center"/>
                </w:tcPr>
                <w:p>
                  <w:pPr>
                    <w:adjustRightInd w:val="0"/>
                    <w:snapToGrid w:val="0"/>
                    <w:jc w:val="center"/>
                    <w:rPr>
                      <w:rFonts w:ascii="Times New Roman" w:hAnsi="Times New Roman" w:eastAsia="宋体" w:cs="Times New Roman"/>
                      <w:bCs/>
                      <w:color w:val="auto"/>
                      <w:sz w:val="21"/>
                      <w:szCs w:val="21"/>
                      <w:lang w:val="en-US" w:eastAsia="zh-CN" w:bidi="ar-SA"/>
                    </w:rPr>
                  </w:pPr>
                  <w:r>
                    <w:rPr>
                      <w:rFonts w:hint="eastAsia"/>
                      <w:bCs/>
                      <w:color w:val="auto"/>
                      <w:szCs w:val="21"/>
                    </w:rPr>
                    <w:t>1.0</w:t>
                  </w:r>
                </w:p>
              </w:tc>
              <w:tc>
                <w:tcPr>
                  <w:tcW w:w="0" w:type="auto"/>
                  <w:vMerge w:val="continue"/>
                  <w:vAlign w:val="center"/>
                </w:tcPr>
                <w:p>
                  <w:pPr>
                    <w:adjustRightInd w:val="0"/>
                    <w:snapToGrid w:val="0"/>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0" w:type="auto"/>
                  <w:vAlign w:val="center"/>
                </w:tcPr>
                <w:p>
                  <w:pPr>
                    <w:adjustRightInd w:val="0"/>
                    <w:snapToGrid w:val="0"/>
                    <w:jc w:val="center"/>
                    <w:rPr>
                      <w:color w:val="FF0000"/>
                      <w:szCs w:val="21"/>
                    </w:rPr>
                  </w:pPr>
                  <w:r>
                    <w:rPr>
                      <w:rFonts w:hint="eastAsia"/>
                      <w:bCs/>
                      <w:szCs w:val="21"/>
                    </w:rPr>
                    <w:t>配料工序</w:t>
                  </w:r>
                </w:p>
              </w:tc>
              <w:tc>
                <w:tcPr>
                  <w:tcW w:w="0" w:type="auto"/>
                  <w:vAlign w:val="center"/>
                </w:tcPr>
                <w:p>
                  <w:pPr>
                    <w:adjustRightInd w:val="0"/>
                    <w:snapToGrid w:val="0"/>
                    <w:jc w:val="center"/>
                    <w:rPr>
                      <w:color w:val="auto"/>
                      <w:szCs w:val="21"/>
                    </w:rPr>
                  </w:pPr>
                  <w:r>
                    <w:rPr>
                      <w:rFonts w:hint="eastAsia"/>
                      <w:color w:val="auto"/>
                      <w:szCs w:val="21"/>
                    </w:rPr>
                    <w:t>15</w:t>
                  </w:r>
                </w:p>
              </w:tc>
              <w:tc>
                <w:tcPr>
                  <w:tcW w:w="0" w:type="auto"/>
                  <w:vAlign w:val="center"/>
                </w:tcPr>
                <w:p>
                  <w:pPr>
                    <w:adjustRightInd w:val="0"/>
                    <w:snapToGrid w:val="0"/>
                    <w:jc w:val="center"/>
                    <w:rPr>
                      <w:color w:val="auto"/>
                      <w:szCs w:val="21"/>
                    </w:rPr>
                  </w:pPr>
                  <w:r>
                    <w:rPr>
                      <w:rFonts w:hint="eastAsia"/>
                      <w:color w:val="auto"/>
                      <w:szCs w:val="21"/>
                    </w:rPr>
                    <w:t>颗粒物</w:t>
                  </w:r>
                </w:p>
              </w:tc>
              <w:tc>
                <w:tcPr>
                  <w:tcW w:w="0" w:type="auto"/>
                  <w:vAlign w:val="center"/>
                </w:tcPr>
                <w:p>
                  <w:pPr>
                    <w:adjustRightInd w:val="0"/>
                    <w:snapToGrid w:val="0"/>
                    <w:jc w:val="center"/>
                    <w:rPr>
                      <w:bCs/>
                      <w:color w:val="auto"/>
                      <w:szCs w:val="21"/>
                    </w:rPr>
                  </w:pPr>
                  <w:r>
                    <w:rPr>
                      <w:rFonts w:hint="eastAsia"/>
                      <w:bCs/>
                      <w:color w:val="auto"/>
                      <w:szCs w:val="21"/>
                    </w:rPr>
                    <w:t>12</w:t>
                  </w:r>
                </w:p>
              </w:tc>
              <w:tc>
                <w:tcPr>
                  <w:tcW w:w="0" w:type="auto"/>
                  <w:vAlign w:val="center"/>
                </w:tcPr>
                <w:p>
                  <w:pPr>
                    <w:adjustRightInd w:val="0"/>
                    <w:snapToGrid w:val="0"/>
                    <w:jc w:val="center"/>
                    <w:rPr>
                      <w:bCs/>
                      <w:color w:val="auto"/>
                      <w:szCs w:val="21"/>
                      <w:vertAlign w:val="superscript"/>
                    </w:rPr>
                  </w:pPr>
                  <w:r>
                    <w:rPr>
                      <w:rFonts w:hint="eastAsia"/>
                      <w:bCs/>
                      <w:color w:val="auto"/>
                      <w:szCs w:val="21"/>
                    </w:rPr>
                    <w:t>/</w:t>
                  </w:r>
                </w:p>
              </w:tc>
              <w:tc>
                <w:tcPr>
                  <w:tcW w:w="0" w:type="auto"/>
                  <w:vAlign w:val="center"/>
                </w:tcPr>
                <w:p>
                  <w:pPr>
                    <w:adjustRightInd w:val="0"/>
                    <w:snapToGrid w:val="0"/>
                    <w:jc w:val="center"/>
                    <w:rPr>
                      <w:bCs/>
                      <w:color w:val="auto"/>
                      <w:szCs w:val="21"/>
                    </w:rPr>
                  </w:pPr>
                  <w:r>
                    <w:rPr>
                      <w:rFonts w:hint="eastAsia"/>
                      <w:bCs/>
                      <w:color w:val="auto"/>
                      <w:szCs w:val="21"/>
                    </w:rPr>
                    <w:t>1.0</w:t>
                  </w:r>
                </w:p>
              </w:tc>
              <w:tc>
                <w:tcPr>
                  <w:tcW w:w="0" w:type="auto"/>
                  <w:vAlign w:val="center"/>
                </w:tcPr>
                <w:p>
                  <w:pPr>
                    <w:adjustRightInd w:val="0"/>
                    <w:snapToGrid w:val="0"/>
                    <w:rPr>
                      <w:bCs/>
                      <w:color w:val="auto"/>
                      <w:szCs w:val="21"/>
                    </w:rPr>
                  </w:pPr>
                  <w:r>
                    <w:rPr>
                      <w:color w:val="auto"/>
                    </w:rPr>
                    <w:t>《</w:t>
                  </w:r>
                  <w:r>
                    <w:rPr>
                      <w:rFonts w:hint="eastAsia"/>
                      <w:color w:val="auto"/>
                    </w:rPr>
                    <w:t>橡胶制品工业污染物排放标准》（GB27632-2011）表5、表6标准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0" w:type="auto"/>
                  <w:gridSpan w:val="7"/>
                  <w:vAlign w:val="center"/>
                </w:tcPr>
                <w:p>
                  <w:pPr>
                    <w:topLinePunct/>
                    <w:adjustRightInd w:val="0"/>
                    <w:snapToGrid w:val="0"/>
                    <w:ind w:firstLine="360" w:firstLineChars="200"/>
                    <w:jc w:val="left"/>
                    <w:rPr>
                      <w:sz w:val="18"/>
                      <w:szCs w:val="18"/>
                    </w:rPr>
                  </w:pPr>
                  <w:r>
                    <w:rPr>
                      <w:rFonts w:hint="eastAsia"/>
                      <w:sz w:val="18"/>
                      <w:szCs w:val="18"/>
                    </w:rPr>
                    <w:t>备注：</w:t>
                  </w:r>
                </w:p>
                <w:p>
                  <w:pPr>
                    <w:topLinePunct/>
                    <w:adjustRightInd w:val="0"/>
                    <w:snapToGrid w:val="0"/>
                    <w:ind w:firstLine="360" w:firstLineChars="200"/>
                    <w:jc w:val="left"/>
                    <w:rPr>
                      <w:bCs/>
                      <w:szCs w:val="21"/>
                    </w:rPr>
                  </w:pPr>
                  <w:r>
                    <w:rPr>
                      <w:rFonts w:hint="eastAsia"/>
                      <w:sz w:val="18"/>
                      <w:szCs w:val="18"/>
                    </w:rPr>
                    <w:t>①</w:t>
                  </w:r>
                  <w:r>
                    <w:rPr>
                      <w:sz w:val="18"/>
                      <w:szCs w:val="18"/>
                    </w:rPr>
                    <w:t>（</w:t>
                  </w:r>
                  <w:r>
                    <w:rPr>
                      <w:rFonts w:hint="eastAsia"/>
                      <w:sz w:val="18"/>
                      <w:szCs w:val="18"/>
                    </w:rPr>
                    <w:t>GB 27632-2011</w:t>
                  </w:r>
                  <w:r>
                    <w:rPr>
                      <w:sz w:val="18"/>
                      <w:szCs w:val="18"/>
                    </w:rPr>
                    <w:t>）</w:t>
                  </w:r>
                  <w:r>
                    <w:rPr>
                      <w:rFonts w:hint="eastAsia"/>
                      <w:sz w:val="18"/>
                      <w:szCs w:val="18"/>
                    </w:rPr>
                    <w:t>中以“非甲烷总烃”表征VOCs</w:t>
                  </w:r>
                </w:p>
              </w:tc>
            </w:tr>
          </w:tbl>
          <w:p>
            <w:pPr>
              <w:snapToGrid w:val="0"/>
              <w:spacing w:before="120" w:beforeLines="50" w:line="360" w:lineRule="auto"/>
              <w:ind w:firstLine="420" w:firstLineChars="200"/>
              <w:rPr>
                <w:szCs w:val="21"/>
              </w:rPr>
            </w:pPr>
            <w:r>
              <w:t>项目</w:t>
            </w:r>
            <w:r>
              <w:rPr>
                <w:rFonts w:hint="eastAsia"/>
              </w:rPr>
              <w:t>厂区内</w:t>
            </w:r>
            <w:r>
              <w:t>无组织排放的</w:t>
            </w:r>
            <w:r>
              <w:rPr>
                <w:rFonts w:hint="eastAsia"/>
              </w:rPr>
              <w:t>非甲烷总烃</w:t>
            </w:r>
            <w:r>
              <w:t>需同时满足</w:t>
            </w:r>
            <w:r>
              <w:rPr>
                <w:rFonts w:hint="eastAsia"/>
              </w:rPr>
              <w:t>广东省地方标准</w:t>
            </w:r>
            <w:r>
              <w:t>《</w:t>
            </w:r>
            <w:r>
              <w:rPr>
                <w:rFonts w:hint="eastAsia"/>
              </w:rPr>
              <w:t>固定污染物</w:t>
            </w:r>
            <w:r>
              <w:t>挥发性有机物</w:t>
            </w:r>
            <w:r>
              <w:rPr>
                <w:rFonts w:hint="eastAsia"/>
              </w:rPr>
              <w:t>综合</w:t>
            </w:r>
            <w:r>
              <w:t>排放标准》（</w:t>
            </w:r>
            <w:r>
              <w:rPr>
                <w:rFonts w:hint="eastAsia"/>
              </w:rPr>
              <w:t>DB 44/2367</w:t>
            </w:r>
            <w:r>
              <w:t>-20</w:t>
            </w:r>
            <w:r>
              <w:rPr>
                <w:rFonts w:hint="eastAsia"/>
              </w:rPr>
              <w:t>22</w:t>
            </w:r>
            <w:r>
              <w:t>）</w:t>
            </w:r>
            <w:r>
              <w:rPr>
                <w:rFonts w:hint="eastAsia"/>
              </w:rPr>
              <w:t>表3厂区内VOCs无组织排放限值</w:t>
            </w:r>
            <w:r>
              <w:t>，详见下表。</w:t>
            </w:r>
          </w:p>
          <w:p>
            <w:pPr>
              <w:adjustRightInd w:val="0"/>
              <w:snapToGrid w:val="0"/>
              <w:jc w:val="center"/>
              <w:rPr>
                <w:b/>
                <w:bCs/>
              </w:rPr>
            </w:pPr>
            <w:r>
              <w:rPr>
                <w:b/>
                <w:bCs/>
                <w:szCs w:val="21"/>
              </w:rPr>
              <w:t>表</w:t>
            </w:r>
            <w:r>
              <w:rPr>
                <w:rFonts w:hint="eastAsia"/>
                <w:b/>
                <w:bCs/>
                <w:szCs w:val="21"/>
              </w:rPr>
              <w:t>3-6</w:t>
            </w:r>
            <w:r>
              <w:rPr>
                <w:b/>
                <w:bCs/>
                <w:szCs w:val="21"/>
              </w:rPr>
              <w:t xml:space="preserve"> </w:t>
            </w:r>
            <w:r>
              <w:rPr>
                <w:b/>
                <w:bCs/>
              </w:rPr>
              <w:t>《</w:t>
            </w:r>
            <w:r>
              <w:rPr>
                <w:rFonts w:hint="eastAsia"/>
                <w:b/>
                <w:bCs/>
              </w:rPr>
              <w:t>固定污染物挥发性有机物综合排放标准</w:t>
            </w:r>
            <w:r>
              <w:rPr>
                <w:b/>
                <w:bCs/>
              </w:rPr>
              <w:t>》（</w:t>
            </w:r>
            <w:r>
              <w:rPr>
                <w:rFonts w:hint="eastAsia"/>
                <w:b/>
                <w:bCs/>
              </w:rPr>
              <w:t>DB 44/2367-2022</w:t>
            </w:r>
            <w:r>
              <w:rPr>
                <w:b/>
                <w:bCs/>
              </w:rPr>
              <w:t>）摘录 单位：mg/m</w:t>
            </w:r>
            <w:r>
              <w:rPr>
                <w:b/>
                <w:bCs/>
                <w:vertAlign w:val="superscript"/>
              </w:rPr>
              <w:t>3</w:t>
            </w:r>
          </w:p>
          <w:tbl>
            <w:tblPr>
              <w:tblStyle w:val="9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35"/>
              <w:gridCol w:w="1389"/>
              <w:gridCol w:w="3394"/>
              <w:gridCol w:w="27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849" w:type="pct"/>
                  <w:vAlign w:val="center"/>
                </w:tcPr>
                <w:p>
                  <w:pPr>
                    <w:pStyle w:val="941"/>
                    <w:spacing w:after="0"/>
                    <w:ind w:left="0" w:leftChars="0" w:firstLine="0" w:firstLineChars="0"/>
                    <w:jc w:val="center"/>
                    <w:rPr>
                      <w:b/>
                      <w:bCs/>
                      <w:sz w:val="21"/>
                      <w:szCs w:val="21"/>
                    </w:rPr>
                  </w:pPr>
                  <w:r>
                    <w:rPr>
                      <w:b/>
                      <w:bCs/>
                      <w:sz w:val="21"/>
                      <w:szCs w:val="21"/>
                    </w:rPr>
                    <w:t>污染物项目</w:t>
                  </w:r>
                </w:p>
              </w:tc>
              <w:tc>
                <w:tcPr>
                  <w:tcW w:w="768" w:type="pct"/>
                  <w:vAlign w:val="center"/>
                </w:tcPr>
                <w:p>
                  <w:pPr>
                    <w:pStyle w:val="941"/>
                    <w:spacing w:after="0"/>
                    <w:ind w:left="0" w:leftChars="0" w:firstLine="0" w:firstLineChars="0"/>
                    <w:jc w:val="center"/>
                    <w:rPr>
                      <w:b/>
                      <w:bCs/>
                      <w:sz w:val="21"/>
                      <w:szCs w:val="21"/>
                    </w:rPr>
                  </w:pPr>
                  <w:r>
                    <w:rPr>
                      <w:b/>
                      <w:bCs/>
                      <w:sz w:val="21"/>
                      <w:szCs w:val="21"/>
                    </w:rPr>
                    <w:t>排放限值</w:t>
                  </w:r>
                </w:p>
              </w:tc>
              <w:tc>
                <w:tcPr>
                  <w:tcW w:w="1877" w:type="pct"/>
                  <w:vAlign w:val="center"/>
                </w:tcPr>
                <w:p>
                  <w:pPr>
                    <w:pStyle w:val="941"/>
                    <w:spacing w:after="0"/>
                    <w:ind w:left="0" w:leftChars="0" w:firstLine="0" w:firstLineChars="0"/>
                    <w:jc w:val="center"/>
                    <w:rPr>
                      <w:b/>
                      <w:bCs/>
                      <w:sz w:val="21"/>
                      <w:szCs w:val="21"/>
                    </w:rPr>
                  </w:pPr>
                  <w:r>
                    <w:rPr>
                      <w:b/>
                      <w:bCs/>
                      <w:sz w:val="21"/>
                      <w:szCs w:val="21"/>
                    </w:rPr>
                    <w:t>限值含义</w:t>
                  </w:r>
                </w:p>
              </w:tc>
              <w:tc>
                <w:tcPr>
                  <w:tcW w:w="1505" w:type="pct"/>
                  <w:vAlign w:val="center"/>
                </w:tcPr>
                <w:p>
                  <w:pPr>
                    <w:pStyle w:val="941"/>
                    <w:spacing w:after="0"/>
                    <w:ind w:left="0" w:leftChars="0" w:firstLine="0" w:firstLineChars="0"/>
                    <w:jc w:val="center"/>
                    <w:rPr>
                      <w:b/>
                      <w:bCs/>
                      <w:sz w:val="21"/>
                      <w:szCs w:val="21"/>
                    </w:rPr>
                  </w:pPr>
                  <w:r>
                    <w:rPr>
                      <w:b/>
                      <w:bCs/>
                      <w:sz w:val="21"/>
                      <w:szCs w:val="21"/>
                    </w:rPr>
                    <w:t>无组织排放监控位置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49" w:type="pct"/>
                  <w:vMerge w:val="restart"/>
                  <w:vAlign w:val="center"/>
                </w:tcPr>
                <w:p>
                  <w:pPr>
                    <w:pStyle w:val="941"/>
                    <w:spacing w:after="0"/>
                    <w:ind w:left="0" w:leftChars="0" w:firstLine="0" w:firstLineChars="0"/>
                    <w:jc w:val="center"/>
                    <w:rPr>
                      <w:sz w:val="21"/>
                      <w:szCs w:val="21"/>
                    </w:rPr>
                  </w:pPr>
                  <w:r>
                    <w:rPr>
                      <w:sz w:val="21"/>
                      <w:szCs w:val="21"/>
                    </w:rPr>
                    <w:t>NMHC</w:t>
                  </w:r>
                </w:p>
              </w:tc>
              <w:tc>
                <w:tcPr>
                  <w:tcW w:w="768" w:type="pct"/>
                  <w:vAlign w:val="center"/>
                </w:tcPr>
                <w:p>
                  <w:pPr>
                    <w:pStyle w:val="941"/>
                    <w:spacing w:after="0"/>
                    <w:ind w:left="0" w:leftChars="0" w:firstLine="0" w:firstLineChars="0"/>
                    <w:jc w:val="center"/>
                    <w:rPr>
                      <w:sz w:val="21"/>
                      <w:szCs w:val="21"/>
                    </w:rPr>
                  </w:pPr>
                  <w:r>
                    <w:rPr>
                      <w:sz w:val="21"/>
                      <w:szCs w:val="21"/>
                    </w:rPr>
                    <w:t>6</w:t>
                  </w:r>
                </w:p>
              </w:tc>
              <w:tc>
                <w:tcPr>
                  <w:tcW w:w="1877" w:type="pct"/>
                  <w:vAlign w:val="center"/>
                </w:tcPr>
                <w:p>
                  <w:pPr>
                    <w:pStyle w:val="941"/>
                    <w:spacing w:after="0"/>
                    <w:ind w:left="0" w:leftChars="0" w:firstLine="0" w:firstLineChars="0"/>
                    <w:jc w:val="center"/>
                    <w:rPr>
                      <w:sz w:val="21"/>
                      <w:szCs w:val="21"/>
                    </w:rPr>
                  </w:pPr>
                  <w:r>
                    <w:rPr>
                      <w:sz w:val="21"/>
                      <w:szCs w:val="21"/>
                    </w:rPr>
                    <w:t>监控点处1</w:t>
                  </w:r>
                  <w:r>
                    <w:rPr>
                      <w:rFonts w:hint="eastAsia"/>
                      <w:sz w:val="21"/>
                      <w:szCs w:val="21"/>
                    </w:rPr>
                    <w:t>小时</w:t>
                  </w:r>
                  <w:r>
                    <w:rPr>
                      <w:sz w:val="21"/>
                      <w:szCs w:val="21"/>
                    </w:rPr>
                    <w:t>平均浓度值</w:t>
                  </w:r>
                </w:p>
              </w:tc>
              <w:tc>
                <w:tcPr>
                  <w:tcW w:w="1505" w:type="pct"/>
                  <w:vMerge w:val="restart"/>
                  <w:vAlign w:val="center"/>
                </w:tcPr>
                <w:p>
                  <w:pPr>
                    <w:pStyle w:val="941"/>
                    <w:spacing w:after="0"/>
                    <w:ind w:left="0" w:leftChars="0" w:firstLine="0" w:firstLineChars="0"/>
                    <w:jc w:val="center"/>
                    <w:rPr>
                      <w:sz w:val="21"/>
                      <w:szCs w:val="21"/>
                    </w:rPr>
                  </w:pPr>
                  <w:r>
                    <w:rPr>
                      <w:sz w:val="21"/>
                      <w:szCs w:val="21"/>
                    </w:rPr>
                    <w:t>在厂房外设置监控点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49" w:type="pct"/>
                  <w:vMerge w:val="continue"/>
                  <w:vAlign w:val="center"/>
                </w:tcPr>
                <w:p>
                  <w:pPr>
                    <w:jc w:val="left"/>
                    <w:rPr>
                      <w:szCs w:val="21"/>
                    </w:rPr>
                  </w:pPr>
                </w:p>
              </w:tc>
              <w:tc>
                <w:tcPr>
                  <w:tcW w:w="768" w:type="pct"/>
                  <w:vAlign w:val="center"/>
                </w:tcPr>
                <w:p>
                  <w:pPr>
                    <w:pStyle w:val="941"/>
                    <w:spacing w:after="0"/>
                    <w:ind w:left="0" w:leftChars="0" w:firstLine="0" w:firstLineChars="0"/>
                    <w:jc w:val="center"/>
                    <w:rPr>
                      <w:sz w:val="21"/>
                      <w:szCs w:val="21"/>
                    </w:rPr>
                  </w:pPr>
                  <w:r>
                    <w:rPr>
                      <w:sz w:val="21"/>
                      <w:szCs w:val="21"/>
                    </w:rPr>
                    <w:t>20</w:t>
                  </w:r>
                </w:p>
              </w:tc>
              <w:tc>
                <w:tcPr>
                  <w:tcW w:w="1877" w:type="pct"/>
                  <w:vAlign w:val="center"/>
                </w:tcPr>
                <w:p>
                  <w:pPr>
                    <w:pStyle w:val="941"/>
                    <w:spacing w:after="0"/>
                    <w:ind w:left="0" w:leftChars="0" w:firstLine="0" w:firstLineChars="0"/>
                    <w:jc w:val="center"/>
                    <w:rPr>
                      <w:sz w:val="21"/>
                      <w:szCs w:val="21"/>
                    </w:rPr>
                  </w:pPr>
                  <w:r>
                    <w:rPr>
                      <w:sz w:val="21"/>
                      <w:szCs w:val="21"/>
                    </w:rPr>
                    <w:t>监控点处任意一次浓度值</w:t>
                  </w:r>
                </w:p>
              </w:tc>
              <w:tc>
                <w:tcPr>
                  <w:tcW w:w="1505" w:type="pct"/>
                  <w:vMerge w:val="continue"/>
                  <w:vAlign w:val="center"/>
                </w:tcPr>
                <w:p>
                  <w:pPr>
                    <w:jc w:val="left"/>
                    <w:rPr>
                      <w:szCs w:val="21"/>
                    </w:rPr>
                  </w:pPr>
                </w:p>
              </w:tc>
            </w:tr>
          </w:tbl>
          <w:p>
            <w:pPr>
              <w:snapToGrid w:val="0"/>
              <w:spacing w:before="120" w:beforeLines="50" w:line="360" w:lineRule="auto"/>
              <w:ind w:firstLine="422" w:firstLineChars="200"/>
              <w:rPr>
                <w:b/>
                <w:szCs w:val="21"/>
              </w:rPr>
            </w:pPr>
            <w:r>
              <w:rPr>
                <w:rFonts w:hint="eastAsia"/>
                <w:b/>
                <w:szCs w:val="21"/>
              </w:rPr>
              <w:t>2</w:t>
            </w:r>
            <w:r>
              <w:rPr>
                <w:b/>
                <w:szCs w:val="21"/>
              </w:rPr>
              <w:t>、废水</w:t>
            </w:r>
            <w:r>
              <w:rPr>
                <w:rFonts w:hint="eastAsia"/>
                <w:b/>
                <w:szCs w:val="21"/>
              </w:rPr>
              <w:t>排放标准</w:t>
            </w:r>
          </w:p>
          <w:p>
            <w:pPr>
              <w:spacing w:line="360" w:lineRule="auto"/>
              <w:ind w:firstLine="420" w:firstLineChars="200"/>
              <w:rPr>
                <w:color w:val="auto"/>
                <w:szCs w:val="21"/>
              </w:rPr>
            </w:pPr>
            <w:r>
              <w:rPr>
                <w:rFonts w:hint="eastAsia" w:cs="宋体"/>
                <w:color w:val="auto"/>
                <w:lang w:val="zh-CN" w:bidi="ar"/>
              </w:rPr>
              <w:t>施工期生活污水依托附近村庄三级化粪池处理。</w:t>
            </w:r>
          </w:p>
          <w:p>
            <w:pPr>
              <w:spacing w:line="360" w:lineRule="auto"/>
              <w:ind w:firstLine="420" w:firstLineChars="200"/>
              <w:rPr>
                <w:bCs/>
                <w:szCs w:val="21"/>
              </w:rPr>
            </w:pPr>
            <w:r>
              <w:rPr>
                <w:color w:val="auto"/>
                <w:szCs w:val="21"/>
              </w:rPr>
              <w:t>本项目</w:t>
            </w:r>
            <w:r>
              <w:rPr>
                <w:rFonts w:hint="eastAsia"/>
                <w:color w:val="auto"/>
                <w:szCs w:val="21"/>
                <w:lang w:val="en-US" w:eastAsia="zh-CN"/>
              </w:rPr>
              <w:t>运营期</w:t>
            </w:r>
            <w:r>
              <w:rPr>
                <w:rFonts w:hint="eastAsia"/>
                <w:color w:val="auto"/>
                <w:szCs w:val="21"/>
              </w:rPr>
              <w:t>主要外排</w:t>
            </w:r>
            <w:r>
              <w:rPr>
                <w:color w:val="auto"/>
                <w:szCs w:val="21"/>
              </w:rPr>
              <w:t>污水为生活污水，</w:t>
            </w:r>
            <w:r>
              <w:rPr>
                <w:bCs/>
                <w:color w:val="auto"/>
                <w:szCs w:val="21"/>
              </w:rPr>
              <w:t>本项目属于</w:t>
            </w:r>
            <w:r>
              <w:rPr>
                <w:rFonts w:hint="eastAsia"/>
                <w:bCs/>
                <w:color w:val="auto"/>
                <w:szCs w:val="21"/>
              </w:rPr>
              <w:t>杨侨镇生活污水处理厂</w:t>
            </w:r>
            <w:r>
              <w:rPr>
                <w:color w:val="auto"/>
                <w:szCs w:val="21"/>
              </w:rPr>
              <w:t>纳污范围，</w:t>
            </w:r>
            <w:r>
              <w:rPr>
                <w:bCs/>
                <w:color w:val="auto"/>
                <w:szCs w:val="21"/>
              </w:rPr>
              <w:t>生活污水经</w:t>
            </w:r>
            <w:r>
              <w:rPr>
                <w:rFonts w:hint="eastAsia"/>
                <w:color w:val="auto"/>
              </w:rPr>
              <w:t>隔油隔渣池、</w:t>
            </w:r>
            <w:r>
              <w:rPr>
                <w:bCs/>
                <w:color w:val="auto"/>
                <w:szCs w:val="21"/>
              </w:rPr>
              <w:t>三级化粪池预处理</w:t>
            </w:r>
            <w:r>
              <w:rPr>
                <w:rFonts w:hint="eastAsia"/>
                <w:bCs/>
                <w:color w:val="auto"/>
                <w:szCs w:val="21"/>
              </w:rPr>
              <w:t>达到广东省《水污染物排放限值》（DB44/26-2001）第二时段三级标准后，纳入杨侨镇生活污水处理</w:t>
            </w:r>
            <w:r>
              <w:rPr>
                <w:rFonts w:hint="eastAsia"/>
                <w:bCs/>
                <w:szCs w:val="21"/>
              </w:rPr>
              <w:t>厂处理，处理达标后排入南蛇沥，然后汇入公庄河，最终排入东江，尾水排放执行广东省《水污染物排放限值》（DB44/26-2001）第二时段一级标准与《城镇污水处理厂污染物排放标准》（GB18918-2002）中的一级A标准两者较严值，具体指标详见下表</w:t>
            </w:r>
            <w:r>
              <w:rPr>
                <w:bCs/>
                <w:szCs w:val="21"/>
              </w:rPr>
              <w:t>。</w:t>
            </w:r>
          </w:p>
          <w:p>
            <w:pPr>
              <w:adjustRightInd w:val="0"/>
              <w:snapToGrid w:val="0"/>
              <w:jc w:val="center"/>
              <w:rPr>
                <w:b/>
                <w:szCs w:val="21"/>
              </w:rPr>
            </w:pPr>
            <w:r>
              <w:rPr>
                <w:b/>
                <w:bCs/>
                <w:szCs w:val="21"/>
              </w:rPr>
              <w:t>表</w:t>
            </w:r>
            <w:r>
              <w:rPr>
                <w:rFonts w:hint="eastAsia"/>
                <w:b/>
                <w:bCs/>
                <w:szCs w:val="21"/>
              </w:rPr>
              <w:t>3-7</w:t>
            </w:r>
            <w:r>
              <w:rPr>
                <w:b/>
                <w:bCs/>
                <w:szCs w:val="21"/>
              </w:rPr>
              <w:t xml:space="preserve"> </w:t>
            </w:r>
            <w:r>
              <w:rPr>
                <w:rFonts w:hint="eastAsia"/>
                <w:b/>
                <w:szCs w:val="21"/>
              </w:rPr>
              <w:t>水污染物排放标准</w:t>
            </w:r>
            <w:r>
              <w:rPr>
                <w:b/>
                <w:szCs w:val="21"/>
              </w:rPr>
              <w:t xml:space="preserve"> 单位：mg/L</w:t>
            </w:r>
          </w:p>
          <w:tbl>
            <w:tblPr>
              <w:tblStyle w:val="92"/>
              <w:tblW w:w="9046" w:type="dxa"/>
              <w:jc w:val="center"/>
              <w:tblLayout w:type="autofit"/>
              <w:tblCellMar>
                <w:top w:w="0" w:type="dxa"/>
                <w:left w:w="108" w:type="dxa"/>
                <w:bottom w:w="0" w:type="dxa"/>
                <w:right w:w="108" w:type="dxa"/>
              </w:tblCellMar>
            </w:tblPr>
            <w:tblGrid>
              <w:gridCol w:w="3787"/>
              <w:gridCol w:w="876"/>
              <w:gridCol w:w="789"/>
              <w:gridCol w:w="789"/>
              <w:gridCol w:w="874"/>
              <w:gridCol w:w="840"/>
              <w:gridCol w:w="1091"/>
            </w:tblGrid>
            <w:tr>
              <w:tblPrEx>
                <w:tblCellMar>
                  <w:top w:w="0" w:type="dxa"/>
                  <w:left w:w="108" w:type="dxa"/>
                  <w:bottom w:w="0" w:type="dxa"/>
                  <w:right w:w="108" w:type="dxa"/>
                </w:tblCellMar>
              </w:tblPrEx>
              <w:trPr>
                <w:trHeight w:val="254" w:hRule="atLeast"/>
                <w:jc w:val="center"/>
              </w:trPr>
              <w:tc>
                <w:tcPr>
                  <w:tcW w:w="2092" w:type="pct"/>
                  <w:tcBorders>
                    <w:top w:val="single" w:color="auto" w:sz="4" w:space="0"/>
                    <w:left w:val="single" w:color="auto" w:sz="4" w:space="0"/>
                    <w:bottom w:val="single" w:color="auto" w:sz="4" w:space="0"/>
                    <w:right w:val="single" w:color="auto" w:sz="4" w:space="0"/>
                  </w:tcBorders>
                  <w:vAlign w:val="center"/>
                </w:tcPr>
                <w:p>
                  <w:pPr>
                    <w:jc w:val="center"/>
                    <w:rPr>
                      <w:b/>
                      <w:szCs w:val="21"/>
                      <w:lang w:val="pl-PL"/>
                    </w:rPr>
                  </w:pPr>
                  <w:r>
                    <w:rPr>
                      <w:b/>
                      <w:szCs w:val="21"/>
                      <w:lang w:val="pl-PL"/>
                    </w:rPr>
                    <w:t>项目</w:t>
                  </w:r>
                </w:p>
              </w:tc>
              <w:tc>
                <w:tcPr>
                  <w:tcW w:w="484" w:type="pct"/>
                  <w:tcBorders>
                    <w:top w:val="single" w:color="auto" w:sz="4" w:space="0"/>
                    <w:left w:val="nil"/>
                    <w:bottom w:val="single" w:color="auto" w:sz="4" w:space="0"/>
                    <w:right w:val="single" w:color="auto" w:sz="4" w:space="0"/>
                  </w:tcBorders>
                  <w:vAlign w:val="center"/>
                </w:tcPr>
                <w:p>
                  <w:pPr>
                    <w:jc w:val="center"/>
                    <w:rPr>
                      <w:b/>
                      <w:szCs w:val="21"/>
                      <w:lang w:val="pl-PL"/>
                    </w:rPr>
                  </w:pPr>
                  <w:r>
                    <w:rPr>
                      <w:b/>
                      <w:szCs w:val="21"/>
                      <w:lang w:val="pl-PL"/>
                    </w:rPr>
                    <w:t>COD</w:t>
                  </w:r>
                  <w:r>
                    <w:rPr>
                      <w:b/>
                      <w:szCs w:val="21"/>
                      <w:vertAlign w:val="subscript"/>
                      <w:lang w:val="pl-PL"/>
                    </w:rPr>
                    <w:t>Cr</w:t>
                  </w:r>
                </w:p>
              </w:tc>
              <w:tc>
                <w:tcPr>
                  <w:tcW w:w="436" w:type="pct"/>
                  <w:tcBorders>
                    <w:top w:val="single" w:color="auto" w:sz="4" w:space="0"/>
                    <w:left w:val="nil"/>
                    <w:bottom w:val="single" w:color="auto" w:sz="4" w:space="0"/>
                    <w:right w:val="single" w:color="auto" w:sz="4" w:space="0"/>
                  </w:tcBorders>
                  <w:vAlign w:val="center"/>
                </w:tcPr>
                <w:p>
                  <w:pPr>
                    <w:jc w:val="center"/>
                    <w:rPr>
                      <w:b/>
                      <w:szCs w:val="21"/>
                      <w:lang w:val="pl-PL"/>
                    </w:rPr>
                  </w:pPr>
                  <w:r>
                    <w:rPr>
                      <w:b/>
                      <w:szCs w:val="21"/>
                      <w:lang w:val="pl-PL"/>
                    </w:rPr>
                    <w:t>BOD</w:t>
                  </w:r>
                  <w:r>
                    <w:rPr>
                      <w:b/>
                      <w:szCs w:val="21"/>
                      <w:vertAlign w:val="subscript"/>
                      <w:lang w:val="pl-PL"/>
                    </w:rPr>
                    <w:t>5</w:t>
                  </w:r>
                </w:p>
              </w:tc>
              <w:tc>
                <w:tcPr>
                  <w:tcW w:w="436" w:type="pct"/>
                  <w:tcBorders>
                    <w:top w:val="single" w:color="auto" w:sz="4" w:space="0"/>
                    <w:left w:val="nil"/>
                    <w:bottom w:val="single" w:color="auto" w:sz="4" w:space="0"/>
                    <w:right w:val="single" w:color="auto" w:sz="4" w:space="0"/>
                  </w:tcBorders>
                  <w:vAlign w:val="center"/>
                </w:tcPr>
                <w:p>
                  <w:pPr>
                    <w:jc w:val="center"/>
                    <w:rPr>
                      <w:b/>
                      <w:szCs w:val="21"/>
                      <w:lang w:val="pl-PL"/>
                    </w:rPr>
                  </w:pPr>
                  <w:r>
                    <w:rPr>
                      <w:b/>
                      <w:szCs w:val="21"/>
                      <w:lang w:val="pl-PL"/>
                    </w:rPr>
                    <w:t>SS</w:t>
                  </w:r>
                </w:p>
              </w:tc>
              <w:tc>
                <w:tcPr>
                  <w:tcW w:w="483" w:type="pct"/>
                  <w:tcBorders>
                    <w:top w:val="single" w:color="auto" w:sz="4" w:space="0"/>
                    <w:left w:val="nil"/>
                    <w:bottom w:val="single" w:color="auto" w:sz="4" w:space="0"/>
                    <w:right w:val="single" w:color="auto" w:sz="4" w:space="0"/>
                  </w:tcBorders>
                  <w:vAlign w:val="center"/>
                </w:tcPr>
                <w:p>
                  <w:pPr>
                    <w:jc w:val="center"/>
                    <w:rPr>
                      <w:b/>
                      <w:szCs w:val="21"/>
                      <w:lang w:val="pl-PL"/>
                    </w:rPr>
                  </w:pPr>
                  <w:r>
                    <w:rPr>
                      <w:b/>
                      <w:szCs w:val="21"/>
                      <w:lang w:val="pl-PL"/>
                    </w:rPr>
                    <w:t>NH</w:t>
                  </w:r>
                  <w:r>
                    <w:rPr>
                      <w:b/>
                      <w:szCs w:val="21"/>
                      <w:vertAlign w:val="subscript"/>
                      <w:lang w:val="pl-PL"/>
                    </w:rPr>
                    <w:t>3</w:t>
                  </w:r>
                  <w:r>
                    <w:rPr>
                      <w:b/>
                      <w:szCs w:val="21"/>
                      <w:lang w:val="pl-PL"/>
                    </w:rPr>
                    <w:t>-N</w:t>
                  </w:r>
                </w:p>
              </w:tc>
              <w:tc>
                <w:tcPr>
                  <w:tcW w:w="464" w:type="pct"/>
                  <w:tcBorders>
                    <w:top w:val="single" w:color="auto" w:sz="4" w:space="0"/>
                    <w:left w:val="nil"/>
                    <w:bottom w:val="single" w:color="auto" w:sz="4" w:space="0"/>
                    <w:right w:val="single" w:color="auto" w:sz="4" w:space="0"/>
                  </w:tcBorders>
                  <w:vAlign w:val="center"/>
                </w:tcPr>
                <w:p>
                  <w:pPr>
                    <w:jc w:val="center"/>
                    <w:rPr>
                      <w:b/>
                      <w:szCs w:val="21"/>
                      <w:lang w:val="pl-PL"/>
                    </w:rPr>
                  </w:pPr>
                  <w:r>
                    <w:rPr>
                      <w:b/>
                      <w:szCs w:val="21"/>
                      <w:lang w:val="pl-PL"/>
                    </w:rPr>
                    <w:t>TP</w:t>
                  </w:r>
                </w:p>
              </w:tc>
              <w:tc>
                <w:tcPr>
                  <w:tcW w:w="603" w:type="pct"/>
                  <w:tcBorders>
                    <w:top w:val="single" w:color="auto" w:sz="4" w:space="0"/>
                    <w:left w:val="nil"/>
                    <w:bottom w:val="single" w:color="auto" w:sz="4" w:space="0"/>
                    <w:right w:val="single" w:color="auto" w:sz="4" w:space="0"/>
                  </w:tcBorders>
                  <w:vAlign w:val="center"/>
                </w:tcPr>
                <w:p>
                  <w:pPr>
                    <w:jc w:val="center"/>
                    <w:rPr>
                      <w:b/>
                      <w:color w:val="auto"/>
                      <w:szCs w:val="21"/>
                    </w:rPr>
                  </w:pPr>
                  <w:r>
                    <w:rPr>
                      <w:rFonts w:hint="eastAsia"/>
                      <w:b/>
                      <w:color w:val="auto"/>
                      <w:szCs w:val="21"/>
                    </w:rPr>
                    <w:t>动植物油</w:t>
                  </w:r>
                </w:p>
              </w:tc>
            </w:tr>
            <w:tr>
              <w:tblPrEx>
                <w:tblCellMar>
                  <w:top w:w="0" w:type="dxa"/>
                  <w:left w:w="108" w:type="dxa"/>
                  <w:bottom w:w="0" w:type="dxa"/>
                  <w:right w:w="108" w:type="dxa"/>
                </w:tblCellMar>
              </w:tblPrEx>
              <w:trPr>
                <w:trHeight w:val="266" w:hRule="atLeast"/>
                <w:jc w:val="center"/>
              </w:trPr>
              <w:tc>
                <w:tcPr>
                  <w:tcW w:w="2092" w:type="pct"/>
                  <w:tcBorders>
                    <w:top w:val="single" w:color="auto" w:sz="4" w:space="0"/>
                    <w:left w:val="single" w:color="auto" w:sz="4" w:space="0"/>
                    <w:bottom w:val="single" w:color="auto" w:sz="4" w:space="0"/>
                    <w:right w:val="single" w:color="auto" w:sz="4" w:space="0"/>
                  </w:tcBorders>
                  <w:vAlign w:val="center"/>
                </w:tcPr>
                <w:p>
                  <w:pPr>
                    <w:jc w:val="center"/>
                    <w:rPr>
                      <w:bCs/>
                      <w:szCs w:val="21"/>
                      <w:lang w:val="pl-PL"/>
                    </w:rPr>
                  </w:pPr>
                  <w:r>
                    <w:rPr>
                      <w:rFonts w:hint="eastAsia"/>
                      <w:bCs/>
                      <w:szCs w:val="21"/>
                      <w:lang w:val="pl-PL"/>
                    </w:rPr>
                    <w:t>《水污染物排放限值》（DB44/26-2001）第二时段三级标准</w:t>
                  </w:r>
                </w:p>
              </w:tc>
              <w:tc>
                <w:tcPr>
                  <w:tcW w:w="484" w:type="pct"/>
                  <w:tcBorders>
                    <w:top w:val="single" w:color="auto" w:sz="4" w:space="0"/>
                    <w:left w:val="nil"/>
                    <w:bottom w:val="single" w:color="auto" w:sz="4" w:space="0"/>
                    <w:right w:val="single" w:color="auto" w:sz="4" w:space="0"/>
                  </w:tcBorders>
                  <w:vAlign w:val="center"/>
                </w:tcPr>
                <w:p>
                  <w:pPr>
                    <w:jc w:val="center"/>
                    <w:rPr>
                      <w:bCs/>
                      <w:szCs w:val="21"/>
                      <w:lang w:val="pl-PL"/>
                    </w:rPr>
                  </w:pPr>
                  <w:r>
                    <w:rPr>
                      <w:rFonts w:hint="eastAsia"/>
                      <w:bCs/>
                      <w:szCs w:val="21"/>
                      <w:lang w:val="pl-PL"/>
                    </w:rPr>
                    <w:t>≤</w:t>
                  </w:r>
                  <w:r>
                    <w:rPr>
                      <w:bCs/>
                      <w:szCs w:val="21"/>
                      <w:lang w:val="pl-PL"/>
                    </w:rPr>
                    <w:t>500</w:t>
                  </w:r>
                </w:p>
              </w:tc>
              <w:tc>
                <w:tcPr>
                  <w:tcW w:w="436" w:type="pct"/>
                  <w:tcBorders>
                    <w:top w:val="single" w:color="auto" w:sz="4" w:space="0"/>
                    <w:left w:val="nil"/>
                    <w:bottom w:val="single" w:color="auto" w:sz="4" w:space="0"/>
                    <w:right w:val="single" w:color="auto" w:sz="4" w:space="0"/>
                  </w:tcBorders>
                  <w:vAlign w:val="center"/>
                </w:tcPr>
                <w:p>
                  <w:pPr>
                    <w:jc w:val="center"/>
                    <w:rPr>
                      <w:bCs/>
                      <w:szCs w:val="21"/>
                      <w:lang w:val="pl-PL"/>
                    </w:rPr>
                  </w:pPr>
                  <w:r>
                    <w:rPr>
                      <w:rFonts w:hint="eastAsia"/>
                      <w:bCs/>
                      <w:szCs w:val="21"/>
                      <w:lang w:val="pl-PL"/>
                    </w:rPr>
                    <w:t>≤</w:t>
                  </w:r>
                  <w:r>
                    <w:rPr>
                      <w:bCs/>
                      <w:szCs w:val="21"/>
                      <w:lang w:val="pl-PL"/>
                    </w:rPr>
                    <w:t>300</w:t>
                  </w:r>
                </w:p>
              </w:tc>
              <w:tc>
                <w:tcPr>
                  <w:tcW w:w="436" w:type="pct"/>
                  <w:tcBorders>
                    <w:top w:val="single" w:color="auto" w:sz="4" w:space="0"/>
                    <w:left w:val="nil"/>
                    <w:bottom w:val="single" w:color="auto" w:sz="4" w:space="0"/>
                    <w:right w:val="single" w:color="auto" w:sz="4" w:space="0"/>
                  </w:tcBorders>
                  <w:vAlign w:val="center"/>
                </w:tcPr>
                <w:p>
                  <w:pPr>
                    <w:jc w:val="center"/>
                    <w:rPr>
                      <w:bCs/>
                      <w:szCs w:val="21"/>
                      <w:lang w:val="pl-PL"/>
                    </w:rPr>
                  </w:pPr>
                  <w:r>
                    <w:rPr>
                      <w:rFonts w:hint="eastAsia"/>
                      <w:bCs/>
                      <w:szCs w:val="21"/>
                      <w:lang w:val="pl-PL"/>
                    </w:rPr>
                    <w:t>≤</w:t>
                  </w:r>
                  <w:r>
                    <w:rPr>
                      <w:bCs/>
                      <w:szCs w:val="21"/>
                      <w:lang w:val="pl-PL"/>
                    </w:rPr>
                    <w:t>400</w:t>
                  </w:r>
                </w:p>
              </w:tc>
              <w:tc>
                <w:tcPr>
                  <w:tcW w:w="483" w:type="pct"/>
                  <w:tcBorders>
                    <w:top w:val="single" w:color="auto" w:sz="4" w:space="0"/>
                    <w:left w:val="nil"/>
                    <w:bottom w:val="single" w:color="auto" w:sz="4" w:space="0"/>
                    <w:right w:val="single" w:color="auto" w:sz="4" w:space="0"/>
                  </w:tcBorders>
                  <w:vAlign w:val="center"/>
                </w:tcPr>
                <w:p>
                  <w:pPr>
                    <w:jc w:val="center"/>
                    <w:rPr>
                      <w:bCs/>
                      <w:szCs w:val="21"/>
                      <w:lang w:val="pl-PL"/>
                    </w:rPr>
                  </w:pPr>
                  <w:r>
                    <w:rPr>
                      <w:bCs/>
                      <w:szCs w:val="21"/>
                      <w:lang w:val="pl-PL"/>
                    </w:rPr>
                    <w:t>/</w:t>
                  </w:r>
                </w:p>
              </w:tc>
              <w:tc>
                <w:tcPr>
                  <w:tcW w:w="464" w:type="pct"/>
                  <w:tcBorders>
                    <w:top w:val="single" w:color="auto" w:sz="4" w:space="0"/>
                    <w:left w:val="nil"/>
                    <w:bottom w:val="single" w:color="auto" w:sz="4" w:space="0"/>
                    <w:right w:val="single" w:color="auto" w:sz="4" w:space="0"/>
                  </w:tcBorders>
                  <w:vAlign w:val="center"/>
                </w:tcPr>
                <w:p>
                  <w:pPr>
                    <w:jc w:val="center"/>
                    <w:rPr>
                      <w:bCs/>
                      <w:szCs w:val="21"/>
                      <w:lang w:val="pl-PL"/>
                    </w:rPr>
                  </w:pPr>
                  <w:r>
                    <w:rPr>
                      <w:bCs/>
                      <w:szCs w:val="21"/>
                      <w:lang w:val="pl-PL"/>
                    </w:rPr>
                    <w:t>/</w:t>
                  </w:r>
                </w:p>
              </w:tc>
              <w:tc>
                <w:tcPr>
                  <w:tcW w:w="603" w:type="pct"/>
                  <w:tcBorders>
                    <w:top w:val="single" w:color="auto" w:sz="4" w:space="0"/>
                    <w:left w:val="nil"/>
                    <w:bottom w:val="single" w:color="auto" w:sz="4" w:space="0"/>
                    <w:right w:val="single" w:color="auto" w:sz="4" w:space="0"/>
                  </w:tcBorders>
                  <w:vAlign w:val="center"/>
                </w:tcPr>
                <w:p>
                  <w:pPr>
                    <w:jc w:val="center"/>
                    <w:rPr>
                      <w:bCs/>
                      <w:color w:val="auto"/>
                      <w:szCs w:val="21"/>
                    </w:rPr>
                  </w:pPr>
                  <w:r>
                    <w:rPr>
                      <w:rFonts w:hint="eastAsia"/>
                      <w:bCs/>
                      <w:color w:val="auto"/>
                      <w:szCs w:val="21"/>
                      <w:lang w:val="pl-PL"/>
                    </w:rPr>
                    <w:t>≤</w:t>
                  </w:r>
                  <w:r>
                    <w:rPr>
                      <w:rFonts w:hint="eastAsia"/>
                      <w:bCs/>
                      <w:color w:val="auto"/>
                      <w:szCs w:val="21"/>
                    </w:rPr>
                    <w:t>100</w:t>
                  </w:r>
                </w:p>
              </w:tc>
            </w:tr>
            <w:tr>
              <w:tblPrEx>
                <w:tblCellMar>
                  <w:top w:w="0" w:type="dxa"/>
                  <w:left w:w="108" w:type="dxa"/>
                  <w:bottom w:w="0" w:type="dxa"/>
                  <w:right w:w="108" w:type="dxa"/>
                </w:tblCellMar>
              </w:tblPrEx>
              <w:trPr>
                <w:trHeight w:val="266" w:hRule="atLeast"/>
                <w:jc w:val="center"/>
              </w:trPr>
              <w:tc>
                <w:tcPr>
                  <w:tcW w:w="2092" w:type="pct"/>
                  <w:tcBorders>
                    <w:top w:val="single" w:color="auto" w:sz="4" w:space="0"/>
                    <w:left w:val="single" w:color="auto" w:sz="4" w:space="0"/>
                    <w:bottom w:val="single" w:color="auto" w:sz="4" w:space="0"/>
                    <w:right w:val="single" w:color="auto" w:sz="4" w:space="0"/>
                  </w:tcBorders>
                  <w:vAlign w:val="center"/>
                </w:tcPr>
                <w:p>
                  <w:pPr>
                    <w:jc w:val="center"/>
                    <w:rPr>
                      <w:bCs/>
                      <w:szCs w:val="21"/>
                      <w:lang w:val="pl-PL"/>
                    </w:rPr>
                  </w:pPr>
                  <w:r>
                    <w:rPr>
                      <w:rFonts w:hint="eastAsia"/>
                    </w:rPr>
                    <w:t>《水污染物排放限值》（DB44/26-2001）第二时段一级标准</w:t>
                  </w:r>
                </w:p>
              </w:tc>
              <w:tc>
                <w:tcPr>
                  <w:tcW w:w="484" w:type="pct"/>
                  <w:tcBorders>
                    <w:top w:val="single" w:color="auto" w:sz="4" w:space="0"/>
                    <w:left w:val="nil"/>
                    <w:bottom w:val="single" w:color="auto" w:sz="4" w:space="0"/>
                    <w:right w:val="single" w:color="auto" w:sz="4" w:space="0"/>
                  </w:tcBorders>
                  <w:vAlign w:val="center"/>
                </w:tcPr>
                <w:p>
                  <w:pPr>
                    <w:jc w:val="center"/>
                    <w:rPr>
                      <w:bCs/>
                      <w:szCs w:val="21"/>
                      <w:lang w:val="pl-PL"/>
                    </w:rPr>
                  </w:pPr>
                  <w:r>
                    <w:rPr>
                      <w:rFonts w:hint="eastAsia"/>
                      <w:bCs/>
                      <w:szCs w:val="21"/>
                      <w:lang w:val="pl-PL"/>
                    </w:rPr>
                    <w:t>≤</w:t>
                  </w:r>
                  <w:r>
                    <w:rPr>
                      <w:bCs/>
                      <w:szCs w:val="21"/>
                      <w:lang w:val="pl-PL"/>
                    </w:rPr>
                    <w:t>40</w:t>
                  </w:r>
                </w:p>
              </w:tc>
              <w:tc>
                <w:tcPr>
                  <w:tcW w:w="436" w:type="pct"/>
                  <w:tcBorders>
                    <w:top w:val="single" w:color="auto" w:sz="4" w:space="0"/>
                    <w:left w:val="nil"/>
                    <w:bottom w:val="single" w:color="auto" w:sz="4" w:space="0"/>
                    <w:right w:val="single" w:color="auto" w:sz="4" w:space="0"/>
                  </w:tcBorders>
                  <w:vAlign w:val="center"/>
                </w:tcPr>
                <w:p>
                  <w:pPr>
                    <w:jc w:val="center"/>
                    <w:rPr>
                      <w:bCs/>
                      <w:szCs w:val="21"/>
                      <w:lang w:val="pl-PL"/>
                    </w:rPr>
                  </w:pPr>
                  <w:r>
                    <w:rPr>
                      <w:rFonts w:hint="eastAsia"/>
                      <w:bCs/>
                      <w:szCs w:val="21"/>
                      <w:lang w:val="pl-PL"/>
                    </w:rPr>
                    <w:t>≤</w:t>
                  </w:r>
                  <w:r>
                    <w:rPr>
                      <w:bCs/>
                      <w:szCs w:val="21"/>
                      <w:lang w:val="pl-PL"/>
                    </w:rPr>
                    <w:t>20</w:t>
                  </w:r>
                </w:p>
              </w:tc>
              <w:tc>
                <w:tcPr>
                  <w:tcW w:w="436" w:type="pct"/>
                  <w:tcBorders>
                    <w:top w:val="single" w:color="auto" w:sz="4" w:space="0"/>
                    <w:left w:val="nil"/>
                    <w:bottom w:val="single" w:color="auto" w:sz="4" w:space="0"/>
                    <w:right w:val="single" w:color="auto" w:sz="4" w:space="0"/>
                  </w:tcBorders>
                  <w:vAlign w:val="center"/>
                </w:tcPr>
                <w:p>
                  <w:pPr>
                    <w:jc w:val="center"/>
                    <w:rPr>
                      <w:bCs/>
                      <w:szCs w:val="21"/>
                      <w:lang w:val="pl-PL"/>
                    </w:rPr>
                  </w:pPr>
                  <w:r>
                    <w:rPr>
                      <w:rFonts w:hint="eastAsia"/>
                      <w:bCs/>
                      <w:szCs w:val="21"/>
                      <w:lang w:val="pl-PL"/>
                    </w:rPr>
                    <w:t>≤</w:t>
                  </w:r>
                  <w:r>
                    <w:rPr>
                      <w:bCs/>
                      <w:szCs w:val="21"/>
                      <w:lang w:val="pl-PL"/>
                    </w:rPr>
                    <w:t>20</w:t>
                  </w:r>
                </w:p>
              </w:tc>
              <w:tc>
                <w:tcPr>
                  <w:tcW w:w="483" w:type="pct"/>
                  <w:tcBorders>
                    <w:top w:val="single" w:color="auto" w:sz="4" w:space="0"/>
                    <w:left w:val="nil"/>
                    <w:bottom w:val="single" w:color="auto" w:sz="4" w:space="0"/>
                    <w:right w:val="single" w:color="auto" w:sz="4" w:space="0"/>
                  </w:tcBorders>
                  <w:vAlign w:val="center"/>
                </w:tcPr>
                <w:p>
                  <w:pPr>
                    <w:jc w:val="center"/>
                    <w:rPr>
                      <w:bCs/>
                      <w:szCs w:val="21"/>
                      <w:lang w:val="pl-PL"/>
                    </w:rPr>
                  </w:pPr>
                  <w:r>
                    <w:rPr>
                      <w:rFonts w:hint="eastAsia"/>
                      <w:bCs/>
                      <w:szCs w:val="21"/>
                      <w:lang w:val="pl-PL"/>
                    </w:rPr>
                    <w:t>≤</w:t>
                  </w:r>
                  <w:r>
                    <w:rPr>
                      <w:bCs/>
                      <w:szCs w:val="21"/>
                      <w:lang w:val="pl-PL"/>
                    </w:rPr>
                    <w:t>10</w:t>
                  </w:r>
                </w:p>
              </w:tc>
              <w:tc>
                <w:tcPr>
                  <w:tcW w:w="464" w:type="pct"/>
                  <w:tcBorders>
                    <w:top w:val="single" w:color="auto" w:sz="4" w:space="0"/>
                    <w:left w:val="nil"/>
                    <w:bottom w:val="single" w:color="auto" w:sz="4" w:space="0"/>
                    <w:right w:val="single" w:color="auto" w:sz="4" w:space="0"/>
                  </w:tcBorders>
                  <w:vAlign w:val="center"/>
                </w:tcPr>
                <w:p>
                  <w:pPr>
                    <w:jc w:val="center"/>
                    <w:rPr>
                      <w:bCs/>
                      <w:szCs w:val="21"/>
                      <w:lang w:val="pl-PL"/>
                    </w:rPr>
                  </w:pPr>
                  <w:r>
                    <w:rPr>
                      <w:rFonts w:hint="eastAsia"/>
                      <w:bCs/>
                      <w:szCs w:val="21"/>
                      <w:lang w:val="pl-PL"/>
                    </w:rPr>
                    <w:t>≤</w:t>
                  </w:r>
                  <w:r>
                    <w:rPr>
                      <w:bCs/>
                      <w:szCs w:val="21"/>
                      <w:lang w:val="pl-PL"/>
                    </w:rPr>
                    <w:t>0.5</w:t>
                  </w:r>
                </w:p>
              </w:tc>
              <w:tc>
                <w:tcPr>
                  <w:tcW w:w="603" w:type="pct"/>
                  <w:tcBorders>
                    <w:top w:val="single" w:color="auto" w:sz="4" w:space="0"/>
                    <w:left w:val="nil"/>
                    <w:bottom w:val="single" w:color="auto" w:sz="4" w:space="0"/>
                    <w:right w:val="single" w:color="auto" w:sz="4" w:space="0"/>
                  </w:tcBorders>
                  <w:vAlign w:val="center"/>
                </w:tcPr>
                <w:p>
                  <w:pPr>
                    <w:jc w:val="center"/>
                    <w:rPr>
                      <w:bCs/>
                      <w:color w:val="auto"/>
                      <w:szCs w:val="21"/>
                      <w:lang w:val="pl-PL"/>
                    </w:rPr>
                  </w:pPr>
                  <w:r>
                    <w:rPr>
                      <w:rFonts w:hint="eastAsia"/>
                      <w:bCs/>
                      <w:color w:val="auto"/>
                      <w:szCs w:val="21"/>
                      <w:lang w:val="pl-PL"/>
                    </w:rPr>
                    <w:t>≤</w:t>
                  </w:r>
                  <w:r>
                    <w:rPr>
                      <w:bCs/>
                      <w:color w:val="auto"/>
                      <w:szCs w:val="21"/>
                      <w:lang w:val="pl-PL"/>
                    </w:rPr>
                    <w:t>10</w:t>
                  </w:r>
                </w:p>
              </w:tc>
            </w:tr>
            <w:tr>
              <w:tblPrEx>
                <w:tblCellMar>
                  <w:top w:w="0" w:type="dxa"/>
                  <w:left w:w="108" w:type="dxa"/>
                  <w:bottom w:w="0" w:type="dxa"/>
                  <w:right w:w="108" w:type="dxa"/>
                </w:tblCellMar>
              </w:tblPrEx>
              <w:trPr>
                <w:trHeight w:val="266" w:hRule="atLeast"/>
                <w:jc w:val="center"/>
              </w:trPr>
              <w:tc>
                <w:tcPr>
                  <w:tcW w:w="2092" w:type="pct"/>
                  <w:tcBorders>
                    <w:top w:val="single" w:color="auto" w:sz="4" w:space="0"/>
                    <w:left w:val="single" w:color="auto" w:sz="4" w:space="0"/>
                    <w:bottom w:val="single" w:color="auto" w:sz="4" w:space="0"/>
                    <w:right w:val="single" w:color="auto" w:sz="4" w:space="0"/>
                  </w:tcBorders>
                  <w:vAlign w:val="center"/>
                </w:tcPr>
                <w:p>
                  <w:pPr>
                    <w:jc w:val="center"/>
                  </w:pPr>
                  <w:r>
                    <w:rPr>
                      <w:rFonts w:hint="eastAsia"/>
                    </w:rPr>
                    <w:t>《城镇污水处理厂污染物排放标准》（GB18918-2002）中的一级A标准</w:t>
                  </w:r>
                </w:p>
              </w:tc>
              <w:tc>
                <w:tcPr>
                  <w:tcW w:w="484" w:type="pct"/>
                  <w:tcBorders>
                    <w:top w:val="single" w:color="auto" w:sz="4" w:space="0"/>
                    <w:left w:val="nil"/>
                    <w:bottom w:val="single" w:color="auto" w:sz="4" w:space="0"/>
                    <w:right w:val="single" w:color="auto" w:sz="4" w:space="0"/>
                  </w:tcBorders>
                  <w:vAlign w:val="center"/>
                </w:tcPr>
                <w:p>
                  <w:pPr>
                    <w:jc w:val="center"/>
                    <w:rPr>
                      <w:bCs/>
                      <w:szCs w:val="21"/>
                    </w:rPr>
                  </w:pPr>
                  <w:r>
                    <w:rPr>
                      <w:rFonts w:hint="eastAsia"/>
                      <w:bCs/>
                      <w:szCs w:val="21"/>
                      <w:lang w:val="pl-PL"/>
                    </w:rPr>
                    <w:t>≤</w:t>
                  </w:r>
                  <w:r>
                    <w:rPr>
                      <w:bCs/>
                      <w:szCs w:val="21"/>
                      <w:lang w:val="pl-PL"/>
                    </w:rPr>
                    <w:t>50</w:t>
                  </w:r>
                </w:p>
              </w:tc>
              <w:tc>
                <w:tcPr>
                  <w:tcW w:w="436" w:type="pct"/>
                  <w:tcBorders>
                    <w:top w:val="single" w:color="auto" w:sz="4" w:space="0"/>
                    <w:left w:val="nil"/>
                    <w:bottom w:val="single" w:color="auto" w:sz="4" w:space="0"/>
                    <w:right w:val="single" w:color="auto" w:sz="4" w:space="0"/>
                  </w:tcBorders>
                  <w:vAlign w:val="center"/>
                </w:tcPr>
                <w:p>
                  <w:pPr>
                    <w:jc w:val="center"/>
                    <w:rPr>
                      <w:bCs/>
                      <w:szCs w:val="21"/>
                      <w:lang w:val="pl-PL"/>
                    </w:rPr>
                  </w:pPr>
                  <w:r>
                    <w:rPr>
                      <w:rFonts w:hint="eastAsia"/>
                      <w:bCs/>
                      <w:szCs w:val="21"/>
                      <w:lang w:val="pl-PL"/>
                    </w:rPr>
                    <w:t>≤</w:t>
                  </w:r>
                  <w:r>
                    <w:rPr>
                      <w:bCs/>
                      <w:szCs w:val="21"/>
                      <w:lang w:val="pl-PL"/>
                    </w:rPr>
                    <w:t>10</w:t>
                  </w:r>
                </w:p>
              </w:tc>
              <w:tc>
                <w:tcPr>
                  <w:tcW w:w="436" w:type="pct"/>
                  <w:tcBorders>
                    <w:top w:val="single" w:color="auto" w:sz="4" w:space="0"/>
                    <w:left w:val="nil"/>
                    <w:bottom w:val="single" w:color="auto" w:sz="4" w:space="0"/>
                    <w:right w:val="single" w:color="auto" w:sz="4" w:space="0"/>
                  </w:tcBorders>
                  <w:vAlign w:val="center"/>
                </w:tcPr>
                <w:p>
                  <w:pPr>
                    <w:jc w:val="center"/>
                    <w:rPr>
                      <w:bCs/>
                      <w:szCs w:val="21"/>
                      <w:lang w:val="pl-PL"/>
                    </w:rPr>
                  </w:pPr>
                  <w:r>
                    <w:rPr>
                      <w:rFonts w:hint="eastAsia"/>
                      <w:bCs/>
                      <w:szCs w:val="21"/>
                      <w:lang w:val="pl-PL"/>
                    </w:rPr>
                    <w:t>≤</w:t>
                  </w:r>
                  <w:r>
                    <w:rPr>
                      <w:bCs/>
                      <w:szCs w:val="21"/>
                      <w:lang w:val="pl-PL"/>
                    </w:rPr>
                    <w:t>10</w:t>
                  </w:r>
                </w:p>
              </w:tc>
              <w:tc>
                <w:tcPr>
                  <w:tcW w:w="483" w:type="pct"/>
                  <w:tcBorders>
                    <w:top w:val="single" w:color="auto" w:sz="4" w:space="0"/>
                    <w:left w:val="nil"/>
                    <w:bottom w:val="single" w:color="auto" w:sz="4" w:space="0"/>
                    <w:right w:val="single" w:color="auto" w:sz="4" w:space="0"/>
                  </w:tcBorders>
                  <w:vAlign w:val="center"/>
                </w:tcPr>
                <w:p>
                  <w:pPr>
                    <w:jc w:val="center"/>
                    <w:rPr>
                      <w:bCs/>
                      <w:szCs w:val="21"/>
                      <w:lang w:val="pl-PL"/>
                    </w:rPr>
                  </w:pPr>
                  <w:r>
                    <w:rPr>
                      <w:rFonts w:hint="eastAsia"/>
                      <w:bCs/>
                      <w:szCs w:val="21"/>
                      <w:lang w:val="pl-PL"/>
                    </w:rPr>
                    <w:t>≤</w:t>
                  </w:r>
                  <w:r>
                    <w:rPr>
                      <w:bCs/>
                      <w:szCs w:val="21"/>
                      <w:lang w:val="pl-PL"/>
                    </w:rPr>
                    <w:t>5</w:t>
                  </w:r>
                </w:p>
              </w:tc>
              <w:tc>
                <w:tcPr>
                  <w:tcW w:w="464" w:type="pct"/>
                  <w:tcBorders>
                    <w:top w:val="single" w:color="auto" w:sz="4" w:space="0"/>
                    <w:left w:val="nil"/>
                    <w:bottom w:val="single" w:color="auto" w:sz="4" w:space="0"/>
                    <w:right w:val="single" w:color="auto" w:sz="4" w:space="0"/>
                  </w:tcBorders>
                  <w:vAlign w:val="center"/>
                </w:tcPr>
                <w:p>
                  <w:pPr>
                    <w:jc w:val="center"/>
                    <w:rPr>
                      <w:bCs/>
                      <w:szCs w:val="21"/>
                      <w:lang w:val="pl-PL"/>
                    </w:rPr>
                  </w:pPr>
                  <w:r>
                    <w:rPr>
                      <w:rFonts w:hint="eastAsia"/>
                      <w:bCs/>
                      <w:szCs w:val="21"/>
                      <w:lang w:val="pl-PL"/>
                    </w:rPr>
                    <w:t>≤</w:t>
                  </w:r>
                  <w:r>
                    <w:rPr>
                      <w:bCs/>
                      <w:szCs w:val="21"/>
                      <w:lang w:val="pl-PL"/>
                    </w:rPr>
                    <w:t>0.5</w:t>
                  </w:r>
                </w:p>
              </w:tc>
              <w:tc>
                <w:tcPr>
                  <w:tcW w:w="603" w:type="pct"/>
                  <w:tcBorders>
                    <w:top w:val="single" w:color="auto" w:sz="4" w:space="0"/>
                    <w:left w:val="nil"/>
                    <w:bottom w:val="single" w:color="auto" w:sz="4" w:space="0"/>
                    <w:right w:val="single" w:color="auto" w:sz="4" w:space="0"/>
                  </w:tcBorders>
                  <w:vAlign w:val="center"/>
                </w:tcPr>
                <w:p>
                  <w:pPr>
                    <w:jc w:val="center"/>
                    <w:rPr>
                      <w:bCs/>
                      <w:color w:val="auto"/>
                      <w:szCs w:val="21"/>
                    </w:rPr>
                  </w:pPr>
                  <w:r>
                    <w:rPr>
                      <w:rFonts w:hint="eastAsia"/>
                      <w:bCs/>
                      <w:color w:val="auto"/>
                      <w:szCs w:val="21"/>
                      <w:lang w:val="pl-PL"/>
                    </w:rPr>
                    <w:t>≤</w:t>
                  </w:r>
                  <w:r>
                    <w:rPr>
                      <w:rFonts w:hint="eastAsia"/>
                      <w:bCs/>
                      <w:color w:val="auto"/>
                      <w:szCs w:val="21"/>
                    </w:rPr>
                    <w:t>1</w:t>
                  </w:r>
                </w:p>
              </w:tc>
            </w:tr>
            <w:tr>
              <w:tblPrEx>
                <w:tblCellMar>
                  <w:top w:w="0" w:type="dxa"/>
                  <w:left w:w="108" w:type="dxa"/>
                  <w:bottom w:w="0" w:type="dxa"/>
                  <w:right w:w="108" w:type="dxa"/>
                </w:tblCellMar>
              </w:tblPrEx>
              <w:trPr>
                <w:trHeight w:val="254" w:hRule="atLeast"/>
                <w:jc w:val="center"/>
              </w:trPr>
              <w:tc>
                <w:tcPr>
                  <w:tcW w:w="2092" w:type="pct"/>
                  <w:tcBorders>
                    <w:top w:val="single" w:color="auto" w:sz="4" w:space="0"/>
                    <w:left w:val="single" w:color="auto" w:sz="4" w:space="0"/>
                    <w:bottom w:val="single" w:color="auto" w:sz="4" w:space="0"/>
                    <w:right w:val="single" w:color="auto" w:sz="4" w:space="0"/>
                  </w:tcBorders>
                  <w:vAlign w:val="center"/>
                </w:tcPr>
                <w:p>
                  <w:pPr>
                    <w:jc w:val="center"/>
                    <w:rPr>
                      <w:bCs/>
                      <w:szCs w:val="21"/>
                      <w:lang w:val="pl-PL"/>
                    </w:rPr>
                  </w:pPr>
                  <w:r>
                    <w:rPr>
                      <w:rFonts w:hint="eastAsia"/>
                    </w:rPr>
                    <w:t>（DB44/26-2001）第二时段一级标准、（GB18918-2002）一级A标准两</w:t>
                  </w:r>
                  <w:r>
                    <w:t>者较严</w:t>
                  </w:r>
                  <w:r>
                    <w:rPr>
                      <w:rFonts w:hint="eastAsia"/>
                    </w:rPr>
                    <w:t>值</w:t>
                  </w:r>
                </w:p>
              </w:tc>
              <w:tc>
                <w:tcPr>
                  <w:tcW w:w="484" w:type="pct"/>
                  <w:tcBorders>
                    <w:top w:val="single" w:color="auto" w:sz="4" w:space="0"/>
                    <w:left w:val="nil"/>
                    <w:bottom w:val="single" w:color="auto" w:sz="4" w:space="0"/>
                    <w:right w:val="single" w:color="auto" w:sz="4" w:space="0"/>
                  </w:tcBorders>
                  <w:vAlign w:val="center"/>
                </w:tcPr>
                <w:p>
                  <w:pPr>
                    <w:jc w:val="center"/>
                    <w:rPr>
                      <w:bCs/>
                      <w:szCs w:val="21"/>
                      <w:lang w:val="pl-PL"/>
                    </w:rPr>
                  </w:pPr>
                  <w:r>
                    <w:rPr>
                      <w:rFonts w:hint="eastAsia"/>
                      <w:bCs/>
                      <w:szCs w:val="21"/>
                      <w:lang w:val="pl-PL"/>
                    </w:rPr>
                    <w:t>≤</w:t>
                  </w:r>
                  <w:r>
                    <w:rPr>
                      <w:bCs/>
                      <w:szCs w:val="21"/>
                      <w:lang w:val="pl-PL"/>
                    </w:rPr>
                    <w:t>40</w:t>
                  </w:r>
                </w:p>
              </w:tc>
              <w:tc>
                <w:tcPr>
                  <w:tcW w:w="436" w:type="pct"/>
                  <w:tcBorders>
                    <w:top w:val="single" w:color="auto" w:sz="4" w:space="0"/>
                    <w:left w:val="nil"/>
                    <w:bottom w:val="single" w:color="auto" w:sz="4" w:space="0"/>
                    <w:right w:val="single" w:color="auto" w:sz="4" w:space="0"/>
                  </w:tcBorders>
                  <w:vAlign w:val="center"/>
                </w:tcPr>
                <w:p>
                  <w:pPr>
                    <w:jc w:val="center"/>
                    <w:rPr>
                      <w:bCs/>
                      <w:szCs w:val="21"/>
                      <w:lang w:val="pl-PL"/>
                    </w:rPr>
                  </w:pPr>
                  <w:r>
                    <w:rPr>
                      <w:rFonts w:hint="eastAsia"/>
                      <w:bCs/>
                      <w:szCs w:val="21"/>
                      <w:lang w:val="pl-PL"/>
                    </w:rPr>
                    <w:t>≤</w:t>
                  </w:r>
                  <w:r>
                    <w:rPr>
                      <w:bCs/>
                      <w:szCs w:val="21"/>
                      <w:lang w:val="pl-PL"/>
                    </w:rPr>
                    <w:t>10</w:t>
                  </w:r>
                </w:p>
              </w:tc>
              <w:tc>
                <w:tcPr>
                  <w:tcW w:w="436" w:type="pct"/>
                  <w:tcBorders>
                    <w:top w:val="single" w:color="auto" w:sz="4" w:space="0"/>
                    <w:left w:val="nil"/>
                    <w:bottom w:val="single" w:color="auto" w:sz="4" w:space="0"/>
                    <w:right w:val="single" w:color="auto" w:sz="4" w:space="0"/>
                  </w:tcBorders>
                  <w:vAlign w:val="center"/>
                </w:tcPr>
                <w:p>
                  <w:pPr>
                    <w:jc w:val="center"/>
                    <w:rPr>
                      <w:bCs/>
                      <w:szCs w:val="21"/>
                      <w:lang w:val="pl-PL"/>
                    </w:rPr>
                  </w:pPr>
                  <w:r>
                    <w:rPr>
                      <w:rFonts w:hint="eastAsia"/>
                      <w:bCs/>
                      <w:szCs w:val="21"/>
                      <w:lang w:val="pl-PL"/>
                    </w:rPr>
                    <w:t>≤</w:t>
                  </w:r>
                  <w:r>
                    <w:rPr>
                      <w:bCs/>
                      <w:szCs w:val="21"/>
                      <w:lang w:val="pl-PL"/>
                    </w:rPr>
                    <w:t>10</w:t>
                  </w:r>
                </w:p>
              </w:tc>
              <w:tc>
                <w:tcPr>
                  <w:tcW w:w="483" w:type="pct"/>
                  <w:tcBorders>
                    <w:top w:val="single" w:color="auto" w:sz="4" w:space="0"/>
                    <w:left w:val="nil"/>
                    <w:bottom w:val="single" w:color="auto" w:sz="4" w:space="0"/>
                    <w:right w:val="single" w:color="auto" w:sz="4" w:space="0"/>
                  </w:tcBorders>
                  <w:vAlign w:val="center"/>
                </w:tcPr>
                <w:p>
                  <w:pPr>
                    <w:jc w:val="center"/>
                    <w:rPr>
                      <w:bCs/>
                      <w:szCs w:val="21"/>
                      <w:lang w:val="pl-PL"/>
                    </w:rPr>
                  </w:pPr>
                  <w:r>
                    <w:rPr>
                      <w:rFonts w:hint="eastAsia"/>
                      <w:bCs/>
                      <w:szCs w:val="21"/>
                      <w:lang w:val="pl-PL"/>
                    </w:rPr>
                    <w:t>≤</w:t>
                  </w:r>
                  <w:r>
                    <w:rPr>
                      <w:bCs/>
                      <w:szCs w:val="21"/>
                      <w:lang w:val="pl-PL"/>
                    </w:rPr>
                    <w:t>5</w:t>
                  </w:r>
                </w:p>
              </w:tc>
              <w:tc>
                <w:tcPr>
                  <w:tcW w:w="464" w:type="pct"/>
                  <w:tcBorders>
                    <w:top w:val="single" w:color="auto" w:sz="4" w:space="0"/>
                    <w:left w:val="nil"/>
                    <w:bottom w:val="single" w:color="auto" w:sz="4" w:space="0"/>
                    <w:right w:val="single" w:color="auto" w:sz="4" w:space="0"/>
                  </w:tcBorders>
                  <w:vAlign w:val="center"/>
                </w:tcPr>
                <w:p>
                  <w:pPr>
                    <w:jc w:val="center"/>
                    <w:rPr>
                      <w:bCs/>
                      <w:szCs w:val="21"/>
                      <w:lang w:val="pl-PL"/>
                    </w:rPr>
                  </w:pPr>
                  <w:r>
                    <w:rPr>
                      <w:rFonts w:hint="eastAsia"/>
                      <w:bCs/>
                      <w:szCs w:val="21"/>
                      <w:lang w:val="pl-PL"/>
                    </w:rPr>
                    <w:t>≤</w:t>
                  </w:r>
                  <w:r>
                    <w:rPr>
                      <w:bCs/>
                      <w:szCs w:val="21"/>
                      <w:lang w:val="pl-PL"/>
                    </w:rPr>
                    <w:t>0.5</w:t>
                  </w:r>
                </w:p>
              </w:tc>
              <w:tc>
                <w:tcPr>
                  <w:tcW w:w="603" w:type="pct"/>
                  <w:tcBorders>
                    <w:top w:val="single" w:color="auto" w:sz="4" w:space="0"/>
                    <w:left w:val="nil"/>
                    <w:bottom w:val="single" w:color="auto" w:sz="4" w:space="0"/>
                    <w:right w:val="single" w:color="auto" w:sz="4" w:space="0"/>
                  </w:tcBorders>
                  <w:vAlign w:val="center"/>
                </w:tcPr>
                <w:p>
                  <w:pPr>
                    <w:jc w:val="center"/>
                    <w:rPr>
                      <w:bCs/>
                      <w:color w:val="auto"/>
                      <w:szCs w:val="21"/>
                      <w:lang w:val="pl-PL"/>
                    </w:rPr>
                  </w:pPr>
                  <w:r>
                    <w:rPr>
                      <w:rFonts w:hint="eastAsia"/>
                      <w:bCs/>
                      <w:color w:val="auto"/>
                      <w:szCs w:val="21"/>
                      <w:lang w:val="pl-PL"/>
                    </w:rPr>
                    <w:t>≤</w:t>
                  </w:r>
                  <w:r>
                    <w:rPr>
                      <w:rFonts w:hint="eastAsia"/>
                      <w:bCs/>
                      <w:color w:val="auto"/>
                      <w:szCs w:val="21"/>
                    </w:rPr>
                    <w:t>1</w:t>
                  </w:r>
                </w:p>
              </w:tc>
            </w:tr>
          </w:tbl>
          <w:p>
            <w:pPr>
              <w:snapToGrid w:val="0"/>
              <w:spacing w:before="120" w:beforeLines="50" w:line="360" w:lineRule="auto"/>
              <w:ind w:firstLine="422" w:firstLineChars="200"/>
              <w:rPr>
                <w:szCs w:val="21"/>
              </w:rPr>
            </w:pPr>
            <w:r>
              <w:rPr>
                <w:rFonts w:hint="eastAsia"/>
                <w:b/>
                <w:szCs w:val="21"/>
              </w:rPr>
              <w:t>3</w:t>
            </w:r>
            <w:r>
              <w:rPr>
                <w:b/>
                <w:szCs w:val="21"/>
              </w:rPr>
              <w:t>、噪声</w:t>
            </w:r>
            <w:r>
              <w:rPr>
                <w:rFonts w:hint="eastAsia"/>
                <w:b/>
                <w:szCs w:val="21"/>
              </w:rPr>
              <w:t>排放标准</w:t>
            </w:r>
          </w:p>
          <w:p>
            <w:pPr>
              <w:adjustRightInd w:val="0"/>
              <w:snapToGrid w:val="0"/>
              <w:spacing w:line="360" w:lineRule="auto"/>
              <w:ind w:firstLine="482"/>
              <w:rPr>
                <w:rFonts w:hint="eastAsia"/>
                <w:color w:val="auto"/>
              </w:rPr>
            </w:pPr>
            <w:r>
              <w:rPr>
                <w:rFonts w:hint="eastAsia"/>
                <w:color w:val="auto"/>
              </w:rPr>
              <w:t>本项目</w:t>
            </w:r>
            <w:r>
              <w:rPr>
                <w:color w:val="auto"/>
              </w:rPr>
              <w:t>施工期噪声执行《建筑施工场界环境噪声排放标准》（GB12523-2011）</w:t>
            </w:r>
            <w:r>
              <w:rPr>
                <w:rFonts w:hint="eastAsia"/>
                <w:color w:val="auto"/>
              </w:rPr>
              <w:t>，</w:t>
            </w:r>
            <w:r>
              <w:rPr>
                <w:rFonts w:hint="eastAsia"/>
                <w:color w:val="auto"/>
                <w:lang w:val="en-US" w:eastAsia="zh-CN"/>
              </w:rPr>
              <w:t>运营</w:t>
            </w:r>
            <w:r>
              <w:rPr>
                <w:color w:val="auto"/>
              </w:rPr>
              <w:t>期边界噪声执行《工业企业厂界环境噪声排放标准》（GB12348-2008）</w:t>
            </w:r>
            <w:r>
              <w:rPr>
                <w:rFonts w:hint="eastAsia"/>
                <w:color w:val="auto"/>
                <w:lang w:val="en-US" w:eastAsia="zh-CN"/>
              </w:rPr>
              <w:t>3</w:t>
            </w:r>
            <w:r>
              <w:rPr>
                <w:rFonts w:hint="eastAsia"/>
                <w:color w:val="auto"/>
              </w:rPr>
              <w:t>类</w:t>
            </w:r>
            <w:r>
              <w:rPr>
                <w:color w:val="auto"/>
              </w:rPr>
              <w:t>标准，</w:t>
            </w:r>
            <w:r>
              <w:rPr>
                <w:rFonts w:hint="eastAsia"/>
                <w:color w:val="auto"/>
              </w:rPr>
              <w:t>具体排放限值见下表</w:t>
            </w:r>
            <w:r>
              <w:rPr>
                <w:color w:val="auto"/>
              </w:rPr>
              <w:t>。</w:t>
            </w:r>
          </w:p>
          <w:p>
            <w:pPr>
              <w:adjustRightInd w:val="0"/>
              <w:snapToGrid w:val="0"/>
              <w:jc w:val="center"/>
              <w:rPr>
                <w:rFonts w:hint="eastAsia"/>
                <w:b/>
                <w:color w:val="auto"/>
                <w:szCs w:val="21"/>
              </w:rPr>
            </w:pPr>
            <w:r>
              <w:rPr>
                <w:rFonts w:hint="eastAsia"/>
                <w:b/>
                <w:color w:val="auto"/>
                <w:szCs w:val="21"/>
                <w:lang w:val="en-US" w:eastAsia="zh-CN"/>
              </w:rPr>
              <w:t xml:space="preserve">表3-8 </w:t>
            </w:r>
            <w:r>
              <w:rPr>
                <w:rFonts w:hint="eastAsia"/>
                <w:b/>
                <w:color w:val="auto"/>
                <w:szCs w:val="21"/>
              </w:rPr>
              <w:t>噪声排放限值</w:t>
            </w:r>
          </w:p>
          <w:tbl>
            <w:tblPr>
              <w:tblStyle w:val="92"/>
              <w:tblW w:w="4998" w:type="pct"/>
              <w:tblInd w:w="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894"/>
              <w:gridCol w:w="6250"/>
              <w:gridCol w:w="946"/>
              <w:gridCol w:w="946"/>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23" w:hRule="atLeast"/>
              </w:trPr>
              <w:tc>
                <w:tcPr>
                  <w:tcW w:w="495" w:type="pct"/>
                  <w:vMerge w:val="restart"/>
                  <w:tcBorders>
                    <w:top w:val="single" w:color="auto" w:sz="4" w:space="0"/>
                    <w:bottom w:val="single" w:color="auto" w:sz="4" w:space="0"/>
                    <w:right w:val="single" w:color="auto" w:sz="4" w:space="0"/>
                  </w:tcBorders>
                  <w:noWrap w:val="0"/>
                  <w:vAlign w:val="center"/>
                </w:tcPr>
                <w:p>
                  <w:pPr>
                    <w:snapToGrid w:val="0"/>
                    <w:jc w:val="center"/>
                    <w:rPr>
                      <w:b/>
                      <w:color w:val="auto"/>
                      <w:szCs w:val="21"/>
                    </w:rPr>
                  </w:pPr>
                  <w:r>
                    <w:rPr>
                      <w:b/>
                      <w:color w:val="auto"/>
                      <w:szCs w:val="21"/>
                    </w:rPr>
                    <w:t>阶</w:t>
                  </w:r>
                  <w:r>
                    <w:rPr>
                      <w:rFonts w:hint="eastAsia"/>
                      <w:b/>
                      <w:color w:val="auto"/>
                      <w:szCs w:val="21"/>
                    </w:rPr>
                    <w:t>段</w:t>
                  </w:r>
                </w:p>
              </w:tc>
              <w:tc>
                <w:tcPr>
                  <w:tcW w:w="3457" w:type="pct"/>
                  <w:vMerge w:val="restart"/>
                  <w:tcBorders>
                    <w:top w:val="single" w:color="auto" w:sz="4" w:space="0"/>
                    <w:left w:val="single" w:color="auto" w:sz="4" w:space="0"/>
                    <w:bottom w:val="single" w:color="auto" w:sz="4" w:space="0"/>
                    <w:right w:val="single" w:color="auto" w:sz="4" w:space="0"/>
                  </w:tcBorders>
                  <w:noWrap w:val="0"/>
                  <w:vAlign w:val="center"/>
                </w:tcPr>
                <w:p>
                  <w:pPr>
                    <w:snapToGrid w:val="0"/>
                    <w:jc w:val="center"/>
                    <w:rPr>
                      <w:b/>
                      <w:color w:val="auto"/>
                      <w:szCs w:val="21"/>
                    </w:rPr>
                  </w:pPr>
                  <w:r>
                    <w:rPr>
                      <w:b/>
                      <w:color w:val="auto"/>
                      <w:szCs w:val="21"/>
                    </w:rPr>
                    <w:t>执行标准</w:t>
                  </w:r>
                </w:p>
              </w:tc>
              <w:tc>
                <w:tcPr>
                  <w:tcW w:w="1046" w:type="pct"/>
                  <w:gridSpan w:val="2"/>
                  <w:tcBorders>
                    <w:top w:val="single" w:color="auto" w:sz="4" w:space="0"/>
                    <w:left w:val="single" w:color="auto" w:sz="4" w:space="0"/>
                    <w:bottom w:val="single" w:color="auto" w:sz="4" w:space="0"/>
                  </w:tcBorders>
                  <w:noWrap w:val="0"/>
                  <w:vAlign w:val="center"/>
                </w:tcPr>
                <w:p>
                  <w:pPr>
                    <w:snapToGrid w:val="0"/>
                    <w:jc w:val="center"/>
                    <w:rPr>
                      <w:b/>
                      <w:color w:val="auto"/>
                      <w:szCs w:val="21"/>
                    </w:rPr>
                  </w:pPr>
                  <w:r>
                    <w:rPr>
                      <w:b/>
                      <w:color w:val="auto"/>
                      <w:szCs w:val="21"/>
                    </w:rPr>
                    <w:t>噪声限值(</w:t>
                  </w:r>
                  <w:r>
                    <w:rPr>
                      <w:rFonts w:hint="eastAsia"/>
                      <w:b/>
                      <w:color w:val="auto"/>
                      <w:szCs w:val="21"/>
                    </w:rPr>
                    <w:t>d</w:t>
                  </w:r>
                  <w:r>
                    <w:rPr>
                      <w:b/>
                      <w:color w:val="auto"/>
                      <w:szCs w:val="21"/>
                    </w:rPr>
                    <w:t>B(A)</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13" w:hRule="atLeast"/>
              </w:trPr>
              <w:tc>
                <w:tcPr>
                  <w:tcW w:w="495" w:type="pct"/>
                  <w:vMerge w:val="continue"/>
                  <w:tcBorders>
                    <w:top w:val="single" w:color="auto" w:sz="4" w:space="0"/>
                    <w:bottom w:val="single" w:color="auto" w:sz="4" w:space="0"/>
                    <w:right w:val="single" w:color="auto" w:sz="4" w:space="0"/>
                  </w:tcBorders>
                  <w:noWrap w:val="0"/>
                  <w:vAlign w:val="center"/>
                </w:tcPr>
                <w:p>
                  <w:pPr>
                    <w:snapToGrid w:val="0"/>
                    <w:jc w:val="center"/>
                    <w:rPr>
                      <w:b/>
                      <w:color w:val="auto"/>
                      <w:szCs w:val="21"/>
                    </w:rPr>
                  </w:pPr>
                </w:p>
              </w:tc>
              <w:tc>
                <w:tcPr>
                  <w:tcW w:w="3457" w:type="pct"/>
                  <w:vMerge w:val="continue"/>
                  <w:tcBorders>
                    <w:top w:val="single" w:color="auto" w:sz="4" w:space="0"/>
                    <w:left w:val="single" w:color="auto" w:sz="4" w:space="0"/>
                    <w:bottom w:val="single" w:color="auto" w:sz="4" w:space="0"/>
                    <w:right w:val="single" w:color="auto" w:sz="4" w:space="0"/>
                  </w:tcBorders>
                  <w:noWrap w:val="0"/>
                  <w:vAlign w:val="center"/>
                </w:tcPr>
                <w:p>
                  <w:pPr>
                    <w:snapToGrid w:val="0"/>
                    <w:jc w:val="center"/>
                    <w:rPr>
                      <w:b/>
                      <w:color w:val="auto"/>
                      <w:szCs w:val="21"/>
                    </w:rPr>
                  </w:pPr>
                </w:p>
              </w:tc>
              <w:tc>
                <w:tcPr>
                  <w:tcW w:w="523" w:type="pct"/>
                  <w:tcBorders>
                    <w:top w:val="single" w:color="auto" w:sz="4" w:space="0"/>
                    <w:left w:val="single" w:color="auto" w:sz="4" w:space="0"/>
                    <w:bottom w:val="single" w:color="auto" w:sz="4" w:space="0"/>
                    <w:right w:val="single" w:color="auto" w:sz="4" w:space="0"/>
                  </w:tcBorders>
                  <w:noWrap w:val="0"/>
                  <w:vAlign w:val="center"/>
                </w:tcPr>
                <w:p>
                  <w:pPr>
                    <w:snapToGrid w:val="0"/>
                    <w:jc w:val="center"/>
                    <w:rPr>
                      <w:b/>
                      <w:color w:val="auto"/>
                      <w:szCs w:val="21"/>
                    </w:rPr>
                  </w:pPr>
                  <w:r>
                    <w:rPr>
                      <w:b/>
                      <w:color w:val="auto"/>
                      <w:szCs w:val="21"/>
                    </w:rPr>
                    <w:t>昼间</w:t>
                  </w:r>
                </w:p>
              </w:tc>
              <w:tc>
                <w:tcPr>
                  <w:tcW w:w="523" w:type="pct"/>
                  <w:tcBorders>
                    <w:top w:val="single" w:color="auto" w:sz="4" w:space="0"/>
                    <w:left w:val="single" w:color="auto" w:sz="4" w:space="0"/>
                    <w:bottom w:val="single" w:color="auto" w:sz="4" w:space="0"/>
                  </w:tcBorders>
                  <w:noWrap w:val="0"/>
                  <w:vAlign w:val="center"/>
                </w:tcPr>
                <w:p>
                  <w:pPr>
                    <w:snapToGrid w:val="0"/>
                    <w:jc w:val="center"/>
                    <w:rPr>
                      <w:b/>
                      <w:color w:val="auto"/>
                      <w:szCs w:val="21"/>
                    </w:rPr>
                  </w:pPr>
                  <w:r>
                    <w:rPr>
                      <w:b/>
                      <w:color w:val="auto"/>
                      <w:szCs w:val="21"/>
                    </w:rPr>
                    <w:t>夜间</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495" w:type="pct"/>
                  <w:tcBorders>
                    <w:top w:val="single" w:color="auto" w:sz="4" w:space="0"/>
                  </w:tcBorders>
                  <w:noWrap w:val="0"/>
                  <w:vAlign w:val="center"/>
                </w:tcPr>
                <w:p>
                  <w:pPr>
                    <w:snapToGrid w:val="0"/>
                    <w:jc w:val="center"/>
                    <w:rPr>
                      <w:color w:val="auto"/>
                      <w:szCs w:val="21"/>
                    </w:rPr>
                  </w:pPr>
                  <w:r>
                    <w:rPr>
                      <w:color w:val="auto"/>
                      <w:szCs w:val="21"/>
                    </w:rPr>
                    <w:t>施工期</w:t>
                  </w:r>
                </w:p>
              </w:tc>
              <w:tc>
                <w:tcPr>
                  <w:tcW w:w="3457" w:type="pct"/>
                  <w:tcBorders>
                    <w:top w:val="single" w:color="auto" w:sz="4" w:space="0"/>
                  </w:tcBorders>
                  <w:noWrap w:val="0"/>
                  <w:vAlign w:val="center"/>
                </w:tcPr>
                <w:p>
                  <w:pPr>
                    <w:snapToGrid w:val="0"/>
                    <w:jc w:val="center"/>
                    <w:rPr>
                      <w:color w:val="auto"/>
                      <w:szCs w:val="21"/>
                    </w:rPr>
                  </w:pPr>
                  <w:r>
                    <w:rPr>
                      <w:color w:val="auto"/>
                      <w:szCs w:val="21"/>
                    </w:rPr>
                    <w:t>《建筑施工场界环境噪声排放标准》</w:t>
                  </w:r>
                  <w:r>
                    <w:rPr>
                      <w:rFonts w:hint="eastAsia"/>
                      <w:color w:val="auto"/>
                      <w:szCs w:val="21"/>
                    </w:rPr>
                    <w:t>（</w:t>
                  </w:r>
                  <w:r>
                    <w:rPr>
                      <w:color w:val="auto"/>
                      <w:szCs w:val="21"/>
                    </w:rPr>
                    <w:t>GB12</w:t>
                  </w:r>
                  <w:r>
                    <w:rPr>
                      <w:rFonts w:hint="eastAsia"/>
                      <w:color w:val="auto"/>
                      <w:szCs w:val="21"/>
                    </w:rPr>
                    <w:t>5</w:t>
                  </w:r>
                  <w:r>
                    <w:rPr>
                      <w:color w:val="auto"/>
                      <w:szCs w:val="21"/>
                    </w:rPr>
                    <w:t>23-2011）</w:t>
                  </w:r>
                </w:p>
              </w:tc>
              <w:tc>
                <w:tcPr>
                  <w:tcW w:w="523" w:type="pct"/>
                  <w:tcBorders>
                    <w:top w:val="single" w:color="auto" w:sz="4" w:space="0"/>
                  </w:tcBorders>
                  <w:noWrap w:val="0"/>
                  <w:vAlign w:val="center"/>
                </w:tcPr>
                <w:p>
                  <w:pPr>
                    <w:snapToGrid w:val="0"/>
                    <w:jc w:val="center"/>
                    <w:rPr>
                      <w:color w:val="auto"/>
                      <w:szCs w:val="21"/>
                    </w:rPr>
                  </w:pPr>
                  <w:r>
                    <w:rPr>
                      <w:color w:val="auto"/>
                      <w:szCs w:val="21"/>
                    </w:rPr>
                    <w:t>70</w:t>
                  </w:r>
                </w:p>
              </w:tc>
              <w:tc>
                <w:tcPr>
                  <w:tcW w:w="523" w:type="pct"/>
                  <w:tcBorders>
                    <w:top w:val="single" w:color="auto" w:sz="4" w:space="0"/>
                  </w:tcBorders>
                  <w:noWrap w:val="0"/>
                  <w:vAlign w:val="center"/>
                </w:tcPr>
                <w:p>
                  <w:pPr>
                    <w:snapToGrid w:val="0"/>
                    <w:jc w:val="center"/>
                    <w:rPr>
                      <w:color w:val="auto"/>
                      <w:szCs w:val="21"/>
                    </w:rPr>
                  </w:pPr>
                  <w:r>
                    <w:rPr>
                      <w:color w:val="auto"/>
                      <w:szCs w:val="21"/>
                    </w:rPr>
                    <w:t>55</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88" w:hRule="atLeast"/>
              </w:trPr>
              <w:tc>
                <w:tcPr>
                  <w:tcW w:w="495" w:type="pct"/>
                  <w:noWrap w:val="0"/>
                  <w:vAlign w:val="center"/>
                </w:tcPr>
                <w:p>
                  <w:pPr>
                    <w:snapToGrid w:val="0"/>
                    <w:jc w:val="center"/>
                    <w:rPr>
                      <w:color w:val="auto"/>
                      <w:szCs w:val="21"/>
                    </w:rPr>
                  </w:pPr>
                  <w:r>
                    <w:rPr>
                      <w:color w:val="auto"/>
                      <w:szCs w:val="21"/>
                    </w:rPr>
                    <w:t>运营期</w:t>
                  </w:r>
                </w:p>
              </w:tc>
              <w:tc>
                <w:tcPr>
                  <w:tcW w:w="3457" w:type="pct"/>
                  <w:noWrap w:val="0"/>
                  <w:vAlign w:val="center"/>
                </w:tcPr>
                <w:p>
                  <w:pPr>
                    <w:snapToGrid w:val="0"/>
                    <w:jc w:val="center"/>
                    <w:rPr>
                      <w:rFonts w:hint="eastAsia" w:eastAsia="宋体"/>
                      <w:color w:val="auto"/>
                      <w:szCs w:val="21"/>
                      <w:lang w:val="en-US" w:eastAsia="zh-CN"/>
                    </w:rPr>
                  </w:pPr>
                  <w:r>
                    <w:rPr>
                      <w:color w:val="auto"/>
                      <w:szCs w:val="21"/>
                    </w:rPr>
                    <w:t>《工业企业厂界环境噪声排放标准</w:t>
                  </w:r>
                  <w:r>
                    <w:rPr>
                      <w:rFonts w:hint="eastAsia"/>
                      <w:color w:val="auto"/>
                      <w:szCs w:val="21"/>
                    </w:rPr>
                    <w:t>》</w:t>
                  </w:r>
                  <w:r>
                    <w:rPr>
                      <w:color w:val="auto"/>
                      <w:szCs w:val="21"/>
                    </w:rPr>
                    <w:t>（GB12348-2008）</w:t>
                  </w:r>
                  <w:r>
                    <w:rPr>
                      <w:rFonts w:hint="eastAsia"/>
                      <w:color w:val="auto"/>
                      <w:szCs w:val="21"/>
                      <w:lang w:val="en-US" w:eastAsia="zh-CN"/>
                    </w:rPr>
                    <w:t>3</w:t>
                  </w:r>
                  <w:r>
                    <w:rPr>
                      <w:rFonts w:hint="eastAsia"/>
                      <w:color w:val="auto"/>
                      <w:szCs w:val="21"/>
                    </w:rPr>
                    <w:t>类</w:t>
                  </w:r>
                  <w:r>
                    <w:rPr>
                      <w:rFonts w:hint="eastAsia"/>
                      <w:color w:val="auto"/>
                      <w:szCs w:val="21"/>
                      <w:lang w:val="en-US" w:eastAsia="zh-CN"/>
                    </w:rPr>
                    <w:t>标准</w:t>
                  </w:r>
                </w:p>
              </w:tc>
              <w:tc>
                <w:tcPr>
                  <w:tcW w:w="523" w:type="pct"/>
                  <w:noWrap w:val="0"/>
                  <w:vAlign w:val="center"/>
                </w:tcPr>
                <w:p>
                  <w:pPr>
                    <w:snapToGrid w:val="0"/>
                    <w:jc w:val="center"/>
                    <w:rPr>
                      <w:color w:val="auto"/>
                      <w:szCs w:val="21"/>
                    </w:rPr>
                  </w:pPr>
                  <w:r>
                    <w:rPr>
                      <w:rFonts w:hint="eastAsia"/>
                      <w:color w:val="auto"/>
                      <w:szCs w:val="21"/>
                      <w:lang w:val="en-US" w:eastAsia="zh-CN"/>
                    </w:rPr>
                    <w:t>65</w:t>
                  </w:r>
                </w:p>
              </w:tc>
              <w:tc>
                <w:tcPr>
                  <w:tcW w:w="523" w:type="pct"/>
                  <w:noWrap w:val="0"/>
                  <w:vAlign w:val="center"/>
                </w:tcPr>
                <w:p>
                  <w:pPr>
                    <w:snapToGrid w:val="0"/>
                    <w:jc w:val="center"/>
                    <w:rPr>
                      <w:color w:val="auto"/>
                      <w:szCs w:val="21"/>
                    </w:rPr>
                  </w:pPr>
                  <w:r>
                    <w:rPr>
                      <w:rFonts w:hint="eastAsia"/>
                      <w:color w:val="auto"/>
                      <w:szCs w:val="21"/>
                    </w:rPr>
                    <w:t>55</w:t>
                  </w:r>
                </w:p>
              </w:tc>
            </w:tr>
          </w:tbl>
          <w:p>
            <w:pPr>
              <w:snapToGrid w:val="0"/>
              <w:spacing w:before="120" w:beforeLines="50" w:line="360" w:lineRule="auto"/>
              <w:ind w:firstLine="422" w:firstLineChars="200"/>
              <w:rPr>
                <w:b/>
                <w:color w:val="auto"/>
                <w:szCs w:val="21"/>
              </w:rPr>
            </w:pPr>
            <w:r>
              <w:rPr>
                <w:rFonts w:hint="eastAsia"/>
                <w:b/>
                <w:color w:val="auto"/>
                <w:szCs w:val="21"/>
              </w:rPr>
              <w:t>4</w:t>
            </w:r>
            <w:r>
              <w:rPr>
                <w:b/>
                <w:color w:val="auto"/>
                <w:szCs w:val="21"/>
              </w:rPr>
              <w:t>、固废</w:t>
            </w:r>
          </w:p>
          <w:p>
            <w:pPr>
              <w:spacing w:line="360" w:lineRule="auto"/>
              <w:ind w:firstLine="420" w:firstLineChars="200"/>
              <w:rPr>
                <w:szCs w:val="21"/>
              </w:rPr>
            </w:pPr>
            <w:r>
              <w:rPr>
                <w:szCs w:val="21"/>
              </w:rPr>
              <w:t>一般工业固体废物的临时贮存和管理执行《一般工业固体废物贮存和填埋污染控制标准》(GB 18599-2020)中的相关规定。危险废物执行《危险废物贮存污染控制标准》（GB18597-2001）及修改单中的有关标准。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777" w:hRule="atLeast"/>
          <w:jc w:val="center"/>
        </w:trPr>
        <w:tc>
          <w:tcPr>
            <w:tcW w:w="348" w:type="pct"/>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总量</w:t>
            </w:r>
          </w:p>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控制</w:t>
            </w:r>
          </w:p>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指标</w:t>
            </w:r>
          </w:p>
        </w:tc>
        <w:tc>
          <w:tcPr>
            <w:tcW w:w="4651" w:type="pct"/>
            <w:vAlign w:val="center"/>
          </w:tcPr>
          <w:p>
            <w:pPr>
              <w:keepNext w:val="0"/>
              <w:keepLines w:val="0"/>
              <w:pageBreakBefore w:val="0"/>
              <w:widowControl w:val="0"/>
              <w:kinsoku/>
              <w:wordWrap/>
              <w:overflowPunct/>
              <w:topLinePunct w:val="0"/>
              <w:autoSpaceDE/>
              <w:autoSpaceDN/>
              <w:bidi w:val="0"/>
              <w:adjustRightInd w:val="0"/>
              <w:snapToGrid w:val="0"/>
              <w:spacing w:before="120" w:beforeLines="50" w:line="360" w:lineRule="auto"/>
              <w:ind w:firstLine="420" w:firstLineChars="200"/>
              <w:textAlignment w:val="auto"/>
              <w:rPr>
                <w:szCs w:val="21"/>
              </w:rPr>
            </w:pPr>
            <w:r>
              <w:rPr>
                <w:szCs w:val="21"/>
              </w:rPr>
              <w:t>按达标排放的原则，提出本项目污染物排放总量控制指标建议如下表：</w:t>
            </w:r>
          </w:p>
          <w:p>
            <w:pPr>
              <w:adjustRightInd w:val="0"/>
              <w:snapToGrid w:val="0"/>
              <w:jc w:val="center"/>
              <w:rPr>
                <w:b/>
                <w:szCs w:val="21"/>
              </w:rPr>
            </w:pPr>
            <w:r>
              <w:rPr>
                <w:b/>
                <w:bCs/>
                <w:szCs w:val="21"/>
              </w:rPr>
              <w:t>表</w:t>
            </w:r>
            <w:r>
              <w:rPr>
                <w:rFonts w:hint="eastAsia"/>
                <w:b/>
                <w:bCs/>
                <w:szCs w:val="21"/>
              </w:rPr>
              <w:t>3-</w:t>
            </w:r>
            <w:r>
              <w:rPr>
                <w:rFonts w:hint="eastAsia"/>
                <w:b/>
                <w:bCs/>
                <w:szCs w:val="21"/>
                <w:lang w:val="en-US" w:eastAsia="zh-CN"/>
              </w:rPr>
              <w:t>9</w:t>
            </w:r>
            <w:r>
              <w:rPr>
                <w:b/>
                <w:bCs/>
                <w:szCs w:val="21"/>
              </w:rPr>
              <w:t xml:space="preserve"> </w:t>
            </w:r>
            <w:r>
              <w:rPr>
                <w:b/>
                <w:szCs w:val="21"/>
              </w:rPr>
              <w:t>项目污染物总量控制指标</w:t>
            </w:r>
          </w:p>
          <w:tbl>
            <w:tblPr>
              <w:tblStyle w:val="9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49"/>
              <w:gridCol w:w="1726"/>
              <w:gridCol w:w="1413"/>
              <w:gridCol w:w="1416"/>
              <w:gridCol w:w="1460"/>
              <w:gridCol w:w="22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4" w:type="pct"/>
                  <w:vMerge w:val="restart"/>
                  <w:vAlign w:val="center"/>
                </w:tcPr>
                <w:p>
                  <w:pPr>
                    <w:snapToGrid w:val="0"/>
                    <w:jc w:val="center"/>
                    <w:outlineLvl w:val="1"/>
                    <w:rPr>
                      <w:b/>
                      <w:szCs w:val="21"/>
                    </w:rPr>
                  </w:pPr>
                  <w:r>
                    <w:rPr>
                      <w:b/>
                      <w:szCs w:val="21"/>
                    </w:rPr>
                    <w:t>污染物</w:t>
                  </w:r>
                </w:p>
              </w:tc>
              <w:tc>
                <w:tcPr>
                  <w:tcW w:w="954" w:type="pct"/>
                  <w:vMerge w:val="restart"/>
                  <w:vAlign w:val="center"/>
                </w:tcPr>
                <w:p>
                  <w:pPr>
                    <w:snapToGrid w:val="0"/>
                    <w:jc w:val="center"/>
                    <w:outlineLvl w:val="1"/>
                    <w:rPr>
                      <w:b/>
                      <w:szCs w:val="21"/>
                    </w:rPr>
                  </w:pPr>
                  <w:r>
                    <w:rPr>
                      <w:b/>
                      <w:szCs w:val="21"/>
                    </w:rPr>
                    <w:t>要素</w:t>
                  </w:r>
                </w:p>
              </w:tc>
              <w:tc>
                <w:tcPr>
                  <w:tcW w:w="1564" w:type="pct"/>
                  <w:gridSpan w:val="2"/>
                  <w:vAlign w:val="center"/>
                </w:tcPr>
                <w:p>
                  <w:pPr>
                    <w:snapToGrid w:val="0"/>
                    <w:jc w:val="center"/>
                    <w:outlineLvl w:val="1"/>
                    <w:rPr>
                      <w:b/>
                      <w:szCs w:val="21"/>
                    </w:rPr>
                  </w:pPr>
                  <w:r>
                    <w:rPr>
                      <w:b/>
                      <w:szCs w:val="21"/>
                    </w:rPr>
                    <w:t>排放量</w:t>
                  </w:r>
                </w:p>
              </w:tc>
              <w:tc>
                <w:tcPr>
                  <w:tcW w:w="807" w:type="pct"/>
                  <w:vMerge w:val="restart"/>
                  <w:vAlign w:val="center"/>
                </w:tcPr>
                <w:p>
                  <w:pPr>
                    <w:snapToGrid w:val="0"/>
                    <w:jc w:val="center"/>
                    <w:outlineLvl w:val="1"/>
                    <w:rPr>
                      <w:b/>
                      <w:szCs w:val="21"/>
                    </w:rPr>
                  </w:pPr>
                  <w:r>
                    <w:rPr>
                      <w:b/>
                      <w:szCs w:val="21"/>
                    </w:rPr>
                    <w:t>总量控制量</w:t>
                  </w:r>
                </w:p>
              </w:tc>
              <w:tc>
                <w:tcPr>
                  <w:tcW w:w="1258" w:type="pct"/>
                  <w:vMerge w:val="restart"/>
                  <w:vAlign w:val="center"/>
                </w:tcPr>
                <w:p>
                  <w:pPr>
                    <w:snapToGrid w:val="0"/>
                    <w:jc w:val="center"/>
                    <w:outlineLvl w:val="1"/>
                    <w:rPr>
                      <w:b/>
                      <w:szCs w:val="21"/>
                    </w:rPr>
                  </w:pPr>
                  <w:r>
                    <w:rPr>
                      <w:rFonts w:hint="eastAsia"/>
                      <w:b/>
                      <w:szCs w:val="21"/>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4" w:type="pct"/>
                  <w:vMerge w:val="continue"/>
                  <w:vAlign w:val="center"/>
                </w:tcPr>
                <w:p>
                  <w:pPr>
                    <w:snapToGrid w:val="0"/>
                    <w:jc w:val="center"/>
                    <w:outlineLvl w:val="1"/>
                    <w:rPr>
                      <w:b/>
                      <w:szCs w:val="21"/>
                    </w:rPr>
                  </w:pPr>
                </w:p>
              </w:tc>
              <w:tc>
                <w:tcPr>
                  <w:tcW w:w="954" w:type="pct"/>
                  <w:vMerge w:val="continue"/>
                  <w:vAlign w:val="center"/>
                </w:tcPr>
                <w:p>
                  <w:pPr>
                    <w:snapToGrid w:val="0"/>
                    <w:jc w:val="center"/>
                    <w:outlineLvl w:val="1"/>
                    <w:rPr>
                      <w:b/>
                      <w:szCs w:val="21"/>
                    </w:rPr>
                  </w:pPr>
                </w:p>
              </w:tc>
              <w:tc>
                <w:tcPr>
                  <w:tcW w:w="781" w:type="pct"/>
                  <w:vAlign w:val="center"/>
                </w:tcPr>
                <w:p>
                  <w:pPr>
                    <w:snapToGrid w:val="0"/>
                    <w:jc w:val="center"/>
                    <w:outlineLvl w:val="1"/>
                    <w:rPr>
                      <w:b/>
                      <w:szCs w:val="21"/>
                    </w:rPr>
                  </w:pPr>
                  <w:r>
                    <w:rPr>
                      <w:b/>
                      <w:szCs w:val="21"/>
                    </w:rPr>
                    <w:t>有组织</w:t>
                  </w:r>
                </w:p>
              </w:tc>
              <w:tc>
                <w:tcPr>
                  <w:tcW w:w="782" w:type="pct"/>
                  <w:vAlign w:val="center"/>
                </w:tcPr>
                <w:p>
                  <w:pPr>
                    <w:snapToGrid w:val="0"/>
                    <w:jc w:val="center"/>
                    <w:outlineLvl w:val="1"/>
                    <w:rPr>
                      <w:b/>
                      <w:szCs w:val="21"/>
                    </w:rPr>
                  </w:pPr>
                  <w:r>
                    <w:rPr>
                      <w:b/>
                      <w:szCs w:val="21"/>
                    </w:rPr>
                    <w:t>无组织</w:t>
                  </w:r>
                </w:p>
              </w:tc>
              <w:tc>
                <w:tcPr>
                  <w:tcW w:w="807" w:type="pct"/>
                  <w:vMerge w:val="continue"/>
                  <w:vAlign w:val="center"/>
                </w:tcPr>
                <w:p>
                  <w:pPr>
                    <w:snapToGrid w:val="0"/>
                    <w:jc w:val="center"/>
                    <w:outlineLvl w:val="1"/>
                    <w:rPr>
                      <w:b/>
                      <w:szCs w:val="21"/>
                    </w:rPr>
                  </w:pPr>
                </w:p>
              </w:tc>
              <w:tc>
                <w:tcPr>
                  <w:tcW w:w="1258" w:type="pct"/>
                  <w:vMerge w:val="continue"/>
                  <w:vAlign w:val="center"/>
                </w:tcPr>
                <w:p>
                  <w:pPr>
                    <w:snapToGrid w:val="0"/>
                    <w:jc w:val="center"/>
                    <w:outlineLvl w:val="1"/>
                    <w:rPr>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4" w:type="pct"/>
                  <w:vMerge w:val="restart"/>
                  <w:vAlign w:val="center"/>
                </w:tcPr>
                <w:p>
                  <w:pPr>
                    <w:snapToGrid w:val="0"/>
                    <w:jc w:val="center"/>
                    <w:outlineLvl w:val="1"/>
                    <w:rPr>
                      <w:bCs/>
                      <w:szCs w:val="21"/>
                    </w:rPr>
                  </w:pPr>
                  <w:r>
                    <w:rPr>
                      <w:bCs/>
                      <w:szCs w:val="21"/>
                    </w:rPr>
                    <w:t>生活污水</w:t>
                  </w:r>
                </w:p>
              </w:tc>
              <w:tc>
                <w:tcPr>
                  <w:tcW w:w="954" w:type="pct"/>
                  <w:vAlign w:val="center"/>
                </w:tcPr>
                <w:p>
                  <w:pPr>
                    <w:snapToGrid w:val="0"/>
                    <w:jc w:val="center"/>
                    <w:outlineLvl w:val="1"/>
                    <w:rPr>
                      <w:bCs/>
                      <w:szCs w:val="21"/>
                    </w:rPr>
                  </w:pPr>
                  <w:r>
                    <w:rPr>
                      <w:bCs/>
                      <w:szCs w:val="21"/>
                    </w:rPr>
                    <w:t>废水量</w:t>
                  </w:r>
                </w:p>
              </w:tc>
              <w:tc>
                <w:tcPr>
                  <w:tcW w:w="1564" w:type="pct"/>
                  <w:gridSpan w:val="2"/>
                  <w:vAlign w:val="center"/>
                </w:tcPr>
                <w:p>
                  <w:pPr>
                    <w:snapToGrid w:val="0"/>
                    <w:jc w:val="center"/>
                    <w:outlineLvl w:val="1"/>
                    <w:rPr>
                      <w:bCs/>
                      <w:szCs w:val="21"/>
                    </w:rPr>
                  </w:pPr>
                  <w:r>
                    <w:rPr>
                      <w:rFonts w:hint="eastAsia"/>
                      <w:bCs/>
                      <w:szCs w:val="21"/>
                    </w:rPr>
                    <w:t>2430</w:t>
                  </w:r>
                  <w:r>
                    <w:rPr>
                      <w:bCs/>
                      <w:szCs w:val="21"/>
                    </w:rPr>
                    <w:t>t/a</w:t>
                  </w:r>
                </w:p>
              </w:tc>
              <w:tc>
                <w:tcPr>
                  <w:tcW w:w="807" w:type="pct"/>
                  <w:vAlign w:val="center"/>
                </w:tcPr>
                <w:p>
                  <w:pPr>
                    <w:snapToGrid w:val="0"/>
                    <w:jc w:val="center"/>
                    <w:outlineLvl w:val="1"/>
                    <w:rPr>
                      <w:bCs/>
                      <w:szCs w:val="21"/>
                    </w:rPr>
                  </w:pPr>
                  <w:r>
                    <w:rPr>
                      <w:rFonts w:hint="eastAsia"/>
                      <w:bCs/>
                      <w:szCs w:val="21"/>
                    </w:rPr>
                    <w:t>2430</w:t>
                  </w:r>
                  <w:r>
                    <w:rPr>
                      <w:bCs/>
                      <w:szCs w:val="21"/>
                    </w:rPr>
                    <w:t>t/a</w:t>
                  </w:r>
                </w:p>
              </w:tc>
              <w:tc>
                <w:tcPr>
                  <w:tcW w:w="1258" w:type="pct"/>
                  <w:vMerge w:val="restart"/>
                  <w:vAlign w:val="center"/>
                </w:tcPr>
                <w:p>
                  <w:pPr>
                    <w:snapToGrid w:val="0"/>
                    <w:jc w:val="center"/>
                    <w:outlineLvl w:val="1"/>
                    <w:rPr>
                      <w:bCs/>
                      <w:szCs w:val="21"/>
                    </w:rPr>
                  </w:pPr>
                  <w:r>
                    <w:rPr>
                      <w:bCs/>
                      <w:szCs w:val="21"/>
                    </w:rPr>
                    <w:t>纳入</w:t>
                  </w:r>
                  <w:r>
                    <w:rPr>
                      <w:rFonts w:hint="eastAsia"/>
                      <w:bCs/>
                      <w:szCs w:val="21"/>
                    </w:rPr>
                    <w:t>杨侨镇生活污水处理厂</w:t>
                  </w:r>
                  <w:r>
                    <w:rPr>
                      <w:bCs/>
                      <w:szCs w:val="21"/>
                    </w:rPr>
                    <w:t>中进行控制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4" w:type="pct"/>
                  <w:vMerge w:val="continue"/>
                  <w:vAlign w:val="center"/>
                </w:tcPr>
                <w:p>
                  <w:pPr>
                    <w:snapToGrid w:val="0"/>
                    <w:jc w:val="center"/>
                    <w:outlineLvl w:val="1"/>
                    <w:rPr>
                      <w:bCs/>
                      <w:szCs w:val="21"/>
                    </w:rPr>
                  </w:pPr>
                </w:p>
              </w:tc>
              <w:tc>
                <w:tcPr>
                  <w:tcW w:w="954" w:type="pct"/>
                  <w:vAlign w:val="center"/>
                </w:tcPr>
                <w:p>
                  <w:pPr>
                    <w:snapToGrid w:val="0"/>
                    <w:jc w:val="center"/>
                    <w:outlineLvl w:val="1"/>
                    <w:rPr>
                      <w:bCs/>
                      <w:szCs w:val="21"/>
                    </w:rPr>
                  </w:pPr>
                  <w:r>
                    <w:rPr>
                      <w:bCs/>
                      <w:szCs w:val="21"/>
                    </w:rPr>
                    <w:t>COD</w:t>
                  </w:r>
                  <w:r>
                    <w:rPr>
                      <w:bCs/>
                      <w:szCs w:val="21"/>
                      <w:vertAlign w:val="subscript"/>
                    </w:rPr>
                    <w:t>Cr</w:t>
                  </w:r>
                </w:p>
              </w:tc>
              <w:tc>
                <w:tcPr>
                  <w:tcW w:w="1564" w:type="pct"/>
                  <w:gridSpan w:val="2"/>
                  <w:vAlign w:val="center"/>
                </w:tcPr>
                <w:p>
                  <w:pPr>
                    <w:snapToGrid w:val="0"/>
                    <w:jc w:val="center"/>
                    <w:outlineLvl w:val="1"/>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0.0</w:t>
                  </w:r>
                  <w:r>
                    <w:rPr>
                      <w:rFonts w:hint="eastAsia"/>
                      <w:bCs/>
                      <w:color w:val="000000" w:themeColor="text1"/>
                      <w:szCs w:val="21"/>
                      <w14:textFill>
                        <w14:solidFill>
                          <w14:schemeClr w14:val="tx1"/>
                        </w14:solidFill>
                      </w14:textFill>
                    </w:rPr>
                    <w:t>972</w:t>
                  </w:r>
                  <w:r>
                    <w:rPr>
                      <w:bCs/>
                      <w:color w:val="000000" w:themeColor="text1"/>
                      <w:szCs w:val="21"/>
                      <w14:textFill>
                        <w14:solidFill>
                          <w14:schemeClr w14:val="tx1"/>
                        </w14:solidFill>
                      </w14:textFill>
                    </w:rPr>
                    <w:t>t/a</w:t>
                  </w:r>
                </w:p>
              </w:tc>
              <w:tc>
                <w:tcPr>
                  <w:tcW w:w="807" w:type="pct"/>
                  <w:vAlign w:val="center"/>
                </w:tcPr>
                <w:p>
                  <w:pPr>
                    <w:snapToGrid w:val="0"/>
                    <w:jc w:val="center"/>
                    <w:outlineLvl w:val="1"/>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0.0</w:t>
                  </w:r>
                  <w:r>
                    <w:rPr>
                      <w:rFonts w:hint="eastAsia"/>
                      <w:bCs/>
                      <w:color w:val="000000" w:themeColor="text1"/>
                      <w:szCs w:val="21"/>
                      <w14:textFill>
                        <w14:solidFill>
                          <w14:schemeClr w14:val="tx1"/>
                        </w14:solidFill>
                      </w14:textFill>
                    </w:rPr>
                    <w:t>972</w:t>
                  </w:r>
                  <w:r>
                    <w:rPr>
                      <w:bCs/>
                      <w:color w:val="000000" w:themeColor="text1"/>
                      <w:szCs w:val="21"/>
                      <w14:textFill>
                        <w14:solidFill>
                          <w14:schemeClr w14:val="tx1"/>
                        </w14:solidFill>
                      </w14:textFill>
                    </w:rPr>
                    <w:t>t/a</w:t>
                  </w:r>
                </w:p>
              </w:tc>
              <w:tc>
                <w:tcPr>
                  <w:tcW w:w="1258" w:type="pct"/>
                  <w:vMerge w:val="continue"/>
                  <w:vAlign w:val="center"/>
                </w:tcPr>
                <w:p>
                  <w:pPr>
                    <w:snapToGrid w:val="0"/>
                    <w:jc w:val="center"/>
                    <w:outlineLvl w:val="1"/>
                    <w:rPr>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4" w:type="pct"/>
                  <w:vMerge w:val="continue"/>
                  <w:vAlign w:val="center"/>
                </w:tcPr>
                <w:p>
                  <w:pPr>
                    <w:snapToGrid w:val="0"/>
                    <w:jc w:val="center"/>
                    <w:outlineLvl w:val="1"/>
                    <w:rPr>
                      <w:bCs/>
                      <w:szCs w:val="21"/>
                    </w:rPr>
                  </w:pPr>
                </w:p>
              </w:tc>
              <w:tc>
                <w:tcPr>
                  <w:tcW w:w="954" w:type="pct"/>
                  <w:vAlign w:val="center"/>
                </w:tcPr>
                <w:p>
                  <w:pPr>
                    <w:snapToGrid w:val="0"/>
                    <w:jc w:val="center"/>
                    <w:outlineLvl w:val="1"/>
                    <w:rPr>
                      <w:bCs/>
                      <w:szCs w:val="21"/>
                    </w:rPr>
                  </w:pPr>
                  <w:r>
                    <w:rPr>
                      <w:bCs/>
                      <w:szCs w:val="21"/>
                    </w:rPr>
                    <w:t>NH</w:t>
                  </w:r>
                  <w:r>
                    <w:rPr>
                      <w:bCs/>
                      <w:szCs w:val="21"/>
                      <w:vertAlign w:val="subscript"/>
                    </w:rPr>
                    <w:t>3</w:t>
                  </w:r>
                  <w:r>
                    <w:rPr>
                      <w:bCs/>
                      <w:szCs w:val="21"/>
                    </w:rPr>
                    <w:t>-N</w:t>
                  </w:r>
                </w:p>
              </w:tc>
              <w:tc>
                <w:tcPr>
                  <w:tcW w:w="1564" w:type="pct"/>
                  <w:gridSpan w:val="2"/>
                  <w:vAlign w:val="center"/>
                </w:tcPr>
                <w:p>
                  <w:pPr>
                    <w:snapToGrid w:val="0"/>
                    <w:jc w:val="center"/>
                    <w:outlineLvl w:val="1"/>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0.00</w:t>
                  </w:r>
                  <w:r>
                    <w:rPr>
                      <w:rFonts w:hint="eastAsia"/>
                      <w:bCs/>
                      <w:color w:val="000000" w:themeColor="text1"/>
                      <w:szCs w:val="21"/>
                      <w14:textFill>
                        <w14:solidFill>
                          <w14:schemeClr w14:val="tx1"/>
                        </w14:solidFill>
                      </w14:textFill>
                    </w:rPr>
                    <w:t>486</w:t>
                  </w:r>
                  <w:r>
                    <w:rPr>
                      <w:bCs/>
                      <w:color w:val="000000" w:themeColor="text1"/>
                      <w:szCs w:val="21"/>
                      <w14:textFill>
                        <w14:solidFill>
                          <w14:schemeClr w14:val="tx1"/>
                        </w14:solidFill>
                      </w14:textFill>
                    </w:rPr>
                    <w:t>t/a</w:t>
                  </w:r>
                </w:p>
              </w:tc>
              <w:tc>
                <w:tcPr>
                  <w:tcW w:w="807" w:type="pct"/>
                  <w:vAlign w:val="center"/>
                </w:tcPr>
                <w:p>
                  <w:pPr>
                    <w:snapToGrid w:val="0"/>
                    <w:jc w:val="center"/>
                    <w:outlineLvl w:val="1"/>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0.00</w:t>
                  </w:r>
                  <w:r>
                    <w:rPr>
                      <w:rFonts w:hint="eastAsia"/>
                      <w:bCs/>
                      <w:color w:val="000000" w:themeColor="text1"/>
                      <w:szCs w:val="21"/>
                      <w14:textFill>
                        <w14:solidFill>
                          <w14:schemeClr w14:val="tx1"/>
                        </w14:solidFill>
                      </w14:textFill>
                    </w:rPr>
                    <w:t>486</w:t>
                  </w:r>
                  <w:r>
                    <w:rPr>
                      <w:bCs/>
                      <w:color w:val="000000" w:themeColor="text1"/>
                      <w:szCs w:val="21"/>
                      <w14:textFill>
                        <w14:solidFill>
                          <w14:schemeClr w14:val="tx1"/>
                        </w14:solidFill>
                      </w14:textFill>
                    </w:rPr>
                    <w:t>t/a</w:t>
                  </w:r>
                </w:p>
              </w:tc>
              <w:tc>
                <w:tcPr>
                  <w:tcW w:w="1258" w:type="pct"/>
                  <w:vMerge w:val="continue"/>
                  <w:vAlign w:val="center"/>
                </w:tcPr>
                <w:p>
                  <w:pPr>
                    <w:snapToGrid w:val="0"/>
                    <w:jc w:val="center"/>
                    <w:outlineLvl w:val="1"/>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4" w:type="pct"/>
                  <w:vMerge w:val="restart"/>
                  <w:vAlign w:val="center"/>
                </w:tcPr>
                <w:p>
                  <w:pPr>
                    <w:snapToGrid w:val="0"/>
                    <w:jc w:val="center"/>
                    <w:outlineLvl w:val="1"/>
                    <w:rPr>
                      <w:bCs/>
                      <w:szCs w:val="21"/>
                    </w:rPr>
                  </w:pPr>
                  <w:r>
                    <w:rPr>
                      <w:bCs/>
                      <w:szCs w:val="21"/>
                    </w:rPr>
                    <w:t>废气</w:t>
                  </w:r>
                </w:p>
              </w:tc>
              <w:tc>
                <w:tcPr>
                  <w:tcW w:w="954" w:type="pct"/>
                  <w:vAlign w:val="center"/>
                </w:tcPr>
                <w:p>
                  <w:pPr>
                    <w:snapToGrid w:val="0"/>
                    <w:jc w:val="center"/>
                    <w:outlineLvl w:val="1"/>
                    <w:rPr>
                      <w:bCs/>
                      <w:szCs w:val="21"/>
                    </w:rPr>
                  </w:pPr>
                  <w:r>
                    <w:rPr>
                      <w:bCs/>
                      <w:szCs w:val="21"/>
                    </w:rPr>
                    <w:t>挥发性有机物</w:t>
                  </w:r>
                </w:p>
              </w:tc>
              <w:tc>
                <w:tcPr>
                  <w:tcW w:w="781" w:type="pct"/>
                  <w:vAlign w:val="center"/>
                </w:tcPr>
                <w:p>
                  <w:pPr>
                    <w:snapToGrid w:val="0"/>
                    <w:jc w:val="center"/>
                    <w:outlineLvl w:val="1"/>
                    <w:rPr>
                      <w:bCs/>
                      <w:color w:val="auto"/>
                      <w:szCs w:val="21"/>
                      <w:highlight w:val="yellow"/>
                    </w:rPr>
                  </w:pPr>
                  <w:r>
                    <w:rPr>
                      <w:rFonts w:hint="eastAsia"/>
                      <w:color w:val="FF0000"/>
                      <w:szCs w:val="21"/>
                      <w:highlight w:val="none"/>
                    </w:rPr>
                    <w:t>0.</w:t>
                  </w:r>
                  <w:r>
                    <w:rPr>
                      <w:rFonts w:hint="eastAsia"/>
                      <w:color w:val="FF0000"/>
                      <w:szCs w:val="21"/>
                      <w:highlight w:val="none"/>
                      <w:lang w:val="en-US" w:eastAsia="zh-CN"/>
                    </w:rPr>
                    <w:t>7128</w:t>
                  </w:r>
                  <w:r>
                    <w:rPr>
                      <w:bCs/>
                      <w:color w:val="FF0000"/>
                      <w:szCs w:val="21"/>
                      <w:highlight w:val="none"/>
                    </w:rPr>
                    <w:t>t/a</w:t>
                  </w:r>
                </w:p>
              </w:tc>
              <w:tc>
                <w:tcPr>
                  <w:tcW w:w="782" w:type="pct"/>
                  <w:vAlign w:val="center"/>
                </w:tcPr>
                <w:p>
                  <w:pPr>
                    <w:snapToGrid w:val="0"/>
                    <w:jc w:val="center"/>
                    <w:outlineLvl w:val="1"/>
                    <w:rPr>
                      <w:bCs/>
                      <w:color w:val="auto"/>
                      <w:szCs w:val="21"/>
                      <w:highlight w:val="yellow"/>
                    </w:rPr>
                  </w:pPr>
                  <w:r>
                    <w:rPr>
                      <w:rFonts w:hint="eastAsia"/>
                      <w:color w:val="FF0000"/>
                      <w:szCs w:val="21"/>
                      <w:highlight w:val="none"/>
                    </w:rPr>
                    <w:t>0.</w:t>
                  </w:r>
                  <w:r>
                    <w:rPr>
                      <w:rFonts w:hint="eastAsia"/>
                      <w:color w:val="FF0000"/>
                      <w:szCs w:val="21"/>
                      <w:highlight w:val="none"/>
                      <w:lang w:val="en-US" w:eastAsia="zh-CN"/>
                    </w:rPr>
                    <w:t>3487</w:t>
                  </w:r>
                  <w:r>
                    <w:rPr>
                      <w:bCs/>
                      <w:color w:val="FF0000"/>
                      <w:szCs w:val="21"/>
                      <w:highlight w:val="none"/>
                    </w:rPr>
                    <w:t>t/a</w:t>
                  </w:r>
                </w:p>
              </w:tc>
              <w:tc>
                <w:tcPr>
                  <w:tcW w:w="807" w:type="pct"/>
                  <w:vAlign w:val="center"/>
                </w:tcPr>
                <w:p>
                  <w:pPr>
                    <w:snapToGrid w:val="0"/>
                    <w:jc w:val="center"/>
                    <w:outlineLvl w:val="1"/>
                    <w:rPr>
                      <w:bCs/>
                      <w:color w:val="auto"/>
                      <w:szCs w:val="21"/>
                      <w:highlight w:val="yellow"/>
                    </w:rPr>
                  </w:pPr>
                  <w:r>
                    <w:rPr>
                      <w:rFonts w:hint="eastAsia"/>
                      <w:bCs/>
                      <w:color w:val="FF0000"/>
                      <w:szCs w:val="21"/>
                      <w:highlight w:val="none"/>
                      <w:lang w:val="en-US" w:eastAsia="zh-CN"/>
                    </w:rPr>
                    <w:t>1.0615</w:t>
                  </w:r>
                  <w:r>
                    <w:rPr>
                      <w:bCs/>
                      <w:color w:val="FF0000"/>
                      <w:szCs w:val="21"/>
                      <w:highlight w:val="none"/>
                    </w:rPr>
                    <w:t>t/a</w:t>
                  </w:r>
                </w:p>
              </w:tc>
              <w:tc>
                <w:tcPr>
                  <w:tcW w:w="1258" w:type="pct"/>
                  <w:vAlign w:val="center"/>
                </w:tcPr>
                <w:p>
                  <w:pPr>
                    <w:snapToGrid w:val="0"/>
                    <w:jc w:val="center"/>
                    <w:outlineLvl w:val="1"/>
                    <w:rPr>
                      <w:bCs/>
                      <w:szCs w:val="21"/>
                    </w:rPr>
                  </w:pPr>
                  <w:r>
                    <w:rPr>
                      <w:rFonts w:hint="eastAsia"/>
                      <w:bCs/>
                      <w:szCs w:val="21"/>
                    </w:rPr>
                    <w:t>由惠州市生态环境局博罗分局调配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4" w:type="pct"/>
                  <w:vMerge w:val="continue"/>
                  <w:vAlign w:val="center"/>
                </w:tcPr>
                <w:p>
                  <w:pPr>
                    <w:snapToGrid w:val="0"/>
                    <w:jc w:val="center"/>
                    <w:outlineLvl w:val="1"/>
                    <w:rPr>
                      <w:bCs/>
                      <w:szCs w:val="21"/>
                    </w:rPr>
                  </w:pPr>
                </w:p>
              </w:tc>
              <w:tc>
                <w:tcPr>
                  <w:tcW w:w="954" w:type="pct"/>
                  <w:vAlign w:val="center"/>
                </w:tcPr>
                <w:p>
                  <w:pPr>
                    <w:snapToGrid w:val="0"/>
                    <w:jc w:val="center"/>
                    <w:outlineLvl w:val="1"/>
                    <w:rPr>
                      <w:bCs/>
                      <w:szCs w:val="21"/>
                    </w:rPr>
                  </w:pPr>
                  <w:r>
                    <w:rPr>
                      <w:rFonts w:hint="eastAsia"/>
                      <w:bCs/>
                      <w:szCs w:val="21"/>
                    </w:rPr>
                    <w:t>颗粒物</w:t>
                  </w:r>
                </w:p>
              </w:tc>
              <w:tc>
                <w:tcPr>
                  <w:tcW w:w="781" w:type="pct"/>
                  <w:vAlign w:val="center"/>
                </w:tcPr>
                <w:p>
                  <w:pPr>
                    <w:snapToGrid w:val="0"/>
                    <w:jc w:val="center"/>
                    <w:outlineLvl w:val="1"/>
                    <w:rPr>
                      <w:bCs/>
                      <w:color w:val="auto"/>
                      <w:szCs w:val="21"/>
                      <w:highlight w:val="yellow"/>
                    </w:rPr>
                  </w:pPr>
                  <w:r>
                    <w:rPr>
                      <w:rFonts w:hint="eastAsia"/>
                      <w:color w:val="FF0000"/>
                      <w:szCs w:val="21"/>
                      <w:highlight w:val="none"/>
                    </w:rPr>
                    <w:t>0.0</w:t>
                  </w:r>
                  <w:r>
                    <w:rPr>
                      <w:rFonts w:hint="eastAsia"/>
                      <w:color w:val="FF0000"/>
                      <w:szCs w:val="21"/>
                      <w:highlight w:val="none"/>
                      <w:lang w:val="en-US" w:eastAsia="zh-CN"/>
                    </w:rPr>
                    <w:t>3528</w:t>
                  </w:r>
                  <w:r>
                    <w:rPr>
                      <w:bCs/>
                      <w:color w:val="FF0000"/>
                      <w:szCs w:val="21"/>
                      <w:highlight w:val="none"/>
                    </w:rPr>
                    <w:t>t/a</w:t>
                  </w:r>
                </w:p>
              </w:tc>
              <w:tc>
                <w:tcPr>
                  <w:tcW w:w="782" w:type="pct"/>
                  <w:vAlign w:val="center"/>
                </w:tcPr>
                <w:p>
                  <w:pPr>
                    <w:snapToGrid w:val="0"/>
                    <w:jc w:val="center"/>
                    <w:outlineLvl w:val="1"/>
                    <w:rPr>
                      <w:bCs/>
                      <w:color w:val="auto"/>
                      <w:szCs w:val="21"/>
                      <w:highlight w:val="yellow"/>
                    </w:rPr>
                  </w:pPr>
                  <w:r>
                    <w:rPr>
                      <w:rFonts w:hint="eastAsia"/>
                      <w:bCs/>
                      <w:color w:val="FF0000"/>
                      <w:szCs w:val="21"/>
                      <w:highlight w:val="none"/>
                    </w:rPr>
                    <w:t>0.</w:t>
                  </w:r>
                  <w:r>
                    <w:rPr>
                      <w:rFonts w:hint="eastAsia"/>
                      <w:bCs/>
                      <w:color w:val="FF0000"/>
                      <w:szCs w:val="21"/>
                      <w:highlight w:val="none"/>
                      <w:lang w:val="en-US" w:eastAsia="zh-CN"/>
                    </w:rPr>
                    <w:t>3487</w:t>
                  </w:r>
                  <w:r>
                    <w:rPr>
                      <w:bCs/>
                      <w:color w:val="FF0000"/>
                      <w:szCs w:val="21"/>
                      <w:highlight w:val="none"/>
                    </w:rPr>
                    <w:t>t/a</w:t>
                  </w:r>
                </w:p>
              </w:tc>
              <w:tc>
                <w:tcPr>
                  <w:tcW w:w="807" w:type="pct"/>
                  <w:vAlign w:val="center"/>
                </w:tcPr>
                <w:p>
                  <w:pPr>
                    <w:snapToGrid w:val="0"/>
                    <w:jc w:val="center"/>
                    <w:outlineLvl w:val="1"/>
                    <w:rPr>
                      <w:bCs/>
                      <w:color w:val="auto"/>
                      <w:szCs w:val="21"/>
                      <w:highlight w:val="yellow"/>
                    </w:rPr>
                  </w:pPr>
                  <w:r>
                    <w:rPr>
                      <w:rFonts w:hint="eastAsia"/>
                      <w:bCs/>
                      <w:color w:val="FF0000"/>
                      <w:szCs w:val="21"/>
                      <w:highlight w:val="none"/>
                    </w:rPr>
                    <w:t>0</w:t>
                  </w:r>
                  <w:r>
                    <w:rPr>
                      <w:rFonts w:hint="eastAsia"/>
                      <w:bCs/>
                      <w:color w:val="FF0000"/>
                      <w:szCs w:val="21"/>
                      <w:highlight w:val="none"/>
                      <w:lang w:val="en-US" w:eastAsia="zh-CN"/>
                    </w:rPr>
                    <w:t>.38398</w:t>
                  </w:r>
                  <w:r>
                    <w:rPr>
                      <w:bCs/>
                      <w:color w:val="FF0000"/>
                      <w:szCs w:val="21"/>
                      <w:highlight w:val="none"/>
                    </w:rPr>
                    <w:t>t/a</w:t>
                  </w:r>
                </w:p>
              </w:tc>
              <w:tc>
                <w:tcPr>
                  <w:tcW w:w="1258" w:type="pct"/>
                  <w:vAlign w:val="center"/>
                </w:tcPr>
                <w:p>
                  <w:pPr>
                    <w:snapToGrid w:val="0"/>
                    <w:jc w:val="center"/>
                    <w:outlineLvl w:val="1"/>
                    <w:rPr>
                      <w:bCs/>
                      <w:szCs w:val="21"/>
                    </w:rPr>
                  </w:pPr>
                  <w:r>
                    <w:rPr>
                      <w:rFonts w:hint="eastAsia"/>
                      <w:bCs/>
                      <w:szCs w:val="21"/>
                    </w:rPr>
                    <w:t>/</w:t>
                  </w:r>
                </w:p>
              </w:tc>
            </w:tr>
          </w:tbl>
          <w:p>
            <w:pPr>
              <w:autoSpaceDE w:val="0"/>
              <w:adjustRightInd w:val="0"/>
              <w:textAlignment w:val="baseline"/>
              <w:outlineLvl w:val="2"/>
              <w:rPr>
                <w:szCs w:val="21"/>
              </w:rPr>
            </w:pPr>
          </w:p>
        </w:tc>
      </w:tr>
    </w:tbl>
    <w:p>
      <w:pPr>
        <w:pStyle w:val="85"/>
        <w:tabs>
          <w:tab w:val="left" w:pos="276"/>
          <w:tab w:val="center" w:pos="4422"/>
        </w:tabs>
        <w:outlineLvl w:val="0"/>
        <w:rPr>
          <w:rFonts w:ascii="Times New Roman" w:hAnsi="Times New Roman"/>
          <w:color w:val="000000" w:themeColor="text1"/>
          <w14:textFill>
            <w14:solidFill>
              <w14:schemeClr w14:val="tx1"/>
            </w14:solidFill>
          </w14:textFill>
        </w:rPr>
        <w:sectPr>
          <w:pgSz w:w="11907" w:h="16840"/>
          <w:pgMar w:top="1440" w:right="1080" w:bottom="1440" w:left="1080" w:header="851" w:footer="851" w:gutter="0"/>
          <w:pgBorders>
            <w:top w:val="none" w:sz="0" w:space="0"/>
            <w:left w:val="none" w:sz="0" w:space="0"/>
            <w:bottom w:val="none" w:sz="0" w:space="0"/>
            <w:right w:val="none" w:sz="0" w:space="0"/>
          </w:pgBorders>
          <w:cols w:space="720" w:num="1"/>
          <w:docGrid w:linePitch="312" w:charSpace="0"/>
        </w:sectPr>
      </w:pPr>
    </w:p>
    <w:p>
      <w:pPr>
        <w:pStyle w:val="85"/>
        <w:jc w:val="center"/>
        <w:outlineLvl w:val="0"/>
        <w:rPr>
          <w:rFonts w:cs="宋体"/>
          <w:b/>
          <w:color w:val="000000" w:themeColor="text1"/>
          <w:sz w:val="28"/>
          <w:szCs w:val="28"/>
          <w14:textFill>
            <w14:solidFill>
              <w14:schemeClr w14:val="tx1"/>
            </w14:solidFill>
          </w14:textFill>
        </w:rPr>
      </w:pPr>
      <w:r>
        <w:rPr>
          <w:rFonts w:hint="eastAsia" w:ascii="Times New Roman" w:hAnsi="Times New Roman"/>
          <w:snapToGrid w:val="0"/>
          <w:color w:val="000000" w:themeColor="text1"/>
          <w:sz w:val="30"/>
          <w:szCs w:val="30"/>
          <w14:textFill>
            <w14:solidFill>
              <w14:schemeClr w14:val="tx1"/>
            </w14:solidFill>
          </w14:textFill>
        </w:rPr>
        <w:t>四、主要环境影响和保护措施</w:t>
      </w:r>
    </w:p>
    <w:tbl>
      <w:tblPr>
        <w:tblStyle w:val="92"/>
        <w:tblW w:w="4999"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370"/>
        <w:gridCol w:w="8609"/>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049" w:hRule="atLeast"/>
          <w:jc w:val="center"/>
        </w:trPr>
        <w:tc>
          <w:tcPr>
            <w:tcW w:w="223" w:type="pct"/>
            <w:tcMar>
              <w:left w:w="28" w:type="dxa"/>
              <w:right w:w="28" w:type="dxa"/>
            </w:tcMar>
            <w:vAlign w:val="center"/>
          </w:tcPr>
          <w:p>
            <w:pPr>
              <w:pStyle w:val="85"/>
              <w:adjustRightInd w:val="0"/>
              <w:snapToGrid w:val="0"/>
              <w:spacing w:before="0" w:beforeAutospacing="0" w:after="0" w:afterAutospacing="0"/>
              <w:jc w:val="center"/>
              <w:rPr>
                <w:rFonts w:ascii="Times New Roman" w:hAnsi="Times New Roman" w:cs="宋体"/>
                <w:bCs/>
                <w:color w:val="000000" w:themeColor="text1"/>
                <w:kern w:val="2"/>
                <w:sz w:val="21"/>
                <w:szCs w:val="21"/>
                <w14:textFill>
                  <w14:solidFill>
                    <w14:schemeClr w14:val="tx1"/>
                  </w14:solidFill>
                </w14:textFill>
              </w:rPr>
            </w:pPr>
            <w:r>
              <w:rPr>
                <w:rFonts w:hint="eastAsia" w:ascii="Times New Roman" w:hAnsi="Times New Roman" w:cs="宋体"/>
                <w:color w:val="000000" w:themeColor="text1"/>
                <w:kern w:val="2"/>
                <w:sz w:val="21"/>
                <w:szCs w:val="21"/>
                <w14:textFill>
                  <w14:solidFill>
                    <w14:schemeClr w14:val="tx1"/>
                  </w14:solidFill>
                </w14:textFill>
              </w:rPr>
              <w:t>施工期环境保护措施</w:t>
            </w:r>
          </w:p>
        </w:tc>
        <w:tc>
          <w:tcPr>
            <w:tcW w:w="4776" w:type="pct"/>
            <w:vAlign w:val="center"/>
          </w:tcPr>
          <w:p>
            <w:pPr>
              <w:adjustRightInd w:val="0"/>
              <w:snapToGrid w:val="0"/>
              <w:spacing w:line="360" w:lineRule="auto"/>
              <w:ind w:firstLine="420" w:firstLineChars="200"/>
              <w:rPr>
                <w:rFonts w:cs="宋体"/>
                <w:lang w:val="zh-CN" w:bidi="ar"/>
              </w:rPr>
            </w:pPr>
            <w:r>
              <w:rPr>
                <w:rFonts w:hint="eastAsia" w:cs="宋体"/>
                <w:lang w:val="zh-CN" w:bidi="ar"/>
              </w:rPr>
              <w:t>根据建设单位提供的资料，本项目施工工期为90天。项目施工场地内不设临时食堂及宿舍，即施工期不设置施工营地，施工人员在场外食宿。施工人员每日统一按时进入工地开展施工，就餐依托附近村落的生活服务设施送餐解决。项目施工期的污染源主要有扬尘、施工器械设备的噪声、施工工人的生活污水、生活垃圾、工程弃土、建筑垃圾、装修阶段产生的装修垃圾、装修废气等。</w:t>
            </w:r>
          </w:p>
          <w:p>
            <w:pPr>
              <w:adjustRightInd w:val="0"/>
              <w:snapToGrid w:val="0"/>
              <w:spacing w:line="360" w:lineRule="auto"/>
              <w:ind w:firstLine="422" w:firstLineChars="200"/>
              <w:rPr>
                <w:rFonts w:cs="宋体"/>
                <w:b/>
                <w:bCs/>
                <w:lang w:val="zh-CN" w:bidi="ar"/>
              </w:rPr>
            </w:pPr>
            <w:r>
              <w:rPr>
                <w:rFonts w:hint="eastAsia" w:cs="宋体"/>
                <w:b/>
                <w:bCs/>
                <w:lang w:val="zh-CN" w:bidi="ar"/>
              </w:rPr>
              <w:t>一、施工期废水污染防治措施</w:t>
            </w:r>
          </w:p>
          <w:p>
            <w:pPr>
              <w:adjustRightInd w:val="0"/>
              <w:snapToGrid w:val="0"/>
              <w:spacing w:line="360" w:lineRule="auto"/>
              <w:ind w:firstLine="420" w:firstLineChars="200"/>
              <w:rPr>
                <w:rFonts w:cs="宋体"/>
                <w:lang w:val="zh-CN" w:bidi="ar"/>
              </w:rPr>
            </w:pPr>
            <w:r>
              <w:rPr>
                <w:rFonts w:hint="eastAsia" w:cs="宋体"/>
                <w:lang w:val="zh-CN" w:bidi="ar"/>
              </w:rPr>
              <w:t>（1）建筑施工废水</w:t>
            </w:r>
          </w:p>
          <w:p>
            <w:pPr>
              <w:adjustRightInd w:val="0"/>
              <w:snapToGrid w:val="0"/>
              <w:spacing w:line="360" w:lineRule="auto"/>
              <w:ind w:firstLine="420" w:firstLineChars="200"/>
              <w:rPr>
                <w:rFonts w:cs="宋体"/>
                <w:lang w:val="zh-CN" w:bidi="ar"/>
              </w:rPr>
            </w:pPr>
            <w:r>
              <w:rPr>
                <w:rFonts w:hint="eastAsia" w:cs="宋体"/>
                <w:lang w:val="zh-CN" w:bidi="ar"/>
              </w:rPr>
              <w:t>建筑施工废水主要包括基础开挖地下渗水产生的基坑废水、泥浆废水，混凝土养护产生的混凝土养护废水，施工机械设备及材料运输车辆冲洗产生的冲洗废水等，废水中污染物主要为SS，施工机械设备冲洗废水中还含有少量的石油。这些废水中悬浮物含量较高，若不经处理直接排放将会对</w:t>
            </w:r>
            <w:r>
              <w:rPr>
                <w:rFonts w:hint="eastAsia" w:cs="宋体"/>
                <w:lang w:bidi="ar"/>
              </w:rPr>
              <w:t>受</w:t>
            </w:r>
            <w:r>
              <w:rPr>
                <w:rFonts w:hint="eastAsia" w:cs="宋体"/>
                <w:lang w:val="zh-CN" w:bidi="ar"/>
              </w:rPr>
              <w:t>纳水体造成污染，排入市政管网容易造成管道堵塞。</w:t>
            </w:r>
          </w:p>
          <w:p>
            <w:pPr>
              <w:adjustRightInd w:val="0"/>
              <w:snapToGrid w:val="0"/>
              <w:spacing w:line="360" w:lineRule="auto"/>
              <w:ind w:firstLine="420" w:firstLineChars="200"/>
              <w:rPr>
                <w:rFonts w:cs="宋体"/>
                <w:lang w:val="zh-CN" w:bidi="ar"/>
              </w:rPr>
            </w:pPr>
            <w:r>
              <w:rPr>
                <w:rFonts w:hint="eastAsia" w:cs="宋体"/>
                <w:lang w:val="zh-CN" w:bidi="ar"/>
              </w:rPr>
              <w:t>建设单位在施工工场设置沉淀池、隔油池，基坑废水、泥浆废水、混凝土养护废水通过排水沟引至沉淀池进行沉淀处理，施工机械及运输车辆冲洗废水排入隔油池、沉淀池处理，废水经处理后回用于施工工场、道路洒水降尘，或用于建筑材料配比用水，不外排。建筑施工废水经上述防治措施处理后，对周围环境影响很小。</w:t>
            </w:r>
          </w:p>
          <w:p>
            <w:pPr>
              <w:adjustRightInd w:val="0"/>
              <w:snapToGrid w:val="0"/>
              <w:spacing w:line="360" w:lineRule="auto"/>
              <w:ind w:firstLine="420" w:firstLineChars="200"/>
              <w:rPr>
                <w:rFonts w:cs="宋体"/>
                <w:lang w:val="zh-CN" w:bidi="ar"/>
              </w:rPr>
            </w:pPr>
            <w:r>
              <w:rPr>
                <w:rFonts w:hint="eastAsia" w:cs="宋体"/>
                <w:lang w:val="zh-CN" w:bidi="ar"/>
              </w:rPr>
              <w:t>（2）施工人员生活污水</w:t>
            </w:r>
          </w:p>
          <w:p>
            <w:pPr>
              <w:adjustRightInd w:val="0"/>
              <w:snapToGrid w:val="0"/>
              <w:spacing w:line="360" w:lineRule="auto"/>
              <w:ind w:firstLine="420" w:firstLineChars="200"/>
              <w:rPr>
                <w:rFonts w:cs="宋体"/>
                <w:lang w:val="zh-CN" w:bidi="ar"/>
              </w:rPr>
            </w:pPr>
            <w:r>
              <w:rPr>
                <w:rFonts w:hint="eastAsia" w:cs="宋体"/>
                <w:lang w:val="zh-CN" w:bidi="ar"/>
              </w:rPr>
              <w:t>本项目施工期间施工人员约</w:t>
            </w:r>
            <w:r>
              <w:rPr>
                <w:rFonts w:hint="eastAsia" w:cs="宋体"/>
                <w:lang w:bidi="ar"/>
              </w:rPr>
              <w:t>50</w:t>
            </w:r>
            <w:r>
              <w:rPr>
                <w:rFonts w:hint="eastAsia" w:cs="宋体"/>
                <w:lang w:val="zh-CN" w:bidi="ar"/>
              </w:rPr>
              <w:t>人，生活污水排放量为</w:t>
            </w:r>
            <w:r>
              <w:rPr>
                <w:rFonts w:hint="eastAsia" w:cs="宋体"/>
                <w:lang w:bidi="ar"/>
              </w:rPr>
              <w:t>2</w:t>
            </w:r>
            <w:r>
              <w:rPr>
                <w:rFonts w:hint="eastAsia" w:cs="宋体"/>
                <w:lang w:val="zh-CN" w:bidi="ar"/>
              </w:rPr>
              <w:t>t/d（</w:t>
            </w:r>
            <w:r>
              <w:rPr>
                <w:rFonts w:hint="eastAsia" w:cs="宋体"/>
                <w:lang w:bidi="ar"/>
              </w:rPr>
              <w:t>180</w:t>
            </w:r>
            <w:r>
              <w:rPr>
                <w:rFonts w:hint="eastAsia" w:cs="宋体"/>
                <w:lang w:val="zh-CN" w:bidi="ar"/>
              </w:rPr>
              <w:t>t/施工期），生活污水主要为粪便废水，废水中主要污染物为COD</w:t>
            </w:r>
            <w:r>
              <w:rPr>
                <w:rFonts w:hint="eastAsia" w:cs="宋体"/>
                <w:vertAlign w:val="subscript"/>
                <w:lang w:val="zh-CN" w:bidi="ar"/>
              </w:rPr>
              <w:t>Cr</w:t>
            </w:r>
            <w:r>
              <w:rPr>
                <w:rFonts w:hint="eastAsia" w:cs="宋体"/>
                <w:lang w:val="zh-CN" w:bidi="ar"/>
              </w:rPr>
              <w:t>、SS、NH</w:t>
            </w:r>
            <w:r>
              <w:rPr>
                <w:rFonts w:hint="eastAsia" w:cs="宋体"/>
                <w:vertAlign w:val="subscript"/>
                <w:lang w:val="zh-CN" w:bidi="ar"/>
              </w:rPr>
              <w:t>3</w:t>
            </w:r>
            <w:r>
              <w:rPr>
                <w:rFonts w:hint="eastAsia" w:cs="宋体"/>
                <w:lang w:val="zh-CN" w:bidi="ar"/>
              </w:rPr>
              <w:t>-N、BOD</w:t>
            </w:r>
            <w:r>
              <w:rPr>
                <w:rFonts w:hint="eastAsia" w:cs="宋体"/>
                <w:vertAlign w:val="subscript"/>
                <w:lang w:val="zh-CN" w:bidi="ar"/>
              </w:rPr>
              <w:t>5</w:t>
            </w:r>
            <w:r>
              <w:rPr>
                <w:rFonts w:hint="eastAsia" w:cs="宋体"/>
                <w:lang w:val="zh-CN" w:bidi="ar"/>
              </w:rPr>
              <w:t>等。若这部分生活污水未经处理达标进入附近水体，将会对水体产生一定不良影响。生活污水依托附近村庄三级化粪池处理，对周围环境影响很小。</w:t>
            </w:r>
          </w:p>
          <w:p>
            <w:pPr>
              <w:adjustRightInd w:val="0"/>
              <w:snapToGrid w:val="0"/>
              <w:spacing w:line="360" w:lineRule="auto"/>
              <w:ind w:firstLine="420" w:firstLineChars="200"/>
              <w:rPr>
                <w:rFonts w:cs="宋体"/>
                <w:lang w:val="zh-CN" w:bidi="ar"/>
              </w:rPr>
            </w:pPr>
            <w:r>
              <w:rPr>
                <w:rFonts w:hint="eastAsia" w:cs="宋体"/>
                <w:lang w:val="zh-CN" w:bidi="ar"/>
              </w:rPr>
              <w:t>（3）地表径流</w:t>
            </w:r>
          </w:p>
          <w:p>
            <w:pPr>
              <w:adjustRightInd w:val="0"/>
              <w:snapToGrid w:val="0"/>
              <w:spacing w:line="360" w:lineRule="auto"/>
              <w:ind w:firstLine="420" w:firstLineChars="200"/>
              <w:rPr>
                <w:rFonts w:cs="宋体"/>
                <w:lang w:val="zh-CN" w:bidi="ar"/>
              </w:rPr>
            </w:pPr>
            <w:r>
              <w:rPr>
                <w:rFonts w:hint="eastAsia" w:cs="宋体"/>
                <w:lang w:val="zh-CN" w:bidi="ar"/>
              </w:rPr>
              <w:t>场地平整、基础开挖等施工作业面，临时弃土堆场、建筑材料堆场等场地表土较为疏松，遇到暴雨天气时，表土很容易受到雨水的冲刷，随着雨水进入附近地表水，影响水环境质量。建设单位应加强施工管理，在施工工场、临时堆场四周设置排水沟，排水沟每隔一段距离或者在拐弯处设置沉砂池，施工工场、临时堆场的雨水由排水沟收集，经沉砂池沉淀后再排放，可将地表径流对附近水环境的影响降至最小。</w:t>
            </w:r>
          </w:p>
          <w:p>
            <w:pPr>
              <w:adjustRightInd w:val="0"/>
              <w:snapToGrid w:val="0"/>
              <w:spacing w:line="360" w:lineRule="auto"/>
              <w:ind w:firstLine="422" w:firstLineChars="200"/>
              <w:rPr>
                <w:rFonts w:cs="宋体"/>
                <w:b/>
                <w:bCs/>
                <w:lang w:val="zh-CN" w:bidi="ar"/>
              </w:rPr>
            </w:pPr>
            <w:r>
              <w:rPr>
                <w:rFonts w:hint="eastAsia" w:cs="宋体"/>
                <w:b/>
                <w:bCs/>
                <w:lang w:val="zh-CN" w:bidi="ar"/>
              </w:rPr>
              <w:t>二、施工期大气污染防治措施</w:t>
            </w:r>
          </w:p>
          <w:p>
            <w:pPr>
              <w:adjustRightInd w:val="0"/>
              <w:snapToGrid w:val="0"/>
              <w:spacing w:line="360" w:lineRule="auto"/>
              <w:ind w:firstLine="420" w:firstLineChars="200"/>
              <w:rPr>
                <w:rFonts w:cs="宋体"/>
                <w:lang w:val="zh-CN" w:bidi="ar"/>
              </w:rPr>
            </w:pPr>
            <w:r>
              <w:rPr>
                <w:rFonts w:hint="eastAsia" w:cs="宋体"/>
                <w:lang w:val="zh-CN" w:bidi="ar"/>
              </w:rPr>
              <w:t>本项目施工期的大气污染源主要有施工扬尘、施工期运输车辆和以油料为动力的施工机械排放的尾气。</w:t>
            </w:r>
          </w:p>
          <w:p>
            <w:pPr>
              <w:adjustRightInd w:val="0"/>
              <w:snapToGrid w:val="0"/>
              <w:spacing w:line="360" w:lineRule="auto"/>
              <w:ind w:firstLine="422" w:firstLineChars="200"/>
              <w:rPr>
                <w:b/>
              </w:rPr>
            </w:pPr>
            <w:r>
              <w:rPr>
                <w:rFonts w:hint="eastAsia" w:cs="宋体"/>
                <w:b/>
                <w:lang w:bidi="ar"/>
              </w:rPr>
              <w:t>（</w:t>
            </w:r>
            <w:r>
              <w:rPr>
                <w:rFonts w:cs="宋体"/>
                <w:b/>
                <w:lang w:bidi="ar"/>
              </w:rPr>
              <w:t>1</w:t>
            </w:r>
            <w:r>
              <w:rPr>
                <w:rFonts w:hint="eastAsia" w:cs="宋体"/>
                <w:b/>
                <w:lang w:bidi="ar"/>
              </w:rPr>
              <w:t>）施工、运输产生的扬尘</w:t>
            </w:r>
          </w:p>
          <w:p>
            <w:pPr>
              <w:adjustRightInd w:val="0"/>
              <w:snapToGrid w:val="0"/>
              <w:spacing w:line="360" w:lineRule="auto"/>
              <w:ind w:firstLine="420" w:firstLineChars="200"/>
              <w:rPr>
                <w:rFonts w:cs="宋体"/>
                <w:lang w:val="zh-CN" w:bidi="ar"/>
              </w:rPr>
            </w:pPr>
            <w:r>
              <w:rPr>
                <w:rFonts w:hint="eastAsia" w:cs="宋体"/>
                <w:lang w:val="zh-CN" w:bidi="ar"/>
              </w:rPr>
              <w:t>本项目建设施工过程中的大气污染主要来自于施工场地的扬尘。在整个施工期，产生扬尘的作业有场地平整、建材运输、露天堆放、装卸等过程。施工现场近地面的粉尘量受施工机械、施工方式、管理方式及天气、地表土质等多种因素影响，一般施工现场的大气环境中TSP浓度可达到1.5-3.0mg/m</w:t>
            </w:r>
            <w:r>
              <w:rPr>
                <w:rFonts w:hint="eastAsia" w:cs="宋体"/>
                <w:vertAlign w:val="superscript"/>
                <w:lang w:val="zh-CN" w:bidi="ar"/>
              </w:rPr>
              <w:t>3</w:t>
            </w:r>
            <w:r>
              <w:rPr>
                <w:rFonts w:hint="eastAsia" w:cs="宋体"/>
                <w:lang w:val="zh-CN" w:bidi="ar"/>
              </w:rPr>
              <w:t>。</w:t>
            </w:r>
          </w:p>
          <w:p>
            <w:pPr>
              <w:adjustRightInd w:val="0"/>
              <w:snapToGrid w:val="0"/>
              <w:spacing w:line="360" w:lineRule="auto"/>
              <w:ind w:firstLine="422" w:firstLineChars="200"/>
              <w:rPr>
                <w:rFonts w:cs="宋体"/>
                <w:b/>
                <w:bCs/>
                <w:lang w:val="zh-CN" w:bidi="ar"/>
              </w:rPr>
            </w:pPr>
            <w:r>
              <w:rPr>
                <w:rFonts w:hint="eastAsia" w:cs="宋体"/>
                <w:b/>
                <w:bCs/>
                <w:lang w:val="zh-CN" w:bidi="ar"/>
              </w:rPr>
              <w:t>①车辆扬尘</w:t>
            </w:r>
          </w:p>
          <w:p>
            <w:pPr>
              <w:adjustRightInd w:val="0"/>
              <w:snapToGrid w:val="0"/>
              <w:spacing w:line="360" w:lineRule="auto"/>
              <w:ind w:firstLine="420" w:firstLineChars="200"/>
              <w:rPr>
                <w:rFonts w:cs="宋体"/>
                <w:lang w:val="zh-CN" w:bidi="ar"/>
              </w:rPr>
            </w:pPr>
            <w:r>
              <w:rPr>
                <w:rFonts w:hint="eastAsia" w:cs="宋体"/>
                <w:lang w:val="zh-CN" w:bidi="ar"/>
              </w:rPr>
              <w:t>据有关调查显示，施工工地的扬尘主要是由运输车辆的行驶产生，约占扬尘总量的60%，在完全干燥情况下，可按下列经验公式计算：</w:t>
            </w:r>
          </w:p>
          <w:p>
            <w:pPr>
              <w:adjustRightInd w:val="0"/>
              <w:snapToGrid w:val="0"/>
              <w:spacing w:line="360" w:lineRule="auto"/>
              <w:ind w:firstLine="422" w:firstLineChars="200"/>
              <w:jc w:val="center"/>
              <w:rPr>
                <w:b/>
              </w:rPr>
            </w:pPr>
            <w:r>
              <w:rPr>
                <w:b/>
              </w:rPr>
              <w:drawing>
                <wp:inline distT="0" distB="0" distL="114300" distR="114300">
                  <wp:extent cx="2949575" cy="441960"/>
                  <wp:effectExtent l="0" t="0" r="0" b="0"/>
                  <wp:docPr id="7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2"/>
                          <pic:cNvPicPr>
                            <a:picLocks noChangeAspect="1"/>
                          </pic:cNvPicPr>
                        </pic:nvPicPr>
                        <pic:blipFill>
                          <a:blip r:embed="rId14"/>
                          <a:stretch>
                            <a:fillRect/>
                          </a:stretch>
                        </pic:blipFill>
                        <pic:spPr>
                          <a:xfrm>
                            <a:off x="0" y="0"/>
                            <a:ext cx="2949575" cy="441960"/>
                          </a:xfrm>
                          <a:prstGeom prst="rect">
                            <a:avLst/>
                          </a:prstGeom>
                          <a:noFill/>
                          <a:ln>
                            <a:noFill/>
                          </a:ln>
                        </pic:spPr>
                      </pic:pic>
                    </a:graphicData>
                  </a:graphic>
                </wp:inline>
              </w:drawing>
            </w:r>
          </w:p>
          <w:p>
            <w:pPr>
              <w:adjustRightInd w:val="0"/>
              <w:snapToGrid w:val="0"/>
              <w:spacing w:line="360" w:lineRule="auto"/>
              <w:ind w:firstLine="420" w:firstLineChars="200"/>
            </w:pPr>
            <w:r>
              <w:rPr>
                <w:rFonts w:hint="eastAsia" w:cs="宋体"/>
                <w:lang w:bidi="ar"/>
              </w:rPr>
              <w:t>式中：</w:t>
            </w:r>
            <w:r>
              <w:rPr>
                <w:lang w:bidi="ar"/>
              </w:rPr>
              <w:t>Q——</w:t>
            </w:r>
            <w:r>
              <w:rPr>
                <w:rFonts w:hint="eastAsia" w:cs="宋体"/>
                <w:lang w:bidi="ar"/>
              </w:rPr>
              <w:t>汽车行驶的扬尘，</w:t>
            </w:r>
            <w:r>
              <w:rPr>
                <w:lang w:bidi="ar"/>
              </w:rPr>
              <w:t>kg/km·</w:t>
            </w:r>
            <w:r>
              <w:rPr>
                <w:rFonts w:hint="eastAsia" w:cs="宋体"/>
                <w:lang w:bidi="ar"/>
              </w:rPr>
              <w:t>辆；</w:t>
            </w:r>
          </w:p>
          <w:p>
            <w:pPr>
              <w:adjustRightInd w:val="0"/>
              <w:snapToGrid w:val="0"/>
              <w:spacing w:line="360" w:lineRule="auto"/>
              <w:ind w:firstLine="420" w:firstLineChars="200"/>
            </w:pPr>
            <w:r>
              <w:rPr>
                <w:lang w:bidi="ar"/>
              </w:rPr>
              <w:t xml:space="preserve">      V——</w:t>
            </w:r>
            <w:r>
              <w:rPr>
                <w:rFonts w:hint="eastAsia" w:cs="宋体"/>
                <w:lang w:bidi="ar"/>
              </w:rPr>
              <w:t>汽车速度，</w:t>
            </w:r>
            <w:r>
              <w:rPr>
                <w:lang w:bidi="ar"/>
              </w:rPr>
              <w:t>km/h</w:t>
            </w:r>
            <w:r>
              <w:rPr>
                <w:rFonts w:hint="eastAsia" w:cs="宋体"/>
                <w:lang w:bidi="ar"/>
              </w:rPr>
              <w:t>；</w:t>
            </w:r>
          </w:p>
          <w:p>
            <w:pPr>
              <w:adjustRightInd w:val="0"/>
              <w:snapToGrid w:val="0"/>
              <w:spacing w:line="360" w:lineRule="auto"/>
              <w:ind w:firstLine="420" w:firstLineChars="200"/>
            </w:pPr>
            <w:r>
              <w:rPr>
                <w:lang w:bidi="ar"/>
              </w:rPr>
              <w:t xml:space="preserve">      W——</w:t>
            </w:r>
            <w:r>
              <w:rPr>
                <w:rFonts w:hint="eastAsia" w:cs="宋体"/>
                <w:lang w:bidi="ar"/>
              </w:rPr>
              <w:t>汽车载重量，</w:t>
            </w:r>
            <w:r>
              <w:rPr>
                <w:lang w:bidi="ar"/>
              </w:rPr>
              <w:t>t</w:t>
            </w:r>
            <w:r>
              <w:rPr>
                <w:rFonts w:hint="eastAsia" w:cs="宋体"/>
                <w:lang w:bidi="ar"/>
              </w:rPr>
              <w:t>；</w:t>
            </w:r>
          </w:p>
          <w:p>
            <w:pPr>
              <w:adjustRightInd w:val="0"/>
              <w:snapToGrid w:val="0"/>
              <w:spacing w:line="360" w:lineRule="auto"/>
              <w:ind w:firstLine="420" w:firstLineChars="200"/>
            </w:pPr>
            <w:r>
              <w:rPr>
                <w:lang w:bidi="ar"/>
              </w:rPr>
              <w:t xml:space="preserve">      P——</w:t>
            </w:r>
            <w:r>
              <w:rPr>
                <w:rFonts w:hint="eastAsia" w:cs="宋体"/>
                <w:lang w:bidi="ar"/>
              </w:rPr>
              <w:t>道路表面粉尘量，</w:t>
            </w:r>
            <w:r>
              <w:rPr>
                <w:lang w:bidi="ar"/>
              </w:rPr>
              <w:t>kg/m</w:t>
            </w:r>
            <w:r>
              <w:rPr>
                <w:vertAlign w:val="superscript"/>
                <w:lang w:bidi="ar"/>
              </w:rPr>
              <w:t>2</w:t>
            </w:r>
            <w:r>
              <w:rPr>
                <w:rFonts w:hint="eastAsia" w:cs="宋体"/>
                <w:lang w:bidi="ar"/>
              </w:rPr>
              <w:t>。</w:t>
            </w:r>
          </w:p>
          <w:p>
            <w:pPr>
              <w:adjustRightInd w:val="0"/>
              <w:snapToGrid w:val="0"/>
              <w:spacing w:line="360" w:lineRule="auto"/>
              <w:ind w:firstLine="420" w:firstLineChars="200"/>
              <w:rPr>
                <w:rFonts w:cs="宋体"/>
                <w:lang w:val="zh-CN" w:bidi="ar"/>
              </w:rPr>
            </w:pPr>
            <w:r>
              <w:rPr>
                <w:rFonts w:hint="eastAsia" w:cs="宋体"/>
                <w:lang w:val="zh-CN" w:bidi="ar"/>
              </w:rPr>
              <w:t>下表为一辆载重5吨的卡车，通过一段长度为500米的路面时，不同路面清洁程度，不同行驶速度情况下产生的扬尘量。由此可见，在同样路面清洁情况下，车速越快，扬尘量越大；而在同样车速情况下，路面清洁度越差，则扬尘量越大。</w:t>
            </w:r>
          </w:p>
          <w:p>
            <w:pPr>
              <w:tabs>
                <w:tab w:val="left" w:pos="0"/>
              </w:tabs>
              <w:adjustRightInd w:val="0"/>
              <w:snapToGrid w:val="0"/>
              <w:jc w:val="center"/>
              <w:rPr>
                <w:b/>
              </w:rPr>
            </w:pPr>
            <w:r>
              <w:rPr>
                <w:rFonts w:hint="eastAsia" w:cs="宋体"/>
                <w:b/>
                <w:lang w:bidi="ar"/>
              </w:rPr>
              <w:t>表4-1 不同车速和地面清洁程度时的汽车扬尘</w:t>
            </w:r>
            <w:r>
              <w:rPr>
                <w:b/>
                <w:lang w:bidi="ar"/>
              </w:rPr>
              <w:t xml:space="preserve"> </w:t>
            </w:r>
            <w:r>
              <w:rPr>
                <w:rFonts w:hint="eastAsia" w:cs="宋体"/>
                <w:b/>
                <w:lang w:bidi="ar"/>
              </w:rPr>
              <w:t>单位：</w:t>
            </w:r>
            <w:r>
              <w:rPr>
                <w:b/>
                <w:lang w:bidi="ar"/>
              </w:rPr>
              <w:t>kg/</w:t>
            </w:r>
            <w:r>
              <w:rPr>
                <w:rFonts w:hint="eastAsia" w:cs="宋体"/>
                <w:b/>
                <w:lang w:bidi="ar"/>
              </w:rPr>
              <w:t>辆</w:t>
            </w:r>
            <w:r>
              <w:rPr>
                <w:b/>
                <w:lang w:bidi="ar"/>
              </w:rPr>
              <w:t>·km</w:t>
            </w:r>
          </w:p>
          <w:tbl>
            <w:tblPr>
              <w:tblStyle w:val="9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879"/>
              <w:gridCol w:w="1131"/>
              <w:gridCol w:w="1131"/>
              <w:gridCol w:w="1102"/>
              <w:gridCol w:w="993"/>
              <w:gridCol w:w="992"/>
              <w:gridCol w:w="10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1879" w:type="dxa"/>
                  <w:tcBorders>
                    <w:top w:val="single" w:color="auto" w:sz="4" w:space="0"/>
                    <w:left w:val="single" w:color="auto" w:sz="4" w:space="0"/>
                    <w:bottom w:val="single" w:color="auto" w:sz="4" w:space="0"/>
                    <w:right w:val="single" w:color="auto" w:sz="4" w:space="0"/>
                    <w:tl2br w:val="single" w:color="auto" w:sz="4" w:space="0"/>
                  </w:tcBorders>
                  <w:vAlign w:val="center"/>
                </w:tcPr>
                <w:p>
                  <w:pPr>
                    <w:ind w:firstLine="632" w:firstLineChars="300"/>
                    <w:jc w:val="center"/>
                    <w:rPr>
                      <w:b/>
                    </w:rPr>
                  </w:pPr>
                  <w:r>
                    <w:rPr>
                      <w:b/>
                      <w:lang w:bidi="ar"/>
                    </w:rPr>
                    <w:t>P</w:t>
                  </w:r>
                </w:p>
                <w:p>
                  <w:pPr>
                    <w:jc w:val="center"/>
                    <w:rPr>
                      <w:b/>
                    </w:rPr>
                  </w:pPr>
                  <w:r>
                    <w:rPr>
                      <w:rFonts w:hint="eastAsia" w:cs="宋体"/>
                      <w:b/>
                      <w:lang w:bidi="ar"/>
                    </w:rPr>
                    <w:t>车速</w:t>
                  </w:r>
                </w:p>
              </w:tc>
              <w:tc>
                <w:tcPr>
                  <w:tcW w:w="1131" w:type="dxa"/>
                  <w:tcBorders>
                    <w:top w:val="single" w:color="auto" w:sz="4" w:space="0"/>
                    <w:left w:val="single" w:color="auto" w:sz="4" w:space="0"/>
                    <w:bottom w:val="single" w:color="auto" w:sz="4" w:space="0"/>
                    <w:right w:val="single" w:color="auto" w:sz="4" w:space="0"/>
                  </w:tcBorders>
                  <w:vAlign w:val="center"/>
                </w:tcPr>
                <w:p>
                  <w:pPr>
                    <w:jc w:val="center"/>
                    <w:rPr>
                      <w:b/>
                      <w:bCs/>
                    </w:rPr>
                  </w:pPr>
                  <w:r>
                    <w:rPr>
                      <w:b/>
                      <w:bCs/>
                      <w:lang w:bidi="ar"/>
                    </w:rPr>
                    <w:t>0.1kg/m</w:t>
                  </w:r>
                  <w:r>
                    <w:rPr>
                      <w:b/>
                      <w:bCs/>
                      <w:vertAlign w:val="superscript"/>
                      <w:lang w:bidi="ar"/>
                    </w:rPr>
                    <w:t>2</w:t>
                  </w:r>
                </w:p>
              </w:tc>
              <w:tc>
                <w:tcPr>
                  <w:tcW w:w="1131" w:type="dxa"/>
                  <w:tcBorders>
                    <w:top w:val="single" w:color="auto" w:sz="4" w:space="0"/>
                    <w:left w:val="single" w:color="auto" w:sz="4" w:space="0"/>
                    <w:bottom w:val="single" w:color="auto" w:sz="4" w:space="0"/>
                    <w:right w:val="single" w:color="auto" w:sz="4" w:space="0"/>
                  </w:tcBorders>
                  <w:vAlign w:val="center"/>
                </w:tcPr>
                <w:p>
                  <w:pPr>
                    <w:jc w:val="center"/>
                    <w:rPr>
                      <w:b/>
                      <w:bCs/>
                    </w:rPr>
                  </w:pPr>
                  <w:r>
                    <w:rPr>
                      <w:b/>
                      <w:bCs/>
                      <w:lang w:bidi="ar"/>
                    </w:rPr>
                    <w:t>0.2kg/m</w:t>
                  </w:r>
                  <w:r>
                    <w:rPr>
                      <w:b/>
                      <w:bCs/>
                      <w:vertAlign w:val="superscript"/>
                      <w:lang w:bidi="ar"/>
                    </w:rPr>
                    <w:t>2</w:t>
                  </w:r>
                </w:p>
              </w:tc>
              <w:tc>
                <w:tcPr>
                  <w:tcW w:w="1102" w:type="dxa"/>
                  <w:tcBorders>
                    <w:top w:val="single" w:color="auto" w:sz="4" w:space="0"/>
                    <w:left w:val="single" w:color="auto" w:sz="4" w:space="0"/>
                    <w:bottom w:val="single" w:color="auto" w:sz="4" w:space="0"/>
                    <w:right w:val="single" w:color="auto" w:sz="4" w:space="0"/>
                  </w:tcBorders>
                  <w:vAlign w:val="center"/>
                </w:tcPr>
                <w:p>
                  <w:pPr>
                    <w:jc w:val="center"/>
                    <w:rPr>
                      <w:b/>
                      <w:bCs/>
                    </w:rPr>
                  </w:pPr>
                  <w:r>
                    <w:rPr>
                      <w:b/>
                      <w:bCs/>
                      <w:lang w:bidi="ar"/>
                    </w:rPr>
                    <w:t>0.3kg/m</w:t>
                  </w:r>
                  <w:r>
                    <w:rPr>
                      <w:b/>
                      <w:bCs/>
                      <w:vertAlign w:val="superscript"/>
                      <w:lang w:bidi="ar"/>
                    </w:rPr>
                    <w:t>2</w:t>
                  </w:r>
                </w:p>
              </w:tc>
              <w:tc>
                <w:tcPr>
                  <w:tcW w:w="993" w:type="dxa"/>
                  <w:tcBorders>
                    <w:top w:val="single" w:color="auto" w:sz="4" w:space="0"/>
                    <w:left w:val="single" w:color="auto" w:sz="4" w:space="0"/>
                    <w:bottom w:val="single" w:color="auto" w:sz="4" w:space="0"/>
                    <w:right w:val="single" w:color="auto" w:sz="4" w:space="0"/>
                  </w:tcBorders>
                  <w:vAlign w:val="center"/>
                </w:tcPr>
                <w:p>
                  <w:pPr>
                    <w:jc w:val="center"/>
                    <w:rPr>
                      <w:b/>
                      <w:bCs/>
                    </w:rPr>
                  </w:pPr>
                  <w:r>
                    <w:rPr>
                      <w:b/>
                      <w:bCs/>
                      <w:lang w:bidi="ar"/>
                    </w:rPr>
                    <w:t>0.4kg/m</w:t>
                  </w:r>
                  <w:r>
                    <w:rPr>
                      <w:b/>
                      <w:bCs/>
                      <w:vertAlign w:val="superscript"/>
                      <w:lang w:bidi="ar"/>
                    </w:rPr>
                    <w:t>2</w:t>
                  </w: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b/>
                      <w:bCs/>
                    </w:rPr>
                  </w:pPr>
                  <w:r>
                    <w:rPr>
                      <w:b/>
                      <w:bCs/>
                      <w:lang w:bidi="ar"/>
                    </w:rPr>
                    <w:t>0.5kg/m</w:t>
                  </w:r>
                  <w:r>
                    <w:rPr>
                      <w:b/>
                      <w:bCs/>
                      <w:vertAlign w:val="superscript"/>
                      <w:lang w:bidi="ar"/>
                    </w:rPr>
                    <w:t>2</w:t>
                  </w:r>
                </w:p>
              </w:tc>
              <w:tc>
                <w:tcPr>
                  <w:tcW w:w="1070" w:type="dxa"/>
                  <w:tcBorders>
                    <w:top w:val="single" w:color="auto" w:sz="4" w:space="0"/>
                    <w:left w:val="single" w:color="auto" w:sz="4" w:space="0"/>
                    <w:bottom w:val="single" w:color="auto" w:sz="4" w:space="0"/>
                    <w:right w:val="single" w:color="auto" w:sz="4" w:space="0"/>
                  </w:tcBorders>
                  <w:vAlign w:val="center"/>
                </w:tcPr>
                <w:p>
                  <w:pPr>
                    <w:jc w:val="center"/>
                    <w:rPr>
                      <w:b/>
                      <w:bCs/>
                    </w:rPr>
                  </w:pPr>
                  <w:r>
                    <w:rPr>
                      <w:b/>
                      <w:bCs/>
                      <w:lang w:bidi="ar"/>
                    </w:rPr>
                    <w:t>1.0kg/m</w:t>
                  </w:r>
                  <w:r>
                    <w:rPr>
                      <w:b/>
                      <w:bCs/>
                      <w:vertAlign w:val="superscript"/>
                      <w:lang w:bidi="ar"/>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1879"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bCs/>
                    </w:rPr>
                  </w:pPr>
                  <w:r>
                    <w:rPr>
                      <w:bCs/>
                      <w:lang w:bidi="ar"/>
                    </w:rPr>
                    <w:t>5km/h</w:t>
                  </w:r>
                </w:p>
              </w:tc>
              <w:tc>
                <w:tcPr>
                  <w:tcW w:w="1131"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bCs/>
                    </w:rPr>
                  </w:pPr>
                  <w:r>
                    <w:rPr>
                      <w:bCs/>
                      <w:lang w:bidi="ar"/>
                    </w:rPr>
                    <w:t>0.0283</w:t>
                  </w:r>
                </w:p>
              </w:tc>
              <w:tc>
                <w:tcPr>
                  <w:tcW w:w="1131"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bCs/>
                    </w:rPr>
                  </w:pPr>
                  <w:r>
                    <w:rPr>
                      <w:bCs/>
                      <w:lang w:bidi="ar"/>
                    </w:rPr>
                    <w:t>0.0416</w:t>
                  </w:r>
                </w:p>
              </w:tc>
              <w:tc>
                <w:tcPr>
                  <w:tcW w:w="1102"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bCs/>
                    </w:rPr>
                  </w:pPr>
                  <w:r>
                    <w:rPr>
                      <w:bCs/>
                      <w:lang w:bidi="ar"/>
                    </w:rPr>
                    <w:t>0.0641</w:t>
                  </w:r>
                </w:p>
              </w:tc>
              <w:tc>
                <w:tcPr>
                  <w:tcW w:w="993"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bCs/>
                    </w:rPr>
                  </w:pPr>
                  <w:r>
                    <w:rPr>
                      <w:bCs/>
                      <w:lang w:bidi="ar"/>
                    </w:rPr>
                    <w:t>0.0501</w:t>
                  </w:r>
                </w:p>
              </w:tc>
              <w:tc>
                <w:tcPr>
                  <w:tcW w:w="992"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bCs/>
                    </w:rPr>
                  </w:pPr>
                  <w:r>
                    <w:rPr>
                      <w:bCs/>
                      <w:lang w:bidi="ar"/>
                    </w:rPr>
                    <w:t>0.0947</w:t>
                  </w:r>
                </w:p>
              </w:tc>
              <w:tc>
                <w:tcPr>
                  <w:tcW w:w="107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bCs/>
                    </w:rPr>
                  </w:pPr>
                  <w:r>
                    <w:rPr>
                      <w:bCs/>
                      <w:lang w:bidi="ar"/>
                    </w:rPr>
                    <w:t>0.1093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1879"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bCs/>
                    </w:rPr>
                  </w:pPr>
                  <w:r>
                    <w:rPr>
                      <w:bCs/>
                      <w:lang w:bidi="ar"/>
                    </w:rPr>
                    <w:t>10km/h</w:t>
                  </w:r>
                </w:p>
              </w:tc>
              <w:tc>
                <w:tcPr>
                  <w:tcW w:w="1131"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bCs/>
                    </w:rPr>
                  </w:pPr>
                  <w:r>
                    <w:rPr>
                      <w:bCs/>
                      <w:lang w:bidi="ar"/>
                    </w:rPr>
                    <w:t>0.0566</w:t>
                  </w:r>
                </w:p>
              </w:tc>
              <w:tc>
                <w:tcPr>
                  <w:tcW w:w="1131"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bCs/>
                    </w:rPr>
                  </w:pPr>
                  <w:r>
                    <w:rPr>
                      <w:bCs/>
                      <w:lang w:bidi="ar"/>
                    </w:rPr>
                    <w:t>0.0953</w:t>
                  </w:r>
                </w:p>
              </w:tc>
              <w:tc>
                <w:tcPr>
                  <w:tcW w:w="1102"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bCs/>
                    </w:rPr>
                  </w:pPr>
                  <w:r>
                    <w:rPr>
                      <w:bCs/>
                      <w:lang w:bidi="ar"/>
                    </w:rPr>
                    <w:t>0.1222</w:t>
                  </w:r>
                </w:p>
              </w:tc>
              <w:tc>
                <w:tcPr>
                  <w:tcW w:w="993"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bCs/>
                    </w:rPr>
                  </w:pPr>
                  <w:r>
                    <w:rPr>
                      <w:bCs/>
                      <w:lang w:bidi="ar"/>
                    </w:rPr>
                    <w:t>0.0602</w:t>
                  </w:r>
                </w:p>
              </w:tc>
              <w:tc>
                <w:tcPr>
                  <w:tcW w:w="992"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bCs/>
                    </w:rPr>
                  </w:pPr>
                  <w:r>
                    <w:rPr>
                      <w:bCs/>
                      <w:lang w:bidi="ar"/>
                    </w:rPr>
                    <w:t>0.1894</w:t>
                  </w:r>
                </w:p>
              </w:tc>
              <w:tc>
                <w:tcPr>
                  <w:tcW w:w="107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bCs/>
                    </w:rPr>
                  </w:pPr>
                  <w:r>
                    <w:rPr>
                      <w:bCs/>
                      <w:lang w:bidi="ar"/>
                    </w:rPr>
                    <w:t>0.3186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1879"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bCs/>
                    </w:rPr>
                  </w:pPr>
                  <w:r>
                    <w:rPr>
                      <w:bCs/>
                      <w:lang w:bidi="ar"/>
                    </w:rPr>
                    <w:t>15km/h</w:t>
                  </w:r>
                </w:p>
              </w:tc>
              <w:tc>
                <w:tcPr>
                  <w:tcW w:w="1131"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bCs/>
                    </w:rPr>
                  </w:pPr>
                  <w:r>
                    <w:rPr>
                      <w:bCs/>
                      <w:lang w:bidi="ar"/>
                    </w:rPr>
                    <w:t>0.0850</w:t>
                  </w:r>
                </w:p>
              </w:tc>
              <w:tc>
                <w:tcPr>
                  <w:tcW w:w="1131"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bCs/>
                    </w:rPr>
                  </w:pPr>
                  <w:r>
                    <w:rPr>
                      <w:bCs/>
                      <w:lang w:bidi="ar"/>
                    </w:rPr>
                    <w:t>0.1429</w:t>
                  </w:r>
                </w:p>
              </w:tc>
              <w:tc>
                <w:tcPr>
                  <w:tcW w:w="1102"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bCs/>
                    </w:rPr>
                  </w:pPr>
                  <w:r>
                    <w:rPr>
                      <w:bCs/>
                      <w:lang w:bidi="ar"/>
                    </w:rPr>
                    <w:t>0.1937</w:t>
                  </w:r>
                </w:p>
              </w:tc>
              <w:tc>
                <w:tcPr>
                  <w:tcW w:w="993"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bCs/>
                    </w:rPr>
                  </w:pPr>
                  <w:r>
                    <w:rPr>
                      <w:bCs/>
                      <w:lang w:bidi="ar"/>
                    </w:rPr>
                    <w:t>0.2403</w:t>
                  </w:r>
                </w:p>
              </w:tc>
              <w:tc>
                <w:tcPr>
                  <w:tcW w:w="992"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bCs/>
                    </w:rPr>
                  </w:pPr>
                  <w:r>
                    <w:rPr>
                      <w:bCs/>
                      <w:lang w:bidi="ar"/>
                    </w:rPr>
                    <w:t>0.2841</w:t>
                  </w:r>
                </w:p>
              </w:tc>
              <w:tc>
                <w:tcPr>
                  <w:tcW w:w="107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bCs/>
                    </w:rPr>
                  </w:pPr>
                  <w:r>
                    <w:rPr>
                      <w:bCs/>
                      <w:lang w:bidi="ar"/>
                    </w:rPr>
                    <w:t>0.4778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1879"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bCs/>
                    </w:rPr>
                  </w:pPr>
                  <w:r>
                    <w:rPr>
                      <w:bCs/>
                      <w:lang w:bidi="ar"/>
                    </w:rPr>
                    <w:t>20km/h</w:t>
                  </w:r>
                </w:p>
              </w:tc>
              <w:tc>
                <w:tcPr>
                  <w:tcW w:w="1131"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bCs/>
                    </w:rPr>
                  </w:pPr>
                  <w:r>
                    <w:rPr>
                      <w:bCs/>
                      <w:lang w:bidi="ar"/>
                    </w:rPr>
                    <w:t>0.1103</w:t>
                  </w:r>
                </w:p>
              </w:tc>
              <w:tc>
                <w:tcPr>
                  <w:tcW w:w="1131"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bCs/>
                    </w:rPr>
                  </w:pPr>
                  <w:r>
                    <w:rPr>
                      <w:bCs/>
                      <w:lang w:bidi="ar"/>
                    </w:rPr>
                    <w:t>0.1105</w:t>
                  </w:r>
                </w:p>
              </w:tc>
              <w:tc>
                <w:tcPr>
                  <w:tcW w:w="1102"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bCs/>
                    </w:rPr>
                  </w:pPr>
                  <w:r>
                    <w:rPr>
                      <w:bCs/>
                      <w:lang w:bidi="ar"/>
                    </w:rPr>
                    <w:t>0.2583</w:t>
                  </w:r>
                </w:p>
              </w:tc>
              <w:tc>
                <w:tcPr>
                  <w:tcW w:w="993"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bCs/>
                    </w:rPr>
                  </w:pPr>
                  <w:r>
                    <w:rPr>
                      <w:bCs/>
                      <w:lang w:bidi="ar"/>
                    </w:rPr>
                    <w:t>0.3204</w:t>
                  </w:r>
                </w:p>
              </w:tc>
              <w:tc>
                <w:tcPr>
                  <w:tcW w:w="992"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bCs/>
                    </w:rPr>
                  </w:pPr>
                  <w:r>
                    <w:rPr>
                      <w:bCs/>
                      <w:lang w:bidi="ar"/>
                    </w:rPr>
                    <w:t>0.3788</w:t>
                  </w:r>
                </w:p>
              </w:tc>
              <w:tc>
                <w:tcPr>
                  <w:tcW w:w="107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bCs/>
                    </w:rPr>
                  </w:pPr>
                  <w:r>
                    <w:rPr>
                      <w:bCs/>
                      <w:lang w:bidi="ar"/>
                    </w:rPr>
                    <w:t>0.6371</w:t>
                  </w:r>
                </w:p>
              </w:tc>
            </w:tr>
          </w:tbl>
          <w:p>
            <w:pPr>
              <w:adjustRightInd w:val="0"/>
              <w:snapToGrid w:val="0"/>
              <w:spacing w:before="120" w:beforeLines="50" w:line="360" w:lineRule="auto"/>
              <w:ind w:firstLine="420" w:firstLineChars="200"/>
              <w:rPr>
                <w:rFonts w:cs="宋体"/>
                <w:lang w:val="zh-CN" w:bidi="ar"/>
              </w:rPr>
            </w:pPr>
            <w:r>
              <w:rPr>
                <w:rFonts w:hint="eastAsia" w:cs="宋体"/>
                <w:lang w:val="zh-CN" w:bidi="ar"/>
              </w:rPr>
              <w:t>如果在施工期间对车辆行驶的路面实施洒水抑尘</w:t>
            </w:r>
            <w:r>
              <w:rPr>
                <w:rFonts w:hint="eastAsia" w:cs="宋体"/>
                <w:lang w:bidi="ar"/>
              </w:rPr>
              <w:t>，</w:t>
            </w:r>
            <w:r>
              <w:rPr>
                <w:rFonts w:hint="eastAsia" w:cs="宋体"/>
                <w:lang w:val="zh-CN" w:bidi="ar"/>
              </w:rPr>
              <w:t>每天洒水</w:t>
            </w:r>
            <w:r>
              <w:rPr>
                <w:rFonts w:hint="eastAsia" w:cs="宋体"/>
                <w:lang w:bidi="ar"/>
              </w:rPr>
              <w:t>4</w:t>
            </w:r>
            <w:r>
              <w:rPr>
                <w:rFonts w:hint="eastAsia" w:cs="宋体"/>
                <w:lang w:val="zh-CN" w:bidi="ar"/>
              </w:rPr>
              <w:t>～</w:t>
            </w:r>
            <w:r>
              <w:rPr>
                <w:rFonts w:hint="eastAsia" w:cs="宋体"/>
                <w:lang w:bidi="ar"/>
              </w:rPr>
              <w:t>5</w:t>
            </w:r>
            <w:r>
              <w:rPr>
                <w:rFonts w:hint="eastAsia" w:cs="宋体"/>
                <w:lang w:val="zh-CN" w:bidi="ar"/>
              </w:rPr>
              <w:t>次</w:t>
            </w:r>
            <w:r>
              <w:rPr>
                <w:rFonts w:hint="eastAsia" w:cs="宋体"/>
                <w:lang w:bidi="ar"/>
              </w:rPr>
              <w:t>，</w:t>
            </w:r>
            <w:r>
              <w:rPr>
                <w:rFonts w:hint="eastAsia" w:cs="宋体"/>
                <w:lang w:val="zh-CN" w:bidi="ar"/>
              </w:rPr>
              <w:t>可使扬尘减少</w:t>
            </w:r>
            <w:r>
              <w:rPr>
                <w:rFonts w:hint="eastAsia" w:cs="宋体"/>
                <w:lang w:bidi="ar"/>
              </w:rPr>
              <w:t>70%</w:t>
            </w:r>
            <w:r>
              <w:rPr>
                <w:rFonts w:hint="eastAsia" w:cs="宋体"/>
                <w:lang w:val="zh-CN" w:bidi="ar"/>
              </w:rPr>
              <w:t>左右。下表为施工场地洒水抑尘的试验结果，结果表明实施每天洒水4～5次进行抑尘，可有效地控制施工扬尘，可将TSP污染距离缩小到20～50m范围。</w:t>
            </w:r>
          </w:p>
          <w:p>
            <w:pPr>
              <w:tabs>
                <w:tab w:val="left" w:pos="0"/>
              </w:tabs>
              <w:adjustRightInd w:val="0"/>
              <w:snapToGrid w:val="0"/>
              <w:jc w:val="center"/>
              <w:rPr>
                <w:b/>
              </w:rPr>
            </w:pPr>
            <w:r>
              <w:rPr>
                <w:rFonts w:hint="eastAsia" w:cs="宋体"/>
                <w:b/>
                <w:lang w:bidi="ar"/>
              </w:rPr>
              <w:t>表4-2 施工场地洒水抑尘试验结果</w:t>
            </w:r>
          </w:p>
          <w:tbl>
            <w:tblPr>
              <w:tblStyle w:val="9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70"/>
              <w:gridCol w:w="1377"/>
              <w:gridCol w:w="1163"/>
              <w:gridCol w:w="1163"/>
              <w:gridCol w:w="1163"/>
              <w:gridCol w:w="11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3647"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b/>
                    </w:rPr>
                  </w:pPr>
                  <w:r>
                    <w:rPr>
                      <w:rFonts w:hint="eastAsia" w:cs="宋体"/>
                      <w:b/>
                      <w:lang w:bidi="ar"/>
                    </w:rPr>
                    <w:t>距离（米）</w:t>
                  </w:r>
                </w:p>
              </w:tc>
              <w:tc>
                <w:tcPr>
                  <w:tcW w:w="1163"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b/>
                      <w:bCs/>
                    </w:rPr>
                  </w:pPr>
                  <w:r>
                    <w:rPr>
                      <w:b/>
                      <w:bCs/>
                      <w:lang w:bidi="ar"/>
                    </w:rPr>
                    <w:t>10m</w:t>
                  </w:r>
                </w:p>
              </w:tc>
              <w:tc>
                <w:tcPr>
                  <w:tcW w:w="1163"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b/>
                      <w:bCs/>
                    </w:rPr>
                  </w:pPr>
                  <w:r>
                    <w:rPr>
                      <w:b/>
                      <w:bCs/>
                      <w:lang w:bidi="ar"/>
                    </w:rPr>
                    <w:t>20m</w:t>
                  </w:r>
                </w:p>
              </w:tc>
              <w:tc>
                <w:tcPr>
                  <w:tcW w:w="1163"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b/>
                      <w:bCs/>
                    </w:rPr>
                  </w:pPr>
                  <w:r>
                    <w:rPr>
                      <w:b/>
                      <w:bCs/>
                      <w:lang w:bidi="ar"/>
                    </w:rPr>
                    <w:t>50m</w:t>
                  </w:r>
                </w:p>
              </w:tc>
              <w:tc>
                <w:tcPr>
                  <w:tcW w:w="116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b/>
                      <w:bCs/>
                    </w:rPr>
                  </w:pPr>
                  <w:r>
                    <w:rPr>
                      <w:b/>
                      <w:bCs/>
                      <w:lang w:bidi="ar"/>
                    </w:rPr>
                    <w:t>100m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270" w:type="dxa"/>
                  <w:vMerge w:val="restart"/>
                  <w:tcBorders>
                    <w:top w:val="single" w:color="auto" w:sz="4" w:space="0"/>
                    <w:left w:val="single" w:color="auto" w:sz="4" w:space="0"/>
                    <w:bottom w:val="single" w:color="auto" w:sz="4" w:space="0"/>
                    <w:right w:val="single" w:color="auto" w:sz="4" w:space="0"/>
                  </w:tcBorders>
                  <w:vAlign w:val="center"/>
                </w:tcPr>
                <w:p>
                  <w:pPr>
                    <w:adjustRightInd w:val="0"/>
                    <w:snapToGrid w:val="0"/>
                    <w:jc w:val="center"/>
                  </w:pPr>
                  <w:r>
                    <w:rPr>
                      <w:lang w:bidi="ar"/>
                    </w:rPr>
                    <w:t>TSP</w:t>
                  </w:r>
                  <w:r>
                    <w:rPr>
                      <w:rFonts w:hint="eastAsia" w:cs="宋体"/>
                      <w:lang w:bidi="ar"/>
                    </w:rPr>
                    <w:t>小时平均浓度（</w:t>
                  </w:r>
                  <w:r>
                    <w:rPr>
                      <w:lang w:bidi="ar"/>
                    </w:rPr>
                    <w:t>mg/m</w:t>
                  </w:r>
                  <w:r>
                    <w:rPr>
                      <w:vertAlign w:val="superscript"/>
                      <w:lang w:bidi="ar"/>
                    </w:rPr>
                    <w:t>3</w:t>
                  </w:r>
                  <w:r>
                    <w:rPr>
                      <w:rFonts w:hint="eastAsia" w:cs="宋体"/>
                      <w:lang w:bidi="ar"/>
                    </w:rPr>
                    <w:t>）</w:t>
                  </w:r>
                </w:p>
              </w:tc>
              <w:tc>
                <w:tcPr>
                  <w:tcW w:w="137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pPr>
                  <w:r>
                    <w:rPr>
                      <w:rFonts w:hint="eastAsia" w:cs="宋体"/>
                      <w:lang w:bidi="ar"/>
                    </w:rPr>
                    <w:t>不洒水</w:t>
                  </w:r>
                </w:p>
              </w:tc>
              <w:tc>
                <w:tcPr>
                  <w:tcW w:w="1163"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bCs/>
                    </w:rPr>
                  </w:pPr>
                  <w:r>
                    <w:rPr>
                      <w:bCs/>
                      <w:lang w:bidi="ar"/>
                    </w:rPr>
                    <w:t>10.14</w:t>
                  </w:r>
                </w:p>
              </w:tc>
              <w:tc>
                <w:tcPr>
                  <w:tcW w:w="1163"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bCs/>
                    </w:rPr>
                  </w:pPr>
                  <w:r>
                    <w:rPr>
                      <w:bCs/>
                      <w:lang w:bidi="ar"/>
                    </w:rPr>
                    <w:t>2.89</w:t>
                  </w:r>
                </w:p>
              </w:tc>
              <w:tc>
                <w:tcPr>
                  <w:tcW w:w="1163"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bCs/>
                    </w:rPr>
                  </w:pPr>
                  <w:r>
                    <w:rPr>
                      <w:bCs/>
                      <w:lang w:bidi="ar"/>
                    </w:rPr>
                    <w:t>1.15</w:t>
                  </w:r>
                </w:p>
              </w:tc>
              <w:tc>
                <w:tcPr>
                  <w:tcW w:w="116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bCs/>
                    </w:rPr>
                  </w:pPr>
                  <w:r>
                    <w:rPr>
                      <w:bCs/>
                      <w:lang w:bidi="ar"/>
                    </w:rPr>
                    <w:t>0.86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270" w:type="dxa"/>
                  <w:vMerge w:val="continue"/>
                  <w:tcBorders>
                    <w:top w:val="single" w:color="auto" w:sz="4" w:space="0"/>
                    <w:left w:val="single" w:color="auto" w:sz="4" w:space="0"/>
                    <w:bottom w:val="single" w:color="auto" w:sz="4" w:space="0"/>
                    <w:right w:val="single" w:color="auto" w:sz="4" w:space="0"/>
                  </w:tcBorders>
                  <w:vAlign w:val="center"/>
                </w:tcPr>
                <w:p>
                  <w:pPr>
                    <w:jc w:val="center"/>
                  </w:pPr>
                </w:p>
              </w:tc>
              <w:tc>
                <w:tcPr>
                  <w:tcW w:w="137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pPr>
                  <w:r>
                    <w:rPr>
                      <w:rFonts w:hint="eastAsia" w:cs="宋体"/>
                      <w:lang w:bidi="ar"/>
                    </w:rPr>
                    <w:t>洒水</w:t>
                  </w:r>
                </w:p>
              </w:tc>
              <w:tc>
                <w:tcPr>
                  <w:tcW w:w="1163"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pPr>
                  <w:r>
                    <w:rPr>
                      <w:bCs/>
                      <w:lang w:bidi="ar"/>
                    </w:rPr>
                    <w:t>2.01</w:t>
                  </w:r>
                </w:p>
              </w:tc>
              <w:tc>
                <w:tcPr>
                  <w:tcW w:w="1163"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bCs/>
                    </w:rPr>
                  </w:pPr>
                  <w:r>
                    <w:rPr>
                      <w:bCs/>
                      <w:lang w:bidi="ar"/>
                    </w:rPr>
                    <w:t>1.40</w:t>
                  </w:r>
                </w:p>
              </w:tc>
              <w:tc>
                <w:tcPr>
                  <w:tcW w:w="1163"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bCs/>
                    </w:rPr>
                  </w:pPr>
                  <w:r>
                    <w:rPr>
                      <w:bCs/>
                      <w:lang w:bidi="ar"/>
                    </w:rPr>
                    <w:t>0.67</w:t>
                  </w:r>
                </w:p>
              </w:tc>
              <w:tc>
                <w:tcPr>
                  <w:tcW w:w="116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bCs/>
                    </w:rPr>
                  </w:pPr>
                  <w:r>
                    <w:rPr>
                      <w:bCs/>
                      <w:lang w:bidi="ar"/>
                    </w:rPr>
                    <w:t>0.60</w:t>
                  </w:r>
                </w:p>
              </w:tc>
            </w:tr>
          </w:tbl>
          <w:p>
            <w:pPr>
              <w:adjustRightInd w:val="0"/>
              <w:snapToGrid w:val="0"/>
              <w:spacing w:before="120" w:beforeLines="50" w:line="360" w:lineRule="auto"/>
              <w:ind w:firstLine="420" w:firstLineChars="200"/>
              <w:rPr>
                <w:rFonts w:cs="宋体"/>
                <w:lang w:val="zh-CN" w:bidi="ar"/>
              </w:rPr>
            </w:pPr>
            <w:r>
              <w:rPr>
                <w:rFonts w:hint="eastAsia" w:cs="宋体"/>
                <w:lang w:val="zh-CN" w:bidi="ar"/>
              </w:rPr>
              <w:t>因此，限速行驶及保持路面清洁，同时适当洒水是减少汽车扬尘的有效手段。</w:t>
            </w:r>
          </w:p>
          <w:p>
            <w:pPr>
              <w:adjustRightInd w:val="0"/>
              <w:snapToGrid w:val="0"/>
              <w:spacing w:line="360" w:lineRule="auto"/>
              <w:ind w:firstLine="422" w:firstLineChars="200"/>
              <w:rPr>
                <w:rFonts w:cs="宋体"/>
                <w:b/>
                <w:bCs/>
                <w:lang w:val="zh-CN" w:bidi="ar"/>
              </w:rPr>
            </w:pPr>
            <w:r>
              <w:rPr>
                <w:rFonts w:hint="eastAsia" w:cs="宋体"/>
                <w:b/>
                <w:bCs/>
                <w:lang w:val="zh-CN" w:bidi="ar"/>
              </w:rPr>
              <w:t>②风力扬尘</w:t>
            </w:r>
          </w:p>
          <w:p>
            <w:pPr>
              <w:adjustRightInd w:val="0"/>
              <w:snapToGrid w:val="0"/>
              <w:spacing w:line="360" w:lineRule="auto"/>
              <w:ind w:firstLine="420" w:firstLineChars="200"/>
              <w:rPr>
                <w:rFonts w:cs="宋体"/>
                <w:lang w:val="zh-CN" w:bidi="ar"/>
              </w:rPr>
            </w:pPr>
            <w:r>
              <w:rPr>
                <w:rFonts w:hint="eastAsia" w:cs="宋体"/>
                <w:lang w:val="zh-CN" w:bidi="ar"/>
              </w:rPr>
              <w:t>施工扬尘的另一种情况是露天堆场和裸露场地的风力扬尘，由于施工需要，一些建材需露天堆放，在气候干燥又有风的情况下，会产生扬尘，其扬尘量可按堆场起尘的经验公式计算：</w:t>
            </w:r>
          </w:p>
          <w:p>
            <w:pPr>
              <w:spacing w:line="360" w:lineRule="auto"/>
              <w:jc w:val="center"/>
              <w:rPr>
                <w:vertAlign w:val="superscript"/>
              </w:rPr>
            </w:pPr>
            <w:r>
              <w:rPr>
                <w:lang w:bidi="ar"/>
              </w:rPr>
              <w:t>Q=2.1</w:t>
            </w:r>
            <w:r>
              <w:rPr>
                <w:rFonts w:hint="eastAsia" w:cs="宋体"/>
                <w:lang w:bidi="ar"/>
              </w:rPr>
              <w:t>（</w:t>
            </w:r>
            <w:r>
              <w:rPr>
                <w:lang w:bidi="ar"/>
              </w:rPr>
              <w:t>V</w:t>
            </w:r>
            <w:r>
              <w:rPr>
                <w:vertAlign w:val="subscript"/>
                <w:lang w:bidi="ar"/>
              </w:rPr>
              <w:t>50</w:t>
            </w:r>
            <w:r>
              <w:rPr>
                <w:lang w:bidi="ar"/>
              </w:rPr>
              <w:t>-V</w:t>
            </w:r>
            <w:r>
              <w:rPr>
                <w:vertAlign w:val="subscript"/>
                <w:lang w:bidi="ar"/>
              </w:rPr>
              <w:t>0</w:t>
            </w:r>
            <w:r>
              <w:rPr>
                <w:rFonts w:hint="eastAsia" w:cs="宋体"/>
                <w:lang w:bidi="ar"/>
              </w:rPr>
              <w:t>）</w:t>
            </w:r>
            <w:r>
              <w:rPr>
                <w:vertAlign w:val="superscript"/>
                <w:lang w:bidi="ar"/>
              </w:rPr>
              <w:t>3</w:t>
            </w:r>
            <w:r>
              <w:rPr>
                <w:lang w:bidi="ar"/>
              </w:rPr>
              <w:t>e</w:t>
            </w:r>
            <w:r>
              <w:rPr>
                <w:vertAlign w:val="superscript"/>
                <w:lang w:bidi="ar"/>
              </w:rPr>
              <w:t>-1.023W</w:t>
            </w:r>
          </w:p>
          <w:p>
            <w:pPr>
              <w:spacing w:line="360" w:lineRule="auto"/>
              <w:ind w:firstLine="420" w:firstLineChars="200"/>
            </w:pPr>
            <w:r>
              <w:rPr>
                <w:rFonts w:hint="eastAsia" w:cs="宋体"/>
                <w:lang w:bidi="ar"/>
              </w:rPr>
              <w:t>式中：</w:t>
            </w:r>
            <w:r>
              <w:rPr>
                <w:lang w:bidi="ar"/>
              </w:rPr>
              <w:t>Q——</w:t>
            </w:r>
            <w:r>
              <w:rPr>
                <w:rFonts w:hint="eastAsia" w:cs="宋体"/>
                <w:lang w:bidi="ar"/>
              </w:rPr>
              <w:t>起尘量，</w:t>
            </w:r>
            <w:r>
              <w:rPr>
                <w:lang w:bidi="ar"/>
              </w:rPr>
              <w:t>kg/t·a</w:t>
            </w:r>
            <w:r>
              <w:rPr>
                <w:rFonts w:hint="eastAsia" w:cs="宋体"/>
                <w:lang w:bidi="ar"/>
              </w:rPr>
              <w:t>；</w:t>
            </w:r>
          </w:p>
          <w:p>
            <w:pPr>
              <w:spacing w:line="360" w:lineRule="auto"/>
              <w:ind w:firstLine="420" w:firstLineChars="200"/>
            </w:pPr>
            <w:r>
              <w:rPr>
                <w:lang w:bidi="ar"/>
              </w:rPr>
              <w:t xml:space="preserve">      V</w:t>
            </w:r>
            <w:r>
              <w:rPr>
                <w:vertAlign w:val="subscript"/>
                <w:lang w:bidi="ar"/>
              </w:rPr>
              <w:t>50</w:t>
            </w:r>
            <w:r>
              <w:rPr>
                <w:lang w:bidi="ar"/>
              </w:rPr>
              <w:t>——</w:t>
            </w:r>
            <w:r>
              <w:rPr>
                <w:rFonts w:hint="eastAsia" w:cs="宋体"/>
                <w:lang w:bidi="ar"/>
              </w:rPr>
              <w:t>距地面</w:t>
            </w:r>
            <w:r>
              <w:rPr>
                <w:lang w:bidi="ar"/>
              </w:rPr>
              <w:t>50</w:t>
            </w:r>
            <w:r>
              <w:rPr>
                <w:rFonts w:hint="eastAsia" w:cs="宋体"/>
                <w:lang w:bidi="ar"/>
              </w:rPr>
              <w:t>米处风速，</w:t>
            </w:r>
            <w:r>
              <w:rPr>
                <w:lang w:bidi="ar"/>
              </w:rPr>
              <w:t>m/s</w:t>
            </w:r>
            <w:r>
              <w:rPr>
                <w:rFonts w:hint="eastAsia" w:cs="宋体"/>
                <w:lang w:bidi="ar"/>
              </w:rPr>
              <w:t>；</w:t>
            </w:r>
          </w:p>
          <w:p>
            <w:pPr>
              <w:spacing w:line="360" w:lineRule="auto"/>
              <w:ind w:firstLine="420" w:firstLineChars="200"/>
            </w:pPr>
            <w:r>
              <w:rPr>
                <w:lang w:bidi="ar"/>
              </w:rPr>
              <w:t xml:space="preserve">      V</w:t>
            </w:r>
            <w:r>
              <w:rPr>
                <w:vertAlign w:val="subscript"/>
                <w:lang w:bidi="ar"/>
              </w:rPr>
              <w:t>0</w:t>
            </w:r>
            <w:r>
              <w:rPr>
                <w:lang w:bidi="ar"/>
              </w:rPr>
              <w:t>——</w:t>
            </w:r>
            <w:r>
              <w:rPr>
                <w:rFonts w:hint="eastAsia" w:cs="宋体"/>
                <w:lang w:bidi="ar"/>
              </w:rPr>
              <w:t>起尘风速，</w:t>
            </w:r>
            <w:r>
              <w:rPr>
                <w:lang w:bidi="ar"/>
              </w:rPr>
              <w:t>m/s</w:t>
            </w:r>
            <w:r>
              <w:rPr>
                <w:rFonts w:hint="eastAsia" w:cs="宋体"/>
                <w:lang w:bidi="ar"/>
              </w:rPr>
              <w:t>；</w:t>
            </w:r>
          </w:p>
          <w:p>
            <w:pPr>
              <w:spacing w:line="360" w:lineRule="auto"/>
              <w:ind w:firstLine="420" w:firstLineChars="200"/>
            </w:pPr>
            <w:r>
              <w:rPr>
                <w:lang w:bidi="ar"/>
              </w:rPr>
              <w:t xml:space="preserve">      W——</w:t>
            </w:r>
            <w:r>
              <w:rPr>
                <w:rFonts w:hint="eastAsia" w:cs="宋体"/>
                <w:lang w:bidi="ar"/>
              </w:rPr>
              <w:t>尘粒含水率，</w:t>
            </w:r>
            <w:r>
              <w:rPr>
                <w:lang w:bidi="ar"/>
              </w:rPr>
              <w:t>%</w:t>
            </w:r>
            <w:r>
              <w:rPr>
                <w:rFonts w:hint="eastAsia" w:cs="宋体"/>
                <w:lang w:bidi="ar"/>
              </w:rPr>
              <w:t>。</w:t>
            </w:r>
          </w:p>
          <w:p>
            <w:pPr>
              <w:adjustRightInd w:val="0"/>
              <w:snapToGrid w:val="0"/>
              <w:spacing w:line="360" w:lineRule="auto"/>
              <w:ind w:firstLine="420" w:firstLineChars="200"/>
              <w:rPr>
                <w:rFonts w:cs="宋体"/>
                <w:lang w:val="zh-CN" w:bidi="ar"/>
              </w:rPr>
            </w:pPr>
            <w:r>
              <w:rPr>
                <w:rFonts w:hint="eastAsia" w:cs="宋体"/>
                <w:lang w:val="zh-CN" w:bidi="ar"/>
              </w:rPr>
              <w:t>由此可见，这类扬尘的主要特点是与风速和尘粒含水率有关，因此，减少建材的露天堆放和保证一定的含水率是抑制这类扬尘的有效手段。</w:t>
            </w:r>
          </w:p>
          <w:p>
            <w:pPr>
              <w:adjustRightInd w:val="0"/>
              <w:snapToGrid w:val="0"/>
              <w:spacing w:line="360" w:lineRule="auto"/>
              <w:ind w:firstLine="420" w:firstLineChars="200"/>
            </w:pPr>
            <w:r>
              <w:rPr>
                <w:rFonts w:hint="eastAsia" w:cs="宋体"/>
                <w:lang w:val="zh-CN" w:bidi="ar"/>
              </w:rPr>
              <w:t>尘粒在空气中的传播扩散情况与风速等气象条件有关，也与尘粒本身的沉降速度有关。以沙尘土为例，其沉降速度随粒径的增大而迅速增大。当粒径为250微米时，沉降速度为1.005m/s，因此当尘粒大于250微米时，主要影响范围在扬尘点下风向近距离范围内，而真正对外环境产生影响的是一些微小尘粒，根据施工季节气候情况不同，其风力扬尘影响范围和方向也有所不同。风力扬尘在未采取措施的情况下，其影响范围一般在200m范围内，根据有关调查资料，其扬尘浓度随距离变化情况见下表。</w:t>
            </w:r>
          </w:p>
          <w:p>
            <w:pPr>
              <w:tabs>
                <w:tab w:val="left" w:pos="0"/>
              </w:tabs>
              <w:adjustRightInd w:val="0"/>
              <w:snapToGrid w:val="0"/>
              <w:jc w:val="center"/>
              <w:rPr>
                <w:b/>
              </w:rPr>
            </w:pPr>
            <w:r>
              <w:rPr>
                <w:rFonts w:hint="eastAsia" w:cs="宋体"/>
                <w:b/>
                <w:lang w:bidi="ar"/>
              </w:rPr>
              <w:t>表4-3 扬尘浓度随距离变化情况一览表（</w:t>
            </w:r>
            <w:r>
              <w:rPr>
                <w:b/>
                <w:lang w:bidi="ar"/>
              </w:rPr>
              <w:t>TSP</w:t>
            </w:r>
            <w:r>
              <w:rPr>
                <w:rFonts w:hint="eastAsia" w:cs="宋体"/>
                <w:b/>
                <w:lang w:bidi="ar"/>
              </w:rPr>
              <w:t>）</w:t>
            </w:r>
          </w:p>
          <w:tbl>
            <w:tblPr>
              <w:tblStyle w:val="9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2886"/>
              <w:gridCol w:w="1369"/>
              <w:gridCol w:w="1369"/>
              <w:gridCol w:w="1369"/>
              <w:gridCol w:w="13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2886"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b/>
                    </w:rPr>
                  </w:pPr>
                  <w:r>
                    <w:rPr>
                      <w:rFonts w:hint="eastAsia" w:cs="宋体"/>
                      <w:b/>
                      <w:lang w:bidi="ar"/>
                    </w:rPr>
                    <w:t>距</w:t>
                  </w:r>
                  <w:r>
                    <w:rPr>
                      <w:rFonts w:hint="eastAsia" w:cs="宋体"/>
                      <w:b/>
                      <w:spacing w:val="-5"/>
                      <w:lang w:bidi="ar"/>
                    </w:rPr>
                    <w:t>扬</w:t>
                  </w:r>
                  <w:r>
                    <w:rPr>
                      <w:rFonts w:hint="eastAsia" w:cs="宋体"/>
                      <w:b/>
                      <w:lang w:bidi="ar"/>
                    </w:rPr>
                    <w:t>尘点距离</w:t>
                  </w:r>
                </w:p>
              </w:tc>
              <w:tc>
                <w:tcPr>
                  <w:tcW w:w="1369"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b/>
                    </w:rPr>
                  </w:pPr>
                  <w:r>
                    <w:rPr>
                      <w:b/>
                      <w:lang w:bidi="ar"/>
                    </w:rPr>
                    <w:t>25m</w:t>
                  </w:r>
                </w:p>
              </w:tc>
              <w:tc>
                <w:tcPr>
                  <w:tcW w:w="1369"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b/>
                    </w:rPr>
                  </w:pPr>
                  <w:r>
                    <w:rPr>
                      <w:b/>
                      <w:lang w:bidi="ar"/>
                    </w:rPr>
                    <w:t>50m</w:t>
                  </w:r>
                </w:p>
              </w:tc>
              <w:tc>
                <w:tcPr>
                  <w:tcW w:w="1369"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b/>
                    </w:rPr>
                  </w:pPr>
                  <w:r>
                    <w:rPr>
                      <w:b/>
                      <w:lang w:bidi="ar"/>
                    </w:rPr>
                    <w:t>100m</w:t>
                  </w:r>
                </w:p>
              </w:tc>
              <w:tc>
                <w:tcPr>
                  <w:tcW w:w="1371"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b/>
                    </w:rPr>
                  </w:pPr>
                  <w:r>
                    <w:rPr>
                      <w:b/>
                      <w:lang w:bidi="ar"/>
                    </w:rPr>
                    <w:t>200m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2886"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spacing w:val="4"/>
                    </w:rPr>
                  </w:pPr>
                  <w:r>
                    <w:rPr>
                      <w:rFonts w:hint="eastAsia" w:cs="宋体"/>
                      <w:lang w:bidi="ar"/>
                    </w:rPr>
                    <w:t>浓</w:t>
                  </w:r>
                  <w:r>
                    <w:rPr>
                      <w:rFonts w:hint="eastAsia" w:cs="宋体"/>
                      <w:spacing w:val="-5"/>
                      <w:lang w:bidi="ar"/>
                    </w:rPr>
                    <w:t>度</w:t>
                  </w:r>
                  <w:r>
                    <w:rPr>
                      <w:rFonts w:hint="eastAsia" w:cs="宋体"/>
                      <w:lang w:bidi="ar"/>
                    </w:rPr>
                    <w:t>范围</w:t>
                  </w:r>
                  <w:r>
                    <w:rPr>
                      <w:rFonts w:hint="eastAsia" w:cs="宋体"/>
                      <w:spacing w:val="-5"/>
                      <w:lang w:bidi="ar"/>
                    </w:rPr>
                    <w:t>（</w:t>
                  </w:r>
                  <w:r>
                    <w:rPr>
                      <w:spacing w:val="-6"/>
                      <w:lang w:bidi="ar"/>
                    </w:rPr>
                    <w:t>m</w:t>
                  </w:r>
                  <w:r>
                    <w:rPr>
                      <w:lang w:bidi="ar"/>
                    </w:rPr>
                    <w:t>g</w:t>
                  </w:r>
                  <w:r>
                    <w:rPr>
                      <w:spacing w:val="4"/>
                      <w:lang w:bidi="ar"/>
                    </w:rPr>
                    <w:t>/m</w:t>
                  </w:r>
                  <w:r>
                    <w:rPr>
                      <w:spacing w:val="4"/>
                      <w:vertAlign w:val="superscript"/>
                      <w:lang w:bidi="ar"/>
                    </w:rPr>
                    <w:t>3</w:t>
                  </w:r>
                  <w:r>
                    <w:rPr>
                      <w:rFonts w:hint="eastAsia" w:cs="宋体"/>
                      <w:spacing w:val="4"/>
                      <w:lang w:bidi="ar"/>
                    </w:rPr>
                    <w:t>）</w:t>
                  </w:r>
                </w:p>
              </w:tc>
              <w:tc>
                <w:tcPr>
                  <w:tcW w:w="1369"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pPr>
                  <w:r>
                    <w:rPr>
                      <w:lang w:bidi="ar"/>
                    </w:rPr>
                    <w:t>0.37</w:t>
                  </w:r>
                  <w:r>
                    <w:rPr>
                      <w:rFonts w:hint="eastAsia" w:cs="宋体"/>
                      <w:lang w:bidi="ar"/>
                    </w:rPr>
                    <w:t>～</w:t>
                  </w:r>
                  <w:r>
                    <w:rPr>
                      <w:lang w:bidi="ar"/>
                    </w:rPr>
                    <w:t>1.10</w:t>
                  </w:r>
                </w:p>
              </w:tc>
              <w:tc>
                <w:tcPr>
                  <w:tcW w:w="1369"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pPr>
                  <w:r>
                    <w:rPr>
                      <w:lang w:bidi="ar"/>
                    </w:rPr>
                    <w:t>0.3</w:t>
                  </w:r>
                  <w:r>
                    <w:rPr>
                      <w:spacing w:val="-5"/>
                      <w:lang w:bidi="ar"/>
                    </w:rPr>
                    <w:t>1</w:t>
                  </w:r>
                  <w:r>
                    <w:rPr>
                      <w:rFonts w:hint="eastAsia" w:cs="宋体"/>
                      <w:lang w:bidi="ar"/>
                    </w:rPr>
                    <w:t>～</w:t>
                  </w:r>
                  <w:r>
                    <w:rPr>
                      <w:lang w:bidi="ar"/>
                    </w:rPr>
                    <w:t>0.98</w:t>
                  </w:r>
                </w:p>
              </w:tc>
              <w:tc>
                <w:tcPr>
                  <w:tcW w:w="1369"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pPr>
                  <w:r>
                    <w:rPr>
                      <w:lang w:bidi="ar"/>
                    </w:rPr>
                    <w:t>0.2</w:t>
                  </w:r>
                  <w:r>
                    <w:rPr>
                      <w:spacing w:val="-5"/>
                      <w:lang w:bidi="ar"/>
                    </w:rPr>
                    <w:t>1</w:t>
                  </w:r>
                  <w:r>
                    <w:rPr>
                      <w:rFonts w:hint="eastAsia" w:cs="宋体"/>
                      <w:lang w:bidi="ar"/>
                    </w:rPr>
                    <w:t>～</w:t>
                  </w:r>
                  <w:r>
                    <w:rPr>
                      <w:lang w:bidi="ar"/>
                    </w:rPr>
                    <w:t>0.76</w:t>
                  </w:r>
                </w:p>
              </w:tc>
              <w:tc>
                <w:tcPr>
                  <w:tcW w:w="1371"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pPr>
                  <w:r>
                    <w:rPr>
                      <w:lang w:bidi="ar"/>
                    </w:rPr>
                    <w:t>0.18</w:t>
                  </w:r>
                  <w:r>
                    <w:rPr>
                      <w:rFonts w:hint="eastAsia" w:cs="宋体"/>
                      <w:lang w:bidi="ar"/>
                    </w:rPr>
                    <w:t>～</w:t>
                  </w:r>
                  <w:r>
                    <w:rPr>
                      <w:lang w:bidi="ar"/>
                    </w:rPr>
                    <w:t>0.27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2886"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pPr>
                  <w:r>
                    <w:rPr>
                      <w:rFonts w:hint="eastAsia" w:cs="宋体"/>
                      <w:lang w:bidi="ar"/>
                    </w:rPr>
                    <w:t>平</w:t>
                  </w:r>
                  <w:r>
                    <w:rPr>
                      <w:rFonts w:hint="eastAsia" w:cs="宋体"/>
                      <w:spacing w:val="-5"/>
                      <w:lang w:bidi="ar"/>
                    </w:rPr>
                    <w:t>均</w:t>
                  </w:r>
                  <w:r>
                    <w:rPr>
                      <w:rFonts w:hint="eastAsia" w:cs="宋体"/>
                      <w:lang w:bidi="ar"/>
                    </w:rPr>
                    <w:t>浓度</w:t>
                  </w:r>
                  <w:r>
                    <w:rPr>
                      <w:rFonts w:hint="eastAsia" w:cs="宋体"/>
                      <w:spacing w:val="-5"/>
                      <w:lang w:bidi="ar"/>
                    </w:rPr>
                    <w:t>（</w:t>
                  </w:r>
                  <w:r>
                    <w:rPr>
                      <w:spacing w:val="-6"/>
                      <w:lang w:bidi="ar"/>
                    </w:rPr>
                    <w:t>m</w:t>
                  </w:r>
                  <w:r>
                    <w:rPr>
                      <w:lang w:bidi="ar"/>
                    </w:rPr>
                    <w:t>g</w:t>
                  </w:r>
                  <w:r>
                    <w:rPr>
                      <w:spacing w:val="4"/>
                      <w:lang w:bidi="ar"/>
                    </w:rPr>
                    <w:t>/</w:t>
                  </w:r>
                  <w:r>
                    <w:rPr>
                      <w:spacing w:val="-1"/>
                      <w:lang w:bidi="ar"/>
                    </w:rPr>
                    <w:t>m</w:t>
                  </w:r>
                  <w:r>
                    <w:rPr>
                      <w:spacing w:val="-1"/>
                      <w:vertAlign w:val="superscript"/>
                      <w:lang w:bidi="ar"/>
                    </w:rPr>
                    <w:t>3</w:t>
                  </w:r>
                  <w:r>
                    <w:rPr>
                      <w:rFonts w:hint="eastAsia" w:cs="宋体"/>
                      <w:lang w:bidi="ar"/>
                    </w:rPr>
                    <w:t>）</w:t>
                  </w:r>
                </w:p>
              </w:tc>
              <w:tc>
                <w:tcPr>
                  <w:tcW w:w="1369"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pPr>
                  <w:r>
                    <w:rPr>
                      <w:lang w:bidi="ar"/>
                    </w:rPr>
                    <w:t>0.74</w:t>
                  </w:r>
                </w:p>
              </w:tc>
              <w:tc>
                <w:tcPr>
                  <w:tcW w:w="1369"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pPr>
                  <w:r>
                    <w:rPr>
                      <w:lang w:bidi="ar"/>
                    </w:rPr>
                    <w:t>0.64</w:t>
                  </w:r>
                </w:p>
              </w:tc>
              <w:tc>
                <w:tcPr>
                  <w:tcW w:w="1369"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pPr>
                  <w:r>
                    <w:rPr>
                      <w:lang w:bidi="ar"/>
                    </w:rPr>
                    <w:t>0.18</w:t>
                  </w:r>
                </w:p>
              </w:tc>
              <w:tc>
                <w:tcPr>
                  <w:tcW w:w="1371"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pPr>
                  <w:r>
                    <w:rPr>
                      <w:lang w:bidi="ar"/>
                    </w:rPr>
                    <w:t>0.25</w:t>
                  </w:r>
                </w:p>
              </w:tc>
            </w:tr>
          </w:tbl>
          <w:p>
            <w:pPr>
              <w:adjustRightInd w:val="0"/>
              <w:snapToGrid w:val="0"/>
              <w:spacing w:before="120" w:beforeLines="50" w:line="360" w:lineRule="auto"/>
              <w:ind w:firstLine="420" w:firstLineChars="200"/>
              <w:rPr>
                <w:rFonts w:cs="宋体"/>
                <w:lang w:val="zh-CN" w:bidi="ar"/>
              </w:rPr>
            </w:pPr>
            <w:r>
              <w:rPr>
                <w:rFonts w:hint="eastAsia" w:cs="宋体"/>
                <w:lang w:val="zh-CN" w:bidi="ar"/>
              </w:rPr>
              <w:t>通过上述分析，只有在距离为200m时TSP平均浓度为0.22mg/m</w:t>
            </w:r>
            <w:r>
              <w:rPr>
                <w:rFonts w:hint="eastAsia" w:cs="宋体"/>
                <w:vertAlign w:val="superscript"/>
                <w:lang w:val="zh-CN" w:bidi="ar"/>
              </w:rPr>
              <w:t>3</w:t>
            </w:r>
            <w:r>
              <w:rPr>
                <w:rFonts w:hint="eastAsia" w:cs="宋体"/>
                <w:lang w:val="zh-CN" w:bidi="ar"/>
              </w:rPr>
              <w:t>，才能满足《环境空气质量标准》（GB3095-2012）及其修改单（生态环境部2018年第29号）二级标准，而距离项目边界200米范围内，不存在居民楼等敏感点，则项目风力扬尘在未采取措施的情况下对周边居民区影响不大。</w:t>
            </w:r>
          </w:p>
          <w:p>
            <w:pPr>
              <w:adjustRightInd w:val="0"/>
              <w:snapToGrid w:val="0"/>
              <w:spacing w:line="360" w:lineRule="auto"/>
              <w:ind w:firstLine="420" w:firstLineChars="200"/>
              <w:rPr>
                <w:rFonts w:cs="宋体"/>
                <w:lang w:val="zh-CN" w:bidi="ar"/>
              </w:rPr>
            </w:pPr>
            <w:r>
              <w:rPr>
                <w:rFonts w:hint="eastAsia" w:cs="宋体"/>
                <w:lang w:val="zh-CN" w:bidi="ar"/>
              </w:rPr>
              <w:t>为使本项目在施工过程中产生的废气对周围环境空气的影响降低到最小程度，建设单位应采取以下防护措施：</w:t>
            </w:r>
          </w:p>
          <w:p>
            <w:pPr>
              <w:adjustRightInd w:val="0"/>
              <w:snapToGrid w:val="0"/>
              <w:spacing w:line="360" w:lineRule="auto"/>
              <w:ind w:firstLine="420" w:firstLineChars="200"/>
              <w:rPr>
                <w:rFonts w:cs="宋体"/>
                <w:lang w:val="zh-CN" w:bidi="ar"/>
              </w:rPr>
            </w:pPr>
            <w:r>
              <w:rPr>
                <w:rFonts w:hint="eastAsia" w:cs="宋体"/>
                <w:lang w:val="zh-CN" w:bidi="ar"/>
              </w:rPr>
              <w:t>a.封闭施工</w:t>
            </w:r>
          </w:p>
          <w:p>
            <w:pPr>
              <w:adjustRightInd w:val="0"/>
              <w:snapToGrid w:val="0"/>
              <w:spacing w:line="360" w:lineRule="auto"/>
              <w:ind w:firstLine="420" w:firstLineChars="200"/>
              <w:rPr>
                <w:rFonts w:cs="宋体"/>
                <w:lang w:val="zh-CN" w:bidi="ar"/>
              </w:rPr>
            </w:pPr>
            <w:r>
              <w:rPr>
                <w:rFonts w:hint="eastAsia" w:cs="宋体"/>
                <w:lang w:val="zh-CN" w:bidi="ar"/>
              </w:rPr>
              <w:t>在施工场地四周边界设置围档，阻挡施工扬尘扩散到施工区外，围蔽设施应按照惠州市建设工程文明施工管理规定的相关要求建设，但高度不应小于2.0m。施工边界围档作用主要是阻挡一部分施工扬尘扩散到施工区外，当风力不大时也可减少自然扬尘，围档可以有效阻挡尘土进入周围环境，对抑制施工期扬尘的散逸十分必要。</w:t>
            </w:r>
          </w:p>
          <w:p>
            <w:pPr>
              <w:adjustRightInd w:val="0"/>
              <w:snapToGrid w:val="0"/>
              <w:spacing w:line="360" w:lineRule="auto"/>
              <w:ind w:firstLine="420" w:firstLineChars="200"/>
              <w:rPr>
                <w:rFonts w:cs="宋体"/>
                <w:lang w:val="zh-CN" w:bidi="ar"/>
              </w:rPr>
            </w:pPr>
            <w:r>
              <w:rPr>
                <w:rFonts w:hint="eastAsia" w:cs="宋体"/>
                <w:lang w:val="zh-CN" w:bidi="ar"/>
              </w:rPr>
              <w:t>b.洒水降尘</w:t>
            </w:r>
          </w:p>
          <w:p>
            <w:pPr>
              <w:adjustRightInd w:val="0"/>
              <w:snapToGrid w:val="0"/>
              <w:spacing w:line="360" w:lineRule="auto"/>
              <w:ind w:firstLine="420" w:firstLineChars="200"/>
              <w:rPr>
                <w:rFonts w:cs="宋体"/>
                <w:lang w:val="zh-CN" w:bidi="ar"/>
              </w:rPr>
            </w:pPr>
            <w:r>
              <w:rPr>
                <w:rFonts w:hint="eastAsia" w:cs="宋体"/>
                <w:lang w:val="zh-CN" w:bidi="ar"/>
              </w:rPr>
              <w:t>洒水使工地和多尘材料保持湿润，在天气和工地干燥时，定时（每隔两小时）向车辆运输频繁的道路和作业较为集中的露天施工作业面洒水；在场址内及周围运输车辆主要行经路线及进出口洒水压尘，减少随车流及风力扰动而扬起的粉尘量。干燥大风天气应适当增加该施工区域的洒水频率。</w:t>
            </w:r>
          </w:p>
          <w:p>
            <w:pPr>
              <w:adjustRightInd w:val="0"/>
              <w:snapToGrid w:val="0"/>
              <w:spacing w:line="360" w:lineRule="auto"/>
              <w:ind w:firstLine="420" w:firstLineChars="200"/>
              <w:rPr>
                <w:rFonts w:cs="宋体"/>
                <w:lang w:val="zh-CN" w:bidi="ar"/>
              </w:rPr>
            </w:pPr>
            <w:r>
              <w:rPr>
                <w:rFonts w:hint="eastAsia" w:cs="宋体"/>
                <w:lang w:val="zh-CN" w:bidi="ar"/>
              </w:rPr>
              <w:t>c.地面硬化</w:t>
            </w:r>
          </w:p>
          <w:p>
            <w:pPr>
              <w:adjustRightInd w:val="0"/>
              <w:snapToGrid w:val="0"/>
              <w:spacing w:line="360" w:lineRule="auto"/>
              <w:ind w:firstLine="420" w:firstLineChars="200"/>
              <w:rPr>
                <w:rFonts w:cs="宋体"/>
                <w:lang w:val="zh-CN" w:bidi="ar"/>
              </w:rPr>
            </w:pPr>
            <w:r>
              <w:rPr>
                <w:rFonts w:hint="eastAsia" w:cs="宋体"/>
                <w:lang w:val="zh-CN" w:bidi="ar"/>
              </w:rPr>
              <w:t>地面硬化主要用于两方面，一是车辆经清洗后进入城市道路前的这段裸土道路；二是建筑工地除了挖槽区以外的裸土地面。这些地方经过水泥、沥青及其它固化材料固化，可以有效防止交通扬尘和自然扬尘，另外还便于工地的施工和管理。</w:t>
            </w:r>
          </w:p>
          <w:p>
            <w:pPr>
              <w:adjustRightInd w:val="0"/>
              <w:snapToGrid w:val="0"/>
              <w:spacing w:line="360" w:lineRule="auto"/>
              <w:ind w:firstLine="420" w:firstLineChars="200"/>
              <w:rPr>
                <w:rFonts w:cs="宋体"/>
                <w:lang w:val="zh-CN" w:bidi="ar"/>
              </w:rPr>
            </w:pPr>
            <w:r>
              <w:rPr>
                <w:rFonts w:hint="eastAsia" w:cs="宋体"/>
                <w:lang w:val="zh-CN" w:bidi="ar"/>
              </w:rPr>
              <w:t>d.交通扬尘控制</w:t>
            </w:r>
          </w:p>
          <w:p>
            <w:pPr>
              <w:adjustRightInd w:val="0"/>
              <w:snapToGrid w:val="0"/>
              <w:spacing w:line="360" w:lineRule="auto"/>
              <w:ind w:firstLine="420" w:firstLineChars="200"/>
              <w:rPr>
                <w:rFonts w:cs="宋体"/>
                <w:lang w:val="zh-CN" w:bidi="ar"/>
              </w:rPr>
            </w:pPr>
            <w:r>
              <w:rPr>
                <w:rFonts w:hint="eastAsia" w:cs="宋体"/>
                <w:lang w:val="zh-CN" w:bidi="ar"/>
              </w:rPr>
              <w:t>行驶在积尘路面的车辆要减慢车速，在工地的出口安装车轮和车体清洗设备，经常清洗运输车辆轮胎及底盘泥土，避免车辆将土带至市政道路上；对运输过程中散落在路面上的泥土要及时清扫，以减少二次扬尘，必要时清洗公共道路。</w:t>
            </w:r>
          </w:p>
          <w:p>
            <w:pPr>
              <w:adjustRightInd w:val="0"/>
              <w:snapToGrid w:val="0"/>
              <w:spacing w:line="360" w:lineRule="auto"/>
              <w:ind w:firstLine="420" w:firstLineChars="200"/>
              <w:rPr>
                <w:rFonts w:cs="宋体"/>
                <w:lang w:val="zh-CN" w:bidi="ar"/>
              </w:rPr>
            </w:pPr>
            <w:r>
              <w:rPr>
                <w:rFonts w:hint="eastAsia" w:cs="宋体"/>
                <w:lang w:val="zh-CN" w:bidi="ar"/>
              </w:rPr>
              <w:t>e.装卸扬尘控制</w:t>
            </w:r>
          </w:p>
          <w:p>
            <w:pPr>
              <w:adjustRightInd w:val="0"/>
              <w:snapToGrid w:val="0"/>
              <w:spacing w:line="360" w:lineRule="auto"/>
              <w:ind w:firstLine="420" w:firstLineChars="200"/>
              <w:rPr>
                <w:rFonts w:cs="宋体"/>
                <w:lang w:val="zh-CN" w:bidi="ar"/>
              </w:rPr>
            </w:pPr>
            <w:r>
              <w:rPr>
                <w:rFonts w:hint="eastAsia" w:cs="宋体"/>
                <w:lang w:val="zh-CN" w:bidi="ar"/>
              </w:rPr>
              <w:t>在选定装卸散体建筑材料的装卸点时，一定要考虑风向的问题，装卸点应尽可能地选择在敏感点的主导风向下风向处。装卸时必须尽量减少装卸落差，严格控制出入装卸点的车辆车速并定期清扫装卸点。</w:t>
            </w:r>
          </w:p>
          <w:p>
            <w:pPr>
              <w:adjustRightInd w:val="0"/>
              <w:snapToGrid w:val="0"/>
              <w:spacing w:line="360" w:lineRule="auto"/>
              <w:ind w:firstLine="420" w:firstLineChars="200"/>
              <w:rPr>
                <w:rFonts w:cs="宋体"/>
                <w:lang w:val="zh-CN" w:bidi="ar"/>
              </w:rPr>
            </w:pPr>
            <w:r>
              <w:rPr>
                <w:rFonts w:hint="eastAsia" w:cs="宋体"/>
                <w:lang w:val="zh-CN" w:bidi="ar"/>
              </w:rPr>
              <w:t>f.复绿工程</w:t>
            </w:r>
          </w:p>
          <w:p>
            <w:pPr>
              <w:adjustRightInd w:val="0"/>
              <w:snapToGrid w:val="0"/>
              <w:spacing w:line="360" w:lineRule="auto"/>
              <w:ind w:firstLine="420" w:firstLineChars="200"/>
              <w:rPr>
                <w:rFonts w:cs="宋体"/>
                <w:lang w:val="zh-CN" w:bidi="ar"/>
              </w:rPr>
            </w:pPr>
            <w:r>
              <w:rPr>
                <w:rFonts w:hint="eastAsia" w:cs="宋体"/>
                <w:lang w:val="zh-CN" w:bidi="ar"/>
              </w:rPr>
              <w:t>充分利用施工场地，尽量少占地，施工结束后应立即恢复原貌和进行绿化。对暂时不能施工的场地应保护好原有的植被，或进行简易绿化、采取其他有效的防尘措施等。</w:t>
            </w:r>
          </w:p>
          <w:p>
            <w:pPr>
              <w:adjustRightInd w:val="0"/>
              <w:snapToGrid w:val="0"/>
              <w:spacing w:line="360" w:lineRule="auto"/>
              <w:ind w:firstLine="420" w:firstLineChars="200"/>
              <w:rPr>
                <w:rFonts w:cs="宋体"/>
                <w:lang w:val="zh-CN" w:bidi="ar"/>
              </w:rPr>
            </w:pPr>
            <w:r>
              <w:rPr>
                <w:rFonts w:hint="eastAsia" w:cs="宋体"/>
                <w:lang w:val="zh-CN" w:bidi="ar"/>
              </w:rPr>
              <w:t>g.其他措施</w:t>
            </w:r>
          </w:p>
          <w:p>
            <w:pPr>
              <w:adjustRightInd w:val="0"/>
              <w:snapToGrid w:val="0"/>
              <w:spacing w:line="360" w:lineRule="auto"/>
              <w:ind w:firstLine="420" w:firstLineChars="200"/>
              <w:rPr>
                <w:lang w:val="zh-CN" w:bidi="ar"/>
              </w:rPr>
            </w:pPr>
            <w:r>
              <w:rPr>
                <w:lang w:val="zh-CN" w:bidi="ar"/>
              </w:rPr>
              <w:t>(I)合理布置运输车辆的行车路线，规划的运输路线尽量避开附近敏感点，装载的物料、垃圾、渣土高度不得超过车辆槽帮上沿，土、水泥、石灰等材料运输禁止超载，封装材料应灌装或袋装，车辆运输时尽可能进行必要封闭和覆盖以减少扬尘产生，车斗用苫布遮盖或者采用密闭车斗。</w:t>
            </w:r>
          </w:p>
          <w:p>
            <w:pPr>
              <w:adjustRightInd w:val="0"/>
              <w:snapToGrid w:val="0"/>
              <w:spacing w:line="360" w:lineRule="auto"/>
              <w:ind w:firstLine="420" w:firstLineChars="200"/>
              <w:rPr>
                <w:lang w:val="zh-CN" w:bidi="ar"/>
              </w:rPr>
            </w:pPr>
            <w:r>
              <w:rPr>
                <w:lang w:val="zh-CN" w:bidi="ar"/>
              </w:rPr>
              <w:t>(II)合理布局施工现场，尽量将容易产生扬尘的施工工序设置于项目用地远离敏感点的一侧。</w:t>
            </w:r>
          </w:p>
          <w:p>
            <w:pPr>
              <w:adjustRightInd w:val="0"/>
              <w:snapToGrid w:val="0"/>
              <w:spacing w:line="360" w:lineRule="auto"/>
              <w:ind w:firstLine="420" w:firstLineChars="200"/>
              <w:rPr>
                <w:lang w:val="zh-CN" w:bidi="ar"/>
              </w:rPr>
            </w:pPr>
            <w:r>
              <w:rPr>
                <w:lang w:val="zh-CN" w:bidi="ar"/>
              </w:rPr>
              <w:t>(Ⅲ)施工工地内车行道路，应采取铺设钢板、铺设混凝土、铺设沥青混凝土、铺设用礁渣、细石或其它功能相当的材料等措施之一，防止机动车扬尘。</w:t>
            </w:r>
          </w:p>
          <w:p>
            <w:pPr>
              <w:adjustRightInd w:val="0"/>
              <w:snapToGrid w:val="0"/>
              <w:spacing w:line="360" w:lineRule="auto"/>
              <w:ind w:firstLine="420" w:firstLineChars="200"/>
              <w:rPr>
                <w:rFonts w:cs="宋体"/>
                <w:lang w:val="zh-CN" w:bidi="ar"/>
              </w:rPr>
            </w:pPr>
            <w:r>
              <w:rPr>
                <w:lang w:val="zh-CN" w:bidi="ar"/>
              </w:rPr>
              <w:t>(Ⅳ)工程材料、砂石、土方</w:t>
            </w:r>
            <w:r>
              <w:rPr>
                <w:rFonts w:hint="eastAsia" w:cs="宋体"/>
                <w:lang w:val="zh-CN" w:bidi="ar"/>
              </w:rPr>
              <w:t>或废弃物等易产生扬尘物质应当密闭处理。若在工地内堆置，则应采取覆盖防尘布、覆盖防尘网、配合定期喷洒扬尘抑制剂等措施，防止风蚀起尘。</w:t>
            </w:r>
          </w:p>
          <w:p>
            <w:pPr>
              <w:adjustRightInd w:val="0"/>
              <w:snapToGrid w:val="0"/>
              <w:spacing w:line="360" w:lineRule="auto"/>
              <w:ind w:firstLine="420" w:firstLineChars="200"/>
              <w:rPr>
                <w:rFonts w:cs="宋体"/>
                <w:lang w:val="zh-CN" w:bidi="ar"/>
              </w:rPr>
            </w:pPr>
            <w:r>
              <w:rPr>
                <w:rFonts w:hint="eastAsia" w:cs="宋体"/>
                <w:lang w:val="zh-CN" w:bidi="ar"/>
              </w:rPr>
              <w:t>（2）施工机械燃油废气、汽车尾气</w:t>
            </w:r>
          </w:p>
          <w:p>
            <w:pPr>
              <w:adjustRightInd w:val="0"/>
              <w:snapToGrid w:val="0"/>
              <w:spacing w:line="360" w:lineRule="auto"/>
              <w:ind w:firstLine="420" w:firstLineChars="200"/>
              <w:rPr>
                <w:rFonts w:cs="宋体"/>
                <w:lang w:val="zh-CN" w:bidi="ar"/>
              </w:rPr>
            </w:pPr>
            <w:r>
              <w:rPr>
                <w:rFonts w:hint="eastAsia" w:cs="宋体"/>
                <w:lang w:val="zh-CN" w:bidi="ar"/>
              </w:rPr>
              <w:t>道路施工过程用到的施工机械，包括挖掘机、装载机、推土机、平地机等机械，这些机械以柴油为燃料，运转时会产生燃油烟气；以及施工车辆也主要使用柴油为燃料；行驶时产生尾气；燃油烟气以及汽车尾气主要污染物为NO</w:t>
            </w:r>
            <w:r>
              <w:rPr>
                <w:rFonts w:hint="eastAsia" w:cs="宋体"/>
                <w:vertAlign w:val="subscript"/>
                <w:lang w:val="zh-CN" w:bidi="ar"/>
              </w:rPr>
              <w:t>2</w:t>
            </w:r>
            <w:r>
              <w:rPr>
                <w:rFonts w:hint="eastAsia" w:cs="宋体"/>
                <w:lang w:val="zh-CN" w:bidi="ar"/>
              </w:rPr>
              <w:t>、SO</w:t>
            </w:r>
            <w:r>
              <w:rPr>
                <w:rFonts w:hint="eastAsia" w:cs="宋体"/>
                <w:vertAlign w:val="subscript"/>
                <w:lang w:val="zh-CN" w:bidi="ar"/>
              </w:rPr>
              <w:t>2</w:t>
            </w:r>
            <w:r>
              <w:rPr>
                <w:rFonts w:hint="eastAsia" w:cs="宋体"/>
                <w:lang w:val="zh-CN" w:bidi="ar"/>
              </w:rPr>
              <w:t>和TSP等，一般情况下废气量不大、废气浓度较低，影响范围有限，为进一步减小燃油动力机械及运输车辆排放尾气的影响，建议施工运输车辆必须定期检查，破损的车厢应及时修补，注意车辆的维修保养；规划好车辆进出施工场地的行驶路线，尽量减少车辆怠速行驶的情况和控制车辆在施工现场的停留时间；使用清洁能源（如轻质柴油），以减少SO</w:t>
            </w:r>
            <w:r>
              <w:rPr>
                <w:rFonts w:hint="eastAsia" w:cs="宋体"/>
                <w:vertAlign w:val="subscript"/>
                <w:lang w:val="zh-CN" w:bidi="ar"/>
              </w:rPr>
              <w:t>2</w:t>
            </w:r>
            <w:r>
              <w:rPr>
                <w:rFonts w:hint="eastAsia" w:cs="宋体"/>
                <w:lang w:val="zh-CN" w:bidi="ar"/>
              </w:rPr>
              <w:t>、NO</w:t>
            </w:r>
            <w:r>
              <w:rPr>
                <w:rFonts w:hint="eastAsia" w:cs="宋体"/>
                <w:vertAlign w:val="subscript"/>
                <w:lang w:val="zh-CN" w:bidi="ar"/>
              </w:rPr>
              <w:t>X</w:t>
            </w:r>
            <w:r>
              <w:rPr>
                <w:rFonts w:hint="eastAsia" w:cs="宋体"/>
                <w:lang w:val="zh-CN" w:bidi="ar"/>
              </w:rPr>
              <w:t>、CO等污染物的排放。</w:t>
            </w:r>
          </w:p>
          <w:p>
            <w:pPr>
              <w:adjustRightInd w:val="0"/>
              <w:snapToGrid w:val="0"/>
              <w:spacing w:line="360" w:lineRule="auto"/>
              <w:ind w:firstLine="420" w:firstLineChars="200"/>
              <w:rPr>
                <w:rFonts w:cs="宋体"/>
                <w:lang w:val="zh-CN" w:bidi="ar"/>
              </w:rPr>
            </w:pPr>
            <w:r>
              <w:rPr>
                <w:rFonts w:hint="eastAsia" w:cs="宋体"/>
                <w:lang w:val="zh-CN" w:bidi="ar"/>
              </w:rPr>
              <w:t>建设单位经采取以上施工期环境空气污染防治措施后，施工期产生的大气环境影响可控制在可接受水平，不会对施工人员、周边敏感点的人体健康产生显著影响。</w:t>
            </w:r>
          </w:p>
          <w:p>
            <w:pPr>
              <w:adjustRightInd w:val="0"/>
              <w:snapToGrid w:val="0"/>
              <w:spacing w:line="360" w:lineRule="auto"/>
              <w:ind w:firstLine="422" w:firstLineChars="200"/>
              <w:rPr>
                <w:rFonts w:cs="宋体"/>
                <w:b/>
                <w:bCs/>
                <w:lang w:val="zh-CN" w:bidi="ar"/>
              </w:rPr>
            </w:pPr>
            <w:r>
              <w:rPr>
                <w:rFonts w:hint="eastAsia" w:cs="宋体"/>
                <w:b/>
                <w:bCs/>
                <w:lang w:val="zh-CN" w:bidi="ar"/>
              </w:rPr>
              <w:t>三、施工期声环境污染防治措施</w:t>
            </w:r>
          </w:p>
          <w:p>
            <w:pPr>
              <w:adjustRightInd w:val="0"/>
              <w:snapToGrid w:val="0"/>
              <w:spacing w:line="360" w:lineRule="auto"/>
              <w:ind w:firstLine="420" w:firstLineChars="200"/>
              <w:rPr>
                <w:rFonts w:cs="宋体"/>
                <w:lang w:val="zh-CN" w:bidi="ar"/>
              </w:rPr>
            </w:pPr>
            <w:r>
              <w:rPr>
                <w:rFonts w:hint="eastAsia" w:cs="宋体"/>
                <w:lang w:val="zh-CN" w:bidi="ar"/>
              </w:rPr>
              <w:t>施工期的噪声主要可分为机械噪声、施工作业噪声和施工车辆噪声。机械噪声主要由施工机械所造成，如挖土机械、打桩机械、升降机等，多为点声源；施工作业噪声主要指一些零星的敲打声、装卸车辆的撞击声、吆喝声、拆装模板的撞击声等，多为瞬间噪声；施工车辆的噪声属于交通噪声。</w:t>
            </w:r>
          </w:p>
          <w:p>
            <w:pPr>
              <w:adjustRightInd w:val="0"/>
              <w:snapToGrid w:val="0"/>
              <w:spacing w:line="360" w:lineRule="auto"/>
              <w:ind w:firstLine="420" w:firstLineChars="200"/>
              <w:rPr>
                <w:rFonts w:cs="宋体"/>
                <w:lang w:val="zh-CN" w:bidi="ar"/>
              </w:rPr>
            </w:pPr>
            <w:r>
              <w:rPr>
                <w:rFonts w:hint="eastAsia" w:cs="宋体"/>
                <w:lang w:val="zh-CN" w:bidi="ar"/>
              </w:rPr>
              <w:t>由于施工机械噪声、作业噪声主要属中低频噪声，故施工期噪声对周边环境只考虑扩散衰减，且施工噪声源可近似作为点声源处理（施工车辆靠近工地或进入工地，作怠速处理，亦可近似作为点声源），根据点声源噪声衰减模式，可估算其施工期间离噪声源不同距离处的噪声值，无指向性声源在半自由空间中的发散衰减计算式如下：</w:t>
            </w:r>
          </w:p>
          <w:p>
            <w:pPr>
              <w:adjustRightInd w:val="0"/>
              <w:snapToGrid w:val="0"/>
              <w:spacing w:line="360" w:lineRule="auto"/>
              <w:jc w:val="center"/>
              <w:rPr>
                <w:rFonts w:cs="宋体"/>
              </w:rPr>
            </w:pPr>
            <w:r>
              <w:rPr>
                <w:rFonts w:cs="宋体"/>
              </w:rPr>
              <w:drawing>
                <wp:inline distT="0" distB="0" distL="114300" distR="114300">
                  <wp:extent cx="1836420" cy="335280"/>
                  <wp:effectExtent l="0" t="0" r="7620" b="0"/>
                  <wp:docPr id="30" name="图片 3" descr="说明: UXCNKR{4V~R@QE}54N}D[V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 descr="说明: UXCNKR{4V~R@QE}54N}D[VR"/>
                          <pic:cNvPicPr>
                            <a:picLocks noChangeAspect="1"/>
                          </pic:cNvPicPr>
                        </pic:nvPicPr>
                        <pic:blipFill>
                          <a:blip r:embed="rId15"/>
                          <a:stretch>
                            <a:fillRect/>
                          </a:stretch>
                        </pic:blipFill>
                        <pic:spPr>
                          <a:xfrm>
                            <a:off x="0" y="0"/>
                            <a:ext cx="1836420" cy="335280"/>
                          </a:xfrm>
                          <a:prstGeom prst="rect">
                            <a:avLst/>
                          </a:prstGeom>
                          <a:noFill/>
                          <a:ln>
                            <a:noFill/>
                          </a:ln>
                        </pic:spPr>
                      </pic:pic>
                    </a:graphicData>
                  </a:graphic>
                </wp:inline>
              </w:drawing>
            </w:r>
          </w:p>
          <w:p>
            <w:pPr>
              <w:adjustRightInd w:val="0"/>
              <w:snapToGrid w:val="0"/>
              <w:spacing w:line="360" w:lineRule="auto"/>
              <w:ind w:firstLine="420" w:firstLineChars="200"/>
            </w:pPr>
            <w:r>
              <w:rPr>
                <w:rFonts w:hint="eastAsia" w:cs="宋体"/>
                <w:lang w:bidi="ar"/>
              </w:rPr>
              <w:t>式中：</w:t>
            </w:r>
            <w:r>
              <w:rPr>
                <w:lang w:bidi="ar"/>
              </w:rPr>
              <w:t>L</w:t>
            </w:r>
            <w:r>
              <w:rPr>
                <w:vertAlign w:val="subscript"/>
                <w:lang w:bidi="ar"/>
              </w:rPr>
              <w:t>p</w:t>
            </w:r>
            <w:r>
              <w:rPr>
                <w:lang w:bidi="ar"/>
              </w:rPr>
              <w:t>(r)--</w:t>
            </w:r>
            <w:r>
              <w:rPr>
                <w:rFonts w:hint="eastAsia" w:cs="宋体"/>
                <w:lang w:bidi="ar"/>
              </w:rPr>
              <w:t>点声源在预测点产生的声压级，</w:t>
            </w:r>
            <w:r>
              <w:rPr>
                <w:lang w:bidi="ar"/>
              </w:rPr>
              <w:t>dB(A)</w:t>
            </w:r>
            <w:r>
              <w:rPr>
                <w:rFonts w:hint="eastAsia" w:cs="宋体"/>
                <w:lang w:bidi="ar"/>
              </w:rPr>
              <w:t>；</w:t>
            </w:r>
          </w:p>
          <w:p>
            <w:pPr>
              <w:adjustRightInd w:val="0"/>
              <w:snapToGrid w:val="0"/>
              <w:spacing w:line="360" w:lineRule="auto"/>
              <w:ind w:firstLine="420" w:firstLineChars="200"/>
            </w:pPr>
            <w:r>
              <w:rPr>
                <w:lang w:bidi="ar"/>
              </w:rPr>
              <w:t xml:space="preserve">      L</w:t>
            </w:r>
            <w:r>
              <w:rPr>
                <w:vertAlign w:val="subscript"/>
                <w:lang w:bidi="ar"/>
              </w:rPr>
              <w:t>p</w:t>
            </w:r>
            <w:r>
              <w:rPr>
                <w:lang w:bidi="ar"/>
              </w:rPr>
              <w:t>(r</w:t>
            </w:r>
            <w:r>
              <w:rPr>
                <w:vertAlign w:val="subscript"/>
                <w:lang w:bidi="ar"/>
              </w:rPr>
              <w:t>0</w:t>
            </w:r>
            <w:r>
              <w:rPr>
                <w:lang w:bidi="ar"/>
              </w:rPr>
              <w:t>)--</w:t>
            </w:r>
            <w:r>
              <w:rPr>
                <w:rFonts w:hint="eastAsia" w:cs="宋体"/>
                <w:lang w:bidi="ar"/>
              </w:rPr>
              <w:t>点声源在参考点产生的声压级，</w:t>
            </w:r>
            <w:r>
              <w:rPr>
                <w:lang w:bidi="ar"/>
              </w:rPr>
              <w:t>dB(A)</w:t>
            </w:r>
            <w:r>
              <w:rPr>
                <w:rFonts w:hint="eastAsia" w:cs="宋体"/>
                <w:lang w:bidi="ar"/>
              </w:rPr>
              <w:t>；</w:t>
            </w:r>
          </w:p>
          <w:p>
            <w:pPr>
              <w:adjustRightInd w:val="0"/>
              <w:snapToGrid w:val="0"/>
              <w:spacing w:line="360" w:lineRule="auto"/>
              <w:ind w:firstLine="420" w:firstLineChars="200"/>
            </w:pPr>
            <w:r>
              <w:rPr>
                <w:lang w:bidi="ar"/>
              </w:rPr>
              <w:t xml:space="preserve">      r--</w:t>
            </w:r>
            <w:r>
              <w:rPr>
                <w:rFonts w:hint="eastAsia" w:cs="宋体"/>
                <w:lang w:bidi="ar"/>
              </w:rPr>
              <w:t>预测点距声源的距离，</w:t>
            </w:r>
            <w:r>
              <w:rPr>
                <w:lang w:bidi="ar"/>
              </w:rPr>
              <w:t>m</w:t>
            </w:r>
            <w:r>
              <w:rPr>
                <w:rFonts w:hint="eastAsia" w:cs="宋体"/>
                <w:lang w:bidi="ar"/>
              </w:rPr>
              <w:t>；</w:t>
            </w:r>
          </w:p>
          <w:p>
            <w:pPr>
              <w:adjustRightInd w:val="0"/>
              <w:snapToGrid w:val="0"/>
              <w:spacing w:line="360" w:lineRule="auto"/>
              <w:ind w:firstLine="480"/>
            </w:pPr>
            <w:r>
              <w:rPr>
                <w:lang w:bidi="ar"/>
              </w:rPr>
              <w:t xml:space="preserve">      r</w:t>
            </w:r>
            <w:r>
              <w:rPr>
                <w:vertAlign w:val="subscript"/>
                <w:lang w:bidi="ar"/>
              </w:rPr>
              <w:t>0</w:t>
            </w:r>
            <w:r>
              <w:rPr>
                <w:lang w:bidi="ar"/>
              </w:rPr>
              <w:t>--</w:t>
            </w:r>
            <w:r>
              <w:rPr>
                <w:rFonts w:hint="eastAsia" w:cs="宋体"/>
                <w:lang w:bidi="ar"/>
              </w:rPr>
              <w:t>参考点距声源的距离，</w:t>
            </w:r>
            <w:r>
              <w:rPr>
                <w:lang w:bidi="ar"/>
              </w:rPr>
              <w:t>m</w:t>
            </w:r>
            <w:r>
              <w:rPr>
                <w:rFonts w:hint="eastAsia" w:cs="宋体"/>
                <w:lang w:bidi="ar"/>
              </w:rPr>
              <w:t>。</w:t>
            </w:r>
          </w:p>
          <w:p>
            <w:pPr>
              <w:adjustRightInd w:val="0"/>
              <w:snapToGrid w:val="0"/>
              <w:spacing w:line="360" w:lineRule="auto"/>
              <w:ind w:firstLine="420" w:firstLineChars="200"/>
              <w:rPr>
                <w:rFonts w:cs="宋体"/>
                <w:lang w:val="zh-CN" w:bidi="ar"/>
              </w:rPr>
            </w:pPr>
            <w:r>
              <w:rPr>
                <w:rFonts w:hint="eastAsia" w:cs="宋体"/>
                <w:lang w:val="zh-CN" w:bidi="ar"/>
              </w:rPr>
              <w:t>项目施工过程中，往往是多台施工机械同时作业，施工运输车辆频繁出入施工现场，因此噪声源辐射会相互叠加，对两个以上声源同时存在时，其预测点总声级采用下面公式：</w:t>
            </w:r>
          </w:p>
          <w:p>
            <w:pPr>
              <w:adjustRightInd w:val="0"/>
              <w:snapToGrid w:val="0"/>
              <w:spacing w:line="360" w:lineRule="auto"/>
              <w:jc w:val="center"/>
              <w:rPr>
                <w:rFonts w:cs="宋体"/>
              </w:rPr>
            </w:pPr>
            <w:r>
              <w:rPr>
                <w:rFonts w:cs="宋体"/>
              </w:rPr>
              <w:drawing>
                <wp:inline distT="0" distB="0" distL="114300" distR="114300">
                  <wp:extent cx="1485900" cy="502920"/>
                  <wp:effectExtent l="0" t="0" r="7620" b="0"/>
                  <wp:docPr id="39" name="图片 4" descr="说明: }JJ35`200{4H1BXUK29Y@[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4" descr="说明: }JJ35`200{4H1BXUK29Y@[6"/>
                          <pic:cNvPicPr>
                            <a:picLocks noChangeAspect="1"/>
                          </pic:cNvPicPr>
                        </pic:nvPicPr>
                        <pic:blipFill>
                          <a:blip r:embed="rId16"/>
                          <a:stretch>
                            <a:fillRect/>
                          </a:stretch>
                        </pic:blipFill>
                        <pic:spPr>
                          <a:xfrm>
                            <a:off x="0" y="0"/>
                            <a:ext cx="1485900" cy="502920"/>
                          </a:xfrm>
                          <a:prstGeom prst="rect">
                            <a:avLst/>
                          </a:prstGeom>
                          <a:noFill/>
                          <a:ln>
                            <a:noFill/>
                          </a:ln>
                        </pic:spPr>
                      </pic:pic>
                    </a:graphicData>
                  </a:graphic>
                </wp:inline>
              </w:drawing>
            </w:r>
          </w:p>
          <w:p>
            <w:pPr>
              <w:adjustRightInd w:val="0"/>
              <w:snapToGrid w:val="0"/>
              <w:spacing w:line="360" w:lineRule="auto"/>
              <w:ind w:firstLine="420" w:firstLineChars="200"/>
            </w:pPr>
            <w:r>
              <w:rPr>
                <w:rFonts w:hint="eastAsia" w:cs="宋体"/>
                <w:lang w:bidi="ar"/>
              </w:rPr>
              <w:t>式中：</w:t>
            </w:r>
            <w:r>
              <w:rPr>
                <w:rFonts w:hint="eastAsia" w:cs="宋体"/>
                <w:lang w:val="zh-CN" w:bidi="ar"/>
              </w:rPr>
              <w:t>L</w:t>
            </w:r>
            <w:r>
              <w:rPr>
                <w:rFonts w:hint="eastAsia" w:cs="宋体"/>
                <w:vertAlign w:val="subscript"/>
                <w:lang w:val="zh-CN" w:bidi="ar"/>
              </w:rPr>
              <w:t>总</w:t>
            </w:r>
            <w:r>
              <w:rPr>
                <w:lang w:bidi="ar"/>
              </w:rPr>
              <w:t>——</w:t>
            </w:r>
            <w:r>
              <w:rPr>
                <w:rFonts w:hint="eastAsia" w:cs="宋体"/>
                <w:lang w:bidi="ar"/>
              </w:rPr>
              <w:t>几个声压级相加后的总声压级，</w:t>
            </w:r>
            <w:r>
              <w:rPr>
                <w:lang w:bidi="ar"/>
              </w:rPr>
              <w:t>dB(A)</w:t>
            </w:r>
          </w:p>
          <w:p>
            <w:pPr>
              <w:adjustRightInd w:val="0"/>
              <w:snapToGrid w:val="0"/>
              <w:spacing w:line="360" w:lineRule="auto"/>
              <w:ind w:firstLine="420" w:firstLineChars="200"/>
              <w:rPr>
                <w:rFonts w:cs="宋体"/>
                <w:lang w:val="zh-CN" w:bidi="ar"/>
              </w:rPr>
            </w:pPr>
            <w:r>
              <w:rPr>
                <w:rFonts w:hint="eastAsia" w:cs="宋体"/>
                <w:lang w:val="zh-CN" w:bidi="ar"/>
              </w:rPr>
              <w:t xml:space="preserve">    </w:t>
            </w:r>
            <w:r>
              <w:rPr>
                <w:rFonts w:hint="eastAsia" w:cs="宋体"/>
                <w:lang w:val="en-US" w:eastAsia="zh-CN" w:bidi="ar"/>
              </w:rPr>
              <w:t xml:space="preserve"> </w:t>
            </w:r>
            <w:r>
              <w:rPr>
                <w:rFonts w:hint="eastAsia" w:cs="宋体"/>
                <w:lang w:val="zh-CN" w:bidi="ar"/>
              </w:rPr>
              <w:t>Li——某一个声压级，dB(A)</w:t>
            </w:r>
          </w:p>
          <w:p>
            <w:pPr>
              <w:adjustRightInd w:val="0"/>
              <w:snapToGrid w:val="0"/>
              <w:spacing w:line="360" w:lineRule="auto"/>
              <w:ind w:firstLine="420" w:firstLineChars="200"/>
              <w:rPr>
                <w:rFonts w:cs="宋体"/>
                <w:lang w:val="zh-CN" w:bidi="ar"/>
              </w:rPr>
            </w:pPr>
            <w:r>
              <w:rPr>
                <w:rFonts w:hint="eastAsia" w:cs="宋体"/>
                <w:lang w:val="zh-CN" w:bidi="ar"/>
              </w:rPr>
              <w:t>在仅考虑距离衰减影响情况下，利用模式可模拟计算得到各施工机械及车辆在不同距离处的噪声值，具体结果详见表</w:t>
            </w:r>
            <w:r>
              <w:rPr>
                <w:rFonts w:hint="eastAsia" w:cs="宋体"/>
                <w:lang w:bidi="ar"/>
              </w:rPr>
              <w:t>4-4</w:t>
            </w:r>
            <w:r>
              <w:rPr>
                <w:rFonts w:hint="eastAsia" w:cs="宋体"/>
                <w:lang w:val="zh-CN" w:bidi="ar"/>
              </w:rPr>
              <w:t>；各阶段不同机械设备同时运转所产生的噪声叠加后在不同距离处的总声压级如表</w:t>
            </w:r>
            <w:r>
              <w:rPr>
                <w:rFonts w:hint="eastAsia" w:cs="宋体"/>
                <w:lang w:bidi="ar"/>
              </w:rPr>
              <w:t>4-5</w:t>
            </w:r>
            <w:r>
              <w:rPr>
                <w:rFonts w:hint="eastAsia" w:cs="宋体"/>
                <w:lang w:val="zh-CN" w:bidi="ar"/>
              </w:rPr>
              <w:t>所示。</w:t>
            </w:r>
          </w:p>
          <w:p>
            <w:pPr>
              <w:tabs>
                <w:tab w:val="left" w:pos="0"/>
              </w:tabs>
              <w:adjustRightInd w:val="0"/>
              <w:snapToGrid w:val="0"/>
              <w:jc w:val="center"/>
              <w:rPr>
                <w:b/>
              </w:rPr>
            </w:pPr>
            <w:r>
              <w:rPr>
                <w:rFonts w:hint="eastAsia" w:cs="宋体"/>
                <w:b/>
                <w:lang w:bidi="ar"/>
              </w:rPr>
              <w:t>表4-4 各施工机械及车辆在不同距离处的噪声预测值</w:t>
            </w:r>
            <w:r>
              <w:rPr>
                <w:b/>
                <w:lang w:bidi="ar"/>
              </w:rPr>
              <w:t xml:space="preserve"> </w:t>
            </w:r>
            <w:r>
              <w:rPr>
                <w:rFonts w:hint="eastAsia" w:cs="宋体"/>
                <w:b/>
                <w:lang w:bidi="ar"/>
              </w:rPr>
              <w:t>单位：</w:t>
            </w:r>
            <w:r>
              <w:rPr>
                <w:b/>
                <w:lang w:bidi="ar"/>
              </w:rPr>
              <w:t>dB(A)</w:t>
            </w:r>
          </w:p>
          <w:tbl>
            <w:tblPr>
              <w:tblStyle w:val="92"/>
              <w:tblW w:w="8361" w:type="dxa"/>
              <w:jc w:val="center"/>
              <w:tblLayout w:type="autofit"/>
              <w:tblCellMar>
                <w:top w:w="0" w:type="dxa"/>
                <w:left w:w="108" w:type="dxa"/>
                <w:bottom w:w="0" w:type="dxa"/>
                <w:right w:w="108" w:type="dxa"/>
              </w:tblCellMar>
            </w:tblPr>
            <w:tblGrid>
              <w:gridCol w:w="675"/>
              <w:gridCol w:w="889"/>
              <w:gridCol w:w="1073"/>
              <w:gridCol w:w="598"/>
              <w:gridCol w:w="595"/>
              <w:gridCol w:w="469"/>
              <w:gridCol w:w="469"/>
              <w:gridCol w:w="469"/>
              <w:gridCol w:w="469"/>
              <w:gridCol w:w="531"/>
              <w:gridCol w:w="531"/>
              <w:gridCol w:w="531"/>
              <w:gridCol w:w="531"/>
              <w:gridCol w:w="531"/>
            </w:tblGrid>
            <w:tr>
              <w:tblPrEx>
                <w:tblCellMar>
                  <w:top w:w="0" w:type="dxa"/>
                  <w:left w:w="108" w:type="dxa"/>
                  <w:bottom w:w="0" w:type="dxa"/>
                  <w:right w:w="108" w:type="dxa"/>
                </w:tblCellMar>
              </w:tblPrEx>
              <w:trPr>
                <w:trHeight w:val="28" w:hRule="atLeast"/>
                <w:jc w:val="center"/>
              </w:trPr>
              <w:tc>
                <w:tcPr>
                  <w:tcW w:w="407" w:type="pct"/>
                  <w:vMerge w:val="restart"/>
                  <w:tcBorders>
                    <w:top w:val="single" w:color="auto" w:sz="4" w:space="0"/>
                    <w:left w:val="single" w:color="auto" w:sz="4" w:space="0"/>
                    <w:bottom w:val="single" w:color="auto" w:sz="4" w:space="0"/>
                    <w:right w:val="single" w:color="auto" w:sz="4" w:space="0"/>
                  </w:tcBorders>
                  <w:vAlign w:val="center"/>
                </w:tcPr>
                <w:p>
                  <w:pPr>
                    <w:snapToGrid w:val="0"/>
                    <w:jc w:val="center"/>
                    <w:rPr>
                      <w:b/>
                      <w:szCs w:val="21"/>
                    </w:rPr>
                  </w:pPr>
                  <w:r>
                    <w:rPr>
                      <w:rFonts w:hint="eastAsia" w:cs="宋体"/>
                      <w:b/>
                      <w:szCs w:val="21"/>
                      <w:lang w:bidi="ar"/>
                    </w:rPr>
                    <w:t>施工阶段</w:t>
                  </w:r>
                </w:p>
              </w:tc>
              <w:tc>
                <w:tcPr>
                  <w:tcW w:w="535" w:type="pct"/>
                  <w:vMerge w:val="restart"/>
                  <w:tcBorders>
                    <w:top w:val="single" w:color="auto" w:sz="4" w:space="0"/>
                    <w:left w:val="single" w:color="auto" w:sz="4" w:space="0"/>
                    <w:bottom w:val="single" w:color="auto" w:sz="4" w:space="0"/>
                    <w:right w:val="single" w:color="auto" w:sz="4" w:space="0"/>
                  </w:tcBorders>
                  <w:vAlign w:val="center"/>
                </w:tcPr>
                <w:p>
                  <w:pPr>
                    <w:snapToGrid w:val="0"/>
                    <w:jc w:val="center"/>
                    <w:rPr>
                      <w:rFonts w:cs="宋体"/>
                      <w:b/>
                      <w:szCs w:val="21"/>
                      <w:lang w:bidi="ar"/>
                    </w:rPr>
                  </w:pPr>
                  <w:r>
                    <w:rPr>
                      <w:rFonts w:hint="eastAsia" w:cs="宋体"/>
                      <w:b/>
                      <w:szCs w:val="21"/>
                      <w:lang w:bidi="ar"/>
                    </w:rPr>
                    <w:t>施工</w:t>
                  </w:r>
                </w:p>
                <w:p>
                  <w:pPr>
                    <w:snapToGrid w:val="0"/>
                    <w:jc w:val="center"/>
                    <w:rPr>
                      <w:b/>
                      <w:szCs w:val="21"/>
                    </w:rPr>
                  </w:pPr>
                  <w:r>
                    <w:rPr>
                      <w:rFonts w:hint="eastAsia" w:cs="宋体"/>
                      <w:b/>
                      <w:szCs w:val="21"/>
                      <w:lang w:bidi="ar"/>
                    </w:rPr>
                    <w:t>机械</w:t>
                  </w:r>
                </w:p>
              </w:tc>
              <w:tc>
                <w:tcPr>
                  <w:tcW w:w="645" w:type="pct"/>
                  <w:vMerge w:val="restart"/>
                  <w:tcBorders>
                    <w:top w:val="single" w:color="auto" w:sz="4" w:space="0"/>
                    <w:left w:val="single" w:color="auto" w:sz="4" w:space="0"/>
                    <w:bottom w:val="single" w:color="auto" w:sz="4" w:space="0"/>
                    <w:right w:val="single" w:color="auto" w:sz="4" w:space="0"/>
                  </w:tcBorders>
                  <w:vAlign w:val="center"/>
                </w:tcPr>
                <w:p>
                  <w:pPr>
                    <w:snapToGrid w:val="0"/>
                    <w:jc w:val="center"/>
                    <w:rPr>
                      <w:b/>
                      <w:szCs w:val="21"/>
                    </w:rPr>
                  </w:pPr>
                  <w:r>
                    <w:rPr>
                      <w:rFonts w:hint="eastAsia" w:cs="宋体"/>
                      <w:b/>
                      <w:szCs w:val="21"/>
                      <w:lang w:bidi="ar"/>
                    </w:rPr>
                    <w:t>噪声源强（</w:t>
                  </w:r>
                  <w:r>
                    <w:rPr>
                      <w:b/>
                      <w:szCs w:val="21"/>
                      <w:lang w:bidi="ar"/>
                    </w:rPr>
                    <w:t>1m</w:t>
                  </w:r>
                  <w:r>
                    <w:rPr>
                      <w:rFonts w:hint="eastAsia" w:cs="宋体"/>
                      <w:b/>
                      <w:szCs w:val="21"/>
                      <w:lang w:bidi="ar"/>
                    </w:rPr>
                    <w:t>处）</w:t>
                  </w:r>
                </w:p>
              </w:tc>
              <w:tc>
                <w:tcPr>
                  <w:tcW w:w="720" w:type="pct"/>
                  <w:gridSpan w:val="2"/>
                  <w:tcBorders>
                    <w:top w:val="single" w:color="auto" w:sz="4" w:space="0"/>
                    <w:left w:val="nil"/>
                    <w:bottom w:val="single" w:color="auto" w:sz="4" w:space="0"/>
                    <w:right w:val="single" w:color="auto" w:sz="4" w:space="0"/>
                  </w:tcBorders>
                  <w:vAlign w:val="center"/>
                </w:tcPr>
                <w:p>
                  <w:pPr>
                    <w:snapToGrid w:val="0"/>
                    <w:jc w:val="center"/>
                    <w:rPr>
                      <w:b/>
                      <w:szCs w:val="21"/>
                    </w:rPr>
                  </w:pPr>
                  <w:r>
                    <w:rPr>
                      <w:rFonts w:hint="eastAsia" w:cs="宋体"/>
                      <w:b/>
                      <w:szCs w:val="21"/>
                      <w:lang w:bidi="ar"/>
                    </w:rPr>
                    <w:t>噪声限值</w:t>
                  </w:r>
                </w:p>
              </w:tc>
              <w:tc>
                <w:tcPr>
                  <w:tcW w:w="2691" w:type="pct"/>
                  <w:gridSpan w:val="9"/>
                  <w:tcBorders>
                    <w:top w:val="single" w:color="auto" w:sz="4" w:space="0"/>
                    <w:left w:val="nil"/>
                    <w:bottom w:val="single" w:color="auto" w:sz="4" w:space="0"/>
                    <w:right w:val="single" w:color="auto" w:sz="4" w:space="0"/>
                  </w:tcBorders>
                  <w:vAlign w:val="center"/>
                </w:tcPr>
                <w:p>
                  <w:pPr>
                    <w:snapToGrid w:val="0"/>
                    <w:jc w:val="center"/>
                    <w:rPr>
                      <w:b/>
                      <w:szCs w:val="21"/>
                    </w:rPr>
                  </w:pPr>
                  <w:r>
                    <w:rPr>
                      <w:rFonts w:hint="eastAsia" w:cs="宋体"/>
                      <w:b/>
                      <w:szCs w:val="21"/>
                      <w:lang w:bidi="ar"/>
                    </w:rPr>
                    <w:t>与声源不同距离（</w:t>
                  </w:r>
                  <w:r>
                    <w:rPr>
                      <w:b/>
                      <w:szCs w:val="21"/>
                      <w:lang w:bidi="ar"/>
                    </w:rPr>
                    <w:t>m</w:t>
                  </w:r>
                  <w:r>
                    <w:rPr>
                      <w:rFonts w:hint="eastAsia" w:cs="宋体"/>
                      <w:b/>
                      <w:szCs w:val="21"/>
                      <w:lang w:bidi="ar"/>
                    </w:rPr>
                    <w:t>）的噪声预测值</w:t>
                  </w:r>
                </w:p>
              </w:tc>
            </w:tr>
            <w:tr>
              <w:tblPrEx>
                <w:tblCellMar>
                  <w:top w:w="0" w:type="dxa"/>
                  <w:left w:w="108" w:type="dxa"/>
                  <w:bottom w:w="0" w:type="dxa"/>
                  <w:right w:w="108" w:type="dxa"/>
                </w:tblCellMar>
              </w:tblPrEx>
              <w:trPr>
                <w:trHeight w:val="28" w:hRule="atLeast"/>
                <w:jc w:val="center"/>
              </w:trPr>
              <w:tc>
                <w:tcPr>
                  <w:tcW w:w="407" w:type="pct"/>
                  <w:vMerge w:val="continue"/>
                  <w:tcBorders>
                    <w:top w:val="single" w:color="auto" w:sz="4" w:space="0"/>
                    <w:left w:val="single" w:color="auto" w:sz="4" w:space="0"/>
                    <w:bottom w:val="single" w:color="auto" w:sz="4" w:space="0"/>
                    <w:right w:val="single" w:color="auto" w:sz="4" w:space="0"/>
                  </w:tcBorders>
                  <w:vAlign w:val="center"/>
                </w:tcPr>
                <w:p>
                  <w:pPr>
                    <w:rPr>
                      <w:sz w:val="22"/>
                      <w:szCs w:val="22"/>
                    </w:rPr>
                  </w:pPr>
                </w:p>
              </w:tc>
              <w:tc>
                <w:tcPr>
                  <w:tcW w:w="535" w:type="pct"/>
                  <w:vMerge w:val="continue"/>
                  <w:tcBorders>
                    <w:top w:val="single" w:color="auto" w:sz="4" w:space="0"/>
                    <w:left w:val="single" w:color="auto" w:sz="4" w:space="0"/>
                    <w:bottom w:val="single" w:color="auto" w:sz="4" w:space="0"/>
                    <w:right w:val="single" w:color="auto" w:sz="4" w:space="0"/>
                  </w:tcBorders>
                  <w:vAlign w:val="center"/>
                </w:tcPr>
                <w:p>
                  <w:pPr>
                    <w:rPr>
                      <w:sz w:val="22"/>
                      <w:szCs w:val="22"/>
                    </w:rPr>
                  </w:pPr>
                </w:p>
              </w:tc>
              <w:tc>
                <w:tcPr>
                  <w:tcW w:w="645" w:type="pct"/>
                  <w:vMerge w:val="continue"/>
                  <w:tcBorders>
                    <w:top w:val="single" w:color="auto" w:sz="4" w:space="0"/>
                    <w:left w:val="single" w:color="auto" w:sz="4" w:space="0"/>
                    <w:bottom w:val="single" w:color="auto" w:sz="4" w:space="0"/>
                    <w:right w:val="single" w:color="auto" w:sz="4" w:space="0"/>
                  </w:tcBorders>
                  <w:vAlign w:val="center"/>
                </w:tcPr>
                <w:p>
                  <w:pPr>
                    <w:rPr>
                      <w:sz w:val="22"/>
                      <w:szCs w:val="22"/>
                    </w:rPr>
                  </w:pPr>
                </w:p>
              </w:tc>
              <w:tc>
                <w:tcPr>
                  <w:tcW w:w="361" w:type="pct"/>
                  <w:tcBorders>
                    <w:top w:val="nil"/>
                    <w:left w:val="nil"/>
                    <w:bottom w:val="single" w:color="auto" w:sz="4" w:space="0"/>
                    <w:right w:val="single" w:color="auto" w:sz="4" w:space="0"/>
                  </w:tcBorders>
                  <w:vAlign w:val="center"/>
                </w:tcPr>
                <w:p>
                  <w:pPr>
                    <w:snapToGrid w:val="0"/>
                    <w:jc w:val="center"/>
                    <w:rPr>
                      <w:b/>
                      <w:szCs w:val="21"/>
                    </w:rPr>
                  </w:pPr>
                  <w:r>
                    <w:rPr>
                      <w:rFonts w:hint="eastAsia" w:cs="宋体"/>
                      <w:b/>
                      <w:szCs w:val="21"/>
                      <w:lang w:bidi="ar"/>
                    </w:rPr>
                    <w:t>昼间</w:t>
                  </w:r>
                </w:p>
              </w:tc>
              <w:tc>
                <w:tcPr>
                  <w:tcW w:w="358" w:type="pct"/>
                  <w:tcBorders>
                    <w:top w:val="nil"/>
                    <w:left w:val="nil"/>
                    <w:bottom w:val="single" w:color="auto" w:sz="4" w:space="0"/>
                    <w:right w:val="single" w:color="auto" w:sz="4" w:space="0"/>
                  </w:tcBorders>
                  <w:vAlign w:val="center"/>
                </w:tcPr>
                <w:p>
                  <w:pPr>
                    <w:snapToGrid w:val="0"/>
                    <w:jc w:val="center"/>
                    <w:rPr>
                      <w:b/>
                      <w:szCs w:val="21"/>
                    </w:rPr>
                  </w:pPr>
                  <w:r>
                    <w:rPr>
                      <w:rFonts w:hint="eastAsia" w:cs="宋体"/>
                      <w:b/>
                      <w:szCs w:val="21"/>
                      <w:lang w:bidi="ar"/>
                    </w:rPr>
                    <w:t>夜间</w:t>
                  </w:r>
                </w:p>
              </w:tc>
              <w:tc>
                <w:tcPr>
                  <w:tcW w:w="284" w:type="pct"/>
                  <w:tcBorders>
                    <w:top w:val="nil"/>
                    <w:left w:val="nil"/>
                    <w:bottom w:val="single" w:color="auto" w:sz="4" w:space="0"/>
                    <w:right w:val="single" w:color="auto" w:sz="4" w:space="0"/>
                  </w:tcBorders>
                  <w:vAlign w:val="center"/>
                </w:tcPr>
                <w:p>
                  <w:pPr>
                    <w:snapToGrid w:val="0"/>
                    <w:jc w:val="center"/>
                    <w:rPr>
                      <w:b/>
                      <w:szCs w:val="21"/>
                    </w:rPr>
                  </w:pPr>
                  <w:r>
                    <w:rPr>
                      <w:b/>
                      <w:szCs w:val="21"/>
                      <w:lang w:bidi="ar"/>
                    </w:rPr>
                    <w:t>10</w:t>
                  </w:r>
                </w:p>
              </w:tc>
              <w:tc>
                <w:tcPr>
                  <w:tcW w:w="284" w:type="pct"/>
                  <w:tcBorders>
                    <w:top w:val="nil"/>
                    <w:left w:val="nil"/>
                    <w:bottom w:val="single" w:color="auto" w:sz="4" w:space="0"/>
                    <w:right w:val="single" w:color="auto" w:sz="4" w:space="0"/>
                  </w:tcBorders>
                  <w:vAlign w:val="center"/>
                </w:tcPr>
                <w:p>
                  <w:pPr>
                    <w:snapToGrid w:val="0"/>
                    <w:jc w:val="center"/>
                    <w:rPr>
                      <w:b/>
                      <w:szCs w:val="21"/>
                    </w:rPr>
                  </w:pPr>
                  <w:r>
                    <w:rPr>
                      <w:b/>
                      <w:szCs w:val="21"/>
                      <w:lang w:bidi="ar"/>
                    </w:rPr>
                    <w:t>20</w:t>
                  </w:r>
                </w:p>
              </w:tc>
              <w:tc>
                <w:tcPr>
                  <w:tcW w:w="284" w:type="pct"/>
                  <w:tcBorders>
                    <w:top w:val="nil"/>
                    <w:left w:val="nil"/>
                    <w:bottom w:val="single" w:color="auto" w:sz="4" w:space="0"/>
                    <w:right w:val="single" w:color="auto" w:sz="4" w:space="0"/>
                  </w:tcBorders>
                  <w:vAlign w:val="center"/>
                </w:tcPr>
                <w:p>
                  <w:pPr>
                    <w:snapToGrid w:val="0"/>
                    <w:jc w:val="center"/>
                    <w:rPr>
                      <w:b/>
                      <w:szCs w:val="21"/>
                    </w:rPr>
                  </w:pPr>
                  <w:r>
                    <w:rPr>
                      <w:b/>
                      <w:szCs w:val="21"/>
                      <w:lang w:bidi="ar"/>
                    </w:rPr>
                    <w:t>30</w:t>
                  </w:r>
                </w:p>
              </w:tc>
              <w:tc>
                <w:tcPr>
                  <w:tcW w:w="284" w:type="pct"/>
                  <w:tcBorders>
                    <w:top w:val="nil"/>
                    <w:left w:val="nil"/>
                    <w:bottom w:val="single" w:color="auto" w:sz="4" w:space="0"/>
                    <w:right w:val="single" w:color="auto" w:sz="4" w:space="0"/>
                  </w:tcBorders>
                  <w:vAlign w:val="center"/>
                </w:tcPr>
                <w:p>
                  <w:pPr>
                    <w:snapToGrid w:val="0"/>
                    <w:jc w:val="center"/>
                    <w:rPr>
                      <w:b/>
                      <w:szCs w:val="21"/>
                    </w:rPr>
                  </w:pPr>
                  <w:r>
                    <w:rPr>
                      <w:b/>
                      <w:szCs w:val="21"/>
                      <w:lang w:bidi="ar"/>
                    </w:rPr>
                    <w:t>50</w:t>
                  </w:r>
                </w:p>
              </w:tc>
              <w:tc>
                <w:tcPr>
                  <w:tcW w:w="309" w:type="pct"/>
                  <w:tcBorders>
                    <w:top w:val="nil"/>
                    <w:left w:val="nil"/>
                    <w:bottom w:val="single" w:color="auto" w:sz="4" w:space="0"/>
                    <w:right w:val="single" w:color="auto" w:sz="4" w:space="0"/>
                  </w:tcBorders>
                  <w:vAlign w:val="center"/>
                </w:tcPr>
                <w:p>
                  <w:pPr>
                    <w:snapToGrid w:val="0"/>
                    <w:jc w:val="center"/>
                    <w:rPr>
                      <w:b/>
                      <w:szCs w:val="21"/>
                    </w:rPr>
                  </w:pPr>
                  <w:r>
                    <w:rPr>
                      <w:b/>
                      <w:szCs w:val="21"/>
                      <w:lang w:bidi="ar"/>
                    </w:rPr>
                    <w:t>100</w:t>
                  </w:r>
                </w:p>
              </w:tc>
              <w:tc>
                <w:tcPr>
                  <w:tcW w:w="309" w:type="pct"/>
                  <w:tcBorders>
                    <w:top w:val="nil"/>
                    <w:left w:val="nil"/>
                    <w:bottom w:val="single" w:color="auto" w:sz="4" w:space="0"/>
                    <w:right w:val="single" w:color="auto" w:sz="4" w:space="0"/>
                  </w:tcBorders>
                  <w:vAlign w:val="center"/>
                </w:tcPr>
                <w:p>
                  <w:pPr>
                    <w:snapToGrid w:val="0"/>
                    <w:jc w:val="center"/>
                    <w:rPr>
                      <w:b/>
                      <w:szCs w:val="21"/>
                    </w:rPr>
                  </w:pPr>
                  <w:r>
                    <w:rPr>
                      <w:b/>
                      <w:szCs w:val="21"/>
                      <w:lang w:bidi="ar"/>
                    </w:rPr>
                    <w:t>150</w:t>
                  </w:r>
                </w:p>
              </w:tc>
              <w:tc>
                <w:tcPr>
                  <w:tcW w:w="309" w:type="pct"/>
                  <w:tcBorders>
                    <w:top w:val="nil"/>
                    <w:left w:val="nil"/>
                    <w:bottom w:val="single" w:color="auto" w:sz="4" w:space="0"/>
                    <w:right w:val="single" w:color="auto" w:sz="4" w:space="0"/>
                  </w:tcBorders>
                  <w:vAlign w:val="center"/>
                </w:tcPr>
                <w:p>
                  <w:pPr>
                    <w:snapToGrid w:val="0"/>
                    <w:jc w:val="center"/>
                    <w:rPr>
                      <w:b/>
                      <w:szCs w:val="21"/>
                    </w:rPr>
                  </w:pPr>
                  <w:r>
                    <w:rPr>
                      <w:b/>
                      <w:szCs w:val="21"/>
                      <w:lang w:bidi="ar"/>
                    </w:rPr>
                    <w:t>200</w:t>
                  </w:r>
                </w:p>
              </w:tc>
              <w:tc>
                <w:tcPr>
                  <w:tcW w:w="309" w:type="pct"/>
                  <w:tcBorders>
                    <w:top w:val="nil"/>
                    <w:left w:val="nil"/>
                    <w:bottom w:val="single" w:color="auto" w:sz="4" w:space="0"/>
                    <w:right w:val="single" w:color="auto" w:sz="4" w:space="0"/>
                  </w:tcBorders>
                  <w:vAlign w:val="center"/>
                </w:tcPr>
                <w:p>
                  <w:pPr>
                    <w:snapToGrid w:val="0"/>
                    <w:jc w:val="center"/>
                    <w:rPr>
                      <w:b/>
                      <w:szCs w:val="21"/>
                    </w:rPr>
                  </w:pPr>
                  <w:r>
                    <w:rPr>
                      <w:b/>
                      <w:szCs w:val="21"/>
                      <w:lang w:bidi="ar"/>
                    </w:rPr>
                    <w:t>300</w:t>
                  </w:r>
                </w:p>
              </w:tc>
              <w:tc>
                <w:tcPr>
                  <w:tcW w:w="313" w:type="pct"/>
                  <w:tcBorders>
                    <w:top w:val="nil"/>
                    <w:left w:val="nil"/>
                    <w:bottom w:val="single" w:color="auto" w:sz="4" w:space="0"/>
                    <w:right w:val="single" w:color="auto" w:sz="4" w:space="0"/>
                  </w:tcBorders>
                  <w:vAlign w:val="center"/>
                </w:tcPr>
                <w:p>
                  <w:pPr>
                    <w:snapToGrid w:val="0"/>
                    <w:jc w:val="center"/>
                    <w:rPr>
                      <w:b/>
                      <w:szCs w:val="21"/>
                    </w:rPr>
                  </w:pPr>
                  <w:r>
                    <w:rPr>
                      <w:b/>
                      <w:szCs w:val="21"/>
                      <w:lang w:bidi="ar"/>
                    </w:rPr>
                    <w:t>400</w:t>
                  </w:r>
                </w:p>
              </w:tc>
            </w:tr>
            <w:tr>
              <w:tblPrEx>
                <w:tblCellMar>
                  <w:top w:w="0" w:type="dxa"/>
                  <w:left w:w="108" w:type="dxa"/>
                  <w:bottom w:w="0" w:type="dxa"/>
                  <w:right w:w="108" w:type="dxa"/>
                </w:tblCellMar>
              </w:tblPrEx>
              <w:trPr>
                <w:trHeight w:val="28" w:hRule="atLeast"/>
                <w:jc w:val="center"/>
              </w:trPr>
              <w:tc>
                <w:tcPr>
                  <w:tcW w:w="407" w:type="pct"/>
                  <w:vMerge w:val="restart"/>
                  <w:tcBorders>
                    <w:top w:val="nil"/>
                    <w:left w:val="single" w:color="auto" w:sz="4" w:space="0"/>
                    <w:bottom w:val="single" w:color="auto" w:sz="4" w:space="0"/>
                    <w:right w:val="single" w:color="auto" w:sz="4" w:space="0"/>
                  </w:tcBorders>
                  <w:vAlign w:val="center"/>
                </w:tcPr>
                <w:p>
                  <w:pPr>
                    <w:snapToGrid w:val="0"/>
                    <w:jc w:val="center"/>
                    <w:rPr>
                      <w:szCs w:val="21"/>
                    </w:rPr>
                  </w:pPr>
                  <w:r>
                    <w:rPr>
                      <w:rFonts w:hint="eastAsia" w:cs="宋体"/>
                      <w:szCs w:val="21"/>
                      <w:lang w:bidi="ar"/>
                    </w:rPr>
                    <w:t>土方阶段</w:t>
                  </w:r>
                </w:p>
              </w:tc>
              <w:tc>
                <w:tcPr>
                  <w:tcW w:w="535" w:type="pct"/>
                  <w:tcBorders>
                    <w:top w:val="nil"/>
                    <w:left w:val="nil"/>
                    <w:bottom w:val="single" w:color="auto" w:sz="4" w:space="0"/>
                    <w:right w:val="single" w:color="auto" w:sz="4" w:space="0"/>
                  </w:tcBorders>
                  <w:vAlign w:val="center"/>
                </w:tcPr>
                <w:p>
                  <w:pPr>
                    <w:snapToGrid w:val="0"/>
                    <w:jc w:val="center"/>
                    <w:rPr>
                      <w:szCs w:val="21"/>
                    </w:rPr>
                  </w:pPr>
                  <w:r>
                    <w:rPr>
                      <w:rFonts w:hint="eastAsia" w:cs="宋体"/>
                      <w:szCs w:val="21"/>
                      <w:lang w:bidi="ar"/>
                    </w:rPr>
                    <w:t>推土机</w:t>
                  </w:r>
                </w:p>
              </w:tc>
              <w:tc>
                <w:tcPr>
                  <w:tcW w:w="645" w:type="pct"/>
                  <w:tcBorders>
                    <w:top w:val="nil"/>
                    <w:left w:val="nil"/>
                    <w:bottom w:val="single" w:color="auto" w:sz="4" w:space="0"/>
                    <w:right w:val="single" w:color="auto" w:sz="4" w:space="0"/>
                  </w:tcBorders>
                  <w:vAlign w:val="center"/>
                </w:tcPr>
                <w:p>
                  <w:pPr>
                    <w:snapToGrid w:val="0"/>
                    <w:jc w:val="center"/>
                    <w:rPr>
                      <w:szCs w:val="21"/>
                    </w:rPr>
                  </w:pPr>
                  <w:r>
                    <w:rPr>
                      <w:szCs w:val="21"/>
                      <w:lang w:bidi="ar"/>
                    </w:rPr>
                    <w:t>110</w:t>
                  </w:r>
                </w:p>
              </w:tc>
              <w:tc>
                <w:tcPr>
                  <w:tcW w:w="361" w:type="pct"/>
                  <w:vMerge w:val="restart"/>
                  <w:tcBorders>
                    <w:top w:val="nil"/>
                    <w:left w:val="single" w:color="auto" w:sz="4" w:space="0"/>
                    <w:bottom w:val="single" w:color="auto" w:sz="4" w:space="0"/>
                    <w:right w:val="single" w:color="auto" w:sz="4" w:space="0"/>
                  </w:tcBorders>
                  <w:vAlign w:val="center"/>
                </w:tcPr>
                <w:p>
                  <w:pPr>
                    <w:snapToGrid w:val="0"/>
                    <w:jc w:val="center"/>
                    <w:rPr>
                      <w:szCs w:val="21"/>
                    </w:rPr>
                  </w:pPr>
                  <w:r>
                    <w:rPr>
                      <w:szCs w:val="21"/>
                      <w:lang w:bidi="ar"/>
                    </w:rPr>
                    <w:t>70</w:t>
                  </w:r>
                </w:p>
              </w:tc>
              <w:tc>
                <w:tcPr>
                  <w:tcW w:w="358" w:type="pct"/>
                  <w:vMerge w:val="restart"/>
                  <w:tcBorders>
                    <w:top w:val="nil"/>
                    <w:left w:val="single" w:color="auto" w:sz="4" w:space="0"/>
                    <w:bottom w:val="single" w:color="auto" w:sz="4" w:space="0"/>
                    <w:right w:val="single" w:color="auto" w:sz="4" w:space="0"/>
                  </w:tcBorders>
                  <w:vAlign w:val="center"/>
                </w:tcPr>
                <w:p>
                  <w:pPr>
                    <w:snapToGrid w:val="0"/>
                    <w:jc w:val="center"/>
                    <w:rPr>
                      <w:szCs w:val="21"/>
                    </w:rPr>
                  </w:pPr>
                  <w:r>
                    <w:rPr>
                      <w:szCs w:val="21"/>
                      <w:lang w:bidi="ar"/>
                    </w:rPr>
                    <w:t>55</w:t>
                  </w:r>
                </w:p>
              </w:tc>
              <w:tc>
                <w:tcPr>
                  <w:tcW w:w="284" w:type="pct"/>
                  <w:tcBorders>
                    <w:top w:val="nil"/>
                    <w:left w:val="nil"/>
                    <w:bottom w:val="single" w:color="auto" w:sz="4" w:space="0"/>
                    <w:right w:val="single" w:color="auto" w:sz="4" w:space="0"/>
                  </w:tcBorders>
                  <w:vAlign w:val="center"/>
                </w:tcPr>
                <w:p>
                  <w:pPr>
                    <w:snapToGrid w:val="0"/>
                    <w:jc w:val="center"/>
                    <w:rPr>
                      <w:szCs w:val="21"/>
                    </w:rPr>
                  </w:pPr>
                  <w:r>
                    <w:rPr>
                      <w:szCs w:val="21"/>
                      <w:lang w:bidi="ar"/>
                    </w:rPr>
                    <w:t>90</w:t>
                  </w:r>
                </w:p>
              </w:tc>
              <w:tc>
                <w:tcPr>
                  <w:tcW w:w="284" w:type="pct"/>
                  <w:tcBorders>
                    <w:top w:val="nil"/>
                    <w:left w:val="nil"/>
                    <w:bottom w:val="single" w:color="auto" w:sz="4" w:space="0"/>
                    <w:right w:val="single" w:color="auto" w:sz="4" w:space="0"/>
                  </w:tcBorders>
                  <w:vAlign w:val="center"/>
                </w:tcPr>
                <w:p>
                  <w:pPr>
                    <w:snapToGrid w:val="0"/>
                    <w:jc w:val="center"/>
                    <w:rPr>
                      <w:szCs w:val="21"/>
                    </w:rPr>
                  </w:pPr>
                  <w:r>
                    <w:rPr>
                      <w:szCs w:val="21"/>
                      <w:lang w:bidi="ar"/>
                    </w:rPr>
                    <w:t>84</w:t>
                  </w:r>
                </w:p>
              </w:tc>
              <w:tc>
                <w:tcPr>
                  <w:tcW w:w="284" w:type="pct"/>
                  <w:tcBorders>
                    <w:top w:val="nil"/>
                    <w:left w:val="nil"/>
                    <w:bottom w:val="single" w:color="auto" w:sz="4" w:space="0"/>
                    <w:right w:val="single" w:color="auto" w:sz="4" w:space="0"/>
                  </w:tcBorders>
                  <w:vAlign w:val="center"/>
                </w:tcPr>
                <w:p>
                  <w:pPr>
                    <w:snapToGrid w:val="0"/>
                    <w:jc w:val="center"/>
                    <w:rPr>
                      <w:szCs w:val="21"/>
                    </w:rPr>
                  </w:pPr>
                  <w:r>
                    <w:rPr>
                      <w:szCs w:val="21"/>
                      <w:lang w:bidi="ar"/>
                    </w:rPr>
                    <w:t>80</w:t>
                  </w:r>
                </w:p>
              </w:tc>
              <w:tc>
                <w:tcPr>
                  <w:tcW w:w="284" w:type="pct"/>
                  <w:tcBorders>
                    <w:top w:val="nil"/>
                    <w:left w:val="nil"/>
                    <w:bottom w:val="single" w:color="auto" w:sz="4" w:space="0"/>
                    <w:right w:val="single" w:color="auto" w:sz="4" w:space="0"/>
                  </w:tcBorders>
                  <w:vAlign w:val="center"/>
                </w:tcPr>
                <w:p>
                  <w:pPr>
                    <w:snapToGrid w:val="0"/>
                    <w:jc w:val="center"/>
                    <w:rPr>
                      <w:szCs w:val="21"/>
                    </w:rPr>
                  </w:pPr>
                  <w:r>
                    <w:rPr>
                      <w:szCs w:val="21"/>
                      <w:lang w:bidi="ar"/>
                    </w:rPr>
                    <w:t>76</w:t>
                  </w:r>
                </w:p>
              </w:tc>
              <w:tc>
                <w:tcPr>
                  <w:tcW w:w="309" w:type="pct"/>
                  <w:tcBorders>
                    <w:top w:val="nil"/>
                    <w:left w:val="nil"/>
                    <w:bottom w:val="single" w:color="auto" w:sz="4" w:space="0"/>
                    <w:right w:val="single" w:color="auto" w:sz="4" w:space="0"/>
                  </w:tcBorders>
                  <w:vAlign w:val="center"/>
                </w:tcPr>
                <w:p>
                  <w:pPr>
                    <w:snapToGrid w:val="0"/>
                    <w:jc w:val="center"/>
                    <w:rPr>
                      <w:szCs w:val="21"/>
                    </w:rPr>
                  </w:pPr>
                  <w:r>
                    <w:rPr>
                      <w:szCs w:val="21"/>
                      <w:lang w:bidi="ar"/>
                    </w:rPr>
                    <w:t>70</w:t>
                  </w:r>
                </w:p>
              </w:tc>
              <w:tc>
                <w:tcPr>
                  <w:tcW w:w="309" w:type="pct"/>
                  <w:tcBorders>
                    <w:top w:val="nil"/>
                    <w:left w:val="nil"/>
                    <w:bottom w:val="single" w:color="auto" w:sz="4" w:space="0"/>
                    <w:right w:val="single" w:color="auto" w:sz="4" w:space="0"/>
                  </w:tcBorders>
                  <w:vAlign w:val="center"/>
                </w:tcPr>
                <w:p>
                  <w:pPr>
                    <w:snapToGrid w:val="0"/>
                    <w:jc w:val="center"/>
                    <w:rPr>
                      <w:szCs w:val="21"/>
                    </w:rPr>
                  </w:pPr>
                  <w:r>
                    <w:rPr>
                      <w:szCs w:val="21"/>
                      <w:lang w:bidi="ar"/>
                    </w:rPr>
                    <w:t>66</w:t>
                  </w:r>
                </w:p>
              </w:tc>
              <w:tc>
                <w:tcPr>
                  <w:tcW w:w="309" w:type="pct"/>
                  <w:tcBorders>
                    <w:top w:val="nil"/>
                    <w:left w:val="nil"/>
                    <w:bottom w:val="single" w:color="auto" w:sz="4" w:space="0"/>
                    <w:right w:val="single" w:color="auto" w:sz="4" w:space="0"/>
                  </w:tcBorders>
                  <w:vAlign w:val="center"/>
                </w:tcPr>
                <w:p>
                  <w:pPr>
                    <w:snapToGrid w:val="0"/>
                    <w:jc w:val="center"/>
                    <w:rPr>
                      <w:szCs w:val="21"/>
                    </w:rPr>
                  </w:pPr>
                  <w:r>
                    <w:rPr>
                      <w:szCs w:val="21"/>
                      <w:lang w:bidi="ar"/>
                    </w:rPr>
                    <w:t>64</w:t>
                  </w:r>
                </w:p>
              </w:tc>
              <w:tc>
                <w:tcPr>
                  <w:tcW w:w="309" w:type="pct"/>
                  <w:tcBorders>
                    <w:top w:val="nil"/>
                    <w:left w:val="nil"/>
                    <w:bottom w:val="single" w:color="auto" w:sz="4" w:space="0"/>
                    <w:right w:val="single" w:color="auto" w:sz="4" w:space="0"/>
                  </w:tcBorders>
                  <w:vAlign w:val="center"/>
                </w:tcPr>
                <w:p>
                  <w:pPr>
                    <w:snapToGrid w:val="0"/>
                    <w:jc w:val="center"/>
                    <w:rPr>
                      <w:szCs w:val="21"/>
                    </w:rPr>
                  </w:pPr>
                  <w:r>
                    <w:rPr>
                      <w:szCs w:val="21"/>
                      <w:lang w:bidi="ar"/>
                    </w:rPr>
                    <w:t>60</w:t>
                  </w:r>
                </w:p>
              </w:tc>
              <w:tc>
                <w:tcPr>
                  <w:tcW w:w="313" w:type="pct"/>
                  <w:tcBorders>
                    <w:top w:val="nil"/>
                    <w:left w:val="nil"/>
                    <w:bottom w:val="single" w:color="auto" w:sz="4" w:space="0"/>
                    <w:right w:val="single" w:color="auto" w:sz="4" w:space="0"/>
                  </w:tcBorders>
                  <w:vAlign w:val="center"/>
                </w:tcPr>
                <w:p>
                  <w:pPr>
                    <w:snapToGrid w:val="0"/>
                    <w:jc w:val="center"/>
                    <w:rPr>
                      <w:szCs w:val="21"/>
                    </w:rPr>
                  </w:pPr>
                  <w:r>
                    <w:rPr>
                      <w:szCs w:val="21"/>
                      <w:lang w:bidi="ar"/>
                    </w:rPr>
                    <w:t>58</w:t>
                  </w:r>
                </w:p>
              </w:tc>
            </w:tr>
            <w:tr>
              <w:tblPrEx>
                <w:tblCellMar>
                  <w:top w:w="0" w:type="dxa"/>
                  <w:left w:w="108" w:type="dxa"/>
                  <w:bottom w:w="0" w:type="dxa"/>
                  <w:right w:w="108" w:type="dxa"/>
                </w:tblCellMar>
              </w:tblPrEx>
              <w:trPr>
                <w:trHeight w:val="28" w:hRule="atLeast"/>
                <w:jc w:val="center"/>
              </w:trPr>
              <w:tc>
                <w:tcPr>
                  <w:tcW w:w="407" w:type="pct"/>
                  <w:vMerge w:val="continue"/>
                  <w:tcBorders>
                    <w:top w:val="nil"/>
                    <w:left w:val="single" w:color="auto" w:sz="4" w:space="0"/>
                    <w:bottom w:val="single" w:color="auto" w:sz="4" w:space="0"/>
                    <w:right w:val="single" w:color="auto" w:sz="4" w:space="0"/>
                  </w:tcBorders>
                  <w:vAlign w:val="center"/>
                </w:tcPr>
                <w:p>
                  <w:pPr>
                    <w:rPr>
                      <w:sz w:val="22"/>
                      <w:szCs w:val="22"/>
                    </w:rPr>
                  </w:pPr>
                </w:p>
              </w:tc>
              <w:tc>
                <w:tcPr>
                  <w:tcW w:w="535" w:type="pct"/>
                  <w:tcBorders>
                    <w:top w:val="nil"/>
                    <w:left w:val="nil"/>
                    <w:bottom w:val="single" w:color="auto" w:sz="4" w:space="0"/>
                    <w:right w:val="single" w:color="auto" w:sz="4" w:space="0"/>
                  </w:tcBorders>
                  <w:vAlign w:val="center"/>
                </w:tcPr>
                <w:p>
                  <w:pPr>
                    <w:snapToGrid w:val="0"/>
                    <w:jc w:val="center"/>
                    <w:rPr>
                      <w:szCs w:val="21"/>
                    </w:rPr>
                  </w:pPr>
                  <w:r>
                    <w:rPr>
                      <w:rFonts w:hint="eastAsia" w:cs="宋体"/>
                      <w:szCs w:val="21"/>
                      <w:lang w:bidi="ar"/>
                    </w:rPr>
                    <w:t>汽锤、风钻</w:t>
                  </w:r>
                </w:p>
              </w:tc>
              <w:tc>
                <w:tcPr>
                  <w:tcW w:w="645" w:type="pct"/>
                  <w:tcBorders>
                    <w:top w:val="nil"/>
                    <w:left w:val="nil"/>
                    <w:bottom w:val="single" w:color="auto" w:sz="4" w:space="0"/>
                    <w:right w:val="single" w:color="auto" w:sz="4" w:space="0"/>
                  </w:tcBorders>
                  <w:vAlign w:val="center"/>
                </w:tcPr>
                <w:p>
                  <w:pPr>
                    <w:snapToGrid w:val="0"/>
                    <w:jc w:val="center"/>
                    <w:rPr>
                      <w:szCs w:val="21"/>
                    </w:rPr>
                  </w:pPr>
                  <w:r>
                    <w:rPr>
                      <w:szCs w:val="21"/>
                      <w:lang w:bidi="ar"/>
                    </w:rPr>
                    <w:t>100</w:t>
                  </w:r>
                </w:p>
              </w:tc>
              <w:tc>
                <w:tcPr>
                  <w:tcW w:w="361" w:type="pct"/>
                  <w:vMerge w:val="continue"/>
                  <w:tcBorders>
                    <w:top w:val="nil"/>
                    <w:left w:val="single" w:color="auto" w:sz="4" w:space="0"/>
                    <w:bottom w:val="single" w:color="auto" w:sz="4" w:space="0"/>
                    <w:right w:val="single" w:color="auto" w:sz="4" w:space="0"/>
                  </w:tcBorders>
                  <w:vAlign w:val="center"/>
                </w:tcPr>
                <w:p>
                  <w:pPr>
                    <w:rPr>
                      <w:sz w:val="22"/>
                      <w:szCs w:val="22"/>
                    </w:rPr>
                  </w:pPr>
                </w:p>
              </w:tc>
              <w:tc>
                <w:tcPr>
                  <w:tcW w:w="358" w:type="pct"/>
                  <w:vMerge w:val="continue"/>
                  <w:tcBorders>
                    <w:top w:val="nil"/>
                    <w:left w:val="single" w:color="auto" w:sz="4" w:space="0"/>
                    <w:bottom w:val="single" w:color="auto" w:sz="4" w:space="0"/>
                    <w:right w:val="single" w:color="auto" w:sz="4" w:space="0"/>
                  </w:tcBorders>
                  <w:vAlign w:val="center"/>
                </w:tcPr>
                <w:p>
                  <w:pPr>
                    <w:rPr>
                      <w:sz w:val="22"/>
                      <w:szCs w:val="22"/>
                    </w:rPr>
                  </w:pPr>
                </w:p>
              </w:tc>
              <w:tc>
                <w:tcPr>
                  <w:tcW w:w="284" w:type="pct"/>
                  <w:tcBorders>
                    <w:top w:val="nil"/>
                    <w:left w:val="nil"/>
                    <w:bottom w:val="single" w:color="auto" w:sz="4" w:space="0"/>
                    <w:right w:val="single" w:color="auto" w:sz="4" w:space="0"/>
                  </w:tcBorders>
                  <w:vAlign w:val="center"/>
                </w:tcPr>
                <w:p>
                  <w:pPr>
                    <w:snapToGrid w:val="0"/>
                    <w:jc w:val="center"/>
                    <w:rPr>
                      <w:szCs w:val="21"/>
                    </w:rPr>
                  </w:pPr>
                  <w:r>
                    <w:rPr>
                      <w:szCs w:val="21"/>
                      <w:lang w:bidi="ar"/>
                    </w:rPr>
                    <w:t>80</w:t>
                  </w:r>
                </w:p>
              </w:tc>
              <w:tc>
                <w:tcPr>
                  <w:tcW w:w="284" w:type="pct"/>
                  <w:tcBorders>
                    <w:top w:val="nil"/>
                    <w:left w:val="nil"/>
                    <w:bottom w:val="single" w:color="auto" w:sz="4" w:space="0"/>
                    <w:right w:val="single" w:color="auto" w:sz="4" w:space="0"/>
                  </w:tcBorders>
                  <w:vAlign w:val="center"/>
                </w:tcPr>
                <w:p>
                  <w:pPr>
                    <w:snapToGrid w:val="0"/>
                    <w:jc w:val="center"/>
                    <w:rPr>
                      <w:szCs w:val="21"/>
                    </w:rPr>
                  </w:pPr>
                  <w:r>
                    <w:rPr>
                      <w:szCs w:val="21"/>
                      <w:lang w:bidi="ar"/>
                    </w:rPr>
                    <w:t>74</w:t>
                  </w:r>
                </w:p>
              </w:tc>
              <w:tc>
                <w:tcPr>
                  <w:tcW w:w="284" w:type="pct"/>
                  <w:tcBorders>
                    <w:top w:val="nil"/>
                    <w:left w:val="nil"/>
                    <w:bottom w:val="single" w:color="auto" w:sz="4" w:space="0"/>
                    <w:right w:val="single" w:color="auto" w:sz="4" w:space="0"/>
                  </w:tcBorders>
                  <w:vAlign w:val="center"/>
                </w:tcPr>
                <w:p>
                  <w:pPr>
                    <w:snapToGrid w:val="0"/>
                    <w:jc w:val="center"/>
                    <w:rPr>
                      <w:szCs w:val="21"/>
                    </w:rPr>
                  </w:pPr>
                  <w:r>
                    <w:rPr>
                      <w:szCs w:val="21"/>
                      <w:lang w:bidi="ar"/>
                    </w:rPr>
                    <w:t>70</w:t>
                  </w:r>
                </w:p>
              </w:tc>
              <w:tc>
                <w:tcPr>
                  <w:tcW w:w="284" w:type="pct"/>
                  <w:tcBorders>
                    <w:top w:val="nil"/>
                    <w:left w:val="nil"/>
                    <w:bottom w:val="single" w:color="auto" w:sz="4" w:space="0"/>
                    <w:right w:val="single" w:color="auto" w:sz="4" w:space="0"/>
                  </w:tcBorders>
                  <w:vAlign w:val="center"/>
                </w:tcPr>
                <w:p>
                  <w:pPr>
                    <w:snapToGrid w:val="0"/>
                    <w:jc w:val="center"/>
                    <w:rPr>
                      <w:szCs w:val="21"/>
                    </w:rPr>
                  </w:pPr>
                  <w:r>
                    <w:rPr>
                      <w:szCs w:val="21"/>
                      <w:lang w:bidi="ar"/>
                    </w:rPr>
                    <w:t>66</w:t>
                  </w:r>
                </w:p>
              </w:tc>
              <w:tc>
                <w:tcPr>
                  <w:tcW w:w="309" w:type="pct"/>
                  <w:tcBorders>
                    <w:top w:val="nil"/>
                    <w:left w:val="nil"/>
                    <w:bottom w:val="single" w:color="auto" w:sz="4" w:space="0"/>
                    <w:right w:val="single" w:color="auto" w:sz="4" w:space="0"/>
                  </w:tcBorders>
                  <w:vAlign w:val="center"/>
                </w:tcPr>
                <w:p>
                  <w:pPr>
                    <w:snapToGrid w:val="0"/>
                    <w:jc w:val="center"/>
                    <w:rPr>
                      <w:szCs w:val="21"/>
                    </w:rPr>
                  </w:pPr>
                  <w:r>
                    <w:rPr>
                      <w:szCs w:val="21"/>
                      <w:lang w:bidi="ar"/>
                    </w:rPr>
                    <w:t>60</w:t>
                  </w:r>
                </w:p>
              </w:tc>
              <w:tc>
                <w:tcPr>
                  <w:tcW w:w="309" w:type="pct"/>
                  <w:tcBorders>
                    <w:top w:val="nil"/>
                    <w:left w:val="nil"/>
                    <w:bottom w:val="single" w:color="auto" w:sz="4" w:space="0"/>
                    <w:right w:val="single" w:color="auto" w:sz="4" w:space="0"/>
                  </w:tcBorders>
                  <w:vAlign w:val="center"/>
                </w:tcPr>
                <w:p>
                  <w:pPr>
                    <w:snapToGrid w:val="0"/>
                    <w:jc w:val="center"/>
                    <w:rPr>
                      <w:szCs w:val="21"/>
                    </w:rPr>
                  </w:pPr>
                  <w:r>
                    <w:rPr>
                      <w:szCs w:val="21"/>
                      <w:lang w:bidi="ar"/>
                    </w:rPr>
                    <w:t>56</w:t>
                  </w:r>
                </w:p>
              </w:tc>
              <w:tc>
                <w:tcPr>
                  <w:tcW w:w="309" w:type="pct"/>
                  <w:tcBorders>
                    <w:top w:val="nil"/>
                    <w:left w:val="nil"/>
                    <w:bottom w:val="single" w:color="auto" w:sz="4" w:space="0"/>
                    <w:right w:val="single" w:color="auto" w:sz="4" w:space="0"/>
                  </w:tcBorders>
                  <w:vAlign w:val="center"/>
                </w:tcPr>
                <w:p>
                  <w:pPr>
                    <w:snapToGrid w:val="0"/>
                    <w:jc w:val="center"/>
                    <w:rPr>
                      <w:szCs w:val="21"/>
                    </w:rPr>
                  </w:pPr>
                  <w:r>
                    <w:rPr>
                      <w:szCs w:val="21"/>
                      <w:lang w:bidi="ar"/>
                    </w:rPr>
                    <w:t>54</w:t>
                  </w:r>
                </w:p>
              </w:tc>
              <w:tc>
                <w:tcPr>
                  <w:tcW w:w="309" w:type="pct"/>
                  <w:tcBorders>
                    <w:top w:val="nil"/>
                    <w:left w:val="nil"/>
                    <w:bottom w:val="single" w:color="auto" w:sz="4" w:space="0"/>
                    <w:right w:val="single" w:color="auto" w:sz="4" w:space="0"/>
                  </w:tcBorders>
                  <w:vAlign w:val="center"/>
                </w:tcPr>
                <w:p>
                  <w:pPr>
                    <w:snapToGrid w:val="0"/>
                    <w:jc w:val="center"/>
                    <w:rPr>
                      <w:szCs w:val="21"/>
                    </w:rPr>
                  </w:pPr>
                  <w:r>
                    <w:rPr>
                      <w:szCs w:val="21"/>
                      <w:lang w:bidi="ar"/>
                    </w:rPr>
                    <w:t>50</w:t>
                  </w:r>
                </w:p>
              </w:tc>
              <w:tc>
                <w:tcPr>
                  <w:tcW w:w="313" w:type="pct"/>
                  <w:tcBorders>
                    <w:top w:val="nil"/>
                    <w:left w:val="nil"/>
                    <w:bottom w:val="single" w:color="auto" w:sz="4" w:space="0"/>
                    <w:right w:val="single" w:color="auto" w:sz="4" w:space="0"/>
                  </w:tcBorders>
                  <w:vAlign w:val="center"/>
                </w:tcPr>
                <w:p>
                  <w:pPr>
                    <w:snapToGrid w:val="0"/>
                    <w:jc w:val="center"/>
                    <w:rPr>
                      <w:szCs w:val="21"/>
                    </w:rPr>
                  </w:pPr>
                  <w:r>
                    <w:rPr>
                      <w:szCs w:val="21"/>
                      <w:lang w:bidi="ar"/>
                    </w:rPr>
                    <w:t>48</w:t>
                  </w:r>
                </w:p>
              </w:tc>
            </w:tr>
            <w:tr>
              <w:tblPrEx>
                <w:tblCellMar>
                  <w:top w:w="0" w:type="dxa"/>
                  <w:left w:w="108" w:type="dxa"/>
                  <w:bottom w:w="0" w:type="dxa"/>
                  <w:right w:w="108" w:type="dxa"/>
                </w:tblCellMar>
              </w:tblPrEx>
              <w:trPr>
                <w:trHeight w:val="28" w:hRule="atLeast"/>
                <w:jc w:val="center"/>
              </w:trPr>
              <w:tc>
                <w:tcPr>
                  <w:tcW w:w="407" w:type="pct"/>
                  <w:vMerge w:val="continue"/>
                  <w:tcBorders>
                    <w:top w:val="nil"/>
                    <w:left w:val="single" w:color="auto" w:sz="4" w:space="0"/>
                    <w:bottom w:val="single" w:color="auto" w:sz="4" w:space="0"/>
                    <w:right w:val="single" w:color="auto" w:sz="4" w:space="0"/>
                  </w:tcBorders>
                  <w:vAlign w:val="center"/>
                </w:tcPr>
                <w:p>
                  <w:pPr>
                    <w:rPr>
                      <w:sz w:val="22"/>
                      <w:szCs w:val="22"/>
                    </w:rPr>
                  </w:pPr>
                </w:p>
              </w:tc>
              <w:tc>
                <w:tcPr>
                  <w:tcW w:w="535" w:type="pct"/>
                  <w:tcBorders>
                    <w:top w:val="nil"/>
                    <w:left w:val="nil"/>
                    <w:bottom w:val="single" w:color="auto" w:sz="4" w:space="0"/>
                    <w:right w:val="single" w:color="auto" w:sz="4" w:space="0"/>
                  </w:tcBorders>
                  <w:vAlign w:val="center"/>
                </w:tcPr>
                <w:p>
                  <w:pPr>
                    <w:snapToGrid w:val="0"/>
                    <w:jc w:val="center"/>
                    <w:rPr>
                      <w:szCs w:val="21"/>
                    </w:rPr>
                  </w:pPr>
                  <w:r>
                    <w:rPr>
                      <w:rFonts w:hint="eastAsia" w:cs="宋体"/>
                      <w:szCs w:val="21"/>
                      <w:lang w:bidi="ar"/>
                    </w:rPr>
                    <w:t>挖土机</w:t>
                  </w:r>
                </w:p>
              </w:tc>
              <w:tc>
                <w:tcPr>
                  <w:tcW w:w="645" w:type="pct"/>
                  <w:tcBorders>
                    <w:top w:val="nil"/>
                    <w:left w:val="nil"/>
                    <w:bottom w:val="single" w:color="auto" w:sz="4" w:space="0"/>
                    <w:right w:val="single" w:color="auto" w:sz="4" w:space="0"/>
                  </w:tcBorders>
                  <w:vAlign w:val="center"/>
                </w:tcPr>
                <w:p>
                  <w:pPr>
                    <w:snapToGrid w:val="0"/>
                    <w:jc w:val="center"/>
                    <w:rPr>
                      <w:szCs w:val="21"/>
                    </w:rPr>
                  </w:pPr>
                  <w:r>
                    <w:rPr>
                      <w:szCs w:val="21"/>
                      <w:lang w:bidi="ar"/>
                    </w:rPr>
                    <w:t>110</w:t>
                  </w:r>
                </w:p>
              </w:tc>
              <w:tc>
                <w:tcPr>
                  <w:tcW w:w="361" w:type="pct"/>
                  <w:vMerge w:val="continue"/>
                  <w:tcBorders>
                    <w:top w:val="nil"/>
                    <w:left w:val="single" w:color="auto" w:sz="4" w:space="0"/>
                    <w:bottom w:val="single" w:color="auto" w:sz="4" w:space="0"/>
                    <w:right w:val="single" w:color="auto" w:sz="4" w:space="0"/>
                  </w:tcBorders>
                  <w:vAlign w:val="center"/>
                </w:tcPr>
                <w:p>
                  <w:pPr>
                    <w:rPr>
                      <w:sz w:val="22"/>
                      <w:szCs w:val="22"/>
                    </w:rPr>
                  </w:pPr>
                </w:p>
              </w:tc>
              <w:tc>
                <w:tcPr>
                  <w:tcW w:w="358" w:type="pct"/>
                  <w:vMerge w:val="continue"/>
                  <w:tcBorders>
                    <w:top w:val="nil"/>
                    <w:left w:val="single" w:color="auto" w:sz="4" w:space="0"/>
                    <w:bottom w:val="single" w:color="auto" w:sz="4" w:space="0"/>
                    <w:right w:val="single" w:color="auto" w:sz="4" w:space="0"/>
                  </w:tcBorders>
                  <w:vAlign w:val="center"/>
                </w:tcPr>
                <w:p>
                  <w:pPr>
                    <w:rPr>
                      <w:sz w:val="22"/>
                      <w:szCs w:val="22"/>
                    </w:rPr>
                  </w:pPr>
                </w:p>
              </w:tc>
              <w:tc>
                <w:tcPr>
                  <w:tcW w:w="284" w:type="pct"/>
                  <w:tcBorders>
                    <w:top w:val="nil"/>
                    <w:left w:val="nil"/>
                    <w:bottom w:val="single" w:color="auto" w:sz="4" w:space="0"/>
                    <w:right w:val="single" w:color="auto" w:sz="4" w:space="0"/>
                  </w:tcBorders>
                  <w:vAlign w:val="center"/>
                </w:tcPr>
                <w:p>
                  <w:pPr>
                    <w:snapToGrid w:val="0"/>
                    <w:jc w:val="center"/>
                    <w:rPr>
                      <w:szCs w:val="21"/>
                    </w:rPr>
                  </w:pPr>
                  <w:r>
                    <w:rPr>
                      <w:szCs w:val="21"/>
                      <w:lang w:bidi="ar"/>
                    </w:rPr>
                    <w:t>90</w:t>
                  </w:r>
                </w:p>
              </w:tc>
              <w:tc>
                <w:tcPr>
                  <w:tcW w:w="284" w:type="pct"/>
                  <w:tcBorders>
                    <w:top w:val="nil"/>
                    <w:left w:val="nil"/>
                    <w:bottom w:val="single" w:color="auto" w:sz="4" w:space="0"/>
                    <w:right w:val="single" w:color="auto" w:sz="4" w:space="0"/>
                  </w:tcBorders>
                  <w:vAlign w:val="center"/>
                </w:tcPr>
                <w:p>
                  <w:pPr>
                    <w:snapToGrid w:val="0"/>
                    <w:jc w:val="center"/>
                    <w:rPr>
                      <w:szCs w:val="21"/>
                    </w:rPr>
                  </w:pPr>
                  <w:r>
                    <w:rPr>
                      <w:szCs w:val="21"/>
                      <w:lang w:bidi="ar"/>
                    </w:rPr>
                    <w:t>84</w:t>
                  </w:r>
                </w:p>
              </w:tc>
              <w:tc>
                <w:tcPr>
                  <w:tcW w:w="284" w:type="pct"/>
                  <w:tcBorders>
                    <w:top w:val="nil"/>
                    <w:left w:val="nil"/>
                    <w:bottom w:val="single" w:color="auto" w:sz="4" w:space="0"/>
                    <w:right w:val="single" w:color="auto" w:sz="4" w:space="0"/>
                  </w:tcBorders>
                  <w:vAlign w:val="center"/>
                </w:tcPr>
                <w:p>
                  <w:pPr>
                    <w:snapToGrid w:val="0"/>
                    <w:jc w:val="center"/>
                    <w:rPr>
                      <w:szCs w:val="21"/>
                    </w:rPr>
                  </w:pPr>
                  <w:r>
                    <w:rPr>
                      <w:szCs w:val="21"/>
                      <w:lang w:bidi="ar"/>
                    </w:rPr>
                    <w:t>80</w:t>
                  </w:r>
                </w:p>
              </w:tc>
              <w:tc>
                <w:tcPr>
                  <w:tcW w:w="284" w:type="pct"/>
                  <w:tcBorders>
                    <w:top w:val="nil"/>
                    <w:left w:val="nil"/>
                    <w:bottom w:val="single" w:color="auto" w:sz="4" w:space="0"/>
                    <w:right w:val="single" w:color="auto" w:sz="4" w:space="0"/>
                  </w:tcBorders>
                  <w:vAlign w:val="center"/>
                </w:tcPr>
                <w:p>
                  <w:pPr>
                    <w:snapToGrid w:val="0"/>
                    <w:jc w:val="center"/>
                    <w:rPr>
                      <w:szCs w:val="21"/>
                    </w:rPr>
                  </w:pPr>
                  <w:r>
                    <w:rPr>
                      <w:szCs w:val="21"/>
                      <w:lang w:bidi="ar"/>
                    </w:rPr>
                    <w:t>76</w:t>
                  </w:r>
                </w:p>
              </w:tc>
              <w:tc>
                <w:tcPr>
                  <w:tcW w:w="309" w:type="pct"/>
                  <w:tcBorders>
                    <w:top w:val="nil"/>
                    <w:left w:val="nil"/>
                    <w:bottom w:val="single" w:color="auto" w:sz="4" w:space="0"/>
                    <w:right w:val="single" w:color="auto" w:sz="4" w:space="0"/>
                  </w:tcBorders>
                  <w:vAlign w:val="center"/>
                </w:tcPr>
                <w:p>
                  <w:pPr>
                    <w:snapToGrid w:val="0"/>
                    <w:jc w:val="center"/>
                    <w:rPr>
                      <w:szCs w:val="21"/>
                    </w:rPr>
                  </w:pPr>
                  <w:r>
                    <w:rPr>
                      <w:szCs w:val="21"/>
                      <w:lang w:bidi="ar"/>
                    </w:rPr>
                    <w:t>70</w:t>
                  </w:r>
                </w:p>
              </w:tc>
              <w:tc>
                <w:tcPr>
                  <w:tcW w:w="309" w:type="pct"/>
                  <w:tcBorders>
                    <w:top w:val="nil"/>
                    <w:left w:val="nil"/>
                    <w:bottom w:val="single" w:color="auto" w:sz="4" w:space="0"/>
                    <w:right w:val="single" w:color="auto" w:sz="4" w:space="0"/>
                  </w:tcBorders>
                  <w:vAlign w:val="center"/>
                </w:tcPr>
                <w:p>
                  <w:pPr>
                    <w:snapToGrid w:val="0"/>
                    <w:jc w:val="center"/>
                    <w:rPr>
                      <w:szCs w:val="21"/>
                    </w:rPr>
                  </w:pPr>
                  <w:r>
                    <w:rPr>
                      <w:szCs w:val="21"/>
                      <w:lang w:bidi="ar"/>
                    </w:rPr>
                    <w:t>66</w:t>
                  </w:r>
                </w:p>
              </w:tc>
              <w:tc>
                <w:tcPr>
                  <w:tcW w:w="309" w:type="pct"/>
                  <w:tcBorders>
                    <w:top w:val="nil"/>
                    <w:left w:val="nil"/>
                    <w:bottom w:val="single" w:color="auto" w:sz="4" w:space="0"/>
                    <w:right w:val="single" w:color="auto" w:sz="4" w:space="0"/>
                  </w:tcBorders>
                  <w:vAlign w:val="center"/>
                </w:tcPr>
                <w:p>
                  <w:pPr>
                    <w:snapToGrid w:val="0"/>
                    <w:jc w:val="center"/>
                    <w:rPr>
                      <w:szCs w:val="21"/>
                    </w:rPr>
                  </w:pPr>
                  <w:r>
                    <w:rPr>
                      <w:szCs w:val="21"/>
                      <w:lang w:bidi="ar"/>
                    </w:rPr>
                    <w:t>64</w:t>
                  </w:r>
                </w:p>
              </w:tc>
              <w:tc>
                <w:tcPr>
                  <w:tcW w:w="309" w:type="pct"/>
                  <w:tcBorders>
                    <w:top w:val="nil"/>
                    <w:left w:val="nil"/>
                    <w:bottom w:val="single" w:color="auto" w:sz="4" w:space="0"/>
                    <w:right w:val="single" w:color="auto" w:sz="4" w:space="0"/>
                  </w:tcBorders>
                  <w:vAlign w:val="center"/>
                </w:tcPr>
                <w:p>
                  <w:pPr>
                    <w:snapToGrid w:val="0"/>
                    <w:jc w:val="center"/>
                    <w:rPr>
                      <w:szCs w:val="21"/>
                    </w:rPr>
                  </w:pPr>
                  <w:r>
                    <w:rPr>
                      <w:szCs w:val="21"/>
                      <w:lang w:bidi="ar"/>
                    </w:rPr>
                    <w:t>60</w:t>
                  </w:r>
                </w:p>
              </w:tc>
              <w:tc>
                <w:tcPr>
                  <w:tcW w:w="313" w:type="pct"/>
                  <w:tcBorders>
                    <w:top w:val="nil"/>
                    <w:left w:val="nil"/>
                    <w:bottom w:val="single" w:color="auto" w:sz="4" w:space="0"/>
                    <w:right w:val="single" w:color="auto" w:sz="4" w:space="0"/>
                  </w:tcBorders>
                  <w:vAlign w:val="center"/>
                </w:tcPr>
                <w:p>
                  <w:pPr>
                    <w:snapToGrid w:val="0"/>
                    <w:jc w:val="center"/>
                    <w:rPr>
                      <w:szCs w:val="21"/>
                    </w:rPr>
                  </w:pPr>
                  <w:r>
                    <w:rPr>
                      <w:szCs w:val="21"/>
                      <w:lang w:bidi="ar"/>
                    </w:rPr>
                    <w:t>58</w:t>
                  </w:r>
                </w:p>
              </w:tc>
            </w:tr>
            <w:tr>
              <w:tblPrEx>
                <w:tblCellMar>
                  <w:top w:w="0" w:type="dxa"/>
                  <w:left w:w="108" w:type="dxa"/>
                  <w:bottom w:w="0" w:type="dxa"/>
                  <w:right w:w="108" w:type="dxa"/>
                </w:tblCellMar>
              </w:tblPrEx>
              <w:trPr>
                <w:trHeight w:val="28" w:hRule="atLeast"/>
                <w:jc w:val="center"/>
              </w:trPr>
              <w:tc>
                <w:tcPr>
                  <w:tcW w:w="407" w:type="pct"/>
                  <w:vMerge w:val="continue"/>
                  <w:tcBorders>
                    <w:top w:val="nil"/>
                    <w:left w:val="single" w:color="auto" w:sz="4" w:space="0"/>
                    <w:bottom w:val="single" w:color="auto" w:sz="4" w:space="0"/>
                    <w:right w:val="single" w:color="auto" w:sz="4" w:space="0"/>
                  </w:tcBorders>
                  <w:vAlign w:val="center"/>
                </w:tcPr>
                <w:p>
                  <w:pPr>
                    <w:rPr>
                      <w:sz w:val="22"/>
                      <w:szCs w:val="22"/>
                    </w:rPr>
                  </w:pPr>
                </w:p>
              </w:tc>
              <w:tc>
                <w:tcPr>
                  <w:tcW w:w="535" w:type="pct"/>
                  <w:tcBorders>
                    <w:top w:val="nil"/>
                    <w:left w:val="nil"/>
                    <w:bottom w:val="single" w:color="auto" w:sz="4" w:space="0"/>
                    <w:right w:val="single" w:color="auto" w:sz="4" w:space="0"/>
                  </w:tcBorders>
                  <w:vAlign w:val="center"/>
                </w:tcPr>
                <w:p>
                  <w:pPr>
                    <w:snapToGrid w:val="0"/>
                    <w:jc w:val="center"/>
                    <w:rPr>
                      <w:szCs w:val="21"/>
                    </w:rPr>
                  </w:pPr>
                  <w:r>
                    <w:rPr>
                      <w:rFonts w:hint="eastAsia" w:cs="宋体"/>
                      <w:szCs w:val="21"/>
                      <w:lang w:bidi="ar"/>
                    </w:rPr>
                    <w:t>空压机</w:t>
                  </w:r>
                </w:p>
              </w:tc>
              <w:tc>
                <w:tcPr>
                  <w:tcW w:w="645" w:type="pct"/>
                  <w:tcBorders>
                    <w:top w:val="nil"/>
                    <w:left w:val="nil"/>
                    <w:bottom w:val="single" w:color="auto" w:sz="4" w:space="0"/>
                    <w:right w:val="single" w:color="auto" w:sz="4" w:space="0"/>
                  </w:tcBorders>
                  <w:vAlign w:val="center"/>
                </w:tcPr>
                <w:p>
                  <w:pPr>
                    <w:snapToGrid w:val="0"/>
                    <w:jc w:val="center"/>
                    <w:rPr>
                      <w:szCs w:val="21"/>
                    </w:rPr>
                  </w:pPr>
                  <w:r>
                    <w:rPr>
                      <w:szCs w:val="21"/>
                      <w:lang w:bidi="ar"/>
                    </w:rPr>
                    <w:t>100</w:t>
                  </w:r>
                </w:p>
              </w:tc>
              <w:tc>
                <w:tcPr>
                  <w:tcW w:w="361" w:type="pct"/>
                  <w:vMerge w:val="continue"/>
                  <w:tcBorders>
                    <w:top w:val="nil"/>
                    <w:left w:val="single" w:color="auto" w:sz="4" w:space="0"/>
                    <w:bottom w:val="single" w:color="auto" w:sz="4" w:space="0"/>
                    <w:right w:val="single" w:color="auto" w:sz="4" w:space="0"/>
                  </w:tcBorders>
                  <w:vAlign w:val="center"/>
                </w:tcPr>
                <w:p>
                  <w:pPr>
                    <w:rPr>
                      <w:sz w:val="22"/>
                      <w:szCs w:val="22"/>
                    </w:rPr>
                  </w:pPr>
                </w:p>
              </w:tc>
              <w:tc>
                <w:tcPr>
                  <w:tcW w:w="358" w:type="pct"/>
                  <w:vMerge w:val="continue"/>
                  <w:tcBorders>
                    <w:top w:val="nil"/>
                    <w:left w:val="single" w:color="auto" w:sz="4" w:space="0"/>
                    <w:bottom w:val="single" w:color="auto" w:sz="4" w:space="0"/>
                    <w:right w:val="single" w:color="auto" w:sz="4" w:space="0"/>
                  </w:tcBorders>
                  <w:vAlign w:val="center"/>
                </w:tcPr>
                <w:p>
                  <w:pPr>
                    <w:rPr>
                      <w:sz w:val="22"/>
                      <w:szCs w:val="22"/>
                    </w:rPr>
                  </w:pPr>
                </w:p>
              </w:tc>
              <w:tc>
                <w:tcPr>
                  <w:tcW w:w="284" w:type="pct"/>
                  <w:tcBorders>
                    <w:top w:val="nil"/>
                    <w:left w:val="nil"/>
                    <w:bottom w:val="single" w:color="auto" w:sz="4" w:space="0"/>
                    <w:right w:val="single" w:color="auto" w:sz="4" w:space="0"/>
                  </w:tcBorders>
                  <w:vAlign w:val="center"/>
                </w:tcPr>
                <w:p>
                  <w:pPr>
                    <w:snapToGrid w:val="0"/>
                    <w:jc w:val="center"/>
                    <w:rPr>
                      <w:szCs w:val="21"/>
                    </w:rPr>
                  </w:pPr>
                  <w:r>
                    <w:rPr>
                      <w:szCs w:val="21"/>
                      <w:lang w:bidi="ar"/>
                    </w:rPr>
                    <w:t>80</w:t>
                  </w:r>
                </w:p>
              </w:tc>
              <w:tc>
                <w:tcPr>
                  <w:tcW w:w="284" w:type="pct"/>
                  <w:tcBorders>
                    <w:top w:val="nil"/>
                    <w:left w:val="nil"/>
                    <w:bottom w:val="single" w:color="auto" w:sz="4" w:space="0"/>
                    <w:right w:val="single" w:color="auto" w:sz="4" w:space="0"/>
                  </w:tcBorders>
                  <w:vAlign w:val="center"/>
                </w:tcPr>
                <w:p>
                  <w:pPr>
                    <w:snapToGrid w:val="0"/>
                    <w:jc w:val="center"/>
                    <w:rPr>
                      <w:szCs w:val="21"/>
                    </w:rPr>
                  </w:pPr>
                  <w:r>
                    <w:rPr>
                      <w:szCs w:val="21"/>
                      <w:lang w:bidi="ar"/>
                    </w:rPr>
                    <w:t>74</w:t>
                  </w:r>
                </w:p>
              </w:tc>
              <w:tc>
                <w:tcPr>
                  <w:tcW w:w="284" w:type="pct"/>
                  <w:tcBorders>
                    <w:top w:val="nil"/>
                    <w:left w:val="nil"/>
                    <w:bottom w:val="single" w:color="auto" w:sz="4" w:space="0"/>
                    <w:right w:val="single" w:color="auto" w:sz="4" w:space="0"/>
                  </w:tcBorders>
                  <w:vAlign w:val="center"/>
                </w:tcPr>
                <w:p>
                  <w:pPr>
                    <w:snapToGrid w:val="0"/>
                    <w:jc w:val="center"/>
                    <w:rPr>
                      <w:szCs w:val="21"/>
                    </w:rPr>
                  </w:pPr>
                  <w:r>
                    <w:rPr>
                      <w:szCs w:val="21"/>
                      <w:lang w:bidi="ar"/>
                    </w:rPr>
                    <w:t>70</w:t>
                  </w:r>
                </w:p>
              </w:tc>
              <w:tc>
                <w:tcPr>
                  <w:tcW w:w="284" w:type="pct"/>
                  <w:tcBorders>
                    <w:top w:val="nil"/>
                    <w:left w:val="nil"/>
                    <w:bottom w:val="single" w:color="auto" w:sz="4" w:space="0"/>
                    <w:right w:val="single" w:color="auto" w:sz="4" w:space="0"/>
                  </w:tcBorders>
                  <w:vAlign w:val="center"/>
                </w:tcPr>
                <w:p>
                  <w:pPr>
                    <w:snapToGrid w:val="0"/>
                    <w:jc w:val="center"/>
                    <w:rPr>
                      <w:szCs w:val="21"/>
                    </w:rPr>
                  </w:pPr>
                  <w:r>
                    <w:rPr>
                      <w:szCs w:val="21"/>
                      <w:lang w:bidi="ar"/>
                    </w:rPr>
                    <w:t>66</w:t>
                  </w:r>
                </w:p>
              </w:tc>
              <w:tc>
                <w:tcPr>
                  <w:tcW w:w="309" w:type="pct"/>
                  <w:tcBorders>
                    <w:top w:val="nil"/>
                    <w:left w:val="nil"/>
                    <w:bottom w:val="single" w:color="auto" w:sz="4" w:space="0"/>
                    <w:right w:val="single" w:color="auto" w:sz="4" w:space="0"/>
                  </w:tcBorders>
                  <w:vAlign w:val="center"/>
                </w:tcPr>
                <w:p>
                  <w:pPr>
                    <w:snapToGrid w:val="0"/>
                    <w:jc w:val="center"/>
                    <w:rPr>
                      <w:szCs w:val="21"/>
                    </w:rPr>
                  </w:pPr>
                  <w:r>
                    <w:rPr>
                      <w:szCs w:val="21"/>
                      <w:lang w:bidi="ar"/>
                    </w:rPr>
                    <w:t>60</w:t>
                  </w:r>
                </w:p>
              </w:tc>
              <w:tc>
                <w:tcPr>
                  <w:tcW w:w="309" w:type="pct"/>
                  <w:tcBorders>
                    <w:top w:val="nil"/>
                    <w:left w:val="nil"/>
                    <w:bottom w:val="single" w:color="auto" w:sz="4" w:space="0"/>
                    <w:right w:val="single" w:color="auto" w:sz="4" w:space="0"/>
                  </w:tcBorders>
                  <w:vAlign w:val="center"/>
                </w:tcPr>
                <w:p>
                  <w:pPr>
                    <w:snapToGrid w:val="0"/>
                    <w:jc w:val="center"/>
                    <w:rPr>
                      <w:szCs w:val="21"/>
                    </w:rPr>
                  </w:pPr>
                  <w:r>
                    <w:rPr>
                      <w:szCs w:val="21"/>
                      <w:lang w:bidi="ar"/>
                    </w:rPr>
                    <w:t>56</w:t>
                  </w:r>
                </w:p>
              </w:tc>
              <w:tc>
                <w:tcPr>
                  <w:tcW w:w="309" w:type="pct"/>
                  <w:tcBorders>
                    <w:top w:val="nil"/>
                    <w:left w:val="nil"/>
                    <w:bottom w:val="single" w:color="auto" w:sz="4" w:space="0"/>
                    <w:right w:val="single" w:color="auto" w:sz="4" w:space="0"/>
                  </w:tcBorders>
                  <w:vAlign w:val="center"/>
                </w:tcPr>
                <w:p>
                  <w:pPr>
                    <w:snapToGrid w:val="0"/>
                    <w:jc w:val="center"/>
                    <w:rPr>
                      <w:szCs w:val="21"/>
                    </w:rPr>
                  </w:pPr>
                  <w:r>
                    <w:rPr>
                      <w:szCs w:val="21"/>
                      <w:lang w:bidi="ar"/>
                    </w:rPr>
                    <w:t>54</w:t>
                  </w:r>
                </w:p>
              </w:tc>
              <w:tc>
                <w:tcPr>
                  <w:tcW w:w="309" w:type="pct"/>
                  <w:tcBorders>
                    <w:top w:val="nil"/>
                    <w:left w:val="nil"/>
                    <w:bottom w:val="single" w:color="auto" w:sz="4" w:space="0"/>
                    <w:right w:val="single" w:color="auto" w:sz="4" w:space="0"/>
                  </w:tcBorders>
                  <w:vAlign w:val="center"/>
                </w:tcPr>
                <w:p>
                  <w:pPr>
                    <w:snapToGrid w:val="0"/>
                    <w:jc w:val="center"/>
                    <w:rPr>
                      <w:szCs w:val="21"/>
                    </w:rPr>
                  </w:pPr>
                  <w:r>
                    <w:rPr>
                      <w:szCs w:val="21"/>
                      <w:lang w:bidi="ar"/>
                    </w:rPr>
                    <w:t>50</w:t>
                  </w:r>
                </w:p>
              </w:tc>
              <w:tc>
                <w:tcPr>
                  <w:tcW w:w="313" w:type="pct"/>
                  <w:tcBorders>
                    <w:top w:val="nil"/>
                    <w:left w:val="nil"/>
                    <w:bottom w:val="single" w:color="auto" w:sz="4" w:space="0"/>
                    <w:right w:val="single" w:color="auto" w:sz="4" w:space="0"/>
                  </w:tcBorders>
                  <w:vAlign w:val="center"/>
                </w:tcPr>
                <w:p>
                  <w:pPr>
                    <w:snapToGrid w:val="0"/>
                    <w:jc w:val="center"/>
                    <w:rPr>
                      <w:szCs w:val="21"/>
                    </w:rPr>
                  </w:pPr>
                  <w:r>
                    <w:rPr>
                      <w:szCs w:val="21"/>
                      <w:lang w:bidi="ar"/>
                    </w:rPr>
                    <w:t>48</w:t>
                  </w:r>
                </w:p>
              </w:tc>
            </w:tr>
            <w:tr>
              <w:tblPrEx>
                <w:tblCellMar>
                  <w:top w:w="0" w:type="dxa"/>
                  <w:left w:w="108" w:type="dxa"/>
                  <w:bottom w:w="0" w:type="dxa"/>
                  <w:right w:w="108" w:type="dxa"/>
                </w:tblCellMar>
              </w:tblPrEx>
              <w:trPr>
                <w:trHeight w:val="28" w:hRule="atLeast"/>
                <w:jc w:val="center"/>
              </w:trPr>
              <w:tc>
                <w:tcPr>
                  <w:tcW w:w="407" w:type="pct"/>
                  <w:vMerge w:val="continue"/>
                  <w:tcBorders>
                    <w:top w:val="nil"/>
                    <w:left w:val="single" w:color="auto" w:sz="4" w:space="0"/>
                    <w:bottom w:val="single" w:color="auto" w:sz="4" w:space="0"/>
                    <w:right w:val="single" w:color="auto" w:sz="4" w:space="0"/>
                  </w:tcBorders>
                  <w:vAlign w:val="center"/>
                </w:tcPr>
                <w:p>
                  <w:pPr>
                    <w:rPr>
                      <w:sz w:val="22"/>
                      <w:szCs w:val="22"/>
                    </w:rPr>
                  </w:pPr>
                </w:p>
              </w:tc>
              <w:tc>
                <w:tcPr>
                  <w:tcW w:w="535" w:type="pct"/>
                  <w:tcBorders>
                    <w:top w:val="nil"/>
                    <w:left w:val="nil"/>
                    <w:bottom w:val="single" w:color="auto" w:sz="4" w:space="0"/>
                    <w:right w:val="single" w:color="auto" w:sz="4" w:space="0"/>
                  </w:tcBorders>
                  <w:vAlign w:val="center"/>
                </w:tcPr>
                <w:p>
                  <w:pPr>
                    <w:snapToGrid w:val="0"/>
                    <w:jc w:val="center"/>
                    <w:rPr>
                      <w:szCs w:val="21"/>
                    </w:rPr>
                  </w:pPr>
                  <w:r>
                    <w:rPr>
                      <w:rFonts w:hint="eastAsia" w:cs="宋体"/>
                      <w:szCs w:val="21"/>
                      <w:lang w:bidi="ar"/>
                    </w:rPr>
                    <w:t>静压打桩机</w:t>
                  </w:r>
                </w:p>
              </w:tc>
              <w:tc>
                <w:tcPr>
                  <w:tcW w:w="645" w:type="pct"/>
                  <w:tcBorders>
                    <w:top w:val="nil"/>
                    <w:left w:val="nil"/>
                    <w:bottom w:val="single" w:color="auto" w:sz="4" w:space="0"/>
                    <w:right w:val="single" w:color="auto" w:sz="4" w:space="0"/>
                  </w:tcBorders>
                  <w:vAlign w:val="center"/>
                </w:tcPr>
                <w:p>
                  <w:pPr>
                    <w:snapToGrid w:val="0"/>
                    <w:jc w:val="center"/>
                    <w:rPr>
                      <w:szCs w:val="21"/>
                    </w:rPr>
                  </w:pPr>
                  <w:r>
                    <w:rPr>
                      <w:szCs w:val="21"/>
                      <w:lang w:bidi="ar"/>
                    </w:rPr>
                    <w:t>90</w:t>
                  </w:r>
                </w:p>
              </w:tc>
              <w:tc>
                <w:tcPr>
                  <w:tcW w:w="361" w:type="pct"/>
                  <w:vMerge w:val="continue"/>
                  <w:tcBorders>
                    <w:top w:val="nil"/>
                    <w:left w:val="single" w:color="auto" w:sz="4" w:space="0"/>
                    <w:bottom w:val="single" w:color="auto" w:sz="4" w:space="0"/>
                    <w:right w:val="single" w:color="auto" w:sz="4" w:space="0"/>
                  </w:tcBorders>
                  <w:vAlign w:val="center"/>
                </w:tcPr>
                <w:p>
                  <w:pPr>
                    <w:rPr>
                      <w:sz w:val="22"/>
                      <w:szCs w:val="22"/>
                    </w:rPr>
                  </w:pPr>
                </w:p>
              </w:tc>
              <w:tc>
                <w:tcPr>
                  <w:tcW w:w="358" w:type="pct"/>
                  <w:vMerge w:val="continue"/>
                  <w:tcBorders>
                    <w:top w:val="nil"/>
                    <w:left w:val="single" w:color="auto" w:sz="4" w:space="0"/>
                    <w:bottom w:val="single" w:color="auto" w:sz="4" w:space="0"/>
                    <w:right w:val="single" w:color="auto" w:sz="4" w:space="0"/>
                  </w:tcBorders>
                  <w:vAlign w:val="center"/>
                </w:tcPr>
                <w:p>
                  <w:pPr>
                    <w:rPr>
                      <w:sz w:val="22"/>
                      <w:szCs w:val="22"/>
                    </w:rPr>
                  </w:pPr>
                </w:p>
              </w:tc>
              <w:tc>
                <w:tcPr>
                  <w:tcW w:w="284" w:type="pct"/>
                  <w:tcBorders>
                    <w:top w:val="nil"/>
                    <w:left w:val="nil"/>
                    <w:bottom w:val="single" w:color="auto" w:sz="4" w:space="0"/>
                    <w:right w:val="single" w:color="auto" w:sz="4" w:space="0"/>
                  </w:tcBorders>
                  <w:vAlign w:val="center"/>
                </w:tcPr>
                <w:p>
                  <w:pPr>
                    <w:snapToGrid w:val="0"/>
                    <w:jc w:val="center"/>
                    <w:rPr>
                      <w:szCs w:val="21"/>
                    </w:rPr>
                  </w:pPr>
                  <w:r>
                    <w:rPr>
                      <w:szCs w:val="21"/>
                      <w:lang w:bidi="ar"/>
                    </w:rPr>
                    <w:t>70</w:t>
                  </w:r>
                </w:p>
              </w:tc>
              <w:tc>
                <w:tcPr>
                  <w:tcW w:w="284" w:type="pct"/>
                  <w:tcBorders>
                    <w:top w:val="nil"/>
                    <w:left w:val="nil"/>
                    <w:bottom w:val="single" w:color="auto" w:sz="4" w:space="0"/>
                    <w:right w:val="single" w:color="auto" w:sz="4" w:space="0"/>
                  </w:tcBorders>
                  <w:vAlign w:val="center"/>
                </w:tcPr>
                <w:p>
                  <w:pPr>
                    <w:snapToGrid w:val="0"/>
                    <w:jc w:val="center"/>
                    <w:rPr>
                      <w:szCs w:val="21"/>
                    </w:rPr>
                  </w:pPr>
                  <w:r>
                    <w:rPr>
                      <w:szCs w:val="21"/>
                      <w:lang w:bidi="ar"/>
                    </w:rPr>
                    <w:t>64</w:t>
                  </w:r>
                </w:p>
              </w:tc>
              <w:tc>
                <w:tcPr>
                  <w:tcW w:w="284" w:type="pct"/>
                  <w:tcBorders>
                    <w:top w:val="nil"/>
                    <w:left w:val="nil"/>
                    <w:bottom w:val="single" w:color="auto" w:sz="4" w:space="0"/>
                    <w:right w:val="single" w:color="auto" w:sz="4" w:space="0"/>
                  </w:tcBorders>
                  <w:vAlign w:val="center"/>
                </w:tcPr>
                <w:p>
                  <w:pPr>
                    <w:snapToGrid w:val="0"/>
                    <w:jc w:val="center"/>
                    <w:rPr>
                      <w:szCs w:val="21"/>
                    </w:rPr>
                  </w:pPr>
                  <w:r>
                    <w:rPr>
                      <w:szCs w:val="21"/>
                      <w:lang w:bidi="ar"/>
                    </w:rPr>
                    <w:t>60</w:t>
                  </w:r>
                </w:p>
              </w:tc>
              <w:tc>
                <w:tcPr>
                  <w:tcW w:w="284" w:type="pct"/>
                  <w:tcBorders>
                    <w:top w:val="nil"/>
                    <w:left w:val="nil"/>
                    <w:bottom w:val="single" w:color="auto" w:sz="4" w:space="0"/>
                    <w:right w:val="single" w:color="auto" w:sz="4" w:space="0"/>
                  </w:tcBorders>
                  <w:vAlign w:val="center"/>
                </w:tcPr>
                <w:p>
                  <w:pPr>
                    <w:snapToGrid w:val="0"/>
                    <w:jc w:val="center"/>
                    <w:rPr>
                      <w:szCs w:val="21"/>
                    </w:rPr>
                  </w:pPr>
                  <w:r>
                    <w:rPr>
                      <w:szCs w:val="21"/>
                      <w:lang w:bidi="ar"/>
                    </w:rPr>
                    <w:t>56</w:t>
                  </w:r>
                </w:p>
              </w:tc>
              <w:tc>
                <w:tcPr>
                  <w:tcW w:w="309" w:type="pct"/>
                  <w:tcBorders>
                    <w:top w:val="nil"/>
                    <w:left w:val="nil"/>
                    <w:bottom w:val="single" w:color="auto" w:sz="4" w:space="0"/>
                    <w:right w:val="single" w:color="auto" w:sz="4" w:space="0"/>
                  </w:tcBorders>
                  <w:vAlign w:val="center"/>
                </w:tcPr>
                <w:p>
                  <w:pPr>
                    <w:snapToGrid w:val="0"/>
                    <w:jc w:val="center"/>
                    <w:rPr>
                      <w:szCs w:val="21"/>
                    </w:rPr>
                  </w:pPr>
                  <w:r>
                    <w:rPr>
                      <w:szCs w:val="21"/>
                      <w:lang w:bidi="ar"/>
                    </w:rPr>
                    <w:t>50</w:t>
                  </w:r>
                </w:p>
              </w:tc>
              <w:tc>
                <w:tcPr>
                  <w:tcW w:w="309" w:type="pct"/>
                  <w:tcBorders>
                    <w:top w:val="nil"/>
                    <w:left w:val="nil"/>
                    <w:bottom w:val="single" w:color="auto" w:sz="4" w:space="0"/>
                    <w:right w:val="single" w:color="auto" w:sz="4" w:space="0"/>
                  </w:tcBorders>
                  <w:vAlign w:val="center"/>
                </w:tcPr>
                <w:p>
                  <w:pPr>
                    <w:snapToGrid w:val="0"/>
                    <w:jc w:val="center"/>
                    <w:rPr>
                      <w:szCs w:val="21"/>
                    </w:rPr>
                  </w:pPr>
                  <w:r>
                    <w:rPr>
                      <w:szCs w:val="21"/>
                      <w:lang w:bidi="ar"/>
                    </w:rPr>
                    <w:t>46</w:t>
                  </w:r>
                </w:p>
              </w:tc>
              <w:tc>
                <w:tcPr>
                  <w:tcW w:w="309" w:type="pct"/>
                  <w:tcBorders>
                    <w:top w:val="nil"/>
                    <w:left w:val="nil"/>
                    <w:bottom w:val="single" w:color="auto" w:sz="4" w:space="0"/>
                    <w:right w:val="single" w:color="auto" w:sz="4" w:space="0"/>
                  </w:tcBorders>
                  <w:vAlign w:val="center"/>
                </w:tcPr>
                <w:p>
                  <w:pPr>
                    <w:snapToGrid w:val="0"/>
                    <w:jc w:val="center"/>
                    <w:rPr>
                      <w:szCs w:val="21"/>
                    </w:rPr>
                  </w:pPr>
                  <w:r>
                    <w:rPr>
                      <w:szCs w:val="21"/>
                      <w:lang w:bidi="ar"/>
                    </w:rPr>
                    <w:t>44</w:t>
                  </w:r>
                </w:p>
              </w:tc>
              <w:tc>
                <w:tcPr>
                  <w:tcW w:w="309" w:type="pct"/>
                  <w:tcBorders>
                    <w:top w:val="nil"/>
                    <w:left w:val="nil"/>
                    <w:bottom w:val="single" w:color="auto" w:sz="4" w:space="0"/>
                    <w:right w:val="single" w:color="auto" w:sz="4" w:space="0"/>
                  </w:tcBorders>
                  <w:vAlign w:val="center"/>
                </w:tcPr>
                <w:p>
                  <w:pPr>
                    <w:snapToGrid w:val="0"/>
                    <w:jc w:val="center"/>
                    <w:rPr>
                      <w:szCs w:val="21"/>
                    </w:rPr>
                  </w:pPr>
                  <w:r>
                    <w:rPr>
                      <w:szCs w:val="21"/>
                      <w:lang w:bidi="ar"/>
                    </w:rPr>
                    <w:t>40</w:t>
                  </w:r>
                </w:p>
              </w:tc>
              <w:tc>
                <w:tcPr>
                  <w:tcW w:w="313" w:type="pct"/>
                  <w:tcBorders>
                    <w:top w:val="nil"/>
                    <w:left w:val="nil"/>
                    <w:bottom w:val="single" w:color="auto" w:sz="4" w:space="0"/>
                    <w:right w:val="single" w:color="auto" w:sz="4" w:space="0"/>
                  </w:tcBorders>
                  <w:vAlign w:val="center"/>
                </w:tcPr>
                <w:p>
                  <w:pPr>
                    <w:snapToGrid w:val="0"/>
                    <w:jc w:val="center"/>
                    <w:rPr>
                      <w:szCs w:val="21"/>
                    </w:rPr>
                  </w:pPr>
                  <w:r>
                    <w:rPr>
                      <w:szCs w:val="21"/>
                      <w:lang w:bidi="ar"/>
                    </w:rPr>
                    <w:t>38</w:t>
                  </w:r>
                </w:p>
              </w:tc>
            </w:tr>
            <w:tr>
              <w:tblPrEx>
                <w:tblCellMar>
                  <w:top w:w="0" w:type="dxa"/>
                  <w:left w:w="108" w:type="dxa"/>
                  <w:bottom w:w="0" w:type="dxa"/>
                  <w:right w:w="108" w:type="dxa"/>
                </w:tblCellMar>
              </w:tblPrEx>
              <w:trPr>
                <w:trHeight w:val="28" w:hRule="atLeast"/>
                <w:jc w:val="center"/>
              </w:trPr>
              <w:tc>
                <w:tcPr>
                  <w:tcW w:w="407" w:type="pct"/>
                  <w:vMerge w:val="continue"/>
                  <w:tcBorders>
                    <w:top w:val="nil"/>
                    <w:left w:val="single" w:color="auto" w:sz="4" w:space="0"/>
                    <w:bottom w:val="single" w:color="auto" w:sz="4" w:space="0"/>
                    <w:right w:val="single" w:color="auto" w:sz="4" w:space="0"/>
                  </w:tcBorders>
                  <w:vAlign w:val="center"/>
                </w:tcPr>
                <w:p>
                  <w:pPr>
                    <w:rPr>
                      <w:sz w:val="22"/>
                      <w:szCs w:val="22"/>
                    </w:rPr>
                  </w:pPr>
                </w:p>
              </w:tc>
              <w:tc>
                <w:tcPr>
                  <w:tcW w:w="535" w:type="pct"/>
                  <w:tcBorders>
                    <w:top w:val="nil"/>
                    <w:left w:val="nil"/>
                    <w:bottom w:val="single" w:color="auto" w:sz="4" w:space="0"/>
                    <w:right w:val="single" w:color="auto" w:sz="4" w:space="0"/>
                  </w:tcBorders>
                  <w:vAlign w:val="center"/>
                </w:tcPr>
                <w:p>
                  <w:pPr>
                    <w:snapToGrid w:val="0"/>
                    <w:jc w:val="center"/>
                    <w:rPr>
                      <w:szCs w:val="21"/>
                    </w:rPr>
                  </w:pPr>
                  <w:r>
                    <w:rPr>
                      <w:rFonts w:hint="eastAsia" w:cs="宋体"/>
                      <w:szCs w:val="21"/>
                      <w:lang w:bidi="ar"/>
                    </w:rPr>
                    <w:t>运输车辆</w:t>
                  </w:r>
                </w:p>
              </w:tc>
              <w:tc>
                <w:tcPr>
                  <w:tcW w:w="645" w:type="pct"/>
                  <w:tcBorders>
                    <w:top w:val="nil"/>
                    <w:left w:val="nil"/>
                    <w:bottom w:val="single" w:color="auto" w:sz="4" w:space="0"/>
                    <w:right w:val="single" w:color="auto" w:sz="4" w:space="0"/>
                  </w:tcBorders>
                  <w:vAlign w:val="center"/>
                </w:tcPr>
                <w:p>
                  <w:pPr>
                    <w:snapToGrid w:val="0"/>
                    <w:jc w:val="center"/>
                    <w:rPr>
                      <w:szCs w:val="21"/>
                    </w:rPr>
                  </w:pPr>
                  <w:r>
                    <w:rPr>
                      <w:szCs w:val="21"/>
                      <w:lang w:bidi="ar"/>
                    </w:rPr>
                    <w:t>95</w:t>
                  </w:r>
                </w:p>
              </w:tc>
              <w:tc>
                <w:tcPr>
                  <w:tcW w:w="361" w:type="pct"/>
                  <w:vMerge w:val="continue"/>
                  <w:tcBorders>
                    <w:top w:val="nil"/>
                    <w:left w:val="single" w:color="auto" w:sz="4" w:space="0"/>
                    <w:bottom w:val="single" w:color="auto" w:sz="4" w:space="0"/>
                    <w:right w:val="single" w:color="auto" w:sz="4" w:space="0"/>
                  </w:tcBorders>
                  <w:vAlign w:val="center"/>
                </w:tcPr>
                <w:p>
                  <w:pPr>
                    <w:rPr>
                      <w:sz w:val="22"/>
                      <w:szCs w:val="22"/>
                    </w:rPr>
                  </w:pPr>
                </w:p>
              </w:tc>
              <w:tc>
                <w:tcPr>
                  <w:tcW w:w="358" w:type="pct"/>
                  <w:vMerge w:val="continue"/>
                  <w:tcBorders>
                    <w:top w:val="nil"/>
                    <w:left w:val="single" w:color="auto" w:sz="4" w:space="0"/>
                    <w:bottom w:val="single" w:color="auto" w:sz="4" w:space="0"/>
                    <w:right w:val="single" w:color="auto" w:sz="4" w:space="0"/>
                  </w:tcBorders>
                  <w:vAlign w:val="center"/>
                </w:tcPr>
                <w:p>
                  <w:pPr>
                    <w:rPr>
                      <w:sz w:val="22"/>
                      <w:szCs w:val="22"/>
                    </w:rPr>
                  </w:pPr>
                </w:p>
              </w:tc>
              <w:tc>
                <w:tcPr>
                  <w:tcW w:w="284" w:type="pct"/>
                  <w:tcBorders>
                    <w:top w:val="nil"/>
                    <w:left w:val="nil"/>
                    <w:bottom w:val="single" w:color="auto" w:sz="4" w:space="0"/>
                    <w:right w:val="single" w:color="auto" w:sz="4" w:space="0"/>
                  </w:tcBorders>
                  <w:vAlign w:val="center"/>
                </w:tcPr>
                <w:p>
                  <w:pPr>
                    <w:snapToGrid w:val="0"/>
                    <w:jc w:val="center"/>
                    <w:rPr>
                      <w:szCs w:val="21"/>
                    </w:rPr>
                  </w:pPr>
                  <w:r>
                    <w:rPr>
                      <w:szCs w:val="21"/>
                      <w:lang w:bidi="ar"/>
                    </w:rPr>
                    <w:t>75</w:t>
                  </w:r>
                </w:p>
              </w:tc>
              <w:tc>
                <w:tcPr>
                  <w:tcW w:w="284" w:type="pct"/>
                  <w:tcBorders>
                    <w:top w:val="nil"/>
                    <w:left w:val="nil"/>
                    <w:bottom w:val="single" w:color="auto" w:sz="4" w:space="0"/>
                    <w:right w:val="single" w:color="auto" w:sz="4" w:space="0"/>
                  </w:tcBorders>
                  <w:vAlign w:val="center"/>
                </w:tcPr>
                <w:p>
                  <w:pPr>
                    <w:snapToGrid w:val="0"/>
                    <w:jc w:val="center"/>
                    <w:rPr>
                      <w:szCs w:val="21"/>
                    </w:rPr>
                  </w:pPr>
                  <w:r>
                    <w:rPr>
                      <w:szCs w:val="21"/>
                      <w:lang w:bidi="ar"/>
                    </w:rPr>
                    <w:t>69</w:t>
                  </w:r>
                </w:p>
              </w:tc>
              <w:tc>
                <w:tcPr>
                  <w:tcW w:w="284" w:type="pct"/>
                  <w:tcBorders>
                    <w:top w:val="nil"/>
                    <w:left w:val="nil"/>
                    <w:bottom w:val="single" w:color="auto" w:sz="4" w:space="0"/>
                    <w:right w:val="single" w:color="auto" w:sz="4" w:space="0"/>
                  </w:tcBorders>
                  <w:vAlign w:val="center"/>
                </w:tcPr>
                <w:p>
                  <w:pPr>
                    <w:snapToGrid w:val="0"/>
                    <w:jc w:val="center"/>
                    <w:rPr>
                      <w:szCs w:val="21"/>
                    </w:rPr>
                  </w:pPr>
                  <w:r>
                    <w:rPr>
                      <w:szCs w:val="21"/>
                      <w:lang w:bidi="ar"/>
                    </w:rPr>
                    <w:t>65</w:t>
                  </w:r>
                </w:p>
              </w:tc>
              <w:tc>
                <w:tcPr>
                  <w:tcW w:w="284" w:type="pct"/>
                  <w:tcBorders>
                    <w:top w:val="nil"/>
                    <w:left w:val="nil"/>
                    <w:bottom w:val="single" w:color="auto" w:sz="4" w:space="0"/>
                    <w:right w:val="single" w:color="auto" w:sz="4" w:space="0"/>
                  </w:tcBorders>
                  <w:vAlign w:val="center"/>
                </w:tcPr>
                <w:p>
                  <w:pPr>
                    <w:snapToGrid w:val="0"/>
                    <w:jc w:val="center"/>
                    <w:rPr>
                      <w:szCs w:val="21"/>
                    </w:rPr>
                  </w:pPr>
                  <w:r>
                    <w:rPr>
                      <w:szCs w:val="21"/>
                      <w:lang w:bidi="ar"/>
                    </w:rPr>
                    <w:t>61</w:t>
                  </w:r>
                </w:p>
              </w:tc>
              <w:tc>
                <w:tcPr>
                  <w:tcW w:w="309" w:type="pct"/>
                  <w:tcBorders>
                    <w:top w:val="nil"/>
                    <w:left w:val="nil"/>
                    <w:bottom w:val="single" w:color="auto" w:sz="4" w:space="0"/>
                    <w:right w:val="single" w:color="auto" w:sz="4" w:space="0"/>
                  </w:tcBorders>
                  <w:vAlign w:val="center"/>
                </w:tcPr>
                <w:p>
                  <w:pPr>
                    <w:snapToGrid w:val="0"/>
                    <w:jc w:val="center"/>
                    <w:rPr>
                      <w:szCs w:val="21"/>
                    </w:rPr>
                  </w:pPr>
                  <w:r>
                    <w:rPr>
                      <w:szCs w:val="21"/>
                      <w:lang w:bidi="ar"/>
                    </w:rPr>
                    <w:t>55</w:t>
                  </w:r>
                </w:p>
              </w:tc>
              <w:tc>
                <w:tcPr>
                  <w:tcW w:w="309" w:type="pct"/>
                  <w:tcBorders>
                    <w:top w:val="nil"/>
                    <w:left w:val="nil"/>
                    <w:bottom w:val="single" w:color="auto" w:sz="4" w:space="0"/>
                    <w:right w:val="single" w:color="auto" w:sz="4" w:space="0"/>
                  </w:tcBorders>
                  <w:vAlign w:val="center"/>
                </w:tcPr>
                <w:p>
                  <w:pPr>
                    <w:snapToGrid w:val="0"/>
                    <w:jc w:val="center"/>
                    <w:rPr>
                      <w:szCs w:val="21"/>
                    </w:rPr>
                  </w:pPr>
                  <w:r>
                    <w:rPr>
                      <w:szCs w:val="21"/>
                      <w:lang w:bidi="ar"/>
                    </w:rPr>
                    <w:t>51</w:t>
                  </w:r>
                </w:p>
              </w:tc>
              <w:tc>
                <w:tcPr>
                  <w:tcW w:w="309" w:type="pct"/>
                  <w:tcBorders>
                    <w:top w:val="nil"/>
                    <w:left w:val="nil"/>
                    <w:bottom w:val="single" w:color="auto" w:sz="4" w:space="0"/>
                    <w:right w:val="single" w:color="auto" w:sz="4" w:space="0"/>
                  </w:tcBorders>
                  <w:vAlign w:val="center"/>
                </w:tcPr>
                <w:p>
                  <w:pPr>
                    <w:snapToGrid w:val="0"/>
                    <w:jc w:val="center"/>
                    <w:rPr>
                      <w:szCs w:val="21"/>
                    </w:rPr>
                  </w:pPr>
                  <w:r>
                    <w:rPr>
                      <w:szCs w:val="21"/>
                      <w:lang w:bidi="ar"/>
                    </w:rPr>
                    <w:t>49</w:t>
                  </w:r>
                </w:p>
              </w:tc>
              <w:tc>
                <w:tcPr>
                  <w:tcW w:w="309" w:type="pct"/>
                  <w:tcBorders>
                    <w:top w:val="nil"/>
                    <w:left w:val="nil"/>
                    <w:bottom w:val="single" w:color="auto" w:sz="4" w:space="0"/>
                    <w:right w:val="single" w:color="auto" w:sz="4" w:space="0"/>
                  </w:tcBorders>
                  <w:vAlign w:val="center"/>
                </w:tcPr>
                <w:p>
                  <w:pPr>
                    <w:snapToGrid w:val="0"/>
                    <w:jc w:val="center"/>
                    <w:rPr>
                      <w:szCs w:val="21"/>
                    </w:rPr>
                  </w:pPr>
                  <w:r>
                    <w:rPr>
                      <w:szCs w:val="21"/>
                      <w:lang w:bidi="ar"/>
                    </w:rPr>
                    <w:t>45</w:t>
                  </w:r>
                </w:p>
              </w:tc>
              <w:tc>
                <w:tcPr>
                  <w:tcW w:w="313" w:type="pct"/>
                  <w:tcBorders>
                    <w:top w:val="nil"/>
                    <w:left w:val="nil"/>
                    <w:bottom w:val="single" w:color="auto" w:sz="4" w:space="0"/>
                    <w:right w:val="single" w:color="auto" w:sz="4" w:space="0"/>
                  </w:tcBorders>
                  <w:vAlign w:val="center"/>
                </w:tcPr>
                <w:p>
                  <w:pPr>
                    <w:snapToGrid w:val="0"/>
                    <w:jc w:val="center"/>
                    <w:rPr>
                      <w:szCs w:val="21"/>
                    </w:rPr>
                  </w:pPr>
                  <w:r>
                    <w:rPr>
                      <w:szCs w:val="21"/>
                      <w:lang w:bidi="ar"/>
                    </w:rPr>
                    <w:t>33</w:t>
                  </w:r>
                </w:p>
              </w:tc>
            </w:tr>
            <w:tr>
              <w:tblPrEx>
                <w:tblCellMar>
                  <w:top w:w="0" w:type="dxa"/>
                  <w:left w:w="108" w:type="dxa"/>
                  <w:bottom w:w="0" w:type="dxa"/>
                  <w:right w:w="108" w:type="dxa"/>
                </w:tblCellMar>
              </w:tblPrEx>
              <w:trPr>
                <w:trHeight w:val="28" w:hRule="atLeast"/>
                <w:jc w:val="center"/>
              </w:trPr>
              <w:tc>
                <w:tcPr>
                  <w:tcW w:w="407" w:type="pct"/>
                  <w:vMerge w:val="restart"/>
                  <w:tcBorders>
                    <w:top w:val="nil"/>
                    <w:left w:val="single" w:color="auto" w:sz="4" w:space="0"/>
                    <w:bottom w:val="single" w:color="000000" w:sz="4" w:space="0"/>
                    <w:right w:val="single" w:color="auto" w:sz="4" w:space="0"/>
                  </w:tcBorders>
                  <w:vAlign w:val="center"/>
                </w:tcPr>
                <w:p>
                  <w:pPr>
                    <w:snapToGrid w:val="0"/>
                    <w:jc w:val="center"/>
                    <w:rPr>
                      <w:szCs w:val="21"/>
                    </w:rPr>
                  </w:pPr>
                  <w:r>
                    <w:rPr>
                      <w:rFonts w:hint="eastAsia" w:cs="宋体"/>
                      <w:szCs w:val="21"/>
                      <w:lang w:bidi="ar"/>
                    </w:rPr>
                    <w:t>基础阶段</w:t>
                  </w:r>
                </w:p>
              </w:tc>
              <w:tc>
                <w:tcPr>
                  <w:tcW w:w="535" w:type="pct"/>
                  <w:tcBorders>
                    <w:top w:val="nil"/>
                    <w:left w:val="nil"/>
                    <w:bottom w:val="single" w:color="auto" w:sz="4" w:space="0"/>
                    <w:right w:val="single" w:color="auto" w:sz="4" w:space="0"/>
                  </w:tcBorders>
                  <w:vAlign w:val="center"/>
                </w:tcPr>
                <w:p>
                  <w:pPr>
                    <w:snapToGrid w:val="0"/>
                    <w:jc w:val="center"/>
                    <w:rPr>
                      <w:szCs w:val="21"/>
                    </w:rPr>
                  </w:pPr>
                  <w:r>
                    <w:rPr>
                      <w:rFonts w:hint="eastAsia" w:cs="宋体"/>
                      <w:szCs w:val="21"/>
                      <w:lang w:bidi="ar"/>
                    </w:rPr>
                    <w:t>静压式打桩机</w:t>
                  </w:r>
                </w:p>
              </w:tc>
              <w:tc>
                <w:tcPr>
                  <w:tcW w:w="645" w:type="pct"/>
                  <w:tcBorders>
                    <w:top w:val="nil"/>
                    <w:left w:val="nil"/>
                    <w:bottom w:val="single" w:color="auto" w:sz="4" w:space="0"/>
                    <w:right w:val="single" w:color="auto" w:sz="4" w:space="0"/>
                  </w:tcBorders>
                  <w:vAlign w:val="center"/>
                </w:tcPr>
                <w:p>
                  <w:pPr>
                    <w:snapToGrid w:val="0"/>
                    <w:jc w:val="center"/>
                    <w:rPr>
                      <w:szCs w:val="21"/>
                    </w:rPr>
                  </w:pPr>
                  <w:r>
                    <w:rPr>
                      <w:szCs w:val="21"/>
                      <w:lang w:bidi="ar"/>
                    </w:rPr>
                    <w:t>85</w:t>
                  </w:r>
                </w:p>
              </w:tc>
              <w:tc>
                <w:tcPr>
                  <w:tcW w:w="361" w:type="pct"/>
                  <w:vMerge w:val="continue"/>
                  <w:tcBorders>
                    <w:top w:val="nil"/>
                    <w:left w:val="single" w:color="auto" w:sz="4" w:space="0"/>
                    <w:bottom w:val="single" w:color="auto" w:sz="4" w:space="0"/>
                    <w:right w:val="single" w:color="auto" w:sz="4" w:space="0"/>
                  </w:tcBorders>
                  <w:vAlign w:val="center"/>
                </w:tcPr>
                <w:p>
                  <w:pPr>
                    <w:rPr>
                      <w:sz w:val="22"/>
                      <w:szCs w:val="22"/>
                    </w:rPr>
                  </w:pPr>
                </w:p>
              </w:tc>
              <w:tc>
                <w:tcPr>
                  <w:tcW w:w="358" w:type="pct"/>
                  <w:vMerge w:val="continue"/>
                  <w:tcBorders>
                    <w:top w:val="nil"/>
                    <w:left w:val="single" w:color="auto" w:sz="4" w:space="0"/>
                    <w:bottom w:val="single" w:color="auto" w:sz="4" w:space="0"/>
                    <w:right w:val="single" w:color="auto" w:sz="4" w:space="0"/>
                  </w:tcBorders>
                  <w:vAlign w:val="center"/>
                </w:tcPr>
                <w:p>
                  <w:pPr>
                    <w:rPr>
                      <w:sz w:val="22"/>
                      <w:szCs w:val="22"/>
                    </w:rPr>
                  </w:pPr>
                </w:p>
              </w:tc>
              <w:tc>
                <w:tcPr>
                  <w:tcW w:w="284" w:type="pct"/>
                  <w:tcBorders>
                    <w:top w:val="nil"/>
                    <w:left w:val="nil"/>
                    <w:bottom w:val="single" w:color="auto" w:sz="4" w:space="0"/>
                    <w:right w:val="single" w:color="auto" w:sz="4" w:space="0"/>
                  </w:tcBorders>
                  <w:vAlign w:val="center"/>
                </w:tcPr>
                <w:p>
                  <w:pPr>
                    <w:snapToGrid w:val="0"/>
                    <w:jc w:val="center"/>
                    <w:rPr>
                      <w:szCs w:val="21"/>
                    </w:rPr>
                  </w:pPr>
                  <w:r>
                    <w:rPr>
                      <w:szCs w:val="21"/>
                      <w:lang w:bidi="ar"/>
                    </w:rPr>
                    <w:t>65</w:t>
                  </w:r>
                </w:p>
              </w:tc>
              <w:tc>
                <w:tcPr>
                  <w:tcW w:w="284" w:type="pct"/>
                  <w:tcBorders>
                    <w:top w:val="nil"/>
                    <w:left w:val="nil"/>
                    <w:bottom w:val="single" w:color="auto" w:sz="4" w:space="0"/>
                    <w:right w:val="single" w:color="auto" w:sz="4" w:space="0"/>
                  </w:tcBorders>
                  <w:vAlign w:val="center"/>
                </w:tcPr>
                <w:p>
                  <w:pPr>
                    <w:snapToGrid w:val="0"/>
                    <w:jc w:val="center"/>
                    <w:rPr>
                      <w:szCs w:val="21"/>
                    </w:rPr>
                  </w:pPr>
                  <w:r>
                    <w:rPr>
                      <w:szCs w:val="21"/>
                      <w:lang w:bidi="ar"/>
                    </w:rPr>
                    <w:t>59</w:t>
                  </w:r>
                </w:p>
              </w:tc>
              <w:tc>
                <w:tcPr>
                  <w:tcW w:w="284" w:type="pct"/>
                  <w:tcBorders>
                    <w:top w:val="nil"/>
                    <w:left w:val="nil"/>
                    <w:bottom w:val="single" w:color="auto" w:sz="4" w:space="0"/>
                    <w:right w:val="single" w:color="auto" w:sz="4" w:space="0"/>
                  </w:tcBorders>
                  <w:vAlign w:val="center"/>
                </w:tcPr>
                <w:p>
                  <w:pPr>
                    <w:snapToGrid w:val="0"/>
                    <w:jc w:val="center"/>
                    <w:rPr>
                      <w:szCs w:val="21"/>
                    </w:rPr>
                  </w:pPr>
                  <w:r>
                    <w:rPr>
                      <w:szCs w:val="21"/>
                      <w:lang w:bidi="ar"/>
                    </w:rPr>
                    <w:t>65</w:t>
                  </w:r>
                </w:p>
              </w:tc>
              <w:tc>
                <w:tcPr>
                  <w:tcW w:w="284" w:type="pct"/>
                  <w:tcBorders>
                    <w:top w:val="nil"/>
                    <w:left w:val="nil"/>
                    <w:bottom w:val="single" w:color="auto" w:sz="4" w:space="0"/>
                    <w:right w:val="single" w:color="auto" w:sz="4" w:space="0"/>
                  </w:tcBorders>
                  <w:vAlign w:val="center"/>
                </w:tcPr>
                <w:p>
                  <w:pPr>
                    <w:snapToGrid w:val="0"/>
                    <w:jc w:val="center"/>
                    <w:rPr>
                      <w:szCs w:val="21"/>
                    </w:rPr>
                  </w:pPr>
                  <w:r>
                    <w:rPr>
                      <w:szCs w:val="21"/>
                      <w:lang w:bidi="ar"/>
                    </w:rPr>
                    <w:t>51</w:t>
                  </w:r>
                </w:p>
              </w:tc>
              <w:tc>
                <w:tcPr>
                  <w:tcW w:w="309" w:type="pct"/>
                  <w:tcBorders>
                    <w:top w:val="nil"/>
                    <w:left w:val="nil"/>
                    <w:bottom w:val="single" w:color="auto" w:sz="4" w:space="0"/>
                    <w:right w:val="single" w:color="auto" w:sz="4" w:space="0"/>
                  </w:tcBorders>
                  <w:vAlign w:val="center"/>
                </w:tcPr>
                <w:p>
                  <w:pPr>
                    <w:snapToGrid w:val="0"/>
                    <w:jc w:val="center"/>
                    <w:rPr>
                      <w:szCs w:val="21"/>
                    </w:rPr>
                  </w:pPr>
                  <w:r>
                    <w:rPr>
                      <w:szCs w:val="21"/>
                      <w:lang w:bidi="ar"/>
                    </w:rPr>
                    <w:t>45</w:t>
                  </w:r>
                </w:p>
              </w:tc>
              <w:tc>
                <w:tcPr>
                  <w:tcW w:w="309" w:type="pct"/>
                  <w:tcBorders>
                    <w:top w:val="nil"/>
                    <w:left w:val="nil"/>
                    <w:bottom w:val="single" w:color="auto" w:sz="4" w:space="0"/>
                    <w:right w:val="single" w:color="auto" w:sz="4" w:space="0"/>
                  </w:tcBorders>
                  <w:vAlign w:val="center"/>
                </w:tcPr>
                <w:p>
                  <w:pPr>
                    <w:snapToGrid w:val="0"/>
                    <w:jc w:val="center"/>
                    <w:rPr>
                      <w:szCs w:val="21"/>
                    </w:rPr>
                  </w:pPr>
                  <w:r>
                    <w:rPr>
                      <w:szCs w:val="21"/>
                      <w:lang w:bidi="ar"/>
                    </w:rPr>
                    <w:t>41</w:t>
                  </w:r>
                </w:p>
              </w:tc>
              <w:tc>
                <w:tcPr>
                  <w:tcW w:w="309" w:type="pct"/>
                  <w:tcBorders>
                    <w:top w:val="nil"/>
                    <w:left w:val="nil"/>
                    <w:bottom w:val="single" w:color="auto" w:sz="4" w:space="0"/>
                    <w:right w:val="single" w:color="auto" w:sz="4" w:space="0"/>
                  </w:tcBorders>
                  <w:vAlign w:val="center"/>
                </w:tcPr>
                <w:p>
                  <w:pPr>
                    <w:snapToGrid w:val="0"/>
                    <w:jc w:val="center"/>
                    <w:rPr>
                      <w:szCs w:val="21"/>
                    </w:rPr>
                  </w:pPr>
                  <w:r>
                    <w:rPr>
                      <w:szCs w:val="21"/>
                      <w:lang w:bidi="ar"/>
                    </w:rPr>
                    <w:t>39</w:t>
                  </w:r>
                </w:p>
              </w:tc>
              <w:tc>
                <w:tcPr>
                  <w:tcW w:w="309" w:type="pct"/>
                  <w:tcBorders>
                    <w:top w:val="nil"/>
                    <w:left w:val="nil"/>
                    <w:bottom w:val="single" w:color="auto" w:sz="4" w:space="0"/>
                    <w:right w:val="single" w:color="auto" w:sz="4" w:space="0"/>
                  </w:tcBorders>
                  <w:vAlign w:val="center"/>
                </w:tcPr>
                <w:p>
                  <w:pPr>
                    <w:snapToGrid w:val="0"/>
                    <w:jc w:val="center"/>
                    <w:rPr>
                      <w:szCs w:val="21"/>
                    </w:rPr>
                  </w:pPr>
                  <w:r>
                    <w:rPr>
                      <w:szCs w:val="21"/>
                      <w:lang w:bidi="ar"/>
                    </w:rPr>
                    <w:t>35</w:t>
                  </w:r>
                </w:p>
              </w:tc>
              <w:tc>
                <w:tcPr>
                  <w:tcW w:w="313" w:type="pct"/>
                  <w:tcBorders>
                    <w:top w:val="nil"/>
                    <w:left w:val="nil"/>
                    <w:bottom w:val="single" w:color="auto" w:sz="4" w:space="0"/>
                    <w:right w:val="single" w:color="auto" w:sz="4" w:space="0"/>
                  </w:tcBorders>
                  <w:vAlign w:val="center"/>
                </w:tcPr>
                <w:p>
                  <w:pPr>
                    <w:snapToGrid w:val="0"/>
                    <w:jc w:val="center"/>
                    <w:rPr>
                      <w:szCs w:val="21"/>
                    </w:rPr>
                  </w:pPr>
                  <w:r>
                    <w:rPr>
                      <w:szCs w:val="21"/>
                      <w:lang w:bidi="ar"/>
                    </w:rPr>
                    <w:t>33</w:t>
                  </w:r>
                </w:p>
              </w:tc>
            </w:tr>
            <w:tr>
              <w:tblPrEx>
                <w:tblCellMar>
                  <w:top w:w="0" w:type="dxa"/>
                  <w:left w:w="108" w:type="dxa"/>
                  <w:bottom w:w="0" w:type="dxa"/>
                  <w:right w:w="108" w:type="dxa"/>
                </w:tblCellMar>
              </w:tblPrEx>
              <w:trPr>
                <w:trHeight w:val="28" w:hRule="atLeast"/>
                <w:jc w:val="center"/>
              </w:trPr>
              <w:tc>
                <w:tcPr>
                  <w:tcW w:w="407" w:type="pct"/>
                  <w:vMerge w:val="continue"/>
                  <w:tcBorders>
                    <w:top w:val="nil"/>
                    <w:left w:val="single" w:color="auto" w:sz="4" w:space="0"/>
                    <w:bottom w:val="single" w:color="000000" w:sz="4" w:space="0"/>
                    <w:right w:val="single" w:color="auto" w:sz="4" w:space="0"/>
                  </w:tcBorders>
                  <w:vAlign w:val="center"/>
                </w:tcPr>
                <w:p>
                  <w:pPr>
                    <w:rPr>
                      <w:sz w:val="22"/>
                      <w:szCs w:val="22"/>
                    </w:rPr>
                  </w:pPr>
                </w:p>
              </w:tc>
              <w:tc>
                <w:tcPr>
                  <w:tcW w:w="535" w:type="pct"/>
                  <w:tcBorders>
                    <w:top w:val="nil"/>
                    <w:left w:val="nil"/>
                    <w:bottom w:val="single" w:color="auto" w:sz="4" w:space="0"/>
                    <w:right w:val="single" w:color="auto" w:sz="4" w:space="0"/>
                  </w:tcBorders>
                  <w:vAlign w:val="center"/>
                </w:tcPr>
                <w:p>
                  <w:pPr>
                    <w:snapToGrid w:val="0"/>
                    <w:jc w:val="center"/>
                    <w:rPr>
                      <w:szCs w:val="21"/>
                    </w:rPr>
                  </w:pPr>
                  <w:r>
                    <w:rPr>
                      <w:rFonts w:hint="eastAsia" w:cs="宋体"/>
                      <w:szCs w:val="21"/>
                      <w:lang w:bidi="ar"/>
                    </w:rPr>
                    <w:t>钻孔机</w:t>
                  </w:r>
                </w:p>
              </w:tc>
              <w:tc>
                <w:tcPr>
                  <w:tcW w:w="645" w:type="pct"/>
                  <w:tcBorders>
                    <w:top w:val="nil"/>
                    <w:left w:val="nil"/>
                    <w:bottom w:val="single" w:color="auto" w:sz="4" w:space="0"/>
                    <w:right w:val="single" w:color="auto" w:sz="4" w:space="0"/>
                  </w:tcBorders>
                  <w:vAlign w:val="center"/>
                </w:tcPr>
                <w:p>
                  <w:pPr>
                    <w:snapToGrid w:val="0"/>
                    <w:jc w:val="center"/>
                    <w:rPr>
                      <w:szCs w:val="21"/>
                    </w:rPr>
                  </w:pPr>
                  <w:r>
                    <w:rPr>
                      <w:szCs w:val="21"/>
                      <w:lang w:bidi="ar"/>
                    </w:rPr>
                    <w:t>100</w:t>
                  </w:r>
                </w:p>
              </w:tc>
              <w:tc>
                <w:tcPr>
                  <w:tcW w:w="361" w:type="pct"/>
                  <w:vMerge w:val="continue"/>
                  <w:tcBorders>
                    <w:top w:val="nil"/>
                    <w:left w:val="single" w:color="auto" w:sz="4" w:space="0"/>
                    <w:bottom w:val="single" w:color="auto" w:sz="4" w:space="0"/>
                    <w:right w:val="single" w:color="auto" w:sz="4" w:space="0"/>
                  </w:tcBorders>
                  <w:vAlign w:val="center"/>
                </w:tcPr>
                <w:p>
                  <w:pPr>
                    <w:rPr>
                      <w:sz w:val="22"/>
                      <w:szCs w:val="22"/>
                    </w:rPr>
                  </w:pPr>
                </w:p>
              </w:tc>
              <w:tc>
                <w:tcPr>
                  <w:tcW w:w="358" w:type="pct"/>
                  <w:vMerge w:val="continue"/>
                  <w:tcBorders>
                    <w:top w:val="nil"/>
                    <w:left w:val="single" w:color="auto" w:sz="4" w:space="0"/>
                    <w:bottom w:val="single" w:color="auto" w:sz="4" w:space="0"/>
                    <w:right w:val="single" w:color="auto" w:sz="4" w:space="0"/>
                  </w:tcBorders>
                  <w:vAlign w:val="center"/>
                </w:tcPr>
                <w:p>
                  <w:pPr>
                    <w:rPr>
                      <w:sz w:val="22"/>
                      <w:szCs w:val="22"/>
                    </w:rPr>
                  </w:pPr>
                </w:p>
              </w:tc>
              <w:tc>
                <w:tcPr>
                  <w:tcW w:w="284" w:type="pct"/>
                  <w:tcBorders>
                    <w:top w:val="nil"/>
                    <w:left w:val="nil"/>
                    <w:bottom w:val="single" w:color="auto" w:sz="4" w:space="0"/>
                    <w:right w:val="single" w:color="auto" w:sz="4" w:space="0"/>
                  </w:tcBorders>
                  <w:vAlign w:val="center"/>
                </w:tcPr>
                <w:p>
                  <w:pPr>
                    <w:snapToGrid w:val="0"/>
                    <w:jc w:val="center"/>
                    <w:rPr>
                      <w:szCs w:val="21"/>
                    </w:rPr>
                  </w:pPr>
                  <w:r>
                    <w:rPr>
                      <w:szCs w:val="21"/>
                      <w:lang w:bidi="ar"/>
                    </w:rPr>
                    <w:t>80</w:t>
                  </w:r>
                </w:p>
              </w:tc>
              <w:tc>
                <w:tcPr>
                  <w:tcW w:w="284" w:type="pct"/>
                  <w:tcBorders>
                    <w:top w:val="nil"/>
                    <w:left w:val="nil"/>
                    <w:bottom w:val="single" w:color="auto" w:sz="4" w:space="0"/>
                    <w:right w:val="single" w:color="auto" w:sz="4" w:space="0"/>
                  </w:tcBorders>
                  <w:vAlign w:val="center"/>
                </w:tcPr>
                <w:p>
                  <w:pPr>
                    <w:snapToGrid w:val="0"/>
                    <w:jc w:val="center"/>
                    <w:rPr>
                      <w:szCs w:val="21"/>
                    </w:rPr>
                  </w:pPr>
                  <w:r>
                    <w:rPr>
                      <w:szCs w:val="21"/>
                      <w:lang w:bidi="ar"/>
                    </w:rPr>
                    <w:t>74</w:t>
                  </w:r>
                </w:p>
              </w:tc>
              <w:tc>
                <w:tcPr>
                  <w:tcW w:w="284" w:type="pct"/>
                  <w:tcBorders>
                    <w:top w:val="nil"/>
                    <w:left w:val="nil"/>
                    <w:bottom w:val="single" w:color="auto" w:sz="4" w:space="0"/>
                    <w:right w:val="single" w:color="auto" w:sz="4" w:space="0"/>
                  </w:tcBorders>
                  <w:vAlign w:val="center"/>
                </w:tcPr>
                <w:p>
                  <w:pPr>
                    <w:snapToGrid w:val="0"/>
                    <w:jc w:val="center"/>
                    <w:rPr>
                      <w:szCs w:val="21"/>
                    </w:rPr>
                  </w:pPr>
                  <w:r>
                    <w:rPr>
                      <w:szCs w:val="21"/>
                      <w:lang w:bidi="ar"/>
                    </w:rPr>
                    <w:t>70</w:t>
                  </w:r>
                </w:p>
              </w:tc>
              <w:tc>
                <w:tcPr>
                  <w:tcW w:w="284" w:type="pct"/>
                  <w:tcBorders>
                    <w:top w:val="nil"/>
                    <w:left w:val="nil"/>
                    <w:bottom w:val="single" w:color="auto" w:sz="4" w:space="0"/>
                    <w:right w:val="single" w:color="auto" w:sz="4" w:space="0"/>
                  </w:tcBorders>
                  <w:vAlign w:val="center"/>
                </w:tcPr>
                <w:p>
                  <w:pPr>
                    <w:snapToGrid w:val="0"/>
                    <w:jc w:val="center"/>
                    <w:rPr>
                      <w:szCs w:val="21"/>
                    </w:rPr>
                  </w:pPr>
                  <w:r>
                    <w:rPr>
                      <w:szCs w:val="21"/>
                      <w:lang w:bidi="ar"/>
                    </w:rPr>
                    <w:t>66</w:t>
                  </w:r>
                </w:p>
              </w:tc>
              <w:tc>
                <w:tcPr>
                  <w:tcW w:w="309" w:type="pct"/>
                  <w:tcBorders>
                    <w:top w:val="nil"/>
                    <w:left w:val="nil"/>
                    <w:bottom w:val="single" w:color="auto" w:sz="4" w:space="0"/>
                    <w:right w:val="single" w:color="auto" w:sz="4" w:space="0"/>
                  </w:tcBorders>
                  <w:vAlign w:val="center"/>
                </w:tcPr>
                <w:p>
                  <w:pPr>
                    <w:snapToGrid w:val="0"/>
                    <w:jc w:val="center"/>
                    <w:rPr>
                      <w:szCs w:val="21"/>
                    </w:rPr>
                  </w:pPr>
                  <w:r>
                    <w:rPr>
                      <w:szCs w:val="21"/>
                      <w:lang w:bidi="ar"/>
                    </w:rPr>
                    <w:t>60</w:t>
                  </w:r>
                </w:p>
              </w:tc>
              <w:tc>
                <w:tcPr>
                  <w:tcW w:w="309" w:type="pct"/>
                  <w:tcBorders>
                    <w:top w:val="nil"/>
                    <w:left w:val="nil"/>
                    <w:bottom w:val="single" w:color="auto" w:sz="4" w:space="0"/>
                    <w:right w:val="single" w:color="auto" w:sz="4" w:space="0"/>
                  </w:tcBorders>
                  <w:vAlign w:val="center"/>
                </w:tcPr>
                <w:p>
                  <w:pPr>
                    <w:snapToGrid w:val="0"/>
                    <w:jc w:val="center"/>
                    <w:rPr>
                      <w:szCs w:val="21"/>
                    </w:rPr>
                  </w:pPr>
                  <w:r>
                    <w:rPr>
                      <w:szCs w:val="21"/>
                      <w:lang w:bidi="ar"/>
                    </w:rPr>
                    <w:t>56</w:t>
                  </w:r>
                </w:p>
              </w:tc>
              <w:tc>
                <w:tcPr>
                  <w:tcW w:w="309" w:type="pct"/>
                  <w:tcBorders>
                    <w:top w:val="nil"/>
                    <w:left w:val="nil"/>
                    <w:bottom w:val="single" w:color="auto" w:sz="4" w:space="0"/>
                    <w:right w:val="single" w:color="auto" w:sz="4" w:space="0"/>
                  </w:tcBorders>
                  <w:vAlign w:val="center"/>
                </w:tcPr>
                <w:p>
                  <w:pPr>
                    <w:snapToGrid w:val="0"/>
                    <w:jc w:val="center"/>
                    <w:rPr>
                      <w:szCs w:val="21"/>
                    </w:rPr>
                  </w:pPr>
                  <w:r>
                    <w:rPr>
                      <w:szCs w:val="21"/>
                      <w:lang w:bidi="ar"/>
                    </w:rPr>
                    <w:t>54</w:t>
                  </w:r>
                </w:p>
              </w:tc>
              <w:tc>
                <w:tcPr>
                  <w:tcW w:w="309" w:type="pct"/>
                  <w:tcBorders>
                    <w:top w:val="nil"/>
                    <w:left w:val="nil"/>
                    <w:bottom w:val="single" w:color="auto" w:sz="4" w:space="0"/>
                    <w:right w:val="single" w:color="auto" w:sz="4" w:space="0"/>
                  </w:tcBorders>
                  <w:vAlign w:val="center"/>
                </w:tcPr>
                <w:p>
                  <w:pPr>
                    <w:snapToGrid w:val="0"/>
                    <w:jc w:val="center"/>
                    <w:rPr>
                      <w:szCs w:val="21"/>
                    </w:rPr>
                  </w:pPr>
                  <w:r>
                    <w:rPr>
                      <w:szCs w:val="21"/>
                      <w:lang w:bidi="ar"/>
                    </w:rPr>
                    <w:t>50</w:t>
                  </w:r>
                </w:p>
              </w:tc>
              <w:tc>
                <w:tcPr>
                  <w:tcW w:w="313" w:type="pct"/>
                  <w:tcBorders>
                    <w:top w:val="nil"/>
                    <w:left w:val="nil"/>
                    <w:bottom w:val="single" w:color="auto" w:sz="4" w:space="0"/>
                    <w:right w:val="single" w:color="auto" w:sz="4" w:space="0"/>
                  </w:tcBorders>
                  <w:vAlign w:val="center"/>
                </w:tcPr>
                <w:p>
                  <w:pPr>
                    <w:snapToGrid w:val="0"/>
                    <w:jc w:val="center"/>
                    <w:rPr>
                      <w:szCs w:val="21"/>
                    </w:rPr>
                  </w:pPr>
                  <w:r>
                    <w:rPr>
                      <w:szCs w:val="21"/>
                      <w:lang w:bidi="ar"/>
                    </w:rPr>
                    <w:t>48</w:t>
                  </w:r>
                </w:p>
              </w:tc>
            </w:tr>
            <w:tr>
              <w:tblPrEx>
                <w:tblCellMar>
                  <w:top w:w="0" w:type="dxa"/>
                  <w:left w:w="108" w:type="dxa"/>
                  <w:bottom w:w="0" w:type="dxa"/>
                  <w:right w:w="108" w:type="dxa"/>
                </w:tblCellMar>
              </w:tblPrEx>
              <w:trPr>
                <w:trHeight w:val="28" w:hRule="atLeast"/>
                <w:jc w:val="center"/>
              </w:trPr>
              <w:tc>
                <w:tcPr>
                  <w:tcW w:w="407" w:type="pct"/>
                  <w:vMerge w:val="restart"/>
                  <w:tcBorders>
                    <w:top w:val="nil"/>
                    <w:left w:val="single" w:color="auto" w:sz="4" w:space="0"/>
                    <w:bottom w:val="single" w:color="auto" w:sz="4" w:space="0"/>
                    <w:right w:val="single" w:color="auto" w:sz="4" w:space="0"/>
                  </w:tcBorders>
                  <w:vAlign w:val="center"/>
                </w:tcPr>
                <w:p>
                  <w:pPr>
                    <w:snapToGrid w:val="0"/>
                    <w:jc w:val="center"/>
                    <w:rPr>
                      <w:szCs w:val="21"/>
                    </w:rPr>
                  </w:pPr>
                  <w:r>
                    <w:rPr>
                      <w:rFonts w:hint="eastAsia" w:cs="宋体"/>
                      <w:szCs w:val="21"/>
                      <w:lang w:bidi="ar"/>
                    </w:rPr>
                    <w:t>结构阶段</w:t>
                  </w:r>
                </w:p>
              </w:tc>
              <w:tc>
                <w:tcPr>
                  <w:tcW w:w="535" w:type="pct"/>
                  <w:tcBorders>
                    <w:top w:val="nil"/>
                    <w:left w:val="nil"/>
                    <w:bottom w:val="single" w:color="auto" w:sz="4" w:space="0"/>
                    <w:right w:val="single" w:color="auto" w:sz="4" w:space="0"/>
                  </w:tcBorders>
                  <w:vAlign w:val="center"/>
                </w:tcPr>
                <w:p>
                  <w:pPr>
                    <w:snapToGrid w:val="0"/>
                    <w:jc w:val="center"/>
                    <w:rPr>
                      <w:szCs w:val="21"/>
                    </w:rPr>
                  </w:pPr>
                  <w:r>
                    <w:rPr>
                      <w:rFonts w:hint="eastAsia" w:cs="宋体"/>
                      <w:szCs w:val="21"/>
                      <w:lang w:bidi="ar"/>
                    </w:rPr>
                    <w:t>混凝土输送车</w:t>
                  </w:r>
                </w:p>
              </w:tc>
              <w:tc>
                <w:tcPr>
                  <w:tcW w:w="645" w:type="pct"/>
                  <w:tcBorders>
                    <w:top w:val="nil"/>
                    <w:left w:val="nil"/>
                    <w:bottom w:val="single" w:color="auto" w:sz="4" w:space="0"/>
                    <w:right w:val="single" w:color="auto" w:sz="4" w:space="0"/>
                  </w:tcBorders>
                  <w:vAlign w:val="center"/>
                </w:tcPr>
                <w:p>
                  <w:pPr>
                    <w:snapToGrid w:val="0"/>
                    <w:jc w:val="center"/>
                    <w:rPr>
                      <w:szCs w:val="21"/>
                    </w:rPr>
                  </w:pPr>
                  <w:r>
                    <w:rPr>
                      <w:szCs w:val="21"/>
                      <w:lang w:bidi="ar"/>
                    </w:rPr>
                    <w:t>90</w:t>
                  </w:r>
                </w:p>
              </w:tc>
              <w:tc>
                <w:tcPr>
                  <w:tcW w:w="361" w:type="pct"/>
                  <w:vMerge w:val="continue"/>
                  <w:tcBorders>
                    <w:top w:val="nil"/>
                    <w:left w:val="single" w:color="auto" w:sz="4" w:space="0"/>
                    <w:bottom w:val="single" w:color="auto" w:sz="4" w:space="0"/>
                    <w:right w:val="single" w:color="auto" w:sz="4" w:space="0"/>
                  </w:tcBorders>
                  <w:vAlign w:val="center"/>
                </w:tcPr>
                <w:p>
                  <w:pPr>
                    <w:rPr>
                      <w:sz w:val="22"/>
                      <w:szCs w:val="22"/>
                    </w:rPr>
                  </w:pPr>
                </w:p>
              </w:tc>
              <w:tc>
                <w:tcPr>
                  <w:tcW w:w="358" w:type="pct"/>
                  <w:vMerge w:val="continue"/>
                  <w:tcBorders>
                    <w:top w:val="nil"/>
                    <w:left w:val="single" w:color="auto" w:sz="4" w:space="0"/>
                    <w:bottom w:val="single" w:color="auto" w:sz="4" w:space="0"/>
                    <w:right w:val="single" w:color="auto" w:sz="4" w:space="0"/>
                  </w:tcBorders>
                  <w:vAlign w:val="center"/>
                </w:tcPr>
                <w:p>
                  <w:pPr>
                    <w:rPr>
                      <w:sz w:val="22"/>
                      <w:szCs w:val="22"/>
                    </w:rPr>
                  </w:pPr>
                </w:p>
              </w:tc>
              <w:tc>
                <w:tcPr>
                  <w:tcW w:w="284" w:type="pct"/>
                  <w:tcBorders>
                    <w:top w:val="nil"/>
                    <w:left w:val="nil"/>
                    <w:bottom w:val="single" w:color="auto" w:sz="4" w:space="0"/>
                    <w:right w:val="single" w:color="auto" w:sz="4" w:space="0"/>
                  </w:tcBorders>
                  <w:vAlign w:val="center"/>
                </w:tcPr>
                <w:p>
                  <w:pPr>
                    <w:snapToGrid w:val="0"/>
                    <w:jc w:val="center"/>
                    <w:rPr>
                      <w:szCs w:val="21"/>
                    </w:rPr>
                  </w:pPr>
                  <w:r>
                    <w:rPr>
                      <w:szCs w:val="21"/>
                      <w:lang w:bidi="ar"/>
                    </w:rPr>
                    <w:t>70</w:t>
                  </w:r>
                </w:p>
              </w:tc>
              <w:tc>
                <w:tcPr>
                  <w:tcW w:w="284" w:type="pct"/>
                  <w:tcBorders>
                    <w:top w:val="nil"/>
                    <w:left w:val="nil"/>
                    <w:bottom w:val="single" w:color="auto" w:sz="4" w:space="0"/>
                    <w:right w:val="single" w:color="auto" w:sz="4" w:space="0"/>
                  </w:tcBorders>
                  <w:vAlign w:val="center"/>
                </w:tcPr>
                <w:p>
                  <w:pPr>
                    <w:snapToGrid w:val="0"/>
                    <w:jc w:val="center"/>
                    <w:rPr>
                      <w:szCs w:val="21"/>
                    </w:rPr>
                  </w:pPr>
                  <w:r>
                    <w:rPr>
                      <w:szCs w:val="21"/>
                      <w:lang w:bidi="ar"/>
                    </w:rPr>
                    <w:t>64</w:t>
                  </w:r>
                </w:p>
              </w:tc>
              <w:tc>
                <w:tcPr>
                  <w:tcW w:w="284" w:type="pct"/>
                  <w:tcBorders>
                    <w:top w:val="nil"/>
                    <w:left w:val="nil"/>
                    <w:bottom w:val="single" w:color="auto" w:sz="4" w:space="0"/>
                    <w:right w:val="single" w:color="auto" w:sz="4" w:space="0"/>
                  </w:tcBorders>
                  <w:vAlign w:val="center"/>
                </w:tcPr>
                <w:p>
                  <w:pPr>
                    <w:snapToGrid w:val="0"/>
                    <w:jc w:val="center"/>
                    <w:rPr>
                      <w:szCs w:val="21"/>
                    </w:rPr>
                  </w:pPr>
                  <w:r>
                    <w:rPr>
                      <w:szCs w:val="21"/>
                      <w:lang w:bidi="ar"/>
                    </w:rPr>
                    <w:t>60</w:t>
                  </w:r>
                </w:p>
              </w:tc>
              <w:tc>
                <w:tcPr>
                  <w:tcW w:w="284" w:type="pct"/>
                  <w:tcBorders>
                    <w:top w:val="nil"/>
                    <w:left w:val="nil"/>
                    <w:bottom w:val="single" w:color="auto" w:sz="4" w:space="0"/>
                    <w:right w:val="single" w:color="auto" w:sz="4" w:space="0"/>
                  </w:tcBorders>
                  <w:vAlign w:val="center"/>
                </w:tcPr>
                <w:p>
                  <w:pPr>
                    <w:snapToGrid w:val="0"/>
                    <w:jc w:val="center"/>
                    <w:rPr>
                      <w:szCs w:val="21"/>
                    </w:rPr>
                  </w:pPr>
                  <w:r>
                    <w:rPr>
                      <w:szCs w:val="21"/>
                      <w:lang w:bidi="ar"/>
                    </w:rPr>
                    <w:t>56</w:t>
                  </w:r>
                </w:p>
              </w:tc>
              <w:tc>
                <w:tcPr>
                  <w:tcW w:w="309" w:type="pct"/>
                  <w:tcBorders>
                    <w:top w:val="nil"/>
                    <w:left w:val="nil"/>
                    <w:bottom w:val="single" w:color="auto" w:sz="4" w:space="0"/>
                    <w:right w:val="single" w:color="auto" w:sz="4" w:space="0"/>
                  </w:tcBorders>
                  <w:vAlign w:val="center"/>
                </w:tcPr>
                <w:p>
                  <w:pPr>
                    <w:snapToGrid w:val="0"/>
                    <w:jc w:val="center"/>
                    <w:rPr>
                      <w:szCs w:val="21"/>
                    </w:rPr>
                  </w:pPr>
                  <w:r>
                    <w:rPr>
                      <w:szCs w:val="21"/>
                      <w:lang w:bidi="ar"/>
                    </w:rPr>
                    <w:t>50</w:t>
                  </w:r>
                </w:p>
              </w:tc>
              <w:tc>
                <w:tcPr>
                  <w:tcW w:w="309" w:type="pct"/>
                  <w:tcBorders>
                    <w:top w:val="nil"/>
                    <w:left w:val="nil"/>
                    <w:bottom w:val="single" w:color="auto" w:sz="4" w:space="0"/>
                    <w:right w:val="single" w:color="auto" w:sz="4" w:space="0"/>
                  </w:tcBorders>
                  <w:vAlign w:val="center"/>
                </w:tcPr>
                <w:p>
                  <w:pPr>
                    <w:snapToGrid w:val="0"/>
                    <w:jc w:val="center"/>
                    <w:rPr>
                      <w:szCs w:val="21"/>
                    </w:rPr>
                  </w:pPr>
                  <w:r>
                    <w:rPr>
                      <w:szCs w:val="21"/>
                      <w:lang w:bidi="ar"/>
                    </w:rPr>
                    <w:t>46</w:t>
                  </w:r>
                </w:p>
              </w:tc>
              <w:tc>
                <w:tcPr>
                  <w:tcW w:w="309" w:type="pct"/>
                  <w:tcBorders>
                    <w:top w:val="nil"/>
                    <w:left w:val="nil"/>
                    <w:bottom w:val="single" w:color="auto" w:sz="4" w:space="0"/>
                    <w:right w:val="single" w:color="auto" w:sz="4" w:space="0"/>
                  </w:tcBorders>
                  <w:vAlign w:val="center"/>
                </w:tcPr>
                <w:p>
                  <w:pPr>
                    <w:snapToGrid w:val="0"/>
                    <w:jc w:val="center"/>
                    <w:rPr>
                      <w:szCs w:val="21"/>
                    </w:rPr>
                  </w:pPr>
                  <w:r>
                    <w:rPr>
                      <w:szCs w:val="21"/>
                      <w:lang w:bidi="ar"/>
                    </w:rPr>
                    <w:t>44</w:t>
                  </w:r>
                </w:p>
              </w:tc>
              <w:tc>
                <w:tcPr>
                  <w:tcW w:w="309" w:type="pct"/>
                  <w:tcBorders>
                    <w:top w:val="nil"/>
                    <w:left w:val="nil"/>
                    <w:bottom w:val="single" w:color="auto" w:sz="4" w:space="0"/>
                    <w:right w:val="single" w:color="auto" w:sz="4" w:space="0"/>
                  </w:tcBorders>
                  <w:vAlign w:val="center"/>
                </w:tcPr>
                <w:p>
                  <w:pPr>
                    <w:snapToGrid w:val="0"/>
                    <w:jc w:val="center"/>
                    <w:rPr>
                      <w:szCs w:val="21"/>
                    </w:rPr>
                  </w:pPr>
                  <w:r>
                    <w:rPr>
                      <w:szCs w:val="21"/>
                      <w:lang w:bidi="ar"/>
                    </w:rPr>
                    <w:t>40</w:t>
                  </w:r>
                </w:p>
              </w:tc>
              <w:tc>
                <w:tcPr>
                  <w:tcW w:w="313" w:type="pct"/>
                  <w:tcBorders>
                    <w:top w:val="nil"/>
                    <w:left w:val="nil"/>
                    <w:bottom w:val="single" w:color="auto" w:sz="4" w:space="0"/>
                    <w:right w:val="single" w:color="auto" w:sz="4" w:space="0"/>
                  </w:tcBorders>
                  <w:vAlign w:val="center"/>
                </w:tcPr>
                <w:p>
                  <w:pPr>
                    <w:snapToGrid w:val="0"/>
                    <w:jc w:val="center"/>
                    <w:rPr>
                      <w:szCs w:val="21"/>
                    </w:rPr>
                  </w:pPr>
                  <w:r>
                    <w:rPr>
                      <w:szCs w:val="21"/>
                      <w:lang w:bidi="ar"/>
                    </w:rPr>
                    <w:t>38</w:t>
                  </w:r>
                </w:p>
              </w:tc>
            </w:tr>
            <w:tr>
              <w:tblPrEx>
                <w:tblCellMar>
                  <w:top w:w="0" w:type="dxa"/>
                  <w:left w:w="108" w:type="dxa"/>
                  <w:bottom w:w="0" w:type="dxa"/>
                  <w:right w:w="108" w:type="dxa"/>
                </w:tblCellMar>
              </w:tblPrEx>
              <w:trPr>
                <w:trHeight w:val="28" w:hRule="atLeast"/>
                <w:jc w:val="center"/>
              </w:trPr>
              <w:tc>
                <w:tcPr>
                  <w:tcW w:w="407" w:type="pct"/>
                  <w:vMerge w:val="continue"/>
                  <w:tcBorders>
                    <w:top w:val="nil"/>
                    <w:left w:val="single" w:color="auto" w:sz="4" w:space="0"/>
                    <w:bottom w:val="single" w:color="auto" w:sz="4" w:space="0"/>
                    <w:right w:val="single" w:color="auto" w:sz="4" w:space="0"/>
                  </w:tcBorders>
                  <w:vAlign w:val="center"/>
                </w:tcPr>
                <w:p>
                  <w:pPr>
                    <w:rPr>
                      <w:sz w:val="22"/>
                      <w:szCs w:val="22"/>
                    </w:rPr>
                  </w:pPr>
                </w:p>
              </w:tc>
              <w:tc>
                <w:tcPr>
                  <w:tcW w:w="535" w:type="pct"/>
                  <w:tcBorders>
                    <w:top w:val="nil"/>
                    <w:left w:val="nil"/>
                    <w:bottom w:val="single" w:color="auto" w:sz="4" w:space="0"/>
                    <w:right w:val="single" w:color="auto" w:sz="4" w:space="0"/>
                  </w:tcBorders>
                  <w:vAlign w:val="center"/>
                </w:tcPr>
                <w:p>
                  <w:pPr>
                    <w:snapToGrid w:val="0"/>
                    <w:jc w:val="center"/>
                    <w:rPr>
                      <w:szCs w:val="21"/>
                    </w:rPr>
                  </w:pPr>
                  <w:r>
                    <w:rPr>
                      <w:rFonts w:hint="eastAsia" w:cs="宋体"/>
                      <w:szCs w:val="21"/>
                      <w:lang w:bidi="ar"/>
                    </w:rPr>
                    <w:t>震捣棒</w:t>
                  </w:r>
                </w:p>
              </w:tc>
              <w:tc>
                <w:tcPr>
                  <w:tcW w:w="645" w:type="pct"/>
                  <w:tcBorders>
                    <w:top w:val="nil"/>
                    <w:left w:val="nil"/>
                    <w:bottom w:val="single" w:color="auto" w:sz="4" w:space="0"/>
                    <w:right w:val="single" w:color="auto" w:sz="4" w:space="0"/>
                  </w:tcBorders>
                  <w:vAlign w:val="center"/>
                </w:tcPr>
                <w:p>
                  <w:pPr>
                    <w:snapToGrid w:val="0"/>
                    <w:jc w:val="center"/>
                    <w:rPr>
                      <w:szCs w:val="21"/>
                    </w:rPr>
                  </w:pPr>
                  <w:r>
                    <w:rPr>
                      <w:szCs w:val="21"/>
                      <w:lang w:bidi="ar"/>
                    </w:rPr>
                    <w:t>110</w:t>
                  </w:r>
                </w:p>
              </w:tc>
              <w:tc>
                <w:tcPr>
                  <w:tcW w:w="361" w:type="pct"/>
                  <w:vMerge w:val="continue"/>
                  <w:tcBorders>
                    <w:top w:val="nil"/>
                    <w:left w:val="single" w:color="auto" w:sz="4" w:space="0"/>
                    <w:bottom w:val="single" w:color="auto" w:sz="4" w:space="0"/>
                    <w:right w:val="single" w:color="auto" w:sz="4" w:space="0"/>
                  </w:tcBorders>
                  <w:vAlign w:val="center"/>
                </w:tcPr>
                <w:p>
                  <w:pPr>
                    <w:rPr>
                      <w:sz w:val="22"/>
                      <w:szCs w:val="22"/>
                    </w:rPr>
                  </w:pPr>
                </w:p>
              </w:tc>
              <w:tc>
                <w:tcPr>
                  <w:tcW w:w="358" w:type="pct"/>
                  <w:vMerge w:val="continue"/>
                  <w:tcBorders>
                    <w:top w:val="nil"/>
                    <w:left w:val="single" w:color="auto" w:sz="4" w:space="0"/>
                    <w:bottom w:val="single" w:color="auto" w:sz="4" w:space="0"/>
                    <w:right w:val="single" w:color="auto" w:sz="4" w:space="0"/>
                  </w:tcBorders>
                  <w:vAlign w:val="center"/>
                </w:tcPr>
                <w:p>
                  <w:pPr>
                    <w:rPr>
                      <w:sz w:val="22"/>
                      <w:szCs w:val="22"/>
                    </w:rPr>
                  </w:pPr>
                </w:p>
              </w:tc>
              <w:tc>
                <w:tcPr>
                  <w:tcW w:w="284" w:type="pct"/>
                  <w:tcBorders>
                    <w:top w:val="nil"/>
                    <w:left w:val="nil"/>
                    <w:bottom w:val="single" w:color="auto" w:sz="4" w:space="0"/>
                    <w:right w:val="single" w:color="auto" w:sz="4" w:space="0"/>
                  </w:tcBorders>
                  <w:vAlign w:val="center"/>
                </w:tcPr>
                <w:p>
                  <w:pPr>
                    <w:snapToGrid w:val="0"/>
                    <w:jc w:val="center"/>
                    <w:rPr>
                      <w:szCs w:val="21"/>
                    </w:rPr>
                  </w:pPr>
                  <w:r>
                    <w:rPr>
                      <w:szCs w:val="21"/>
                      <w:lang w:bidi="ar"/>
                    </w:rPr>
                    <w:t>90</w:t>
                  </w:r>
                </w:p>
              </w:tc>
              <w:tc>
                <w:tcPr>
                  <w:tcW w:w="284" w:type="pct"/>
                  <w:tcBorders>
                    <w:top w:val="nil"/>
                    <w:left w:val="nil"/>
                    <w:bottom w:val="single" w:color="auto" w:sz="4" w:space="0"/>
                    <w:right w:val="single" w:color="auto" w:sz="4" w:space="0"/>
                  </w:tcBorders>
                  <w:vAlign w:val="center"/>
                </w:tcPr>
                <w:p>
                  <w:pPr>
                    <w:snapToGrid w:val="0"/>
                    <w:jc w:val="center"/>
                    <w:rPr>
                      <w:szCs w:val="21"/>
                    </w:rPr>
                  </w:pPr>
                  <w:r>
                    <w:rPr>
                      <w:szCs w:val="21"/>
                      <w:lang w:bidi="ar"/>
                    </w:rPr>
                    <w:t>85</w:t>
                  </w:r>
                </w:p>
              </w:tc>
              <w:tc>
                <w:tcPr>
                  <w:tcW w:w="284" w:type="pct"/>
                  <w:tcBorders>
                    <w:top w:val="nil"/>
                    <w:left w:val="nil"/>
                    <w:bottom w:val="single" w:color="auto" w:sz="4" w:space="0"/>
                    <w:right w:val="single" w:color="auto" w:sz="4" w:space="0"/>
                  </w:tcBorders>
                  <w:vAlign w:val="center"/>
                </w:tcPr>
                <w:p>
                  <w:pPr>
                    <w:snapToGrid w:val="0"/>
                    <w:jc w:val="center"/>
                    <w:rPr>
                      <w:szCs w:val="21"/>
                    </w:rPr>
                  </w:pPr>
                  <w:r>
                    <w:rPr>
                      <w:szCs w:val="21"/>
                      <w:lang w:bidi="ar"/>
                    </w:rPr>
                    <w:t>80</w:t>
                  </w:r>
                </w:p>
              </w:tc>
              <w:tc>
                <w:tcPr>
                  <w:tcW w:w="284" w:type="pct"/>
                  <w:tcBorders>
                    <w:top w:val="nil"/>
                    <w:left w:val="nil"/>
                    <w:bottom w:val="single" w:color="auto" w:sz="4" w:space="0"/>
                    <w:right w:val="single" w:color="auto" w:sz="4" w:space="0"/>
                  </w:tcBorders>
                  <w:vAlign w:val="center"/>
                </w:tcPr>
                <w:p>
                  <w:pPr>
                    <w:snapToGrid w:val="0"/>
                    <w:jc w:val="center"/>
                    <w:rPr>
                      <w:szCs w:val="21"/>
                    </w:rPr>
                  </w:pPr>
                  <w:r>
                    <w:rPr>
                      <w:szCs w:val="21"/>
                      <w:lang w:bidi="ar"/>
                    </w:rPr>
                    <w:t>76</w:t>
                  </w:r>
                </w:p>
              </w:tc>
              <w:tc>
                <w:tcPr>
                  <w:tcW w:w="309" w:type="pct"/>
                  <w:tcBorders>
                    <w:top w:val="nil"/>
                    <w:left w:val="nil"/>
                    <w:bottom w:val="single" w:color="auto" w:sz="4" w:space="0"/>
                    <w:right w:val="single" w:color="auto" w:sz="4" w:space="0"/>
                  </w:tcBorders>
                  <w:vAlign w:val="center"/>
                </w:tcPr>
                <w:p>
                  <w:pPr>
                    <w:snapToGrid w:val="0"/>
                    <w:jc w:val="center"/>
                    <w:rPr>
                      <w:szCs w:val="21"/>
                    </w:rPr>
                  </w:pPr>
                  <w:r>
                    <w:rPr>
                      <w:szCs w:val="21"/>
                      <w:lang w:bidi="ar"/>
                    </w:rPr>
                    <w:t>70</w:t>
                  </w:r>
                </w:p>
              </w:tc>
              <w:tc>
                <w:tcPr>
                  <w:tcW w:w="309" w:type="pct"/>
                  <w:tcBorders>
                    <w:top w:val="nil"/>
                    <w:left w:val="nil"/>
                    <w:bottom w:val="single" w:color="auto" w:sz="4" w:space="0"/>
                    <w:right w:val="single" w:color="auto" w:sz="4" w:space="0"/>
                  </w:tcBorders>
                  <w:vAlign w:val="center"/>
                </w:tcPr>
                <w:p>
                  <w:pPr>
                    <w:snapToGrid w:val="0"/>
                    <w:jc w:val="center"/>
                    <w:rPr>
                      <w:szCs w:val="21"/>
                    </w:rPr>
                  </w:pPr>
                  <w:r>
                    <w:rPr>
                      <w:szCs w:val="21"/>
                      <w:lang w:bidi="ar"/>
                    </w:rPr>
                    <w:t>66</w:t>
                  </w:r>
                </w:p>
              </w:tc>
              <w:tc>
                <w:tcPr>
                  <w:tcW w:w="309" w:type="pct"/>
                  <w:tcBorders>
                    <w:top w:val="nil"/>
                    <w:left w:val="nil"/>
                    <w:bottom w:val="single" w:color="auto" w:sz="4" w:space="0"/>
                    <w:right w:val="single" w:color="auto" w:sz="4" w:space="0"/>
                  </w:tcBorders>
                  <w:vAlign w:val="center"/>
                </w:tcPr>
                <w:p>
                  <w:pPr>
                    <w:snapToGrid w:val="0"/>
                    <w:jc w:val="center"/>
                    <w:rPr>
                      <w:szCs w:val="21"/>
                    </w:rPr>
                  </w:pPr>
                  <w:r>
                    <w:rPr>
                      <w:szCs w:val="21"/>
                      <w:lang w:bidi="ar"/>
                    </w:rPr>
                    <w:t>64</w:t>
                  </w:r>
                </w:p>
              </w:tc>
              <w:tc>
                <w:tcPr>
                  <w:tcW w:w="309" w:type="pct"/>
                  <w:tcBorders>
                    <w:top w:val="nil"/>
                    <w:left w:val="nil"/>
                    <w:bottom w:val="single" w:color="auto" w:sz="4" w:space="0"/>
                    <w:right w:val="single" w:color="auto" w:sz="4" w:space="0"/>
                  </w:tcBorders>
                  <w:vAlign w:val="center"/>
                </w:tcPr>
                <w:p>
                  <w:pPr>
                    <w:snapToGrid w:val="0"/>
                    <w:jc w:val="center"/>
                    <w:rPr>
                      <w:szCs w:val="21"/>
                    </w:rPr>
                  </w:pPr>
                  <w:r>
                    <w:rPr>
                      <w:szCs w:val="21"/>
                      <w:lang w:bidi="ar"/>
                    </w:rPr>
                    <w:t>60</w:t>
                  </w:r>
                </w:p>
              </w:tc>
              <w:tc>
                <w:tcPr>
                  <w:tcW w:w="313" w:type="pct"/>
                  <w:tcBorders>
                    <w:top w:val="nil"/>
                    <w:left w:val="nil"/>
                    <w:bottom w:val="single" w:color="auto" w:sz="4" w:space="0"/>
                    <w:right w:val="single" w:color="auto" w:sz="4" w:space="0"/>
                  </w:tcBorders>
                  <w:vAlign w:val="center"/>
                </w:tcPr>
                <w:p>
                  <w:pPr>
                    <w:snapToGrid w:val="0"/>
                    <w:jc w:val="center"/>
                    <w:rPr>
                      <w:szCs w:val="21"/>
                    </w:rPr>
                  </w:pPr>
                  <w:r>
                    <w:rPr>
                      <w:szCs w:val="21"/>
                      <w:lang w:bidi="ar"/>
                    </w:rPr>
                    <w:t>58</w:t>
                  </w:r>
                </w:p>
              </w:tc>
            </w:tr>
            <w:tr>
              <w:tblPrEx>
                <w:tblCellMar>
                  <w:top w:w="0" w:type="dxa"/>
                  <w:left w:w="108" w:type="dxa"/>
                  <w:bottom w:w="0" w:type="dxa"/>
                  <w:right w:w="108" w:type="dxa"/>
                </w:tblCellMar>
              </w:tblPrEx>
              <w:trPr>
                <w:trHeight w:val="28" w:hRule="atLeast"/>
                <w:jc w:val="center"/>
              </w:trPr>
              <w:tc>
                <w:tcPr>
                  <w:tcW w:w="407" w:type="pct"/>
                  <w:vMerge w:val="continue"/>
                  <w:tcBorders>
                    <w:top w:val="nil"/>
                    <w:left w:val="single" w:color="auto" w:sz="4" w:space="0"/>
                    <w:bottom w:val="single" w:color="auto" w:sz="4" w:space="0"/>
                    <w:right w:val="single" w:color="auto" w:sz="4" w:space="0"/>
                  </w:tcBorders>
                  <w:vAlign w:val="center"/>
                </w:tcPr>
                <w:p>
                  <w:pPr>
                    <w:rPr>
                      <w:sz w:val="22"/>
                      <w:szCs w:val="22"/>
                    </w:rPr>
                  </w:pPr>
                </w:p>
              </w:tc>
              <w:tc>
                <w:tcPr>
                  <w:tcW w:w="535" w:type="pct"/>
                  <w:tcBorders>
                    <w:top w:val="nil"/>
                    <w:left w:val="nil"/>
                    <w:bottom w:val="single" w:color="auto" w:sz="4" w:space="0"/>
                    <w:right w:val="single" w:color="auto" w:sz="4" w:space="0"/>
                  </w:tcBorders>
                  <w:vAlign w:val="center"/>
                </w:tcPr>
                <w:p>
                  <w:pPr>
                    <w:snapToGrid w:val="0"/>
                    <w:jc w:val="center"/>
                    <w:rPr>
                      <w:szCs w:val="21"/>
                    </w:rPr>
                  </w:pPr>
                  <w:r>
                    <w:rPr>
                      <w:rFonts w:hint="eastAsia" w:cs="宋体"/>
                      <w:szCs w:val="21"/>
                      <w:lang w:bidi="ar"/>
                    </w:rPr>
                    <w:t>电锯、电刨</w:t>
                  </w:r>
                </w:p>
              </w:tc>
              <w:tc>
                <w:tcPr>
                  <w:tcW w:w="645" w:type="pct"/>
                  <w:tcBorders>
                    <w:top w:val="nil"/>
                    <w:left w:val="nil"/>
                    <w:bottom w:val="single" w:color="auto" w:sz="4" w:space="0"/>
                    <w:right w:val="single" w:color="auto" w:sz="4" w:space="0"/>
                  </w:tcBorders>
                  <w:vAlign w:val="center"/>
                </w:tcPr>
                <w:p>
                  <w:pPr>
                    <w:snapToGrid w:val="0"/>
                    <w:jc w:val="center"/>
                    <w:rPr>
                      <w:szCs w:val="21"/>
                    </w:rPr>
                  </w:pPr>
                  <w:r>
                    <w:rPr>
                      <w:szCs w:val="21"/>
                      <w:lang w:bidi="ar"/>
                    </w:rPr>
                    <w:t>110</w:t>
                  </w:r>
                </w:p>
              </w:tc>
              <w:tc>
                <w:tcPr>
                  <w:tcW w:w="361" w:type="pct"/>
                  <w:vMerge w:val="continue"/>
                  <w:tcBorders>
                    <w:top w:val="nil"/>
                    <w:left w:val="single" w:color="auto" w:sz="4" w:space="0"/>
                    <w:bottom w:val="single" w:color="auto" w:sz="4" w:space="0"/>
                    <w:right w:val="single" w:color="auto" w:sz="4" w:space="0"/>
                  </w:tcBorders>
                  <w:vAlign w:val="center"/>
                </w:tcPr>
                <w:p>
                  <w:pPr>
                    <w:rPr>
                      <w:sz w:val="22"/>
                      <w:szCs w:val="22"/>
                    </w:rPr>
                  </w:pPr>
                </w:p>
              </w:tc>
              <w:tc>
                <w:tcPr>
                  <w:tcW w:w="358" w:type="pct"/>
                  <w:vMerge w:val="continue"/>
                  <w:tcBorders>
                    <w:top w:val="nil"/>
                    <w:left w:val="single" w:color="auto" w:sz="4" w:space="0"/>
                    <w:bottom w:val="single" w:color="auto" w:sz="4" w:space="0"/>
                    <w:right w:val="single" w:color="auto" w:sz="4" w:space="0"/>
                  </w:tcBorders>
                  <w:vAlign w:val="center"/>
                </w:tcPr>
                <w:p>
                  <w:pPr>
                    <w:rPr>
                      <w:sz w:val="22"/>
                      <w:szCs w:val="22"/>
                    </w:rPr>
                  </w:pPr>
                </w:p>
              </w:tc>
              <w:tc>
                <w:tcPr>
                  <w:tcW w:w="284" w:type="pct"/>
                  <w:tcBorders>
                    <w:top w:val="nil"/>
                    <w:left w:val="nil"/>
                    <w:bottom w:val="single" w:color="auto" w:sz="4" w:space="0"/>
                    <w:right w:val="single" w:color="auto" w:sz="4" w:space="0"/>
                  </w:tcBorders>
                  <w:vAlign w:val="center"/>
                </w:tcPr>
                <w:p>
                  <w:pPr>
                    <w:snapToGrid w:val="0"/>
                    <w:jc w:val="center"/>
                    <w:rPr>
                      <w:szCs w:val="21"/>
                    </w:rPr>
                  </w:pPr>
                  <w:r>
                    <w:rPr>
                      <w:szCs w:val="21"/>
                      <w:lang w:bidi="ar"/>
                    </w:rPr>
                    <w:t>90</w:t>
                  </w:r>
                </w:p>
              </w:tc>
              <w:tc>
                <w:tcPr>
                  <w:tcW w:w="284" w:type="pct"/>
                  <w:tcBorders>
                    <w:top w:val="nil"/>
                    <w:left w:val="nil"/>
                    <w:bottom w:val="single" w:color="auto" w:sz="4" w:space="0"/>
                    <w:right w:val="single" w:color="auto" w:sz="4" w:space="0"/>
                  </w:tcBorders>
                  <w:vAlign w:val="center"/>
                </w:tcPr>
                <w:p>
                  <w:pPr>
                    <w:snapToGrid w:val="0"/>
                    <w:jc w:val="center"/>
                    <w:rPr>
                      <w:szCs w:val="21"/>
                    </w:rPr>
                  </w:pPr>
                  <w:r>
                    <w:rPr>
                      <w:szCs w:val="21"/>
                      <w:lang w:bidi="ar"/>
                    </w:rPr>
                    <w:t>84</w:t>
                  </w:r>
                </w:p>
              </w:tc>
              <w:tc>
                <w:tcPr>
                  <w:tcW w:w="284" w:type="pct"/>
                  <w:tcBorders>
                    <w:top w:val="nil"/>
                    <w:left w:val="nil"/>
                    <w:bottom w:val="single" w:color="auto" w:sz="4" w:space="0"/>
                    <w:right w:val="single" w:color="auto" w:sz="4" w:space="0"/>
                  </w:tcBorders>
                  <w:vAlign w:val="center"/>
                </w:tcPr>
                <w:p>
                  <w:pPr>
                    <w:snapToGrid w:val="0"/>
                    <w:jc w:val="center"/>
                    <w:rPr>
                      <w:szCs w:val="21"/>
                    </w:rPr>
                  </w:pPr>
                  <w:r>
                    <w:rPr>
                      <w:szCs w:val="21"/>
                      <w:lang w:bidi="ar"/>
                    </w:rPr>
                    <w:t>80</w:t>
                  </w:r>
                </w:p>
              </w:tc>
              <w:tc>
                <w:tcPr>
                  <w:tcW w:w="284" w:type="pct"/>
                  <w:tcBorders>
                    <w:top w:val="nil"/>
                    <w:left w:val="nil"/>
                    <w:bottom w:val="single" w:color="auto" w:sz="4" w:space="0"/>
                    <w:right w:val="single" w:color="auto" w:sz="4" w:space="0"/>
                  </w:tcBorders>
                  <w:vAlign w:val="center"/>
                </w:tcPr>
                <w:p>
                  <w:pPr>
                    <w:snapToGrid w:val="0"/>
                    <w:jc w:val="center"/>
                    <w:rPr>
                      <w:szCs w:val="21"/>
                    </w:rPr>
                  </w:pPr>
                  <w:r>
                    <w:rPr>
                      <w:szCs w:val="21"/>
                      <w:lang w:bidi="ar"/>
                    </w:rPr>
                    <w:t>76</w:t>
                  </w:r>
                </w:p>
              </w:tc>
              <w:tc>
                <w:tcPr>
                  <w:tcW w:w="309" w:type="pct"/>
                  <w:tcBorders>
                    <w:top w:val="nil"/>
                    <w:left w:val="nil"/>
                    <w:bottom w:val="single" w:color="auto" w:sz="4" w:space="0"/>
                    <w:right w:val="single" w:color="auto" w:sz="4" w:space="0"/>
                  </w:tcBorders>
                  <w:vAlign w:val="center"/>
                </w:tcPr>
                <w:p>
                  <w:pPr>
                    <w:snapToGrid w:val="0"/>
                    <w:jc w:val="center"/>
                    <w:rPr>
                      <w:szCs w:val="21"/>
                    </w:rPr>
                  </w:pPr>
                  <w:r>
                    <w:rPr>
                      <w:szCs w:val="21"/>
                      <w:lang w:bidi="ar"/>
                    </w:rPr>
                    <w:t>70</w:t>
                  </w:r>
                </w:p>
              </w:tc>
              <w:tc>
                <w:tcPr>
                  <w:tcW w:w="309" w:type="pct"/>
                  <w:tcBorders>
                    <w:top w:val="nil"/>
                    <w:left w:val="nil"/>
                    <w:bottom w:val="single" w:color="auto" w:sz="4" w:space="0"/>
                    <w:right w:val="single" w:color="auto" w:sz="4" w:space="0"/>
                  </w:tcBorders>
                  <w:vAlign w:val="center"/>
                </w:tcPr>
                <w:p>
                  <w:pPr>
                    <w:snapToGrid w:val="0"/>
                    <w:jc w:val="center"/>
                    <w:rPr>
                      <w:szCs w:val="21"/>
                    </w:rPr>
                  </w:pPr>
                  <w:r>
                    <w:rPr>
                      <w:szCs w:val="21"/>
                      <w:lang w:bidi="ar"/>
                    </w:rPr>
                    <w:t>66</w:t>
                  </w:r>
                </w:p>
              </w:tc>
              <w:tc>
                <w:tcPr>
                  <w:tcW w:w="309" w:type="pct"/>
                  <w:tcBorders>
                    <w:top w:val="nil"/>
                    <w:left w:val="nil"/>
                    <w:bottom w:val="single" w:color="auto" w:sz="4" w:space="0"/>
                    <w:right w:val="single" w:color="auto" w:sz="4" w:space="0"/>
                  </w:tcBorders>
                  <w:vAlign w:val="center"/>
                </w:tcPr>
                <w:p>
                  <w:pPr>
                    <w:snapToGrid w:val="0"/>
                    <w:jc w:val="center"/>
                    <w:rPr>
                      <w:szCs w:val="21"/>
                    </w:rPr>
                  </w:pPr>
                  <w:r>
                    <w:rPr>
                      <w:szCs w:val="21"/>
                      <w:lang w:bidi="ar"/>
                    </w:rPr>
                    <w:t>64</w:t>
                  </w:r>
                </w:p>
              </w:tc>
              <w:tc>
                <w:tcPr>
                  <w:tcW w:w="309" w:type="pct"/>
                  <w:tcBorders>
                    <w:top w:val="nil"/>
                    <w:left w:val="nil"/>
                    <w:bottom w:val="single" w:color="auto" w:sz="4" w:space="0"/>
                    <w:right w:val="single" w:color="auto" w:sz="4" w:space="0"/>
                  </w:tcBorders>
                  <w:vAlign w:val="center"/>
                </w:tcPr>
                <w:p>
                  <w:pPr>
                    <w:snapToGrid w:val="0"/>
                    <w:jc w:val="center"/>
                    <w:rPr>
                      <w:szCs w:val="21"/>
                    </w:rPr>
                  </w:pPr>
                  <w:r>
                    <w:rPr>
                      <w:szCs w:val="21"/>
                      <w:lang w:bidi="ar"/>
                    </w:rPr>
                    <w:t>60</w:t>
                  </w:r>
                </w:p>
              </w:tc>
              <w:tc>
                <w:tcPr>
                  <w:tcW w:w="313" w:type="pct"/>
                  <w:tcBorders>
                    <w:top w:val="nil"/>
                    <w:left w:val="nil"/>
                    <w:bottom w:val="single" w:color="auto" w:sz="4" w:space="0"/>
                    <w:right w:val="single" w:color="auto" w:sz="4" w:space="0"/>
                  </w:tcBorders>
                  <w:vAlign w:val="center"/>
                </w:tcPr>
                <w:p>
                  <w:pPr>
                    <w:snapToGrid w:val="0"/>
                    <w:jc w:val="center"/>
                    <w:rPr>
                      <w:szCs w:val="21"/>
                    </w:rPr>
                  </w:pPr>
                  <w:r>
                    <w:rPr>
                      <w:szCs w:val="21"/>
                      <w:lang w:bidi="ar"/>
                    </w:rPr>
                    <w:t>58</w:t>
                  </w:r>
                </w:p>
              </w:tc>
            </w:tr>
            <w:tr>
              <w:tblPrEx>
                <w:tblCellMar>
                  <w:top w:w="0" w:type="dxa"/>
                  <w:left w:w="108" w:type="dxa"/>
                  <w:bottom w:w="0" w:type="dxa"/>
                  <w:right w:w="108" w:type="dxa"/>
                </w:tblCellMar>
              </w:tblPrEx>
              <w:trPr>
                <w:trHeight w:val="28" w:hRule="atLeast"/>
                <w:jc w:val="center"/>
              </w:trPr>
              <w:tc>
                <w:tcPr>
                  <w:tcW w:w="407" w:type="pct"/>
                  <w:vMerge w:val="continue"/>
                  <w:tcBorders>
                    <w:top w:val="nil"/>
                    <w:left w:val="single" w:color="auto" w:sz="4" w:space="0"/>
                    <w:bottom w:val="single" w:color="auto" w:sz="4" w:space="0"/>
                    <w:right w:val="single" w:color="auto" w:sz="4" w:space="0"/>
                  </w:tcBorders>
                  <w:vAlign w:val="center"/>
                </w:tcPr>
                <w:p>
                  <w:pPr>
                    <w:rPr>
                      <w:sz w:val="22"/>
                      <w:szCs w:val="22"/>
                    </w:rPr>
                  </w:pPr>
                </w:p>
              </w:tc>
              <w:tc>
                <w:tcPr>
                  <w:tcW w:w="535" w:type="pct"/>
                  <w:tcBorders>
                    <w:top w:val="nil"/>
                    <w:left w:val="nil"/>
                    <w:bottom w:val="single" w:color="auto" w:sz="4" w:space="0"/>
                    <w:right w:val="single" w:color="auto" w:sz="4" w:space="0"/>
                  </w:tcBorders>
                  <w:vAlign w:val="center"/>
                </w:tcPr>
                <w:p>
                  <w:pPr>
                    <w:snapToGrid w:val="0"/>
                    <w:jc w:val="center"/>
                    <w:rPr>
                      <w:szCs w:val="21"/>
                    </w:rPr>
                  </w:pPr>
                  <w:r>
                    <w:rPr>
                      <w:rFonts w:hint="eastAsia" w:cs="宋体"/>
                      <w:szCs w:val="21"/>
                      <w:lang w:bidi="ar"/>
                    </w:rPr>
                    <w:t>模板撞击</w:t>
                  </w:r>
                </w:p>
              </w:tc>
              <w:tc>
                <w:tcPr>
                  <w:tcW w:w="645" w:type="pct"/>
                  <w:tcBorders>
                    <w:top w:val="nil"/>
                    <w:left w:val="nil"/>
                    <w:bottom w:val="single" w:color="auto" w:sz="4" w:space="0"/>
                    <w:right w:val="single" w:color="auto" w:sz="4" w:space="0"/>
                  </w:tcBorders>
                  <w:vAlign w:val="center"/>
                </w:tcPr>
                <w:p>
                  <w:pPr>
                    <w:snapToGrid w:val="0"/>
                    <w:jc w:val="center"/>
                    <w:rPr>
                      <w:szCs w:val="21"/>
                    </w:rPr>
                  </w:pPr>
                  <w:r>
                    <w:rPr>
                      <w:szCs w:val="21"/>
                      <w:lang w:bidi="ar"/>
                    </w:rPr>
                    <w:t>90</w:t>
                  </w:r>
                </w:p>
              </w:tc>
              <w:tc>
                <w:tcPr>
                  <w:tcW w:w="361" w:type="pct"/>
                  <w:vMerge w:val="continue"/>
                  <w:tcBorders>
                    <w:top w:val="nil"/>
                    <w:left w:val="single" w:color="auto" w:sz="4" w:space="0"/>
                    <w:bottom w:val="single" w:color="auto" w:sz="4" w:space="0"/>
                    <w:right w:val="single" w:color="auto" w:sz="4" w:space="0"/>
                  </w:tcBorders>
                  <w:vAlign w:val="center"/>
                </w:tcPr>
                <w:p>
                  <w:pPr>
                    <w:rPr>
                      <w:sz w:val="22"/>
                      <w:szCs w:val="22"/>
                    </w:rPr>
                  </w:pPr>
                </w:p>
              </w:tc>
              <w:tc>
                <w:tcPr>
                  <w:tcW w:w="358" w:type="pct"/>
                  <w:vMerge w:val="continue"/>
                  <w:tcBorders>
                    <w:top w:val="nil"/>
                    <w:left w:val="single" w:color="auto" w:sz="4" w:space="0"/>
                    <w:bottom w:val="single" w:color="auto" w:sz="4" w:space="0"/>
                    <w:right w:val="single" w:color="auto" w:sz="4" w:space="0"/>
                  </w:tcBorders>
                  <w:vAlign w:val="center"/>
                </w:tcPr>
                <w:p>
                  <w:pPr>
                    <w:rPr>
                      <w:sz w:val="22"/>
                      <w:szCs w:val="22"/>
                    </w:rPr>
                  </w:pPr>
                </w:p>
              </w:tc>
              <w:tc>
                <w:tcPr>
                  <w:tcW w:w="284" w:type="pct"/>
                  <w:tcBorders>
                    <w:top w:val="nil"/>
                    <w:left w:val="nil"/>
                    <w:bottom w:val="single" w:color="auto" w:sz="4" w:space="0"/>
                    <w:right w:val="single" w:color="auto" w:sz="4" w:space="0"/>
                  </w:tcBorders>
                  <w:vAlign w:val="center"/>
                </w:tcPr>
                <w:p>
                  <w:pPr>
                    <w:snapToGrid w:val="0"/>
                    <w:jc w:val="center"/>
                    <w:rPr>
                      <w:szCs w:val="21"/>
                    </w:rPr>
                  </w:pPr>
                  <w:r>
                    <w:rPr>
                      <w:szCs w:val="21"/>
                      <w:lang w:bidi="ar"/>
                    </w:rPr>
                    <w:t>70</w:t>
                  </w:r>
                </w:p>
              </w:tc>
              <w:tc>
                <w:tcPr>
                  <w:tcW w:w="284" w:type="pct"/>
                  <w:tcBorders>
                    <w:top w:val="nil"/>
                    <w:left w:val="nil"/>
                    <w:bottom w:val="single" w:color="auto" w:sz="4" w:space="0"/>
                    <w:right w:val="single" w:color="auto" w:sz="4" w:space="0"/>
                  </w:tcBorders>
                  <w:vAlign w:val="center"/>
                </w:tcPr>
                <w:p>
                  <w:pPr>
                    <w:snapToGrid w:val="0"/>
                    <w:jc w:val="center"/>
                    <w:rPr>
                      <w:szCs w:val="21"/>
                    </w:rPr>
                  </w:pPr>
                  <w:r>
                    <w:rPr>
                      <w:szCs w:val="21"/>
                      <w:lang w:bidi="ar"/>
                    </w:rPr>
                    <w:t>64</w:t>
                  </w:r>
                </w:p>
              </w:tc>
              <w:tc>
                <w:tcPr>
                  <w:tcW w:w="284" w:type="pct"/>
                  <w:tcBorders>
                    <w:top w:val="nil"/>
                    <w:left w:val="nil"/>
                    <w:bottom w:val="single" w:color="auto" w:sz="4" w:space="0"/>
                    <w:right w:val="single" w:color="auto" w:sz="4" w:space="0"/>
                  </w:tcBorders>
                  <w:vAlign w:val="center"/>
                </w:tcPr>
                <w:p>
                  <w:pPr>
                    <w:snapToGrid w:val="0"/>
                    <w:jc w:val="center"/>
                    <w:rPr>
                      <w:szCs w:val="21"/>
                    </w:rPr>
                  </w:pPr>
                  <w:r>
                    <w:rPr>
                      <w:szCs w:val="21"/>
                      <w:lang w:bidi="ar"/>
                    </w:rPr>
                    <w:t>60</w:t>
                  </w:r>
                </w:p>
              </w:tc>
              <w:tc>
                <w:tcPr>
                  <w:tcW w:w="284" w:type="pct"/>
                  <w:tcBorders>
                    <w:top w:val="nil"/>
                    <w:left w:val="nil"/>
                    <w:bottom w:val="single" w:color="auto" w:sz="4" w:space="0"/>
                    <w:right w:val="single" w:color="auto" w:sz="4" w:space="0"/>
                  </w:tcBorders>
                  <w:vAlign w:val="center"/>
                </w:tcPr>
                <w:p>
                  <w:pPr>
                    <w:snapToGrid w:val="0"/>
                    <w:jc w:val="center"/>
                    <w:rPr>
                      <w:szCs w:val="21"/>
                    </w:rPr>
                  </w:pPr>
                  <w:r>
                    <w:rPr>
                      <w:szCs w:val="21"/>
                      <w:lang w:bidi="ar"/>
                    </w:rPr>
                    <w:t>56</w:t>
                  </w:r>
                </w:p>
              </w:tc>
              <w:tc>
                <w:tcPr>
                  <w:tcW w:w="309" w:type="pct"/>
                  <w:tcBorders>
                    <w:top w:val="nil"/>
                    <w:left w:val="nil"/>
                    <w:bottom w:val="single" w:color="auto" w:sz="4" w:space="0"/>
                    <w:right w:val="single" w:color="auto" w:sz="4" w:space="0"/>
                  </w:tcBorders>
                  <w:vAlign w:val="center"/>
                </w:tcPr>
                <w:p>
                  <w:pPr>
                    <w:snapToGrid w:val="0"/>
                    <w:jc w:val="center"/>
                    <w:rPr>
                      <w:szCs w:val="21"/>
                    </w:rPr>
                  </w:pPr>
                  <w:r>
                    <w:rPr>
                      <w:szCs w:val="21"/>
                      <w:lang w:bidi="ar"/>
                    </w:rPr>
                    <w:t>50</w:t>
                  </w:r>
                </w:p>
              </w:tc>
              <w:tc>
                <w:tcPr>
                  <w:tcW w:w="309" w:type="pct"/>
                  <w:tcBorders>
                    <w:top w:val="nil"/>
                    <w:left w:val="nil"/>
                    <w:bottom w:val="single" w:color="auto" w:sz="4" w:space="0"/>
                    <w:right w:val="single" w:color="auto" w:sz="4" w:space="0"/>
                  </w:tcBorders>
                  <w:vAlign w:val="center"/>
                </w:tcPr>
                <w:p>
                  <w:pPr>
                    <w:snapToGrid w:val="0"/>
                    <w:jc w:val="center"/>
                    <w:rPr>
                      <w:szCs w:val="21"/>
                    </w:rPr>
                  </w:pPr>
                  <w:r>
                    <w:rPr>
                      <w:szCs w:val="21"/>
                      <w:lang w:bidi="ar"/>
                    </w:rPr>
                    <w:t>46</w:t>
                  </w:r>
                </w:p>
              </w:tc>
              <w:tc>
                <w:tcPr>
                  <w:tcW w:w="309" w:type="pct"/>
                  <w:tcBorders>
                    <w:top w:val="nil"/>
                    <w:left w:val="nil"/>
                    <w:bottom w:val="single" w:color="auto" w:sz="4" w:space="0"/>
                    <w:right w:val="single" w:color="auto" w:sz="4" w:space="0"/>
                  </w:tcBorders>
                  <w:vAlign w:val="center"/>
                </w:tcPr>
                <w:p>
                  <w:pPr>
                    <w:snapToGrid w:val="0"/>
                    <w:jc w:val="center"/>
                    <w:rPr>
                      <w:szCs w:val="21"/>
                    </w:rPr>
                  </w:pPr>
                  <w:r>
                    <w:rPr>
                      <w:szCs w:val="21"/>
                      <w:lang w:bidi="ar"/>
                    </w:rPr>
                    <w:t>44</w:t>
                  </w:r>
                </w:p>
              </w:tc>
              <w:tc>
                <w:tcPr>
                  <w:tcW w:w="309" w:type="pct"/>
                  <w:tcBorders>
                    <w:top w:val="nil"/>
                    <w:left w:val="nil"/>
                    <w:bottom w:val="single" w:color="auto" w:sz="4" w:space="0"/>
                    <w:right w:val="single" w:color="auto" w:sz="4" w:space="0"/>
                  </w:tcBorders>
                  <w:vAlign w:val="center"/>
                </w:tcPr>
                <w:p>
                  <w:pPr>
                    <w:snapToGrid w:val="0"/>
                    <w:jc w:val="center"/>
                    <w:rPr>
                      <w:szCs w:val="21"/>
                    </w:rPr>
                  </w:pPr>
                  <w:r>
                    <w:rPr>
                      <w:szCs w:val="21"/>
                      <w:lang w:bidi="ar"/>
                    </w:rPr>
                    <w:t>40</w:t>
                  </w:r>
                </w:p>
              </w:tc>
              <w:tc>
                <w:tcPr>
                  <w:tcW w:w="313" w:type="pct"/>
                  <w:tcBorders>
                    <w:top w:val="nil"/>
                    <w:left w:val="nil"/>
                    <w:bottom w:val="single" w:color="auto" w:sz="4" w:space="0"/>
                    <w:right w:val="single" w:color="auto" w:sz="4" w:space="0"/>
                  </w:tcBorders>
                  <w:vAlign w:val="center"/>
                </w:tcPr>
                <w:p>
                  <w:pPr>
                    <w:snapToGrid w:val="0"/>
                    <w:jc w:val="center"/>
                    <w:rPr>
                      <w:szCs w:val="21"/>
                    </w:rPr>
                  </w:pPr>
                  <w:r>
                    <w:rPr>
                      <w:szCs w:val="21"/>
                      <w:lang w:bidi="ar"/>
                    </w:rPr>
                    <w:t>38</w:t>
                  </w:r>
                </w:p>
              </w:tc>
            </w:tr>
            <w:tr>
              <w:tblPrEx>
                <w:tblCellMar>
                  <w:top w:w="0" w:type="dxa"/>
                  <w:left w:w="108" w:type="dxa"/>
                  <w:bottom w:w="0" w:type="dxa"/>
                  <w:right w:w="108" w:type="dxa"/>
                </w:tblCellMar>
              </w:tblPrEx>
              <w:trPr>
                <w:trHeight w:val="28" w:hRule="atLeast"/>
                <w:jc w:val="center"/>
              </w:trPr>
              <w:tc>
                <w:tcPr>
                  <w:tcW w:w="407" w:type="pct"/>
                  <w:vMerge w:val="restart"/>
                  <w:tcBorders>
                    <w:top w:val="nil"/>
                    <w:left w:val="single" w:color="auto" w:sz="4" w:space="0"/>
                    <w:bottom w:val="single" w:color="auto" w:sz="4" w:space="0"/>
                    <w:right w:val="single" w:color="auto" w:sz="4" w:space="0"/>
                  </w:tcBorders>
                  <w:vAlign w:val="center"/>
                </w:tcPr>
                <w:p>
                  <w:pPr>
                    <w:snapToGrid w:val="0"/>
                    <w:jc w:val="center"/>
                    <w:rPr>
                      <w:szCs w:val="21"/>
                    </w:rPr>
                  </w:pPr>
                  <w:r>
                    <w:rPr>
                      <w:rFonts w:hint="eastAsia" w:cs="宋体"/>
                      <w:szCs w:val="21"/>
                      <w:lang w:bidi="ar"/>
                    </w:rPr>
                    <w:t>装修阶段</w:t>
                  </w:r>
                </w:p>
              </w:tc>
              <w:tc>
                <w:tcPr>
                  <w:tcW w:w="535" w:type="pct"/>
                  <w:tcBorders>
                    <w:top w:val="nil"/>
                    <w:left w:val="nil"/>
                    <w:bottom w:val="single" w:color="auto" w:sz="4" w:space="0"/>
                    <w:right w:val="single" w:color="auto" w:sz="4" w:space="0"/>
                  </w:tcBorders>
                  <w:vAlign w:val="center"/>
                </w:tcPr>
                <w:p>
                  <w:pPr>
                    <w:snapToGrid w:val="0"/>
                    <w:jc w:val="center"/>
                    <w:rPr>
                      <w:szCs w:val="21"/>
                    </w:rPr>
                  </w:pPr>
                  <w:r>
                    <w:rPr>
                      <w:rFonts w:hint="eastAsia" w:cs="宋体"/>
                      <w:szCs w:val="21"/>
                      <w:lang w:bidi="ar"/>
                    </w:rPr>
                    <w:t>电锯、电锤</w:t>
                  </w:r>
                </w:p>
              </w:tc>
              <w:tc>
                <w:tcPr>
                  <w:tcW w:w="645" w:type="pct"/>
                  <w:tcBorders>
                    <w:top w:val="nil"/>
                    <w:left w:val="nil"/>
                    <w:bottom w:val="single" w:color="auto" w:sz="4" w:space="0"/>
                    <w:right w:val="single" w:color="auto" w:sz="4" w:space="0"/>
                  </w:tcBorders>
                  <w:vAlign w:val="center"/>
                </w:tcPr>
                <w:p>
                  <w:pPr>
                    <w:snapToGrid w:val="0"/>
                    <w:jc w:val="center"/>
                    <w:rPr>
                      <w:szCs w:val="21"/>
                    </w:rPr>
                  </w:pPr>
                  <w:r>
                    <w:rPr>
                      <w:szCs w:val="21"/>
                      <w:lang w:bidi="ar"/>
                    </w:rPr>
                    <w:t>110</w:t>
                  </w:r>
                </w:p>
              </w:tc>
              <w:tc>
                <w:tcPr>
                  <w:tcW w:w="361" w:type="pct"/>
                  <w:vMerge w:val="continue"/>
                  <w:tcBorders>
                    <w:top w:val="nil"/>
                    <w:left w:val="single" w:color="auto" w:sz="4" w:space="0"/>
                    <w:bottom w:val="single" w:color="auto" w:sz="4" w:space="0"/>
                    <w:right w:val="single" w:color="auto" w:sz="4" w:space="0"/>
                  </w:tcBorders>
                  <w:vAlign w:val="center"/>
                </w:tcPr>
                <w:p>
                  <w:pPr>
                    <w:rPr>
                      <w:sz w:val="22"/>
                      <w:szCs w:val="22"/>
                    </w:rPr>
                  </w:pPr>
                </w:p>
              </w:tc>
              <w:tc>
                <w:tcPr>
                  <w:tcW w:w="358" w:type="pct"/>
                  <w:vMerge w:val="continue"/>
                  <w:tcBorders>
                    <w:top w:val="nil"/>
                    <w:left w:val="single" w:color="auto" w:sz="4" w:space="0"/>
                    <w:bottom w:val="single" w:color="auto" w:sz="4" w:space="0"/>
                    <w:right w:val="single" w:color="auto" w:sz="4" w:space="0"/>
                  </w:tcBorders>
                  <w:vAlign w:val="center"/>
                </w:tcPr>
                <w:p>
                  <w:pPr>
                    <w:rPr>
                      <w:sz w:val="22"/>
                      <w:szCs w:val="22"/>
                    </w:rPr>
                  </w:pPr>
                </w:p>
              </w:tc>
              <w:tc>
                <w:tcPr>
                  <w:tcW w:w="284" w:type="pct"/>
                  <w:tcBorders>
                    <w:top w:val="nil"/>
                    <w:left w:val="nil"/>
                    <w:bottom w:val="single" w:color="auto" w:sz="4" w:space="0"/>
                    <w:right w:val="single" w:color="auto" w:sz="4" w:space="0"/>
                  </w:tcBorders>
                  <w:vAlign w:val="center"/>
                </w:tcPr>
                <w:p>
                  <w:pPr>
                    <w:snapToGrid w:val="0"/>
                    <w:jc w:val="center"/>
                    <w:rPr>
                      <w:szCs w:val="21"/>
                    </w:rPr>
                  </w:pPr>
                  <w:r>
                    <w:rPr>
                      <w:szCs w:val="21"/>
                      <w:lang w:bidi="ar"/>
                    </w:rPr>
                    <w:t>90</w:t>
                  </w:r>
                </w:p>
              </w:tc>
              <w:tc>
                <w:tcPr>
                  <w:tcW w:w="284" w:type="pct"/>
                  <w:tcBorders>
                    <w:top w:val="nil"/>
                    <w:left w:val="nil"/>
                    <w:bottom w:val="single" w:color="auto" w:sz="4" w:space="0"/>
                    <w:right w:val="single" w:color="auto" w:sz="4" w:space="0"/>
                  </w:tcBorders>
                  <w:vAlign w:val="center"/>
                </w:tcPr>
                <w:p>
                  <w:pPr>
                    <w:snapToGrid w:val="0"/>
                    <w:jc w:val="center"/>
                    <w:rPr>
                      <w:szCs w:val="21"/>
                    </w:rPr>
                  </w:pPr>
                  <w:r>
                    <w:rPr>
                      <w:szCs w:val="21"/>
                      <w:lang w:bidi="ar"/>
                    </w:rPr>
                    <w:t>84</w:t>
                  </w:r>
                </w:p>
              </w:tc>
              <w:tc>
                <w:tcPr>
                  <w:tcW w:w="284" w:type="pct"/>
                  <w:tcBorders>
                    <w:top w:val="nil"/>
                    <w:left w:val="nil"/>
                    <w:bottom w:val="single" w:color="auto" w:sz="4" w:space="0"/>
                    <w:right w:val="single" w:color="auto" w:sz="4" w:space="0"/>
                  </w:tcBorders>
                  <w:vAlign w:val="center"/>
                </w:tcPr>
                <w:p>
                  <w:pPr>
                    <w:snapToGrid w:val="0"/>
                    <w:jc w:val="center"/>
                    <w:rPr>
                      <w:szCs w:val="21"/>
                    </w:rPr>
                  </w:pPr>
                  <w:r>
                    <w:rPr>
                      <w:szCs w:val="21"/>
                      <w:lang w:bidi="ar"/>
                    </w:rPr>
                    <w:t>80</w:t>
                  </w:r>
                </w:p>
              </w:tc>
              <w:tc>
                <w:tcPr>
                  <w:tcW w:w="284" w:type="pct"/>
                  <w:tcBorders>
                    <w:top w:val="nil"/>
                    <w:left w:val="nil"/>
                    <w:bottom w:val="single" w:color="auto" w:sz="4" w:space="0"/>
                    <w:right w:val="single" w:color="auto" w:sz="4" w:space="0"/>
                  </w:tcBorders>
                  <w:vAlign w:val="center"/>
                </w:tcPr>
                <w:p>
                  <w:pPr>
                    <w:snapToGrid w:val="0"/>
                    <w:jc w:val="center"/>
                    <w:rPr>
                      <w:szCs w:val="21"/>
                    </w:rPr>
                  </w:pPr>
                  <w:r>
                    <w:rPr>
                      <w:szCs w:val="21"/>
                      <w:lang w:bidi="ar"/>
                    </w:rPr>
                    <w:t>76</w:t>
                  </w:r>
                </w:p>
              </w:tc>
              <w:tc>
                <w:tcPr>
                  <w:tcW w:w="309" w:type="pct"/>
                  <w:tcBorders>
                    <w:top w:val="nil"/>
                    <w:left w:val="nil"/>
                    <w:bottom w:val="single" w:color="auto" w:sz="4" w:space="0"/>
                    <w:right w:val="single" w:color="auto" w:sz="4" w:space="0"/>
                  </w:tcBorders>
                  <w:vAlign w:val="center"/>
                </w:tcPr>
                <w:p>
                  <w:pPr>
                    <w:snapToGrid w:val="0"/>
                    <w:jc w:val="center"/>
                    <w:rPr>
                      <w:szCs w:val="21"/>
                    </w:rPr>
                  </w:pPr>
                  <w:r>
                    <w:rPr>
                      <w:szCs w:val="21"/>
                      <w:lang w:bidi="ar"/>
                    </w:rPr>
                    <w:t>70</w:t>
                  </w:r>
                </w:p>
              </w:tc>
              <w:tc>
                <w:tcPr>
                  <w:tcW w:w="309" w:type="pct"/>
                  <w:tcBorders>
                    <w:top w:val="nil"/>
                    <w:left w:val="nil"/>
                    <w:bottom w:val="single" w:color="auto" w:sz="4" w:space="0"/>
                    <w:right w:val="single" w:color="auto" w:sz="4" w:space="0"/>
                  </w:tcBorders>
                  <w:vAlign w:val="center"/>
                </w:tcPr>
                <w:p>
                  <w:pPr>
                    <w:snapToGrid w:val="0"/>
                    <w:jc w:val="center"/>
                    <w:rPr>
                      <w:szCs w:val="21"/>
                    </w:rPr>
                  </w:pPr>
                  <w:r>
                    <w:rPr>
                      <w:szCs w:val="21"/>
                      <w:lang w:bidi="ar"/>
                    </w:rPr>
                    <w:t>66</w:t>
                  </w:r>
                </w:p>
              </w:tc>
              <w:tc>
                <w:tcPr>
                  <w:tcW w:w="309" w:type="pct"/>
                  <w:tcBorders>
                    <w:top w:val="nil"/>
                    <w:left w:val="nil"/>
                    <w:bottom w:val="single" w:color="auto" w:sz="4" w:space="0"/>
                    <w:right w:val="single" w:color="auto" w:sz="4" w:space="0"/>
                  </w:tcBorders>
                  <w:vAlign w:val="center"/>
                </w:tcPr>
                <w:p>
                  <w:pPr>
                    <w:snapToGrid w:val="0"/>
                    <w:jc w:val="center"/>
                    <w:rPr>
                      <w:szCs w:val="21"/>
                    </w:rPr>
                  </w:pPr>
                  <w:r>
                    <w:rPr>
                      <w:szCs w:val="21"/>
                      <w:lang w:bidi="ar"/>
                    </w:rPr>
                    <w:t>63</w:t>
                  </w:r>
                </w:p>
              </w:tc>
              <w:tc>
                <w:tcPr>
                  <w:tcW w:w="309" w:type="pct"/>
                  <w:tcBorders>
                    <w:top w:val="nil"/>
                    <w:left w:val="nil"/>
                    <w:bottom w:val="single" w:color="auto" w:sz="4" w:space="0"/>
                    <w:right w:val="single" w:color="auto" w:sz="4" w:space="0"/>
                  </w:tcBorders>
                  <w:vAlign w:val="center"/>
                </w:tcPr>
                <w:p>
                  <w:pPr>
                    <w:snapToGrid w:val="0"/>
                    <w:jc w:val="center"/>
                    <w:rPr>
                      <w:szCs w:val="21"/>
                    </w:rPr>
                  </w:pPr>
                  <w:r>
                    <w:rPr>
                      <w:szCs w:val="21"/>
                      <w:lang w:bidi="ar"/>
                    </w:rPr>
                    <w:t>60</w:t>
                  </w:r>
                </w:p>
              </w:tc>
              <w:tc>
                <w:tcPr>
                  <w:tcW w:w="313" w:type="pct"/>
                  <w:tcBorders>
                    <w:top w:val="nil"/>
                    <w:left w:val="nil"/>
                    <w:bottom w:val="single" w:color="auto" w:sz="4" w:space="0"/>
                    <w:right w:val="single" w:color="auto" w:sz="4" w:space="0"/>
                  </w:tcBorders>
                  <w:vAlign w:val="center"/>
                </w:tcPr>
                <w:p>
                  <w:pPr>
                    <w:snapToGrid w:val="0"/>
                    <w:jc w:val="center"/>
                    <w:rPr>
                      <w:szCs w:val="21"/>
                    </w:rPr>
                  </w:pPr>
                  <w:r>
                    <w:rPr>
                      <w:szCs w:val="21"/>
                      <w:lang w:bidi="ar"/>
                    </w:rPr>
                    <w:t>58</w:t>
                  </w:r>
                </w:p>
              </w:tc>
            </w:tr>
            <w:tr>
              <w:tblPrEx>
                <w:tblCellMar>
                  <w:top w:w="0" w:type="dxa"/>
                  <w:left w:w="108" w:type="dxa"/>
                  <w:bottom w:w="0" w:type="dxa"/>
                  <w:right w:w="108" w:type="dxa"/>
                </w:tblCellMar>
              </w:tblPrEx>
              <w:trPr>
                <w:trHeight w:val="28" w:hRule="atLeast"/>
                <w:jc w:val="center"/>
              </w:trPr>
              <w:tc>
                <w:tcPr>
                  <w:tcW w:w="407" w:type="pct"/>
                  <w:vMerge w:val="continue"/>
                  <w:tcBorders>
                    <w:top w:val="nil"/>
                    <w:left w:val="single" w:color="auto" w:sz="4" w:space="0"/>
                    <w:bottom w:val="single" w:color="auto" w:sz="4" w:space="0"/>
                    <w:right w:val="single" w:color="auto" w:sz="4" w:space="0"/>
                  </w:tcBorders>
                  <w:vAlign w:val="center"/>
                </w:tcPr>
                <w:p>
                  <w:pPr>
                    <w:rPr>
                      <w:sz w:val="22"/>
                      <w:szCs w:val="22"/>
                    </w:rPr>
                  </w:pPr>
                </w:p>
              </w:tc>
              <w:tc>
                <w:tcPr>
                  <w:tcW w:w="535" w:type="pct"/>
                  <w:tcBorders>
                    <w:top w:val="nil"/>
                    <w:left w:val="nil"/>
                    <w:bottom w:val="single" w:color="auto" w:sz="4" w:space="0"/>
                    <w:right w:val="single" w:color="auto" w:sz="4" w:space="0"/>
                  </w:tcBorders>
                  <w:vAlign w:val="center"/>
                </w:tcPr>
                <w:p>
                  <w:pPr>
                    <w:snapToGrid w:val="0"/>
                    <w:jc w:val="center"/>
                    <w:rPr>
                      <w:szCs w:val="21"/>
                    </w:rPr>
                  </w:pPr>
                  <w:r>
                    <w:rPr>
                      <w:rFonts w:hint="eastAsia" w:cs="宋体"/>
                      <w:szCs w:val="21"/>
                      <w:lang w:bidi="ar"/>
                    </w:rPr>
                    <w:t>多功能木工刨</w:t>
                  </w:r>
                </w:p>
              </w:tc>
              <w:tc>
                <w:tcPr>
                  <w:tcW w:w="645" w:type="pct"/>
                  <w:tcBorders>
                    <w:top w:val="nil"/>
                    <w:left w:val="nil"/>
                    <w:bottom w:val="single" w:color="auto" w:sz="4" w:space="0"/>
                    <w:right w:val="single" w:color="auto" w:sz="4" w:space="0"/>
                  </w:tcBorders>
                  <w:vAlign w:val="center"/>
                </w:tcPr>
                <w:p>
                  <w:pPr>
                    <w:snapToGrid w:val="0"/>
                    <w:jc w:val="center"/>
                    <w:rPr>
                      <w:szCs w:val="21"/>
                    </w:rPr>
                  </w:pPr>
                  <w:r>
                    <w:rPr>
                      <w:szCs w:val="21"/>
                      <w:lang w:bidi="ar"/>
                    </w:rPr>
                    <w:t>95</w:t>
                  </w:r>
                </w:p>
              </w:tc>
              <w:tc>
                <w:tcPr>
                  <w:tcW w:w="361" w:type="pct"/>
                  <w:vMerge w:val="continue"/>
                  <w:tcBorders>
                    <w:top w:val="nil"/>
                    <w:left w:val="single" w:color="auto" w:sz="4" w:space="0"/>
                    <w:bottom w:val="single" w:color="auto" w:sz="4" w:space="0"/>
                    <w:right w:val="single" w:color="auto" w:sz="4" w:space="0"/>
                  </w:tcBorders>
                  <w:vAlign w:val="center"/>
                </w:tcPr>
                <w:p>
                  <w:pPr>
                    <w:rPr>
                      <w:sz w:val="22"/>
                      <w:szCs w:val="22"/>
                    </w:rPr>
                  </w:pPr>
                </w:p>
              </w:tc>
              <w:tc>
                <w:tcPr>
                  <w:tcW w:w="358" w:type="pct"/>
                  <w:vMerge w:val="continue"/>
                  <w:tcBorders>
                    <w:top w:val="nil"/>
                    <w:left w:val="single" w:color="auto" w:sz="4" w:space="0"/>
                    <w:bottom w:val="single" w:color="auto" w:sz="4" w:space="0"/>
                    <w:right w:val="single" w:color="auto" w:sz="4" w:space="0"/>
                  </w:tcBorders>
                  <w:vAlign w:val="center"/>
                </w:tcPr>
                <w:p>
                  <w:pPr>
                    <w:rPr>
                      <w:sz w:val="22"/>
                      <w:szCs w:val="22"/>
                    </w:rPr>
                  </w:pPr>
                </w:p>
              </w:tc>
              <w:tc>
                <w:tcPr>
                  <w:tcW w:w="284" w:type="pct"/>
                  <w:tcBorders>
                    <w:top w:val="nil"/>
                    <w:left w:val="nil"/>
                    <w:bottom w:val="single" w:color="auto" w:sz="4" w:space="0"/>
                    <w:right w:val="single" w:color="auto" w:sz="4" w:space="0"/>
                  </w:tcBorders>
                  <w:vAlign w:val="center"/>
                </w:tcPr>
                <w:p>
                  <w:pPr>
                    <w:snapToGrid w:val="0"/>
                    <w:jc w:val="center"/>
                    <w:rPr>
                      <w:szCs w:val="21"/>
                    </w:rPr>
                  </w:pPr>
                  <w:r>
                    <w:rPr>
                      <w:szCs w:val="21"/>
                      <w:lang w:bidi="ar"/>
                    </w:rPr>
                    <w:t>75</w:t>
                  </w:r>
                </w:p>
              </w:tc>
              <w:tc>
                <w:tcPr>
                  <w:tcW w:w="284" w:type="pct"/>
                  <w:tcBorders>
                    <w:top w:val="nil"/>
                    <w:left w:val="nil"/>
                    <w:bottom w:val="single" w:color="auto" w:sz="4" w:space="0"/>
                    <w:right w:val="single" w:color="auto" w:sz="4" w:space="0"/>
                  </w:tcBorders>
                  <w:vAlign w:val="center"/>
                </w:tcPr>
                <w:p>
                  <w:pPr>
                    <w:snapToGrid w:val="0"/>
                    <w:jc w:val="center"/>
                    <w:rPr>
                      <w:szCs w:val="21"/>
                    </w:rPr>
                  </w:pPr>
                  <w:r>
                    <w:rPr>
                      <w:szCs w:val="21"/>
                      <w:lang w:bidi="ar"/>
                    </w:rPr>
                    <w:t>69</w:t>
                  </w:r>
                </w:p>
              </w:tc>
              <w:tc>
                <w:tcPr>
                  <w:tcW w:w="284" w:type="pct"/>
                  <w:tcBorders>
                    <w:top w:val="nil"/>
                    <w:left w:val="nil"/>
                    <w:bottom w:val="single" w:color="auto" w:sz="4" w:space="0"/>
                    <w:right w:val="single" w:color="auto" w:sz="4" w:space="0"/>
                  </w:tcBorders>
                  <w:vAlign w:val="center"/>
                </w:tcPr>
                <w:p>
                  <w:pPr>
                    <w:snapToGrid w:val="0"/>
                    <w:jc w:val="center"/>
                    <w:rPr>
                      <w:szCs w:val="21"/>
                    </w:rPr>
                  </w:pPr>
                  <w:r>
                    <w:rPr>
                      <w:szCs w:val="21"/>
                      <w:lang w:bidi="ar"/>
                    </w:rPr>
                    <w:t>65</w:t>
                  </w:r>
                </w:p>
              </w:tc>
              <w:tc>
                <w:tcPr>
                  <w:tcW w:w="284" w:type="pct"/>
                  <w:tcBorders>
                    <w:top w:val="nil"/>
                    <w:left w:val="nil"/>
                    <w:bottom w:val="single" w:color="auto" w:sz="4" w:space="0"/>
                    <w:right w:val="single" w:color="auto" w:sz="4" w:space="0"/>
                  </w:tcBorders>
                  <w:vAlign w:val="center"/>
                </w:tcPr>
                <w:p>
                  <w:pPr>
                    <w:snapToGrid w:val="0"/>
                    <w:jc w:val="center"/>
                    <w:rPr>
                      <w:szCs w:val="21"/>
                    </w:rPr>
                  </w:pPr>
                  <w:r>
                    <w:rPr>
                      <w:szCs w:val="21"/>
                      <w:lang w:bidi="ar"/>
                    </w:rPr>
                    <w:t>61</w:t>
                  </w:r>
                </w:p>
              </w:tc>
              <w:tc>
                <w:tcPr>
                  <w:tcW w:w="309" w:type="pct"/>
                  <w:tcBorders>
                    <w:top w:val="nil"/>
                    <w:left w:val="nil"/>
                    <w:bottom w:val="single" w:color="auto" w:sz="4" w:space="0"/>
                    <w:right w:val="single" w:color="auto" w:sz="4" w:space="0"/>
                  </w:tcBorders>
                  <w:vAlign w:val="center"/>
                </w:tcPr>
                <w:p>
                  <w:pPr>
                    <w:snapToGrid w:val="0"/>
                    <w:jc w:val="center"/>
                    <w:rPr>
                      <w:szCs w:val="21"/>
                    </w:rPr>
                  </w:pPr>
                  <w:r>
                    <w:rPr>
                      <w:szCs w:val="21"/>
                      <w:lang w:bidi="ar"/>
                    </w:rPr>
                    <w:t>55</w:t>
                  </w:r>
                </w:p>
              </w:tc>
              <w:tc>
                <w:tcPr>
                  <w:tcW w:w="309" w:type="pct"/>
                  <w:tcBorders>
                    <w:top w:val="nil"/>
                    <w:left w:val="nil"/>
                    <w:bottom w:val="single" w:color="auto" w:sz="4" w:space="0"/>
                    <w:right w:val="single" w:color="auto" w:sz="4" w:space="0"/>
                  </w:tcBorders>
                  <w:vAlign w:val="center"/>
                </w:tcPr>
                <w:p>
                  <w:pPr>
                    <w:snapToGrid w:val="0"/>
                    <w:jc w:val="center"/>
                    <w:rPr>
                      <w:szCs w:val="21"/>
                    </w:rPr>
                  </w:pPr>
                  <w:r>
                    <w:rPr>
                      <w:szCs w:val="21"/>
                      <w:lang w:bidi="ar"/>
                    </w:rPr>
                    <w:t>51</w:t>
                  </w:r>
                </w:p>
              </w:tc>
              <w:tc>
                <w:tcPr>
                  <w:tcW w:w="309" w:type="pct"/>
                  <w:tcBorders>
                    <w:top w:val="nil"/>
                    <w:left w:val="nil"/>
                    <w:bottom w:val="single" w:color="auto" w:sz="4" w:space="0"/>
                    <w:right w:val="single" w:color="auto" w:sz="4" w:space="0"/>
                  </w:tcBorders>
                  <w:vAlign w:val="center"/>
                </w:tcPr>
                <w:p>
                  <w:pPr>
                    <w:snapToGrid w:val="0"/>
                    <w:jc w:val="center"/>
                    <w:rPr>
                      <w:szCs w:val="21"/>
                    </w:rPr>
                  </w:pPr>
                  <w:r>
                    <w:rPr>
                      <w:szCs w:val="21"/>
                      <w:lang w:bidi="ar"/>
                    </w:rPr>
                    <w:t>49</w:t>
                  </w:r>
                </w:p>
              </w:tc>
              <w:tc>
                <w:tcPr>
                  <w:tcW w:w="309" w:type="pct"/>
                  <w:tcBorders>
                    <w:top w:val="nil"/>
                    <w:left w:val="nil"/>
                    <w:bottom w:val="single" w:color="auto" w:sz="4" w:space="0"/>
                    <w:right w:val="single" w:color="auto" w:sz="4" w:space="0"/>
                  </w:tcBorders>
                  <w:vAlign w:val="center"/>
                </w:tcPr>
                <w:p>
                  <w:pPr>
                    <w:snapToGrid w:val="0"/>
                    <w:jc w:val="center"/>
                    <w:rPr>
                      <w:szCs w:val="21"/>
                    </w:rPr>
                  </w:pPr>
                  <w:r>
                    <w:rPr>
                      <w:szCs w:val="21"/>
                      <w:lang w:bidi="ar"/>
                    </w:rPr>
                    <w:t>45</w:t>
                  </w:r>
                </w:p>
              </w:tc>
              <w:tc>
                <w:tcPr>
                  <w:tcW w:w="313" w:type="pct"/>
                  <w:tcBorders>
                    <w:top w:val="nil"/>
                    <w:left w:val="nil"/>
                    <w:bottom w:val="single" w:color="auto" w:sz="4" w:space="0"/>
                    <w:right w:val="single" w:color="auto" w:sz="4" w:space="0"/>
                  </w:tcBorders>
                  <w:vAlign w:val="center"/>
                </w:tcPr>
                <w:p>
                  <w:pPr>
                    <w:snapToGrid w:val="0"/>
                    <w:jc w:val="center"/>
                    <w:rPr>
                      <w:szCs w:val="21"/>
                    </w:rPr>
                  </w:pPr>
                  <w:r>
                    <w:rPr>
                      <w:szCs w:val="21"/>
                      <w:lang w:bidi="ar"/>
                    </w:rPr>
                    <w:t>43</w:t>
                  </w:r>
                </w:p>
              </w:tc>
            </w:tr>
            <w:tr>
              <w:tblPrEx>
                <w:tblCellMar>
                  <w:top w:w="0" w:type="dxa"/>
                  <w:left w:w="108" w:type="dxa"/>
                  <w:bottom w:w="0" w:type="dxa"/>
                  <w:right w:w="108" w:type="dxa"/>
                </w:tblCellMar>
              </w:tblPrEx>
              <w:trPr>
                <w:trHeight w:val="28" w:hRule="atLeast"/>
                <w:jc w:val="center"/>
              </w:trPr>
              <w:tc>
                <w:tcPr>
                  <w:tcW w:w="407" w:type="pct"/>
                  <w:vMerge w:val="continue"/>
                  <w:tcBorders>
                    <w:top w:val="nil"/>
                    <w:left w:val="single" w:color="auto" w:sz="4" w:space="0"/>
                    <w:bottom w:val="single" w:color="auto" w:sz="4" w:space="0"/>
                    <w:right w:val="single" w:color="auto" w:sz="4" w:space="0"/>
                  </w:tcBorders>
                  <w:vAlign w:val="center"/>
                </w:tcPr>
                <w:p>
                  <w:pPr>
                    <w:rPr>
                      <w:sz w:val="22"/>
                      <w:szCs w:val="22"/>
                    </w:rPr>
                  </w:pPr>
                </w:p>
              </w:tc>
              <w:tc>
                <w:tcPr>
                  <w:tcW w:w="535" w:type="pct"/>
                  <w:tcBorders>
                    <w:top w:val="nil"/>
                    <w:left w:val="nil"/>
                    <w:bottom w:val="single" w:color="auto" w:sz="4" w:space="0"/>
                    <w:right w:val="single" w:color="auto" w:sz="4" w:space="0"/>
                  </w:tcBorders>
                  <w:vAlign w:val="center"/>
                </w:tcPr>
                <w:p>
                  <w:pPr>
                    <w:snapToGrid w:val="0"/>
                    <w:jc w:val="center"/>
                    <w:rPr>
                      <w:szCs w:val="21"/>
                    </w:rPr>
                  </w:pPr>
                  <w:r>
                    <w:rPr>
                      <w:rFonts w:hint="eastAsia" w:cs="宋体"/>
                      <w:szCs w:val="21"/>
                      <w:lang w:bidi="ar"/>
                    </w:rPr>
                    <w:t>吊车、升降机等</w:t>
                  </w:r>
                </w:p>
              </w:tc>
              <w:tc>
                <w:tcPr>
                  <w:tcW w:w="645" w:type="pct"/>
                  <w:tcBorders>
                    <w:top w:val="nil"/>
                    <w:left w:val="nil"/>
                    <w:bottom w:val="single" w:color="auto" w:sz="4" w:space="0"/>
                    <w:right w:val="single" w:color="auto" w:sz="4" w:space="0"/>
                  </w:tcBorders>
                  <w:vAlign w:val="center"/>
                </w:tcPr>
                <w:p>
                  <w:pPr>
                    <w:snapToGrid w:val="0"/>
                    <w:jc w:val="center"/>
                    <w:rPr>
                      <w:szCs w:val="21"/>
                    </w:rPr>
                  </w:pPr>
                  <w:r>
                    <w:rPr>
                      <w:szCs w:val="21"/>
                      <w:lang w:bidi="ar"/>
                    </w:rPr>
                    <w:t>95</w:t>
                  </w:r>
                </w:p>
              </w:tc>
              <w:tc>
                <w:tcPr>
                  <w:tcW w:w="361" w:type="pct"/>
                  <w:vMerge w:val="continue"/>
                  <w:tcBorders>
                    <w:top w:val="nil"/>
                    <w:left w:val="single" w:color="auto" w:sz="4" w:space="0"/>
                    <w:bottom w:val="single" w:color="auto" w:sz="4" w:space="0"/>
                    <w:right w:val="single" w:color="auto" w:sz="4" w:space="0"/>
                  </w:tcBorders>
                  <w:vAlign w:val="center"/>
                </w:tcPr>
                <w:p>
                  <w:pPr>
                    <w:rPr>
                      <w:sz w:val="22"/>
                      <w:szCs w:val="22"/>
                    </w:rPr>
                  </w:pPr>
                </w:p>
              </w:tc>
              <w:tc>
                <w:tcPr>
                  <w:tcW w:w="358" w:type="pct"/>
                  <w:vMerge w:val="continue"/>
                  <w:tcBorders>
                    <w:top w:val="nil"/>
                    <w:left w:val="single" w:color="auto" w:sz="4" w:space="0"/>
                    <w:bottom w:val="single" w:color="auto" w:sz="4" w:space="0"/>
                    <w:right w:val="single" w:color="auto" w:sz="4" w:space="0"/>
                  </w:tcBorders>
                  <w:vAlign w:val="center"/>
                </w:tcPr>
                <w:p>
                  <w:pPr>
                    <w:rPr>
                      <w:sz w:val="22"/>
                      <w:szCs w:val="22"/>
                    </w:rPr>
                  </w:pPr>
                </w:p>
              </w:tc>
              <w:tc>
                <w:tcPr>
                  <w:tcW w:w="284" w:type="pct"/>
                  <w:tcBorders>
                    <w:top w:val="nil"/>
                    <w:left w:val="nil"/>
                    <w:bottom w:val="single" w:color="auto" w:sz="4" w:space="0"/>
                    <w:right w:val="single" w:color="auto" w:sz="4" w:space="0"/>
                  </w:tcBorders>
                  <w:vAlign w:val="center"/>
                </w:tcPr>
                <w:p>
                  <w:pPr>
                    <w:snapToGrid w:val="0"/>
                    <w:jc w:val="center"/>
                    <w:rPr>
                      <w:szCs w:val="21"/>
                    </w:rPr>
                  </w:pPr>
                  <w:r>
                    <w:rPr>
                      <w:szCs w:val="21"/>
                      <w:lang w:bidi="ar"/>
                    </w:rPr>
                    <w:t>75</w:t>
                  </w:r>
                </w:p>
              </w:tc>
              <w:tc>
                <w:tcPr>
                  <w:tcW w:w="284" w:type="pct"/>
                  <w:tcBorders>
                    <w:top w:val="nil"/>
                    <w:left w:val="nil"/>
                    <w:bottom w:val="single" w:color="auto" w:sz="4" w:space="0"/>
                    <w:right w:val="single" w:color="auto" w:sz="4" w:space="0"/>
                  </w:tcBorders>
                  <w:vAlign w:val="center"/>
                </w:tcPr>
                <w:p>
                  <w:pPr>
                    <w:snapToGrid w:val="0"/>
                    <w:jc w:val="center"/>
                    <w:rPr>
                      <w:szCs w:val="21"/>
                    </w:rPr>
                  </w:pPr>
                  <w:r>
                    <w:rPr>
                      <w:szCs w:val="21"/>
                      <w:lang w:bidi="ar"/>
                    </w:rPr>
                    <w:t>69</w:t>
                  </w:r>
                </w:p>
              </w:tc>
              <w:tc>
                <w:tcPr>
                  <w:tcW w:w="284" w:type="pct"/>
                  <w:tcBorders>
                    <w:top w:val="nil"/>
                    <w:left w:val="nil"/>
                    <w:bottom w:val="single" w:color="auto" w:sz="4" w:space="0"/>
                    <w:right w:val="single" w:color="auto" w:sz="4" w:space="0"/>
                  </w:tcBorders>
                  <w:vAlign w:val="center"/>
                </w:tcPr>
                <w:p>
                  <w:pPr>
                    <w:snapToGrid w:val="0"/>
                    <w:jc w:val="center"/>
                    <w:rPr>
                      <w:szCs w:val="21"/>
                    </w:rPr>
                  </w:pPr>
                  <w:r>
                    <w:rPr>
                      <w:szCs w:val="21"/>
                      <w:lang w:bidi="ar"/>
                    </w:rPr>
                    <w:t>65</w:t>
                  </w:r>
                </w:p>
              </w:tc>
              <w:tc>
                <w:tcPr>
                  <w:tcW w:w="284" w:type="pct"/>
                  <w:tcBorders>
                    <w:top w:val="nil"/>
                    <w:left w:val="nil"/>
                    <w:bottom w:val="single" w:color="auto" w:sz="4" w:space="0"/>
                    <w:right w:val="single" w:color="auto" w:sz="4" w:space="0"/>
                  </w:tcBorders>
                  <w:vAlign w:val="center"/>
                </w:tcPr>
                <w:p>
                  <w:pPr>
                    <w:snapToGrid w:val="0"/>
                    <w:jc w:val="center"/>
                    <w:rPr>
                      <w:szCs w:val="21"/>
                    </w:rPr>
                  </w:pPr>
                  <w:r>
                    <w:rPr>
                      <w:szCs w:val="21"/>
                      <w:lang w:bidi="ar"/>
                    </w:rPr>
                    <w:t>61</w:t>
                  </w:r>
                </w:p>
              </w:tc>
              <w:tc>
                <w:tcPr>
                  <w:tcW w:w="309" w:type="pct"/>
                  <w:tcBorders>
                    <w:top w:val="nil"/>
                    <w:left w:val="nil"/>
                    <w:bottom w:val="single" w:color="auto" w:sz="4" w:space="0"/>
                    <w:right w:val="single" w:color="auto" w:sz="4" w:space="0"/>
                  </w:tcBorders>
                  <w:vAlign w:val="center"/>
                </w:tcPr>
                <w:p>
                  <w:pPr>
                    <w:snapToGrid w:val="0"/>
                    <w:jc w:val="center"/>
                    <w:rPr>
                      <w:szCs w:val="21"/>
                    </w:rPr>
                  </w:pPr>
                  <w:r>
                    <w:rPr>
                      <w:szCs w:val="21"/>
                      <w:lang w:bidi="ar"/>
                    </w:rPr>
                    <w:t>55</w:t>
                  </w:r>
                </w:p>
              </w:tc>
              <w:tc>
                <w:tcPr>
                  <w:tcW w:w="309" w:type="pct"/>
                  <w:tcBorders>
                    <w:top w:val="nil"/>
                    <w:left w:val="nil"/>
                    <w:bottom w:val="single" w:color="auto" w:sz="4" w:space="0"/>
                    <w:right w:val="single" w:color="auto" w:sz="4" w:space="0"/>
                  </w:tcBorders>
                  <w:vAlign w:val="center"/>
                </w:tcPr>
                <w:p>
                  <w:pPr>
                    <w:snapToGrid w:val="0"/>
                    <w:jc w:val="center"/>
                    <w:rPr>
                      <w:szCs w:val="21"/>
                    </w:rPr>
                  </w:pPr>
                  <w:r>
                    <w:rPr>
                      <w:szCs w:val="21"/>
                      <w:lang w:bidi="ar"/>
                    </w:rPr>
                    <w:t>51</w:t>
                  </w:r>
                </w:p>
              </w:tc>
              <w:tc>
                <w:tcPr>
                  <w:tcW w:w="309" w:type="pct"/>
                  <w:tcBorders>
                    <w:top w:val="nil"/>
                    <w:left w:val="nil"/>
                    <w:bottom w:val="single" w:color="auto" w:sz="4" w:space="0"/>
                    <w:right w:val="single" w:color="auto" w:sz="4" w:space="0"/>
                  </w:tcBorders>
                  <w:vAlign w:val="center"/>
                </w:tcPr>
                <w:p>
                  <w:pPr>
                    <w:snapToGrid w:val="0"/>
                    <w:jc w:val="center"/>
                    <w:rPr>
                      <w:szCs w:val="21"/>
                    </w:rPr>
                  </w:pPr>
                  <w:r>
                    <w:rPr>
                      <w:szCs w:val="21"/>
                      <w:lang w:bidi="ar"/>
                    </w:rPr>
                    <w:t>49</w:t>
                  </w:r>
                </w:p>
              </w:tc>
              <w:tc>
                <w:tcPr>
                  <w:tcW w:w="309" w:type="pct"/>
                  <w:tcBorders>
                    <w:top w:val="nil"/>
                    <w:left w:val="nil"/>
                    <w:bottom w:val="single" w:color="auto" w:sz="4" w:space="0"/>
                    <w:right w:val="single" w:color="auto" w:sz="4" w:space="0"/>
                  </w:tcBorders>
                  <w:vAlign w:val="center"/>
                </w:tcPr>
                <w:p>
                  <w:pPr>
                    <w:snapToGrid w:val="0"/>
                    <w:jc w:val="center"/>
                    <w:rPr>
                      <w:szCs w:val="21"/>
                    </w:rPr>
                  </w:pPr>
                  <w:r>
                    <w:rPr>
                      <w:szCs w:val="21"/>
                      <w:lang w:bidi="ar"/>
                    </w:rPr>
                    <w:t>45</w:t>
                  </w:r>
                </w:p>
              </w:tc>
              <w:tc>
                <w:tcPr>
                  <w:tcW w:w="313" w:type="pct"/>
                  <w:tcBorders>
                    <w:top w:val="nil"/>
                    <w:left w:val="nil"/>
                    <w:bottom w:val="single" w:color="auto" w:sz="4" w:space="0"/>
                    <w:right w:val="single" w:color="auto" w:sz="4" w:space="0"/>
                  </w:tcBorders>
                  <w:vAlign w:val="center"/>
                </w:tcPr>
                <w:p>
                  <w:pPr>
                    <w:snapToGrid w:val="0"/>
                    <w:jc w:val="center"/>
                    <w:rPr>
                      <w:szCs w:val="21"/>
                    </w:rPr>
                  </w:pPr>
                  <w:r>
                    <w:rPr>
                      <w:szCs w:val="21"/>
                      <w:lang w:bidi="ar"/>
                    </w:rPr>
                    <w:t>43</w:t>
                  </w:r>
                </w:p>
              </w:tc>
            </w:tr>
          </w:tbl>
          <w:p>
            <w:pPr>
              <w:tabs>
                <w:tab w:val="left" w:pos="0"/>
              </w:tabs>
              <w:adjustRightInd w:val="0"/>
              <w:snapToGrid w:val="0"/>
              <w:spacing w:before="120" w:beforeLines="50"/>
              <w:jc w:val="center"/>
              <w:rPr>
                <w:b/>
              </w:rPr>
            </w:pPr>
            <w:r>
              <w:rPr>
                <w:rFonts w:hint="eastAsia" w:cs="宋体"/>
                <w:b/>
                <w:lang w:bidi="ar"/>
              </w:rPr>
              <w:t>表4-5 不同距离处多台机械设备同时运转总声压预测值单位：</w:t>
            </w:r>
            <w:r>
              <w:rPr>
                <w:b/>
                <w:lang w:bidi="ar"/>
              </w:rPr>
              <w:t>dB(A)</w:t>
            </w:r>
          </w:p>
          <w:p>
            <w:pPr>
              <w:autoSpaceDE w:val="0"/>
              <w:autoSpaceDN w:val="0"/>
              <w:adjustRightInd w:val="0"/>
              <w:spacing w:before="9" w:line="40" w:lineRule="exact"/>
              <w:jc w:val="left"/>
              <w:rPr>
                <w:sz w:val="4"/>
                <w:szCs w:val="4"/>
              </w:rPr>
            </w:pPr>
          </w:p>
          <w:tbl>
            <w:tblPr>
              <w:tblStyle w:val="92"/>
              <w:tblW w:w="8393" w:type="dxa"/>
              <w:jc w:val="center"/>
              <w:tblLayout w:type="autofit"/>
              <w:tblCellMar>
                <w:top w:w="0" w:type="dxa"/>
                <w:left w:w="108" w:type="dxa"/>
                <w:bottom w:w="0" w:type="dxa"/>
                <w:right w:w="108" w:type="dxa"/>
              </w:tblCellMar>
            </w:tblPr>
            <w:tblGrid>
              <w:gridCol w:w="1206"/>
              <w:gridCol w:w="726"/>
              <w:gridCol w:w="727"/>
              <w:gridCol w:w="637"/>
              <w:gridCol w:w="637"/>
              <w:gridCol w:w="637"/>
              <w:gridCol w:w="637"/>
              <w:gridCol w:w="637"/>
              <w:gridCol w:w="637"/>
              <w:gridCol w:w="637"/>
              <w:gridCol w:w="637"/>
              <w:gridCol w:w="638"/>
            </w:tblGrid>
            <w:tr>
              <w:tblPrEx>
                <w:tblCellMar>
                  <w:top w:w="0" w:type="dxa"/>
                  <w:left w:w="108" w:type="dxa"/>
                  <w:bottom w:w="0" w:type="dxa"/>
                  <w:right w:w="108" w:type="dxa"/>
                </w:tblCellMar>
              </w:tblPrEx>
              <w:trPr>
                <w:trHeight w:val="202" w:hRule="atLeast"/>
                <w:jc w:val="center"/>
              </w:trPr>
              <w:tc>
                <w:tcPr>
                  <w:tcW w:w="1206" w:type="dxa"/>
                  <w:vMerge w:val="restart"/>
                  <w:tcBorders>
                    <w:top w:val="single" w:color="auto" w:sz="4" w:space="0"/>
                    <w:left w:val="single" w:color="auto" w:sz="4" w:space="0"/>
                    <w:bottom w:val="single" w:color="auto" w:sz="4" w:space="0"/>
                    <w:right w:val="single" w:color="auto" w:sz="4" w:space="0"/>
                  </w:tcBorders>
                  <w:vAlign w:val="center"/>
                </w:tcPr>
                <w:p>
                  <w:pPr>
                    <w:jc w:val="center"/>
                    <w:rPr>
                      <w:b/>
                    </w:rPr>
                  </w:pPr>
                  <w:r>
                    <w:rPr>
                      <w:rFonts w:hint="eastAsia" w:cs="宋体"/>
                      <w:b/>
                      <w:lang w:bidi="ar"/>
                    </w:rPr>
                    <w:t>施工阶段</w:t>
                  </w:r>
                </w:p>
              </w:tc>
              <w:tc>
                <w:tcPr>
                  <w:tcW w:w="1453" w:type="dxa"/>
                  <w:gridSpan w:val="2"/>
                  <w:tcBorders>
                    <w:top w:val="single" w:color="auto" w:sz="4" w:space="0"/>
                    <w:left w:val="nil"/>
                    <w:bottom w:val="single" w:color="auto" w:sz="4" w:space="0"/>
                    <w:right w:val="single" w:color="auto" w:sz="4" w:space="0"/>
                  </w:tcBorders>
                  <w:vAlign w:val="center"/>
                </w:tcPr>
                <w:p>
                  <w:pPr>
                    <w:jc w:val="center"/>
                    <w:rPr>
                      <w:b/>
                    </w:rPr>
                  </w:pPr>
                  <w:r>
                    <w:rPr>
                      <w:rFonts w:hint="eastAsia" w:cs="宋体"/>
                      <w:b/>
                      <w:lang w:bidi="ar"/>
                    </w:rPr>
                    <w:t>噪声限值</w:t>
                  </w:r>
                </w:p>
              </w:tc>
              <w:tc>
                <w:tcPr>
                  <w:tcW w:w="5734" w:type="dxa"/>
                  <w:gridSpan w:val="9"/>
                  <w:tcBorders>
                    <w:top w:val="single" w:color="auto" w:sz="4" w:space="0"/>
                    <w:left w:val="nil"/>
                    <w:bottom w:val="single" w:color="auto" w:sz="4" w:space="0"/>
                    <w:right w:val="single" w:color="auto" w:sz="4" w:space="0"/>
                  </w:tcBorders>
                  <w:vAlign w:val="center"/>
                </w:tcPr>
                <w:p>
                  <w:pPr>
                    <w:jc w:val="center"/>
                    <w:rPr>
                      <w:b/>
                    </w:rPr>
                  </w:pPr>
                  <w:r>
                    <w:rPr>
                      <w:rFonts w:hint="eastAsia" w:cs="宋体"/>
                      <w:b/>
                      <w:lang w:bidi="ar"/>
                    </w:rPr>
                    <w:t>距声源不同距离处总声压级</w:t>
                  </w:r>
                </w:p>
              </w:tc>
            </w:tr>
            <w:tr>
              <w:tblPrEx>
                <w:tblCellMar>
                  <w:top w:w="0" w:type="dxa"/>
                  <w:left w:w="108" w:type="dxa"/>
                  <w:bottom w:w="0" w:type="dxa"/>
                  <w:right w:w="108" w:type="dxa"/>
                </w:tblCellMar>
              </w:tblPrEx>
              <w:trPr>
                <w:trHeight w:val="202" w:hRule="atLeast"/>
                <w:jc w:val="center"/>
              </w:trPr>
              <w:tc>
                <w:tcPr>
                  <w:tcW w:w="1206" w:type="dxa"/>
                  <w:vMerge w:val="continue"/>
                  <w:tcBorders>
                    <w:top w:val="single" w:color="auto" w:sz="4" w:space="0"/>
                    <w:left w:val="single" w:color="auto" w:sz="4" w:space="0"/>
                    <w:bottom w:val="single" w:color="auto" w:sz="4" w:space="0"/>
                    <w:right w:val="single" w:color="auto" w:sz="4" w:space="0"/>
                  </w:tcBorders>
                  <w:vAlign w:val="center"/>
                </w:tcPr>
                <w:p/>
              </w:tc>
              <w:tc>
                <w:tcPr>
                  <w:tcW w:w="726" w:type="dxa"/>
                  <w:tcBorders>
                    <w:top w:val="single" w:color="auto" w:sz="4" w:space="0"/>
                    <w:left w:val="nil"/>
                    <w:bottom w:val="single" w:color="auto" w:sz="4" w:space="0"/>
                    <w:right w:val="single" w:color="auto" w:sz="4" w:space="0"/>
                  </w:tcBorders>
                  <w:vAlign w:val="center"/>
                </w:tcPr>
                <w:p>
                  <w:pPr>
                    <w:snapToGrid w:val="0"/>
                    <w:jc w:val="center"/>
                    <w:rPr>
                      <w:b/>
                    </w:rPr>
                  </w:pPr>
                  <w:r>
                    <w:rPr>
                      <w:rFonts w:hint="eastAsia" w:cs="宋体"/>
                      <w:b/>
                      <w:lang w:bidi="ar"/>
                    </w:rPr>
                    <w:t>昼间</w:t>
                  </w:r>
                </w:p>
              </w:tc>
              <w:tc>
                <w:tcPr>
                  <w:tcW w:w="727" w:type="dxa"/>
                  <w:tcBorders>
                    <w:top w:val="nil"/>
                    <w:left w:val="single" w:color="auto" w:sz="4" w:space="0"/>
                    <w:bottom w:val="single" w:color="auto" w:sz="4" w:space="0"/>
                    <w:right w:val="single" w:color="auto" w:sz="4" w:space="0"/>
                  </w:tcBorders>
                  <w:vAlign w:val="center"/>
                </w:tcPr>
                <w:p>
                  <w:pPr>
                    <w:snapToGrid w:val="0"/>
                    <w:jc w:val="center"/>
                    <w:rPr>
                      <w:b/>
                    </w:rPr>
                  </w:pPr>
                  <w:r>
                    <w:rPr>
                      <w:rFonts w:hint="eastAsia" w:cs="宋体"/>
                      <w:b/>
                      <w:lang w:bidi="ar"/>
                    </w:rPr>
                    <w:t>夜间</w:t>
                  </w:r>
                </w:p>
              </w:tc>
              <w:tc>
                <w:tcPr>
                  <w:tcW w:w="637" w:type="dxa"/>
                  <w:tcBorders>
                    <w:top w:val="nil"/>
                    <w:left w:val="nil"/>
                    <w:bottom w:val="single" w:color="auto" w:sz="4" w:space="0"/>
                    <w:right w:val="single" w:color="auto" w:sz="4" w:space="0"/>
                  </w:tcBorders>
                  <w:vAlign w:val="center"/>
                </w:tcPr>
                <w:p>
                  <w:pPr>
                    <w:jc w:val="center"/>
                    <w:rPr>
                      <w:b/>
                    </w:rPr>
                  </w:pPr>
                  <w:r>
                    <w:rPr>
                      <w:b/>
                      <w:lang w:bidi="ar"/>
                    </w:rPr>
                    <w:t>10</w:t>
                  </w:r>
                </w:p>
              </w:tc>
              <w:tc>
                <w:tcPr>
                  <w:tcW w:w="637" w:type="dxa"/>
                  <w:tcBorders>
                    <w:top w:val="nil"/>
                    <w:left w:val="nil"/>
                    <w:bottom w:val="single" w:color="auto" w:sz="4" w:space="0"/>
                    <w:right w:val="single" w:color="auto" w:sz="4" w:space="0"/>
                  </w:tcBorders>
                  <w:vAlign w:val="center"/>
                </w:tcPr>
                <w:p>
                  <w:pPr>
                    <w:jc w:val="center"/>
                    <w:rPr>
                      <w:b/>
                    </w:rPr>
                  </w:pPr>
                  <w:r>
                    <w:rPr>
                      <w:b/>
                      <w:lang w:bidi="ar"/>
                    </w:rPr>
                    <w:t>20</w:t>
                  </w:r>
                </w:p>
              </w:tc>
              <w:tc>
                <w:tcPr>
                  <w:tcW w:w="637" w:type="dxa"/>
                  <w:tcBorders>
                    <w:top w:val="nil"/>
                    <w:left w:val="nil"/>
                    <w:bottom w:val="single" w:color="auto" w:sz="4" w:space="0"/>
                    <w:right w:val="single" w:color="auto" w:sz="4" w:space="0"/>
                  </w:tcBorders>
                  <w:vAlign w:val="center"/>
                </w:tcPr>
                <w:p>
                  <w:pPr>
                    <w:jc w:val="center"/>
                    <w:rPr>
                      <w:b/>
                    </w:rPr>
                  </w:pPr>
                  <w:r>
                    <w:rPr>
                      <w:b/>
                      <w:lang w:bidi="ar"/>
                    </w:rPr>
                    <w:t>30</w:t>
                  </w:r>
                </w:p>
              </w:tc>
              <w:tc>
                <w:tcPr>
                  <w:tcW w:w="637" w:type="dxa"/>
                  <w:tcBorders>
                    <w:top w:val="nil"/>
                    <w:left w:val="nil"/>
                    <w:bottom w:val="single" w:color="auto" w:sz="4" w:space="0"/>
                    <w:right w:val="single" w:color="auto" w:sz="4" w:space="0"/>
                  </w:tcBorders>
                  <w:vAlign w:val="center"/>
                </w:tcPr>
                <w:p>
                  <w:pPr>
                    <w:jc w:val="center"/>
                    <w:rPr>
                      <w:b/>
                    </w:rPr>
                  </w:pPr>
                  <w:r>
                    <w:rPr>
                      <w:b/>
                      <w:lang w:bidi="ar"/>
                    </w:rPr>
                    <w:t>50</w:t>
                  </w:r>
                </w:p>
              </w:tc>
              <w:tc>
                <w:tcPr>
                  <w:tcW w:w="637" w:type="dxa"/>
                  <w:tcBorders>
                    <w:top w:val="nil"/>
                    <w:left w:val="nil"/>
                    <w:bottom w:val="single" w:color="auto" w:sz="4" w:space="0"/>
                    <w:right w:val="single" w:color="auto" w:sz="4" w:space="0"/>
                  </w:tcBorders>
                  <w:vAlign w:val="center"/>
                </w:tcPr>
                <w:p>
                  <w:pPr>
                    <w:jc w:val="center"/>
                    <w:rPr>
                      <w:b/>
                    </w:rPr>
                  </w:pPr>
                  <w:r>
                    <w:rPr>
                      <w:b/>
                      <w:lang w:bidi="ar"/>
                    </w:rPr>
                    <w:t>100</w:t>
                  </w:r>
                </w:p>
              </w:tc>
              <w:tc>
                <w:tcPr>
                  <w:tcW w:w="637" w:type="dxa"/>
                  <w:tcBorders>
                    <w:top w:val="nil"/>
                    <w:left w:val="nil"/>
                    <w:bottom w:val="single" w:color="auto" w:sz="4" w:space="0"/>
                    <w:right w:val="single" w:color="auto" w:sz="4" w:space="0"/>
                  </w:tcBorders>
                  <w:vAlign w:val="center"/>
                </w:tcPr>
                <w:p>
                  <w:pPr>
                    <w:jc w:val="center"/>
                    <w:rPr>
                      <w:b/>
                    </w:rPr>
                  </w:pPr>
                  <w:r>
                    <w:rPr>
                      <w:b/>
                      <w:lang w:bidi="ar"/>
                    </w:rPr>
                    <w:t>150</w:t>
                  </w:r>
                </w:p>
              </w:tc>
              <w:tc>
                <w:tcPr>
                  <w:tcW w:w="637" w:type="dxa"/>
                  <w:tcBorders>
                    <w:top w:val="nil"/>
                    <w:left w:val="nil"/>
                    <w:bottom w:val="single" w:color="auto" w:sz="4" w:space="0"/>
                    <w:right w:val="single" w:color="auto" w:sz="4" w:space="0"/>
                  </w:tcBorders>
                  <w:vAlign w:val="center"/>
                </w:tcPr>
                <w:p>
                  <w:pPr>
                    <w:jc w:val="center"/>
                    <w:rPr>
                      <w:b/>
                    </w:rPr>
                  </w:pPr>
                  <w:r>
                    <w:rPr>
                      <w:b/>
                      <w:lang w:bidi="ar"/>
                    </w:rPr>
                    <w:t>200</w:t>
                  </w:r>
                </w:p>
              </w:tc>
              <w:tc>
                <w:tcPr>
                  <w:tcW w:w="637" w:type="dxa"/>
                  <w:tcBorders>
                    <w:top w:val="nil"/>
                    <w:left w:val="nil"/>
                    <w:bottom w:val="single" w:color="auto" w:sz="4" w:space="0"/>
                    <w:right w:val="single" w:color="auto" w:sz="4" w:space="0"/>
                  </w:tcBorders>
                  <w:vAlign w:val="center"/>
                </w:tcPr>
                <w:p>
                  <w:pPr>
                    <w:jc w:val="center"/>
                    <w:rPr>
                      <w:b/>
                    </w:rPr>
                  </w:pPr>
                  <w:r>
                    <w:rPr>
                      <w:b/>
                      <w:lang w:bidi="ar"/>
                    </w:rPr>
                    <w:t>300</w:t>
                  </w:r>
                </w:p>
              </w:tc>
              <w:tc>
                <w:tcPr>
                  <w:tcW w:w="638" w:type="dxa"/>
                  <w:tcBorders>
                    <w:top w:val="nil"/>
                    <w:left w:val="nil"/>
                    <w:bottom w:val="single" w:color="auto" w:sz="4" w:space="0"/>
                    <w:right w:val="single" w:color="auto" w:sz="4" w:space="0"/>
                  </w:tcBorders>
                  <w:vAlign w:val="center"/>
                </w:tcPr>
                <w:p>
                  <w:pPr>
                    <w:jc w:val="center"/>
                    <w:rPr>
                      <w:b/>
                    </w:rPr>
                  </w:pPr>
                  <w:r>
                    <w:rPr>
                      <w:b/>
                      <w:lang w:bidi="ar"/>
                    </w:rPr>
                    <w:t>400</w:t>
                  </w:r>
                </w:p>
              </w:tc>
            </w:tr>
            <w:tr>
              <w:tblPrEx>
                <w:tblCellMar>
                  <w:top w:w="0" w:type="dxa"/>
                  <w:left w:w="108" w:type="dxa"/>
                  <w:bottom w:w="0" w:type="dxa"/>
                  <w:right w:w="108" w:type="dxa"/>
                </w:tblCellMar>
              </w:tblPrEx>
              <w:trPr>
                <w:trHeight w:val="202" w:hRule="atLeast"/>
                <w:jc w:val="center"/>
              </w:trPr>
              <w:tc>
                <w:tcPr>
                  <w:tcW w:w="1206" w:type="dxa"/>
                  <w:tcBorders>
                    <w:top w:val="nil"/>
                    <w:left w:val="single" w:color="auto" w:sz="4" w:space="0"/>
                    <w:bottom w:val="single" w:color="auto" w:sz="4" w:space="0"/>
                    <w:right w:val="single" w:color="auto" w:sz="4" w:space="0"/>
                  </w:tcBorders>
                  <w:vAlign w:val="center"/>
                </w:tcPr>
                <w:p>
                  <w:pPr>
                    <w:jc w:val="center"/>
                  </w:pPr>
                  <w:r>
                    <w:rPr>
                      <w:rFonts w:hint="eastAsia" w:cs="宋体"/>
                      <w:lang w:bidi="ar"/>
                    </w:rPr>
                    <w:t>土方阶段</w:t>
                  </w:r>
                </w:p>
              </w:tc>
              <w:tc>
                <w:tcPr>
                  <w:tcW w:w="726" w:type="dxa"/>
                  <w:vMerge w:val="restart"/>
                  <w:tcBorders>
                    <w:top w:val="single" w:color="auto" w:sz="4" w:space="0"/>
                    <w:left w:val="nil"/>
                    <w:bottom w:val="single" w:color="auto" w:sz="4" w:space="0"/>
                    <w:right w:val="single" w:color="auto" w:sz="4" w:space="0"/>
                  </w:tcBorders>
                  <w:vAlign w:val="center"/>
                </w:tcPr>
                <w:p>
                  <w:pPr>
                    <w:jc w:val="center"/>
                  </w:pPr>
                  <w:r>
                    <w:rPr>
                      <w:lang w:bidi="ar"/>
                    </w:rPr>
                    <w:t>70</w:t>
                  </w:r>
                </w:p>
              </w:tc>
              <w:tc>
                <w:tcPr>
                  <w:tcW w:w="727" w:type="dxa"/>
                  <w:vMerge w:val="restart"/>
                  <w:tcBorders>
                    <w:top w:val="nil"/>
                    <w:left w:val="single" w:color="auto" w:sz="4" w:space="0"/>
                    <w:bottom w:val="single" w:color="auto" w:sz="4" w:space="0"/>
                    <w:right w:val="single" w:color="auto" w:sz="4" w:space="0"/>
                  </w:tcBorders>
                  <w:vAlign w:val="center"/>
                </w:tcPr>
                <w:p>
                  <w:pPr>
                    <w:jc w:val="center"/>
                  </w:pPr>
                  <w:r>
                    <w:rPr>
                      <w:lang w:bidi="ar"/>
                    </w:rPr>
                    <w:t>55</w:t>
                  </w:r>
                </w:p>
              </w:tc>
              <w:tc>
                <w:tcPr>
                  <w:tcW w:w="637" w:type="dxa"/>
                  <w:tcBorders>
                    <w:top w:val="nil"/>
                    <w:left w:val="nil"/>
                    <w:bottom w:val="single" w:color="auto" w:sz="4" w:space="0"/>
                    <w:right w:val="single" w:color="auto" w:sz="4" w:space="0"/>
                  </w:tcBorders>
                  <w:vAlign w:val="center"/>
                </w:tcPr>
                <w:p>
                  <w:pPr>
                    <w:jc w:val="center"/>
                  </w:pPr>
                  <w:r>
                    <w:rPr>
                      <w:lang w:bidi="ar"/>
                    </w:rPr>
                    <w:t>90</w:t>
                  </w:r>
                </w:p>
              </w:tc>
              <w:tc>
                <w:tcPr>
                  <w:tcW w:w="637" w:type="dxa"/>
                  <w:tcBorders>
                    <w:top w:val="nil"/>
                    <w:left w:val="nil"/>
                    <w:bottom w:val="single" w:color="auto" w:sz="4" w:space="0"/>
                    <w:right w:val="single" w:color="auto" w:sz="4" w:space="0"/>
                  </w:tcBorders>
                  <w:vAlign w:val="center"/>
                </w:tcPr>
                <w:p>
                  <w:pPr>
                    <w:jc w:val="center"/>
                  </w:pPr>
                  <w:r>
                    <w:rPr>
                      <w:lang w:bidi="ar"/>
                    </w:rPr>
                    <w:t>87</w:t>
                  </w:r>
                </w:p>
              </w:tc>
              <w:tc>
                <w:tcPr>
                  <w:tcW w:w="637" w:type="dxa"/>
                  <w:tcBorders>
                    <w:top w:val="nil"/>
                    <w:left w:val="nil"/>
                    <w:bottom w:val="single" w:color="auto" w:sz="4" w:space="0"/>
                    <w:right w:val="single" w:color="auto" w:sz="4" w:space="0"/>
                  </w:tcBorders>
                  <w:vAlign w:val="center"/>
                </w:tcPr>
                <w:p>
                  <w:pPr>
                    <w:jc w:val="center"/>
                  </w:pPr>
                  <w:r>
                    <w:rPr>
                      <w:lang w:bidi="ar"/>
                    </w:rPr>
                    <w:t>84</w:t>
                  </w:r>
                </w:p>
              </w:tc>
              <w:tc>
                <w:tcPr>
                  <w:tcW w:w="637" w:type="dxa"/>
                  <w:tcBorders>
                    <w:top w:val="nil"/>
                    <w:left w:val="nil"/>
                    <w:bottom w:val="single" w:color="auto" w:sz="4" w:space="0"/>
                    <w:right w:val="single" w:color="auto" w:sz="4" w:space="0"/>
                  </w:tcBorders>
                  <w:vAlign w:val="center"/>
                </w:tcPr>
                <w:p>
                  <w:pPr>
                    <w:jc w:val="center"/>
                  </w:pPr>
                  <w:r>
                    <w:rPr>
                      <w:lang w:bidi="ar"/>
                    </w:rPr>
                    <w:t>80</w:t>
                  </w:r>
                </w:p>
              </w:tc>
              <w:tc>
                <w:tcPr>
                  <w:tcW w:w="637" w:type="dxa"/>
                  <w:tcBorders>
                    <w:top w:val="nil"/>
                    <w:left w:val="nil"/>
                    <w:bottom w:val="single" w:color="auto" w:sz="4" w:space="0"/>
                    <w:right w:val="single" w:color="auto" w:sz="4" w:space="0"/>
                  </w:tcBorders>
                  <w:vAlign w:val="center"/>
                </w:tcPr>
                <w:p>
                  <w:pPr>
                    <w:jc w:val="center"/>
                  </w:pPr>
                  <w:r>
                    <w:rPr>
                      <w:lang w:bidi="ar"/>
                    </w:rPr>
                    <w:t>74</w:t>
                  </w:r>
                </w:p>
              </w:tc>
              <w:tc>
                <w:tcPr>
                  <w:tcW w:w="637" w:type="dxa"/>
                  <w:tcBorders>
                    <w:top w:val="nil"/>
                    <w:left w:val="nil"/>
                    <w:bottom w:val="single" w:color="auto" w:sz="4" w:space="0"/>
                    <w:right w:val="single" w:color="auto" w:sz="4" w:space="0"/>
                  </w:tcBorders>
                  <w:vAlign w:val="center"/>
                </w:tcPr>
                <w:p>
                  <w:pPr>
                    <w:jc w:val="center"/>
                  </w:pPr>
                  <w:r>
                    <w:rPr>
                      <w:lang w:bidi="ar"/>
                    </w:rPr>
                    <w:t>70</w:t>
                  </w:r>
                </w:p>
              </w:tc>
              <w:tc>
                <w:tcPr>
                  <w:tcW w:w="637" w:type="dxa"/>
                  <w:tcBorders>
                    <w:top w:val="nil"/>
                    <w:left w:val="nil"/>
                    <w:bottom w:val="single" w:color="auto" w:sz="4" w:space="0"/>
                    <w:right w:val="single" w:color="auto" w:sz="4" w:space="0"/>
                  </w:tcBorders>
                  <w:vAlign w:val="center"/>
                </w:tcPr>
                <w:p>
                  <w:pPr>
                    <w:jc w:val="center"/>
                  </w:pPr>
                  <w:r>
                    <w:rPr>
                      <w:lang w:bidi="ar"/>
                    </w:rPr>
                    <w:t>67</w:t>
                  </w:r>
                </w:p>
              </w:tc>
              <w:tc>
                <w:tcPr>
                  <w:tcW w:w="637" w:type="dxa"/>
                  <w:tcBorders>
                    <w:top w:val="nil"/>
                    <w:left w:val="nil"/>
                    <w:bottom w:val="single" w:color="auto" w:sz="4" w:space="0"/>
                    <w:right w:val="single" w:color="auto" w:sz="4" w:space="0"/>
                  </w:tcBorders>
                  <w:vAlign w:val="center"/>
                </w:tcPr>
                <w:p>
                  <w:pPr>
                    <w:jc w:val="center"/>
                  </w:pPr>
                  <w:r>
                    <w:rPr>
                      <w:lang w:bidi="ar"/>
                    </w:rPr>
                    <w:t>64</w:t>
                  </w:r>
                </w:p>
              </w:tc>
              <w:tc>
                <w:tcPr>
                  <w:tcW w:w="638" w:type="dxa"/>
                  <w:tcBorders>
                    <w:top w:val="nil"/>
                    <w:left w:val="nil"/>
                    <w:bottom w:val="single" w:color="auto" w:sz="4" w:space="0"/>
                    <w:right w:val="single" w:color="auto" w:sz="4" w:space="0"/>
                  </w:tcBorders>
                  <w:vAlign w:val="center"/>
                </w:tcPr>
                <w:p>
                  <w:pPr>
                    <w:jc w:val="center"/>
                  </w:pPr>
                  <w:r>
                    <w:rPr>
                      <w:lang w:bidi="ar"/>
                    </w:rPr>
                    <w:t>61</w:t>
                  </w:r>
                </w:p>
              </w:tc>
            </w:tr>
            <w:tr>
              <w:tblPrEx>
                <w:tblCellMar>
                  <w:top w:w="0" w:type="dxa"/>
                  <w:left w:w="108" w:type="dxa"/>
                  <w:bottom w:w="0" w:type="dxa"/>
                  <w:right w:w="108" w:type="dxa"/>
                </w:tblCellMar>
              </w:tblPrEx>
              <w:trPr>
                <w:trHeight w:val="202" w:hRule="atLeast"/>
                <w:jc w:val="center"/>
              </w:trPr>
              <w:tc>
                <w:tcPr>
                  <w:tcW w:w="1206" w:type="dxa"/>
                  <w:tcBorders>
                    <w:top w:val="nil"/>
                    <w:left w:val="single" w:color="auto" w:sz="4" w:space="0"/>
                    <w:bottom w:val="single" w:color="auto" w:sz="4" w:space="0"/>
                    <w:right w:val="single" w:color="auto" w:sz="4" w:space="0"/>
                  </w:tcBorders>
                  <w:vAlign w:val="center"/>
                </w:tcPr>
                <w:p>
                  <w:pPr>
                    <w:jc w:val="center"/>
                  </w:pPr>
                  <w:r>
                    <w:rPr>
                      <w:rFonts w:hint="eastAsia" w:cs="宋体"/>
                      <w:lang w:bidi="ar"/>
                    </w:rPr>
                    <w:t>基础阶段</w:t>
                  </w:r>
                </w:p>
              </w:tc>
              <w:tc>
                <w:tcPr>
                  <w:tcW w:w="726" w:type="dxa"/>
                  <w:vMerge w:val="continue"/>
                  <w:tcBorders>
                    <w:top w:val="single" w:color="auto" w:sz="4" w:space="0"/>
                    <w:left w:val="nil"/>
                    <w:bottom w:val="single" w:color="auto" w:sz="4" w:space="0"/>
                    <w:right w:val="single" w:color="auto" w:sz="4" w:space="0"/>
                  </w:tcBorders>
                  <w:vAlign w:val="center"/>
                </w:tcPr>
                <w:p/>
              </w:tc>
              <w:tc>
                <w:tcPr>
                  <w:tcW w:w="727" w:type="dxa"/>
                  <w:vMerge w:val="continue"/>
                  <w:tcBorders>
                    <w:top w:val="nil"/>
                    <w:left w:val="single" w:color="auto" w:sz="4" w:space="0"/>
                    <w:bottom w:val="single" w:color="auto" w:sz="4" w:space="0"/>
                    <w:right w:val="single" w:color="auto" w:sz="4" w:space="0"/>
                  </w:tcBorders>
                  <w:vAlign w:val="center"/>
                </w:tcPr>
                <w:p/>
              </w:tc>
              <w:tc>
                <w:tcPr>
                  <w:tcW w:w="637" w:type="dxa"/>
                  <w:tcBorders>
                    <w:top w:val="nil"/>
                    <w:left w:val="nil"/>
                    <w:bottom w:val="single" w:color="auto" w:sz="4" w:space="0"/>
                    <w:right w:val="single" w:color="auto" w:sz="4" w:space="0"/>
                  </w:tcBorders>
                  <w:vAlign w:val="center"/>
                </w:tcPr>
                <w:p>
                  <w:pPr>
                    <w:jc w:val="center"/>
                  </w:pPr>
                  <w:r>
                    <w:rPr>
                      <w:lang w:bidi="ar"/>
                    </w:rPr>
                    <w:t>80</w:t>
                  </w:r>
                </w:p>
              </w:tc>
              <w:tc>
                <w:tcPr>
                  <w:tcW w:w="637" w:type="dxa"/>
                  <w:tcBorders>
                    <w:top w:val="nil"/>
                    <w:left w:val="nil"/>
                    <w:bottom w:val="single" w:color="auto" w:sz="4" w:space="0"/>
                    <w:right w:val="single" w:color="auto" w:sz="4" w:space="0"/>
                  </w:tcBorders>
                  <w:vAlign w:val="center"/>
                </w:tcPr>
                <w:p>
                  <w:pPr>
                    <w:jc w:val="center"/>
                  </w:pPr>
                  <w:r>
                    <w:rPr>
                      <w:lang w:bidi="ar"/>
                    </w:rPr>
                    <w:t>74</w:t>
                  </w:r>
                </w:p>
              </w:tc>
              <w:tc>
                <w:tcPr>
                  <w:tcW w:w="637" w:type="dxa"/>
                  <w:tcBorders>
                    <w:top w:val="nil"/>
                    <w:left w:val="nil"/>
                    <w:bottom w:val="single" w:color="auto" w:sz="4" w:space="0"/>
                    <w:right w:val="single" w:color="auto" w:sz="4" w:space="0"/>
                  </w:tcBorders>
                  <w:vAlign w:val="center"/>
                </w:tcPr>
                <w:p>
                  <w:pPr>
                    <w:jc w:val="center"/>
                  </w:pPr>
                  <w:r>
                    <w:rPr>
                      <w:lang w:bidi="ar"/>
                    </w:rPr>
                    <w:t>71</w:t>
                  </w:r>
                </w:p>
              </w:tc>
              <w:tc>
                <w:tcPr>
                  <w:tcW w:w="637" w:type="dxa"/>
                  <w:tcBorders>
                    <w:top w:val="nil"/>
                    <w:left w:val="nil"/>
                    <w:bottom w:val="single" w:color="auto" w:sz="4" w:space="0"/>
                    <w:right w:val="single" w:color="auto" w:sz="4" w:space="0"/>
                  </w:tcBorders>
                  <w:vAlign w:val="center"/>
                </w:tcPr>
                <w:p>
                  <w:pPr>
                    <w:jc w:val="center"/>
                  </w:pPr>
                  <w:r>
                    <w:rPr>
                      <w:lang w:bidi="ar"/>
                    </w:rPr>
                    <w:t>66</w:t>
                  </w:r>
                </w:p>
              </w:tc>
              <w:tc>
                <w:tcPr>
                  <w:tcW w:w="637" w:type="dxa"/>
                  <w:tcBorders>
                    <w:top w:val="nil"/>
                    <w:left w:val="nil"/>
                    <w:bottom w:val="single" w:color="auto" w:sz="4" w:space="0"/>
                    <w:right w:val="single" w:color="auto" w:sz="4" w:space="0"/>
                  </w:tcBorders>
                  <w:vAlign w:val="center"/>
                </w:tcPr>
                <w:p>
                  <w:pPr>
                    <w:jc w:val="center"/>
                  </w:pPr>
                  <w:r>
                    <w:rPr>
                      <w:lang w:bidi="ar"/>
                    </w:rPr>
                    <w:t>60</w:t>
                  </w:r>
                </w:p>
              </w:tc>
              <w:tc>
                <w:tcPr>
                  <w:tcW w:w="637" w:type="dxa"/>
                  <w:tcBorders>
                    <w:top w:val="nil"/>
                    <w:left w:val="nil"/>
                    <w:bottom w:val="single" w:color="auto" w:sz="4" w:space="0"/>
                    <w:right w:val="single" w:color="auto" w:sz="4" w:space="0"/>
                  </w:tcBorders>
                  <w:vAlign w:val="center"/>
                </w:tcPr>
                <w:p>
                  <w:pPr>
                    <w:jc w:val="center"/>
                  </w:pPr>
                  <w:r>
                    <w:rPr>
                      <w:lang w:bidi="ar"/>
                    </w:rPr>
                    <w:t>57</w:t>
                  </w:r>
                </w:p>
              </w:tc>
              <w:tc>
                <w:tcPr>
                  <w:tcW w:w="637" w:type="dxa"/>
                  <w:tcBorders>
                    <w:top w:val="nil"/>
                    <w:left w:val="nil"/>
                    <w:bottom w:val="single" w:color="auto" w:sz="4" w:space="0"/>
                    <w:right w:val="single" w:color="auto" w:sz="4" w:space="0"/>
                  </w:tcBorders>
                  <w:vAlign w:val="center"/>
                </w:tcPr>
                <w:p>
                  <w:pPr>
                    <w:jc w:val="center"/>
                  </w:pPr>
                  <w:r>
                    <w:rPr>
                      <w:lang w:bidi="ar"/>
                    </w:rPr>
                    <w:t>54</w:t>
                  </w:r>
                </w:p>
              </w:tc>
              <w:tc>
                <w:tcPr>
                  <w:tcW w:w="637" w:type="dxa"/>
                  <w:tcBorders>
                    <w:top w:val="nil"/>
                    <w:left w:val="nil"/>
                    <w:bottom w:val="single" w:color="auto" w:sz="4" w:space="0"/>
                    <w:right w:val="single" w:color="auto" w:sz="4" w:space="0"/>
                  </w:tcBorders>
                  <w:vAlign w:val="center"/>
                </w:tcPr>
                <w:p>
                  <w:pPr>
                    <w:jc w:val="center"/>
                  </w:pPr>
                  <w:r>
                    <w:rPr>
                      <w:lang w:bidi="ar"/>
                    </w:rPr>
                    <w:t>51</w:t>
                  </w:r>
                </w:p>
              </w:tc>
              <w:tc>
                <w:tcPr>
                  <w:tcW w:w="638" w:type="dxa"/>
                  <w:tcBorders>
                    <w:top w:val="nil"/>
                    <w:left w:val="nil"/>
                    <w:bottom w:val="single" w:color="auto" w:sz="4" w:space="0"/>
                    <w:right w:val="single" w:color="auto" w:sz="4" w:space="0"/>
                  </w:tcBorders>
                  <w:vAlign w:val="center"/>
                </w:tcPr>
                <w:p>
                  <w:pPr>
                    <w:jc w:val="center"/>
                  </w:pPr>
                  <w:r>
                    <w:rPr>
                      <w:lang w:bidi="ar"/>
                    </w:rPr>
                    <w:t>48</w:t>
                  </w:r>
                </w:p>
              </w:tc>
            </w:tr>
            <w:tr>
              <w:tblPrEx>
                <w:tblCellMar>
                  <w:top w:w="0" w:type="dxa"/>
                  <w:left w:w="108" w:type="dxa"/>
                  <w:bottom w:w="0" w:type="dxa"/>
                  <w:right w:w="108" w:type="dxa"/>
                </w:tblCellMar>
              </w:tblPrEx>
              <w:trPr>
                <w:trHeight w:val="202" w:hRule="atLeast"/>
                <w:jc w:val="center"/>
              </w:trPr>
              <w:tc>
                <w:tcPr>
                  <w:tcW w:w="1206" w:type="dxa"/>
                  <w:tcBorders>
                    <w:top w:val="nil"/>
                    <w:left w:val="single" w:color="auto" w:sz="4" w:space="0"/>
                    <w:bottom w:val="single" w:color="auto" w:sz="4" w:space="0"/>
                    <w:right w:val="single" w:color="auto" w:sz="4" w:space="0"/>
                  </w:tcBorders>
                  <w:vAlign w:val="center"/>
                </w:tcPr>
                <w:p>
                  <w:pPr>
                    <w:jc w:val="center"/>
                  </w:pPr>
                  <w:r>
                    <w:rPr>
                      <w:rFonts w:hint="eastAsia" w:cs="宋体"/>
                      <w:lang w:bidi="ar"/>
                    </w:rPr>
                    <w:t>结构阶段</w:t>
                  </w:r>
                </w:p>
              </w:tc>
              <w:tc>
                <w:tcPr>
                  <w:tcW w:w="726" w:type="dxa"/>
                  <w:vMerge w:val="continue"/>
                  <w:tcBorders>
                    <w:top w:val="single" w:color="auto" w:sz="4" w:space="0"/>
                    <w:left w:val="nil"/>
                    <w:bottom w:val="single" w:color="auto" w:sz="4" w:space="0"/>
                    <w:right w:val="single" w:color="auto" w:sz="4" w:space="0"/>
                  </w:tcBorders>
                  <w:vAlign w:val="center"/>
                </w:tcPr>
                <w:p/>
              </w:tc>
              <w:tc>
                <w:tcPr>
                  <w:tcW w:w="727" w:type="dxa"/>
                  <w:vMerge w:val="continue"/>
                  <w:tcBorders>
                    <w:top w:val="nil"/>
                    <w:left w:val="single" w:color="auto" w:sz="4" w:space="0"/>
                    <w:bottom w:val="single" w:color="auto" w:sz="4" w:space="0"/>
                    <w:right w:val="single" w:color="auto" w:sz="4" w:space="0"/>
                  </w:tcBorders>
                  <w:vAlign w:val="center"/>
                </w:tcPr>
                <w:p/>
              </w:tc>
              <w:tc>
                <w:tcPr>
                  <w:tcW w:w="637" w:type="dxa"/>
                  <w:tcBorders>
                    <w:top w:val="nil"/>
                    <w:left w:val="nil"/>
                    <w:bottom w:val="single" w:color="auto" w:sz="4" w:space="0"/>
                    <w:right w:val="single" w:color="auto" w:sz="4" w:space="0"/>
                  </w:tcBorders>
                  <w:vAlign w:val="center"/>
                </w:tcPr>
                <w:p>
                  <w:pPr>
                    <w:jc w:val="center"/>
                  </w:pPr>
                  <w:r>
                    <w:rPr>
                      <w:lang w:bidi="ar"/>
                    </w:rPr>
                    <w:t>93</w:t>
                  </w:r>
                </w:p>
              </w:tc>
              <w:tc>
                <w:tcPr>
                  <w:tcW w:w="637" w:type="dxa"/>
                  <w:tcBorders>
                    <w:top w:val="nil"/>
                    <w:left w:val="nil"/>
                    <w:bottom w:val="single" w:color="auto" w:sz="4" w:space="0"/>
                    <w:right w:val="single" w:color="auto" w:sz="4" w:space="0"/>
                  </w:tcBorders>
                  <w:vAlign w:val="center"/>
                </w:tcPr>
                <w:p>
                  <w:pPr>
                    <w:jc w:val="center"/>
                  </w:pPr>
                  <w:r>
                    <w:rPr>
                      <w:lang w:bidi="ar"/>
                    </w:rPr>
                    <w:t>87</w:t>
                  </w:r>
                </w:p>
              </w:tc>
              <w:tc>
                <w:tcPr>
                  <w:tcW w:w="637" w:type="dxa"/>
                  <w:tcBorders>
                    <w:top w:val="nil"/>
                    <w:left w:val="nil"/>
                    <w:bottom w:val="single" w:color="auto" w:sz="4" w:space="0"/>
                    <w:right w:val="single" w:color="auto" w:sz="4" w:space="0"/>
                  </w:tcBorders>
                  <w:vAlign w:val="center"/>
                </w:tcPr>
                <w:p>
                  <w:pPr>
                    <w:jc w:val="center"/>
                  </w:pPr>
                  <w:r>
                    <w:rPr>
                      <w:lang w:bidi="ar"/>
                    </w:rPr>
                    <w:t>84</w:t>
                  </w:r>
                </w:p>
              </w:tc>
              <w:tc>
                <w:tcPr>
                  <w:tcW w:w="637" w:type="dxa"/>
                  <w:tcBorders>
                    <w:top w:val="nil"/>
                    <w:left w:val="nil"/>
                    <w:bottom w:val="single" w:color="auto" w:sz="4" w:space="0"/>
                    <w:right w:val="single" w:color="auto" w:sz="4" w:space="0"/>
                  </w:tcBorders>
                  <w:vAlign w:val="center"/>
                </w:tcPr>
                <w:p>
                  <w:pPr>
                    <w:jc w:val="center"/>
                  </w:pPr>
                  <w:r>
                    <w:rPr>
                      <w:lang w:bidi="ar"/>
                    </w:rPr>
                    <w:t>79</w:t>
                  </w:r>
                </w:p>
              </w:tc>
              <w:tc>
                <w:tcPr>
                  <w:tcW w:w="637" w:type="dxa"/>
                  <w:tcBorders>
                    <w:top w:val="nil"/>
                    <w:left w:val="nil"/>
                    <w:bottom w:val="single" w:color="auto" w:sz="4" w:space="0"/>
                    <w:right w:val="single" w:color="auto" w:sz="4" w:space="0"/>
                  </w:tcBorders>
                  <w:vAlign w:val="center"/>
                </w:tcPr>
                <w:p>
                  <w:pPr>
                    <w:jc w:val="center"/>
                  </w:pPr>
                  <w:r>
                    <w:rPr>
                      <w:lang w:bidi="ar"/>
                    </w:rPr>
                    <w:t>73</w:t>
                  </w:r>
                </w:p>
              </w:tc>
              <w:tc>
                <w:tcPr>
                  <w:tcW w:w="637" w:type="dxa"/>
                  <w:tcBorders>
                    <w:top w:val="nil"/>
                    <w:left w:val="nil"/>
                    <w:bottom w:val="single" w:color="auto" w:sz="4" w:space="0"/>
                    <w:right w:val="single" w:color="auto" w:sz="4" w:space="0"/>
                  </w:tcBorders>
                  <w:vAlign w:val="center"/>
                </w:tcPr>
                <w:p>
                  <w:pPr>
                    <w:jc w:val="center"/>
                  </w:pPr>
                  <w:r>
                    <w:rPr>
                      <w:lang w:bidi="ar"/>
                    </w:rPr>
                    <w:t>70</w:t>
                  </w:r>
                </w:p>
              </w:tc>
              <w:tc>
                <w:tcPr>
                  <w:tcW w:w="637" w:type="dxa"/>
                  <w:tcBorders>
                    <w:top w:val="nil"/>
                    <w:left w:val="nil"/>
                    <w:bottom w:val="single" w:color="auto" w:sz="4" w:space="0"/>
                    <w:right w:val="single" w:color="auto" w:sz="4" w:space="0"/>
                  </w:tcBorders>
                  <w:vAlign w:val="center"/>
                </w:tcPr>
                <w:p>
                  <w:pPr>
                    <w:jc w:val="center"/>
                  </w:pPr>
                  <w:r>
                    <w:rPr>
                      <w:lang w:bidi="ar"/>
                    </w:rPr>
                    <w:t>67</w:t>
                  </w:r>
                </w:p>
              </w:tc>
              <w:tc>
                <w:tcPr>
                  <w:tcW w:w="637" w:type="dxa"/>
                  <w:tcBorders>
                    <w:top w:val="nil"/>
                    <w:left w:val="nil"/>
                    <w:bottom w:val="single" w:color="auto" w:sz="4" w:space="0"/>
                    <w:right w:val="single" w:color="auto" w:sz="4" w:space="0"/>
                  </w:tcBorders>
                  <w:vAlign w:val="center"/>
                </w:tcPr>
                <w:p>
                  <w:pPr>
                    <w:jc w:val="center"/>
                  </w:pPr>
                  <w:r>
                    <w:rPr>
                      <w:lang w:bidi="ar"/>
                    </w:rPr>
                    <w:t>64</w:t>
                  </w:r>
                </w:p>
              </w:tc>
              <w:tc>
                <w:tcPr>
                  <w:tcW w:w="638" w:type="dxa"/>
                  <w:tcBorders>
                    <w:top w:val="nil"/>
                    <w:left w:val="nil"/>
                    <w:bottom w:val="single" w:color="auto" w:sz="4" w:space="0"/>
                    <w:right w:val="single" w:color="auto" w:sz="4" w:space="0"/>
                  </w:tcBorders>
                  <w:vAlign w:val="center"/>
                </w:tcPr>
                <w:p>
                  <w:pPr>
                    <w:jc w:val="center"/>
                  </w:pPr>
                  <w:r>
                    <w:rPr>
                      <w:lang w:bidi="ar"/>
                    </w:rPr>
                    <w:t>61</w:t>
                  </w:r>
                </w:p>
              </w:tc>
            </w:tr>
            <w:tr>
              <w:tblPrEx>
                <w:tblCellMar>
                  <w:top w:w="0" w:type="dxa"/>
                  <w:left w:w="108" w:type="dxa"/>
                  <w:bottom w:w="0" w:type="dxa"/>
                  <w:right w:w="108" w:type="dxa"/>
                </w:tblCellMar>
              </w:tblPrEx>
              <w:trPr>
                <w:trHeight w:val="202" w:hRule="atLeast"/>
                <w:jc w:val="center"/>
              </w:trPr>
              <w:tc>
                <w:tcPr>
                  <w:tcW w:w="1206" w:type="dxa"/>
                  <w:tcBorders>
                    <w:top w:val="nil"/>
                    <w:left w:val="single" w:color="auto" w:sz="4" w:space="0"/>
                    <w:bottom w:val="single" w:color="auto" w:sz="4" w:space="0"/>
                    <w:right w:val="single" w:color="auto" w:sz="4" w:space="0"/>
                  </w:tcBorders>
                  <w:vAlign w:val="center"/>
                </w:tcPr>
                <w:p>
                  <w:pPr>
                    <w:jc w:val="center"/>
                  </w:pPr>
                  <w:r>
                    <w:rPr>
                      <w:rFonts w:hint="eastAsia" w:cs="宋体"/>
                      <w:lang w:bidi="ar"/>
                    </w:rPr>
                    <w:t>装修阶段</w:t>
                  </w:r>
                </w:p>
              </w:tc>
              <w:tc>
                <w:tcPr>
                  <w:tcW w:w="726" w:type="dxa"/>
                  <w:vMerge w:val="continue"/>
                  <w:tcBorders>
                    <w:top w:val="single" w:color="auto" w:sz="4" w:space="0"/>
                    <w:left w:val="nil"/>
                    <w:bottom w:val="single" w:color="auto" w:sz="4" w:space="0"/>
                    <w:right w:val="single" w:color="auto" w:sz="4" w:space="0"/>
                  </w:tcBorders>
                  <w:vAlign w:val="center"/>
                </w:tcPr>
                <w:p/>
              </w:tc>
              <w:tc>
                <w:tcPr>
                  <w:tcW w:w="727" w:type="dxa"/>
                  <w:vMerge w:val="continue"/>
                  <w:tcBorders>
                    <w:top w:val="nil"/>
                    <w:left w:val="single" w:color="auto" w:sz="4" w:space="0"/>
                    <w:bottom w:val="single" w:color="auto" w:sz="4" w:space="0"/>
                    <w:right w:val="single" w:color="auto" w:sz="4" w:space="0"/>
                  </w:tcBorders>
                  <w:vAlign w:val="center"/>
                </w:tcPr>
                <w:p/>
              </w:tc>
              <w:tc>
                <w:tcPr>
                  <w:tcW w:w="637" w:type="dxa"/>
                  <w:tcBorders>
                    <w:top w:val="nil"/>
                    <w:left w:val="nil"/>
                    <w:bottom w:val="single" w:color="auto" w:sz="4" w:space="0"/>
                    <w:right w:val="single" w:color="auto" w:sz="4" w:space="0"/>
                  </w:tcBorders>
                  <w:vAlign w:val="center"/>
                </w:tcPr>
                <w:p>
                  <w:pPr>
                    <w:jc w:val="center"/>
                  </w:pPr>
                  <w:r>
                    <w:rPr>
                      <w:lang w:bidi="ar"/>
                    </w:rPr>
                    <w:t>90</w:t>
                  </w:r>
                </w:p>
              </w:tc>
              <w:tc>
                <w:tcPr>
                  <w:tcW w:w="637" w:type="dxa"/>
                  <w:tcBorders>
                    <w:top w:val="nil"/>
                    <w:left w:val="nil"/>
                    <w:bottom w:val="single" w:color="auto" w:sz="4" w:space="0"/>
                    <w:right w:val="single" w:color="auto" w:sz="4" w:space="0"/>
                  </w:tcBorders>
                  <w:vAlign w:val="center"/>
                </w:tcPr>
                <w:p>
                  <w:pPr>
                    <w:jc w:val="center"/>
                  </w:pPr>
                  <w:r>
                    <w:rPr>
                      <w:lang w:bidi="ar"/>
                    </w:rPr>
                    <w:t>84</w:t>
                  </w:r>
                </w:p>
              </w:tc>
              <w:tc>
                <w:tcPr>
                  <w:tcW w:w="637" w:type="dxa"/>
                  <w:tcBorders>
                    <w:top w:val="nil"/>
                    <w:left w:val="nil"/>
                    <w:bottom w:val="single" w:color="auto" w:sz="4" w:space="0"/>
                    <w:right w:val="single" w:color="auto" w:sz="4" w:space="0"/>
                  </w:tcBorders>
                  <w:vAlign w:val="center"/>
                </w:tcPr>
                <w:p>
                  <w:pPr>
                    <w:jc w:val="center"/>
                  </w:pPr>
                  <w:r>
                    <w:rPr>
                      <w:lang w:bidi="ar"/>
                    </w:rPr>
                    <w:t>81</w:t>
                  </w:r>
                </w:p>
              </w:tc>
              <w:tc>
                <w:tcPr>
                  <w:tcW w:w="637" w:type="dxa"/>
                  <w:tcBorders>
                    <w:top w:val="nil"/>
                    <w:left w:val="nil"/>
                    <w:bottom w:val="single" w:color="auto" w:sz="4" w:space="0"/>
                    <w:right w:val="single" w:color="auto" w:sz="4" w:space="0"/>
                  </w:tcBorders>
                  <w:vAlign w:val="center"/>
                </w:tcPr>
                <w:p>
                  <w:pPr>
                    <w:jc w:val="center"/>
                  </w:pPr>
                  <w:r>
                    <w:rPr>
                      <w:lang w:bidi="ar"/>
                    </w:rPr>
                    <w:t>76</w:t>
                  </w:r>
                </w:p>
              </w:tc>
              <w:tc>
                <w:tcPr>
                  <w:tcW w:w="637" w:type="dxa"/>
                  <w:tcBorders>
                    <w:top w:val="nil"/>
                    <w:left w:val="nil"/>
                    <w:bottom w:val="single" w:color="auto" w:sz="4" w:space="0"/>
                    <w:right w:val="single" w:color="auto" w:sz="4" w:space="0"/>
                  </w:tcBorders>
                  <w:vAlign w:val="center"/>
                </w:tcPr>
                <w:p>
                  <w:pPr>
                    <w:jc w:val="center"/>
                  </w:pPr>
                  <w:r>
                    <w:rPr>
                      <w:lang w:bidi="ar"/>
                    </w:rPr>
                    <w:t>70</w:t>
                  </w:r>
                </w:p>
              </w:tc>
              <w:tc>
                <w:tcPr>
                  <w:tcW w:w="637" w:type="dxa"/>
                  <w:tcBorders>
                    <w:top w:val="nil"/>
                    <w:left w:val="nil"/>
                    <w:bottom w:val="single" w:color="auto" w:sz="4" w:space="0"/>
                    <w:right w:val="single" w:color="auto" w:sz="4" w:space="0"/>
                  </w:tcBorders>
                  <w:vAlign w:val="center"/>
                </w:tcPr>
                <w:p>
                  <w:pPr>
                    <w:jc w:val="center"/>
                  </w:pPr>
                  <w:r>
                    <w:rPr>
                      <w:lang w:bidi="ar"/>
                    </w:rPr>
                    <w:t>67</w:t>
                  </w:r>
                </w:p>
              </w:tc>
              <w:tc>
                <w:tcPr>
                  <w:tcW w:w="637" w:type="dxa"/>
                  <w:tcBorders>
                    <w:top w:val="nil"/>
                    <w:left w:val="nil"/>
                    <w:bottom w:val="single" w:color="auto" w:sz="4" w:space="0"/>
                    <w:right w:val="single" w:color="auto" w:sz="4" w:space="0"/>
                  </w:tcBorders>
                  <w:vAlign w:val="center"/>
                </w:tcPr>
                <w:p>
                  <w:pPr>
                    <w:jc w:val="center"/>
                  </w:pPr>
                  <w:r>
                    <w:rPr>
                      <w:lang w:bidi="ar"/>
                    </w:rPr>
                    <w:t>64</w:t>
                  </w:r>
                </w:p>
              </w:tc>
              <w:tc>
                <w:tcPr>
                  <w:tcW w:w="637" w:type="dxa"/>
                  <w:tcBorders>
                    <w:top w:val="nil"/>
                    <w:left w:val="nil"/>
                    <w:bottom w:val="single" w:color="auto" w:sz="4" w:space="0"/>
                    <w:right w:val="single" w:color="auto" w:sz="4" w:space="0"/>
                  </w:tcBorders>
                  <w:vAlign w:val="center"/>
                </w:tcPr>
                <w:p>
                  <w:pPr>
                    <w:jc w:val="center"/>
                  </w:pPr>
                  <w:r>
                    <w:rPr>
                      <w:lang w:bidi="ar"/>
                    </w:rPr>
                    <w:t>61</w:t>
                  </w:r>
                </w:p>
              </w:tc>
              <w:tc>
                <w:tcPr>
                  <w:tcW w:w="638" w:type="dxa"/>
                  <w:tcBorders>
                    <w:top w:val="nil"/>
                    <w:left w:val="nil"/>
                    <w:bottom w:val="single" w:color="auto" w:sz="4" w:space="0"/>
                    <w:right w:val="single" w:color="auto" w:sz="4" w:space="0"/>
                  </w:tcBorders>
                  <w:vAlign w:val="center"/>
                </w:tcPr>
                <w:p>
                  <w:pPr>
                    <w:jc w:val="center"/>
                  </w:pPr>
                  <w:r>
                    <w:rPr>
                      <w:lang w:bidi="ar"/>
                    </w:rPr>
                    <w:t>58</w:t>
                  </w:r>
                </w:p>
              </w:tc>
            </w:tr>
          </w:tbl>
          <w:p>
            <w:pPr>
              <w:adjustRightInd w:val="0"/>
              <w:snapToGrid w:val="0"/>
              <w:spacing w:before="120" w:beforeLines="50" w:line="360" w:lineRule="auto"/>
              <w:ind w:firstLine="420" w:firstLineChars="200"/>
              <w:rPr>
                <w:rFonts w:cs="宋体"/>
                <w:lang w:val="zh-CN" w:bidi="ar"/>
              </w:rPr>
            </w:pPr>
            <w:r>
              <w:rPr>
                <w:rFonts w:hint="eastAsia" w:cs="宋体"/>
                <w:lang w:val="zh-CN" w:bidi="ar"/>
              </w:rPr>
              <w:t>从上表可以看出：</w:t>
            </w:r>
          </w:p>
          <w:p>
            <w:pPr>
              <w:adjustRightInd w:val="0"/>
              <w:snapToGrid w:val="0"/>
              <w:spacing w:line="360" w:lineRule="auto"/>
              <w:ind w:firstLine="420" w:firstLineChars="200"/>
              <w:rPr>
                <w:rFonts w:cs="宋体"/>
                <w:lang w:val="zh-CN" w:bidi="ar"/>
              </w:rPr>
            </w:pPr>
            <w:r>
              <w:rPr>
                <w:rFonts w:hint="eastAsia" w:cs="宋体"/>
                <w:lang w:val="zh-CN" w:bidi="ar"/>
              </w:rPr>
              <w:t>①在未采取降噪措施前，施工各阶段昼间距离声源50~150m处才能达到《建筑施工场界环境噪声排放标准》（GB12523-2011）的要求，夜间达标距离则超过400m。因此必须严格限制夜间施工的时间。</w:t>
            </w:r>
          </w:p>
          <w:p>
            <w:pPr>
              <w:adjustRightInd w:val="0"/>
              <w:snapToGrid w:val="0"/>
              <w:spacing w:line="360" w:lineRule="auto"/>
              <w:ind w:firstLine="420" w:firstLineChars="200"/>
              <w:rPr>
                <w:rFonts w:cs="宋体"/>
                <w:lang w:val="zh-CN" w:bidi="ar"/>
              </w:rPr>
            </w:pPr>
            <w:r>
              <w:rPr>
                <w:rFonts w:hint="eastAsia" w:cs="宋体"/>
                <w:lang w:val="zh-CN" w:bidi="ar"/>
              </w:rPr>
              <w:t>②不同的施工阶段所投入的机械设备不同，对环境的影响程度也不同。</w:t>
            </w:r>
          </w:p>
          <w:p>
            <w:pPr>
              <w:adjustRightInd w:val="0"/>
              <w:snapToGrid w:val="0"/>
              <w:spacing w:line="360" w:lineRule="auto"/>
              <w:ind w:firstLine="420" w:firstLineChars="200"/>
              <w:rPr>
                <w:rFonts w:cs="宋体"/>
                <w:lang w:val="zh-CN" w:bidi="ar"/>
              </w:rPr>
            </w:pPr>
            <w:r>
              <w:rPr>
                <w:rFonts w:hint="eastAsia" w:cs="宋体"/>
                <w:lang w:val="zh-CN" w:bidi="ar"/>
              </w:rPr>
              <w:t>③施工噪声对环境的影响很大程度上取决于施工点与敏感点的距离和施工时间，距离越近，或在夜间施工时间越长，产生影响也就越大、越明显。</w:t>
            </w:r>
          </w:p>
          <w:p>
            <w:pPr>
              <w:adjustRightInd w:val="0"/>
              <w:snapToGrid w:val="0"/>
              <w:spacing w:line="360" w:lineRule="auto"/>
              <w:ind w:firstLine="420" w:firstLineChars="200"/>
              <w:rPr>
                <w:rFonts w:cs="宋体"/>
                <w:lang w:val="zh-CN" w:bidi="ar"/>
              </w:rPr>
            </w:pPr>
            <w:r>
              <w:rPr>
                <w:rFonts w:hint="eastAsia" w:cs="宋体"/>
                <w:lang w:val="zh-CN" w:bidi="ar"/>
              </w:rPr>
              <w:t>从项目敏感点分布情况可知，本项目居民区均距离项目用地红线边界较远（200m外），受本项目施工期噪声影响较小。施工机械噪声尽管会随着施工结束而消失，但是由于其具有冲击性、持续时间长并伴有强烈的震动，对环境的影响是不可忽视的，需采取有效的防治措施确保施工过程中施工厂界处的噪声符合《建筑施工场界环境噪声排放标准》（GB12523-2011）要求，减小噪声对周围敏感点的影响，具体噪声防治措施如下：</w:t>
            </w:r>
          </w:p>
          <w:p>
            <w:pPr>
              <w:adjustRightInd w:val="0"/>
              <w:snapToGrid w:val="0"/>
              <w:spacing w:line="360" w:lineRule="auto"/>
              <w:ind w:firstLine="420" w:firstLineChars="200"/>
              <w:rPr>
                <w:rFonts w:cs="宋体"/>
                <w:lang w:val="zh-CN" w:bidi="ar"/>
              </w:rPr>
            </w:pPr>
            <w:r>
              <w:rPr>
                <w:rFonts w:hint="eastAsia" w:cs="宋体"/>
                <w:lang w:val="zh-CN" w:bidi="ar"/>
              </w:rPr>
              <w:t>（1）施工单位应合理安排施工进度，高噪声作业时间应安排在白天，同时禁止在午休（12:00~14:00）及夜间（22:00~次日6:00）进行高噪声作业。确因生产工艺要求需要连续施工作业的，应当提前向相关职能部门申报，取得许可证明，并提前对周边居民作出公示公告，与群众友好协商高噪声作业的时间安排之后，方可施工。</w:t>
            </w:r>
          </w:p>
          <w:p>
            <w:pPr>
              <w:adjustRightInd w:val="0"/>
              <w:snapToGrid w:val="0"/>
              <w:spacing w:line="360" w:lineRule="auto"/>
              <w:ind w:firstLine="420" w:firstLineChars="200"/>
              <w:rPr>
                <w:rFonts w:cs="宋体"/>
                <w:lang w:val="zh-CN" w:bidi="ar"/>
              </w:rPr>
            </w:pPr>
            <w:r>
              <w:rPr>
                <w:rFonts w:hint="eastAsia" w:cs="宋体"/>
                <w:lang w:val="zh-CN" w:bidi="ar"/>
              </w:rPr>
              <w:t>（2）必须在施工场址边界设立围蔽设施，高度不应小于2.0m，降低施工噪声对周围环境造成的影响，在环境敏感点附近进行高噪声施工时必须设立移动式隔声屏障，降低施工噪声对敏感点造成的影响。</w:t>
            </w:r>
          </w:p>
          <w:p>
            <w:pPr>
              <w:adjustRightInd w:val="0"/>
              <w:snapToGrid w:val="0"/>
              <w:spacing w:line="360" w:lineRule="auto"/>
              <w:ind w:firstLine="420" w:firstLineChars="200"/>
              <w:rPr>
                <w:rFonts w:cs="宋体"/>
                <w:lang w:val="zh-CN" w:bidi="ar"/>
              </w:rPr>
            </w:pPr>
            <w:r>
              <w:rPr>
                <w:rFonts w:hint="eastAsia" w:cs="宋体"/>
                <w:lang w:val="zh-CN" w:bidi="ar"/>
              </w:rPr>
              <w:t>（3）合理安排施工时间，制订合理的分段施工计划，尽可能避免大量的高噪声设备同时施工。</w:t>
            </w:r>
          </w:p>
          <w:p>
            <w:pPr>
              <w:adjustRightInd w:val="0"/>
              <w:snapToGrid w:val="0"/>
              <w:spacing w:line="360" w:lineRule="auto"/>
              <w:ind w:firstLine="420" w:firstLineChars="200"/>
              <w:rPr>
                <w:rFonts w:cs="宋体"/>
                <w:lang w:val="zh-CN" w:bidi="ar"/>
              </w:rPr>
            </w:pPr>
            <w:r>
              <w:rPr>
                <w:rFonts w:hint="eastAsia" w:cs="宋体"/>
                <w:lang w:val="zh-CN" w:bidi="ar"/>
              </w:rPr>
              <w:t>（4）合理布局施工现场，高噪声作业区应尽量布置在场地内远离敏感点的地方，保持一定的噪声衰减距离，且进行施工作业时面向敏感点一面应设立临时声屏障或其他有效的防护措施；避免在同一地点安排大量动力机械设备，以免局部声级过高。</w:t>
            </w:r>
          </w:p>
          <w:p>
            <w:pPr>
              <w:adjustRightInd w:val="0"/>
              <w:snapToGrid w:val="0"/>
              <w:spacing w:line="360" w:lineRule="auto"/>
              <w:ind w:firstLine="420" w:firstLineChars="200"/>
              <w:rPr>
                <w:rFonts w:cs="宋体"/>
                <w:lang w:val="zh-CN" w:bidi="ar"/>
              </w:rPr>
            </w:pPr>
            <w:r>
              <w:rPr>
                <w:rFonts w:hint="eastAsia" w:cs="宋体"/>
                <w:lang w:val="zh-CN" w:bidi="ar"/>
              </w:rPr>
              <w:t>（5）施工单位应尽量选用低噪声或带有隔音、消音的机械设备，如以液压机械代替燃油机械，并加强对设备的维护保养。</w:t>
            </w:r>
          </w:p>
          <w:p>
            <w:pPr>
              <w:adjustRightInd w:val="0"/>
              <w:snapToGrid w:val="0"/>
              <w:spacing w:line="360" w:lineRule="auto"/>
              <w:ind w:firstLine="420" w:firstLineChars="200"/>
              <w:rPr>
                <w:rFonts w:cs="宋体"/>
                <w:lang w:val="zh-CN" w:bidi="ar"/>
              </w:rPr>
            </w:pPr>
            <w:r>
              <w:rPr>
                <w:rFonts w:hint="eastAsia" w:cs="宋体"/>
                <w:lang w:val="zh-CN" w:bidi="ar"/>
              </w:rPr>
              <w:t>（6）降低人为噪声，按规定操作机械设备，模板、支架拆卸吊装过程中，遵守作业规定，减少碰撞噪音。严禁用哨子指挥作业，而代以现代化设备，如用无线对讲机等。</w:t>
            </w:r>
          </w:p>
          <w:p>
            <w:pPr>
              <w:adjustRightInd w:val="0"/>
              <w:snapToGrid w:val="0"/>
              <w:spacing w:line="360" w:lineRule="auto"/>
              <w:ind w:firstLine="420" w:firstLineChars="200"/>
              <w:rPr>
                <w:rFonts w:cs="宋体"/>
                <w:lang w:val="zh-CN" w:bidi="ar"/>
              </w:rPr>
            </w:pPr>
            <w:r>
              <w:rPr>
                <w:rFonts w:hint="eastAsia" w:cs="宋体"/>
                <w:lang w:val="zh-CN" w:bidi="ar"/>
              </w:rPr>
              <w:t>（7）对位置相对固定的高噪声机械设备，尽量在工棚内操作，不能进入棚内的，可采取围档之类的单面声屏障。</w:t>
            </w:r>
          </w:p>
          <w:p>
            <w:pPr>
              <w:adjustRightInd w:val="0"/>
              <w:snapToGrid w:val="0"/>
              <w:spacing w:line="360" w:lineRule="auto"/>
              <w:ind w:firstLine="420" w:firstLineChars="200"/>
              <w:rPr>
                <w:rFonts w:cs="宋体"/>
                <w:lang w:val="zh-CN" w:bidi="ar"/>
              </w:rPr>
            </w:pPr>
            <w:r>
              <w:rPr>
                <w:rFonts w:hint="eastAsia" w:cs="宋体"/>
                <w:lang w:val="zh-CN" w:bidi="ar"/>
              </w:rPr>
              <w:t>（8）加强运输车辆的管理，按规定组织车辆运输，合理规定运输通道。施工场地内道路应尽量保持平坦，减少由于道路不平而引起的车辆颠簸噪声；在环境敏感点100m范围内车辆行驶速度应限制在10km/h以内，以降低车辆运输噪声。</w:t>
            </w:r>
          </w:p>
          <w:p>
            <w:pPr>
              <w:adjustRightInd w:val="0"/>
              <w:snapToGrid w:val="0"/>
              <w:spacing w:line="360" w:lineRule="auto"/>
              <w:ind w:firstLine="420" w:firstLineChars="200"/>
              <w:rPr>
                <w:rFonts w:cs="宋体"/>
                <w:lang w:val="zh-CN" w:bidi="ar"/>
              </w:rPr>
            </w:pPr>
            <w:r>
              <w:rPr>
                <w:rFonts w:hint="eastAsia" w:cs="宋体"/>
                <w:lang w:val="zh-CN" w:bidi="ar"/>
              </w:rPr>
              <w:t>（9）推行清洁生产，必须采用低噪声的施工机械和先进的施工技术，并作为招标中标的主要内容，以达到控制噪声的目的；同时施工期间应使用市电供电，在有市电供给的情况下禁止使用柴油发电机组。</w:t>
            </w:r>
          </w:p>
          <w:p>
            <w:pPr>
              <w:adjustRightInd w:val="0"/>
              <w:snapToGrid w:val="0"/>
              <w:spacing w:line="360" w:lineRule="auto"/>
              <w:ind w:firstLine="420" w:firstLineChars="200"/>
              <w:rPr>
                <w:rFonts w:cs="宋体"/>
                <w:lang w:val="zh-CN" w:bidi="ar"/>
              </w:rPr>
            </w:pPr>
            <w:r>
              <w:rPr>
                <w:rFonts w:hint="eastAsia" w:cs="宋体"/>
                <w:lang w:val="zh-CN" w:bidi="ar"/>
              </w:rPr>
              <w:t>（10）根据《中华人民共和国环境噪声污染防治法》的规定，如采取了降噪措施后仍不能达到排放限值要求的，特别是夜间施工噪声发生扰民现象时，施工单位应向受影响的组织或个人致歉并给与赔偿。</w:t>
            </w:r>
          </w:p>
          <w:p>
            <w:pPr>
              <w:adjustRightInd w:val="0"/>
              <w:snapToGrid w:val="0"/>
              <w:spacing w:line="360" w:lineRule="auto"/>
              <w:ind w:firstLine="420" w:firstLineChars="200"/>
              <w:rPr>
                <w:rFonts w:cs="宋体"/>
                <w:lang w:val="zh-CN" w:bidi="ar"/>
              </w:rPr>
            </w:pPr>
            <w:r>
              <w:rPr>
                <w:rFonts w:hint="eastAsia" w:cs="宋体"/>
                <w:lang w:val="zh-CN" w:bidi="ar"/>
              </w:rPr>
              <w:t>本项目施工期在采取上述治理及控制措施后，各类机械设备的施工噪声能从影响程度、影响时间及影响强度等方面得以一定程度的削减，而建筑作业难以做到全封闭施工，因此本项目的建设施工仍将对周围环境造成一定的影响。但噪声属无残留污染，施工结束噪声污染也随之结束，周围声环境即可恢复至现状水平。因此建设单位和施工单位应对施工期的噪声污染防治引起重视，落实控制措施，尽可能将该影响控制在最低水平。</w:t>
            </w:r>
          </w:p>
          <w:p>
            <w:pPr>
              <w:adjustRightInd w:val="0"/>
              <w:snapToGrid w:val="0"/>
              <w:spacing w:line="360" w:lineRule="auto"/>
              <w:ind w:firstLine="422" w:firstLineChars="200"/>
              <w:rPr>
                <w:rFonts w:cs="宋体"/>
                <w:b/>
                <w:bCs/>
                <w:lang w:val="zh-CN" w:bidi="ar"/>
              </w:rPr>
            </w:pPr>
            <w:r>
              <w:rPr>
                <w:rFonts w:hint="eastAsia" w:cs="宋体"/>
                <w:b/>
                <w:bCs/>
                <w:lang w:val="zh-CN" w:bidi="ar"/>
              </w:rPr>
              <w:t>四、施工期固体废弃物污染防治措施</w:t>
            </w:r>
          </w:p>
          <w:p>
            <w:pPr>
              <w:adjustRightInd w:val="0"/>
              <w:snapToGrid w:val="0"/>
              <w:spacing w:line="360" w:lineRule="auto"/>
              <w:ind w:firstLine="420" w:firstLineChars="200"/>
              <w:rPr>
                <w:rFonts w:cs="宋体"/>
                <w:lang w:val="zh-CN" w:bidi="ar"/>
              </w:rPr>
            </w:pPr>
            <w:r>
              <w:rPr>
                <w:rFonts w:hint="eastAsia" w:cs="宋体"/>
                <w:lang w:val="zh-CN" w:bidi="ar"/>
              </w:rPr>
              <w:t>本项目产生的固体废物主要是建筑废料和施工人员的生活垃圾等。为减少建筑废物、施工人员生活垃圾在施工期对环境造成的不利影响，建议采取如下措施：</w:t>
            </w:r>
          </w:p>
          <w:p>
            <w:pPr>
              <w:adjustRightInd w:val="0"/>
              <w:snapToGrid w:val="0"/>
              <w:spacing w:line="360" w:lineRule="auto"/>
              <w:ind w:firstLine="420" w:firstLineChars="200"/>
              <w:rPr>
                <w:rFonts w:cs="宋体"/>
                <w:lang w:val="zh-CN" w:bidi="ar"/>
              </w:rPr>
            </w:pPr>
            <w:r>
              <w:rPr>
                <w:rFonts w:hint="eastAsia" w:cs="宋体"/>
                <w:lang w:val="zh-CN" w:bidi="ar"/>
              </w:rPr>
              <w:t>（1）根据施工产生的工程垃圾和渣土的量，设置容量足够的、有围栏和覆盖设施的临时堆放场地，分类管理，可利用的渣土尽量在场址内周转，就地利用，以防污染周围的水体水质和影响周围的环境卫生。</w:t>
            </w:r>
          </w:p>
          <w:p>
            <w:pPr>
              <w:adjustRightInd w:val="0"/>
              <w:snapToGrid w:val="0"/>
              <w:spacing w:line="360" w:lineRule="auto"/>
              <w:ind w:firstLine="420" w:firstLineChars="200"/>
              <w:rPr>
                <w:rFonts w:cs="宋体"/>
                <w:lang w:val="zh-CN" w:bidi="ar"/>
              </w:rPr>
            </w:pPr>
            <w:r>
              <w:rPr>
                <w:rFonts w:hint="eastAsia" w:cs="宋体"/>
                <w:lang w:val="zh-CN" w:bidi="ar"/>
              </w:rPr>
              <w:t>（2）车辆运输散体物料和废弃物时，必须密闭、包扎、覆盖，不得沿途漏撒；运载土方的车辆必须在规定的时间内，按指定路段行驶；</w:t>
            </w:r>
          </w:p>
          <w:p>
            <w:pPr>
              <w:adjustRightInd w:val="0"/>
              <w:snapToGrid w:val="0"/>
              <w:spacing w:line="360" w:lineRule="auto"/>
              <w:ind w:firstLine="420" w:firstLineChars="200"/>
              <w:rPr>
                <w:rFonts w:cs="宋体"/>
                <w:lang w:val="zh-CN" w:bidi="ar"/>
              </w:rPr>
            </w:pPr>
            <w:r>
              <w:rPr>
                <w:rFonts w:hint="eastAsia" w:cs="宋体"/>
                <w:lang w:val="zh-CN" w:bidi="ar"/>
              </w:rPr>
              <w:t>（3）建筑垃圾的运输应委托有相关资质的单位承担，运至专门的建筑垃圾堆放场处理，运输时间和车辆行驶线路应报交通部门批准后方可实施。</w:t>
            </w:r>
          </w:p>
          <w:p>
            <w:pPr>
              <w:adjustRightInd w:val="0"/>
              <w:snapToGrid w:val="0"/>
              <w:spacing w:line="360" w:lineRule="auto"/>
              <w:ind w:firstLine="420" w:firstLineChars="200"/>
              <w:rPr>
                <w:rFonts w:cs="宋体"/>
                <w:lang w:val="zh-CN" w:bidi="ar"/>
              </w:rPr>
            </w:pPr>
            <w:r>
              <w:rPr>
                <w:rFonts w:hint="eastAsia" w:cs="宋体"/>
                <w:lang w:val="zh-CN" w:bidi="ar"/>
              </w:rPr>
              <w:t>（4）施工期产生的生活垃圾应交由环卫部门统一处理。严禁将生活垃圾混入建筑垃圾或工程弃土处理。</w:t>
            </w:r>
          </w:p>
          <w:p>
            <w:pPr>
              <w:adjustRightInd w:val="0"/>
              <w:snapToGrid w:val="0"/>
              <w:spacing w:line="360" w:lineRule="auto"/>
              <w:ind w:firstLine="420" w:firstLineChars="200"/>
              <w:rPr>
                <w:rFonts w:cs="宋体"/>
                <w:lang w:val="zh-CN" w:bidi="ar"/>
              </w:rPr>
            </w:pPr>
            <w:r>
              <w:rPr>
                <w:rFonts w:hint="eastAsia" w:cs="宋体"/>
                <w:lang w:val="zh-CN" w:bidi="ar"/>
              </w:rPr>
              <w:t>（5）施工固废中的废机油、废润滑油和有机溶剂废物、废涂料等危险废物，应与建筑垃圾与生活垃圾分开收集，并交由具资质单位回收处理。</w:t>
            </w:r>
          </w:p>
          <w:p>
            <w:pPr>
              <w:adjustRightInd w:val="0"/>
              <w:snapToGrid w:val="0"/>
              <w:spacing w:line="360" w:lineRule="auto"/>
              <w:ind w:firstLine="420" w:firstLineChars="200"/>
              <w:rPr>
                <w:rFonts w:cs="宋体"/>
                <w:lang w:val="zh-CN" w:bidi="ar"/>
              </w:rPr>
            </w:pPr>
            <w:r>
              <w:rPr>
                <w:rFonts w:hint="eastAsia" w:cs="宋体"/>
                <w:lang w:val="zh-CN" w:bidi="ar"/>
              </w:rPr>
              <w:t>（6）在工程竣工以后，施工单位应立即拆除各种临时施工设施，并负责将工地剩余的建筑垃圾、工程渣土处理干净。</w:t>
            </w:r>
          </w:p>
          <w:p>
            <w:pPr>
              <w:adjustRightInd w:val="0"/>
              <w:snapToGrid w:val="0"/>
              <w:spacing w:line="360" w:lineRule="auto"/>
              <w:ind w:firstLine="420" w:firstLineChars="200"/>
              <w:rPr>
                <w:rFonts w:cs="宋体"/>
                <w:lang w:val="zh-CN" w:bidi="ar"/>
              </w:rPr>
            </w:pPr>
            <w:r>
              <w:rPr>
                <w:rFonts w:hint="eastAsia" w:cs="宋体"/>
                <w:lang w:val="zh-CN" w:bidi="ar"/>
              </w:rPr>
              <w:t>（7）严禁在施工现场焚烧各种垃圾。</w:t>
            </w:r>
          </w:p>
          <w:p>
            <w:pPr>
              <w:adjustRightInd w:val="0"/>
              <w:snapToGrid w:val="0"/>
              <w:spacing w:line="360" w:lineRule="auto"/>
              <w:ind w:firstLine="420" w:firstLineChars="200"/>
              <w:rPr>
                <w:rFonts w:cs="宋体"/>
                <w:lang w:val="zh-CN" w:bidi="ar"/>
              </w:rPr>
            </w:pPr>
            <w:r>
              <w:rPr>
                <w:rFonts w:hint="eastAsia" w:cs="宋体"/>
                <w:lang w:val="zh-CN" w:bidi="ar"/>
              </w:rPr>
              <w:t>经上述措施治理后，本项目施工固废不会对环境造成明显不良影响。</w:t>
            </w:r>
          </w:p>
          <w:p>
            <w:pPr>
              <w:adjustRightInd w:val="0"/>
              <w:snapToGrid w:val="0"/>
              <w:spacing w:line="360" w:lineRule="auto"/>
              <w:ind w:firstLine="422" w:firstLineChars="200"/>
              <w:rPr>
                <w:rFonts w:cs="宋体"/>
                <w:b/>
                <w:bCs/>
                <w:lang w:val="zh-CN" w:bidi="ar"/>
              </w:rPr>
            </w:pPr>
            <w:r>
              <w:rPr>
                <w:rFonts w:hint="eastAsia" w:cs="宋体"/>
                <w:b/>
                <w:bCs/>
                <w:lang w:val="zh-CN" w:bidi="ar"/>
              </w:rPr>
              <w:t>五、水土流失防治措施</w:t>
            </w:r>
          </w:p>
          <w:p>
            <w:pPr>
              <w:adjustRightInd w:val="0"/>
              <w:snapToGrid w:val="0"/>
              <w:spacing w:line="360" w:lineRule="auto"/>
              <w:ind w:firstLine="420" w:firstLineChars="200"/>
              <w:rPr>
                <w:rFonts w:cs="宋体"/>
                <w:lang w:val="zh-CN" w:bidi="ar"/>
              </w:rPr>
            </w:pPr>
            <w:r>
              <w:rPr>
                <w:rFonts w:hint="eastAsia" w:cs="宋体"/>
                <w:lang w:bidi="ar"/>
              </w:rPr>
              <w:t>本</w:t>
            </w:r>
            <w:r>
              <w:rPr>
                <w:rFonts w:hint="eastAsia" w:cs="宋体"/>
                <w:lang w:val="zh-CN" w:bidi="ar"/>
              </w:rPr>
              <w:t>项目土地规划用途为工业用地，未建设前用地现状多数为荒草地，少部分为灌木林地。施工过程中表土剥离、场地平整、基础开挖破坏地表原貌，改变土地利用现状和局部生态系统，裸露的地表受到雨水冲刷后会造成水土流失。因此本项目施工期应采取以下水土流失的防治措施：</w:t>
            </w:r>
          </w:p>
          <w:p>
            <w:pPr>
              <w:adjustRightInd w:val="0"/>
              <w:snapToGrid w:val="0"/>
              <w:spacing w:line="360" w:lineRule="auto"/>
              <w:ind w:firstLine="420" w:firstLineChars="200"/>
              <w:rPr>
                <w:rFonts w:cs="宋体"/>
                <w:lang w:val="zh-CN" w:bidi="ar"/>
              </w:rPr>
            </w:pPr>
            <w:r>
              <w:rPr>
                <w:rFonts w:hint="eastAsia" w:cs="宋体"/>
                <w:lang w:val="zh-CN" w:bidi="ar"/>
              </w:rPr>
              <w:t>（1）土石方施工应随挖、随运、随填，不留松土。工程中尽量采用机械化作业，并合理组织施工，做到工序紧凑、有序，以缩短工期，减少施工期土壤流失量。</w:t>
            </w:r>
          </w:p>
          <w:p>
            <w:pPr>
              <w:adjustRightInd w:val="0"/>
              <w:snapToGrid w:val="0"/>
              <w:spacing w:line="360" w:lineRule="auto"/>
              <w:ind w:firstLine="420" w:firstLineChars="200"/>
              <w:rPr>
                <w:rFonts w:cs="宋体"/>
                <w:lang w:val="zh-CN" w:bidi="ar"/>
              </w:rPr>
            </w:pPr>
            <w:r>
              <w:rPr>
                <w:rFonts w:hint="eastAsia" w:cs="宋体"/>
                <w:lang w:val="zh-CN" w:bidi="ar"/>
              </w:rPr>
              <w:t>（2）项目前期应提前做好施工场地导排水设施建设，雨季中可用沙袋或草席裸露地面进行暂时防护，以防出现大规模的水土流失现象。</w:t>
            </w:r>
          </w:p>
          <w:p>
            <w:pPr>
              <w:adjustRightInd w:val="0"/>
              <w:snapToGrid w:val="0"/>
              <w:spacing w:line="360" w:lineRule="auto"/>
              <w:ind w:firstLine="420" w:firstLineChars="200"/>
              <w:rPr>
                <w:rFonts w:cs="宋体"/>
                <w:lang w:val="zh-CN" w:bidi="ar"/>
              </w:rPr>
            </w:pPr>
            <w:r>
              <w:rPr>
                <w:rFonts w:hint="eastAsia" w:cs="宋体"/>
                <w:lang w:val="zh-CN" w:bidi="ar"/>
              </w:rPr>
              <w:t>（3）应按设计要求的范围进行施工，不能随意扩大施工范围，也不能随意设置弃土场，减少开挖面，在进行土方工程的同时，应尽量争取同步进行路面的排水工程，预防雨季路面形成的径流直接冲刷坡面而造成水土流失。</w:t>
            </w:r>
          </w:p>
          <w:p>
            <w:pPr>
              <w:adjustRightInd w:val="0"/>
              <w:snapToGrid w:val="0"/>
              <w:spacing w:line="360" w:lineRule="auto"/>
              <w:ind w:firstLine="420" w:firstLineChars="200"/>
              <w:rPr>
                <w:rFonts w:cs="宋体"/>
                <w:lang w:val="zh-CN" w:bidi="ar"/>
              </w:rPr>
            </w:pPr>
            <w:r>
              <w:rPr>
                <w:rFonts w:hint="eastAsia" w:cs="宋体"/>
                <w:lang w:val="zh-CN" w:bidi="ar"/>
              </w:rPr>
              <w:t>（4）对于因工程需要挖去或移植树木、草皮的，应尽快对地面恢复绿化。</w:t>
            </w:r>
          </w:p>
          <w:p>
            <w:pPr>
              <w:adjustRightInd w:val="0"/>
              <w:snapToGrid w:val="0"/>
              <w:spacing w:line="360" w:lineRule="auto"/>
              <w:ind w:firstLine="420" w:firstLineChars="200"/>
              <w:rPr>
                <w:rFonts w:cs="宋体"/>
                <w:lang w:val="zh-CN" w:bidi="ar"/>
              </w:rPr>
            </w:pPr>
            <w:r>
              <w:rPr>
                <w:rFonts w:hint="eastAsia" w:cs="宋体"/>
                <w:lang w:val="zh-CN" w:bidi="ar"/>
              </w:rPr>
              <w:t>（5）尽量利用挖方量，以挖作填，减少弃土量。</w:t>
            </w:r>
          </w:p>
          <w:p>
            <w:pPr>
              <w:adjustRightInd w:val="0"/>
              <w:snapToGrid w:val="0"/>
              <w:spacing w:line="360" w:lineRule="auto"/>
              <w:ind w:firstLine="420" w:firstLineChars="200"/>
              <w:rPr>
                <w:rFonts w:cs="宋体"/>
                <w:lang w:val="zh-CN" w:bidi="ar"/>
              </w:rPr>
            </w:pPr>
            <w:r>
              <w:rPr>
                <w:rFonts w:hint="eastAsia" w:cs="宋体"/>
                <w:lang w:val="zh-CN" w:bidi="ar"/>
              </w:rPr>
              <w:t>（6）施工单位应随时跟气象部门联系，事先了解降雨的时间和特点，以便在雨季前将填铺的松土压实，并作好防护措施。</w:t>
            </w:r>
          </w:p>
          <w:p>
            <w:pPr>
              <w:adjustRightInd w:val="0"/>
              <w:snapToGrid w:val="0"/>
              <w:spacing w:line="360" w:lineRule="auto"/>
              <w:ind w:firstLine="420" w:firstLineChars="200"/>
              <w:rPr>
                <w:rFonts w:cs="宋体"/>
                <w:lang w:val="zh-CN" w:bidi="ar"/>
              </w:rPr>
            </w:pPr>
            <w:r>
              <w:rPr>
                <w:rFonts w:hint="eastAsia" w:cs="宋体"/>
                <w:lang w:val="zh-CN" w:bidi="ar"/>
              </w:rPr>
              <w:t>（7）雨季应做好场地内的排水工作，保证排水系统得以畅通。</w:t>
            </w:r>
          </w:p>
          <w:p>
            <w:pPr>
              <w:adjustRightInd w:val="0"/>
              <w:snapToGrid w:val="0"/>
              <w:spacing w:line="360" w:lineRule="auto"/>
              <w:ind w:firstLine="420" w:firstLineChars="200"/>
              <w:rPr>
                <w:rFonts w:cs="宋体"/>
                <w:lang w:bidi="ar"/>
              </w:rPr>
            </w:pPr>
            <w:r>
              <w:rPr>
                <w:rFonts w:hint="eastAsia" w:cs="宋体"/>
                <w:lang w:val="zh-CN" w:bidi="ar"/>
              </w:rPr>
              <w:t>（</w:t>
            </w:r>
            <w:r>
              <w:rPr>
                <w:rFonts w:hint="eastAsia" w:cs="宋体"/>
                <w:lang w:bidi="ar"/>
              </w:rPr>
              <w:t>8</w:t>
            </w:r>
            <w:r>
              <w:rPr>
                <w:rFonts w:hint="eastAsia" w:cs="宋体"/>
                <w:lang w:val="zh-CN" w:bidi="ar"/>
              </w:rPr>
              <w:t>）剥离的表土在工程绿化区内临时堆存，</w:t>
            </w:r>
            <w:r>
              <w:rPr>
                <w:rFonts w:hint="eastAsia" w:cs="宋体"/>
                <w:lang w:bidi="ar"/>
              </w:rPr>
              <w:t>因表土堆置时间较长，为防止降雨和大风对临时堆土的冲刷，在表土临时堆置期间，表面苫盖密目网，坡脚用编织袋土埂压盖，施工结束后，拆除密目网。表土将回填至绿化区域作为绿化覆土，有效防止水土流失。</w:t>
            </w:r>
          </w:p>
          <w:p>
            <w:pPr>
              <w:adjustRightInd w:val="0"/>
              <w:snapToGrid w:val="0"/>
              <w:spacing w:line="360" w:lineRule="auto"/>
              <w:ind w:firstLine="420" w:firstLineChars="200"/>
              <w:rPr>
                <w:rFonts w:cs="宋体"/>
                <w:lang w:val="zh-CN" w:bidi="ar"/>
              </w:rPr>
            </w:pPr>
            <w:r>
              <w:rPr>
                <w:rFonts w:hint="eastAsia" w:cs="宋体"/>
                <w:lang w:val="zh-CN" w:bidi="ar"/>
              </w:rPr>
              <w:t>经采取上述措施后，本项目施工期水土流失可得到良好的控制及治理，不会对周围环境造成明显不良影响。</w:t>
            </w:r>
          </w:p>
          <w:p>
            <w:pPr>
              <w:adjustRightInd w:val="0"/>
              <w:snapToGrid w:val="0"/>
              <w:spacing w:line="360" w:lineRule="auto"/>
              <w:ind w:firstLine="422" w:firstLineChars="200"/>
              <w:rPr>
                <w:rFonts w:cs="宋体"/>
                <w:b/>
                <w:bCs/>
                <w:lang w:val="zh-CN" w:bidi="ar"/>
              </w:rPr>
            </w:pPr>
            <w:r>
              <w:rPr>
                <w:rFonts w:hint="eastAsia" w:cs="宋体"/>
                <w:b/>
                <w:bCs/>
                <w:lang w:val="zh-CN" w:bidi="ar"/>
              </w:rPr>
              <w:t>六、装修期间污染防治措施</w:t>
            </w:r>
          </w:p>
          <w:p>
            <w:pPr>
              <w:adjustRightInd w:val="0"/>
              <w:snapToGrid w:val="0"/>
              <w:spacing w:line="360" w:lineRule="auto"/>
              <w:ind w:firstLine="420" w:firstLineChars="200"/>
              <w:rPr>
                <w:rFonts w:cs="宋体"/>
                <w:lang w:val="zh-CN" w:bidi="ar"/>
              </w:rPr>
            </w:pPr>
            <w:r>
              <w:rPr>
                <w:rFonts w:hint="eastAsia" w:cs="宋体"/>
                <w:lang w:val="zh-CN" w:bidi="ar"/>
              </w:rPr>
              <w:t>本项目装修期间的环境污染因素不容忽视，其主要的环境污染因素包括：装修板材散发的不良气味、使用的黏合剂散发的有机废气、装修过程产生的扬尘、使用电钻等机械产生的噪声、板材的边角废料等固体废物等。装修期间产生的上述污染因素，虽然比土建施工期影响范围和程度均小，但若处置不当，不采取有效的防治措施，会对施工人员身体健康产生不利的影响，甚至因为各种有机废气不能有效的散发出去，可导致室内污染。因此建设单位须采取以下有效的防治措施，将上述影响减至最低。</w:t>
            </w:r>
          </w:p>
          <w:p>
            <w:pPr>
              <w:adjustRightInd w:val="0"/>
              <w:snapToGrid w:val="0"/>
              <w:spacing w:line="360" w:lineRule="auto"/>
              <w:ind w:firstLine="420" w:firstLineChars="200"/>
              <w:rPr>
                <w:rFonts w:cs="宋体"/>
                <w:lang w:val="zh-CN" w:bidi="ar"/>
              </w:rPr>
            </w:pPr>
            <w:bookmarkStart w:id="2" w:name="_Toc365457635"/>
            <w:bookmarkStart w:id="3" w:name="_Toc365459053"/>
            <w:r>
              <w:rPr>
                <w:rFonts w:hint="eastAsia" w:cs="宋体"/>
                <w:lang w:val="zh-CN" w:bidi="ar"/>
              </w:rPr>
              <w:t>（1）要从根本上减少装修污染，首先从选材上，要选用国家正规机构鉴定的绿色环保产品，不可使用劣质材料，从根本上预防装修过程室内污染。</w:t>
            </w:r>
            <w:bookmarkEnd w:id="2"/>
            <w:bookmarkEnd w:id="3"/>
          </w:p>
          <w:p>
            <w:pPr>
              <w:adjustRightInd w:val="0"/>
              <w:snapToGrid w:val="0"/>
              <w:spacing w:line="360" w:lineRule="auto"/>
              <w:ind w:firstLine="420" w:firstLineChars="200"/>
              <w:rPr>
                <w:rFonts w:cs="宋体"/>
                <w:lang w:val="zh-CN" w:bidi="ar"/>
              </w:rPr>
            </w:pPr>
            <w:r>
              <w:rPr>
                <w:rFonts w:hint="eastAsia" w:cs="宋体"/>
                <w:lang w:val="zh-CN" w:bidi="ar"/>
              </w:rPr>
              <w:t>（2）在设计上贯彻环保设计理念，采用环保设计预评估等措施，合理搭配装饰材料，因为任何装饰材料都不能无限量使用，环保装饰材料也有一定的释放量，只是其释放量在国家规定的释放量之内，过量使用同样会造成室内空气的污染。</w:t>
            </w:r>
          </w:p>
          <w:p>
            <w:pPr>
              <w:adjustRightInd w:val="0"/>
              <w:snapToGrid w:val="0"/>
              <w:spacing w:line="360" w:lineRule="auto"/>
              <w:ind w:firstLine="420" w:firstLineChars="200"/>
              <w:rPr>
                <w:rFonts w:cs="宋体"/>
                <w:lang w:val="zh-CN" w:bidi="ar"/>
              </w:rPr>
            </w:pPr>
            <w:r>
              <w:rPr>
                <w:rFonts w:hint="eastAsia" w:cs="宋体"/>
                <w:lang w:val="zh-CN" w:bidi="ar"/>
              </w:rPr>
              <w:t>（3）装修单位应采用先进的施工工艺，减少因施工带来的室内环境污染。</w:t>
            </w:r>
          </w:p>
          <w:p>
            <w:pPr>
              <w:adjustRightInd w:val="0"/>
              <w:snapToGrid w:val="0"/>
              <w:spacing w:line="360" w:lineRule="auto"/>
              <w:ind w:firstLine="420" w:firstLineChars="200"/>
              <w:rPr>
                <w:rFonts w:cs="宋体"/>
                <w:lang w:val="zh-CN" w:bidi="ar"/>
              </w:rPr>
            </w:pPr>
            <w:r>
              <w:rPr>
                <w:rFonts w:hint="eastAsia" w:cs="宋体"/>
                <w:lang w:val="zh-CN" w:bidi="ar"/>
              </w:rPr>
              <w:t>（4）在休息时间内，禁止使用高频噪声器械，避免给周围环境带来不良影响。</w:t>
            </w:r>
          </w:p>
          <w:p>
            <w:pPr>
              <w:adjustRightInd w:val="0"/>
              <w:snapToGrid w:val="0"/>
              <w:spacing w:line="360" w:lineRule="auto"/>
              <w:ind w:firstLine="420" w:firstLineChars="200"/>
              <w:rPr>
                <w:rFonts w:cs="宋体"/>
                <w:lang w:val="zh-CN" w:bidi="ar"/>
              </w:rPr>
            </w:pPr>
            <w:r>
              <w:rPr>
                <w:rFonts w:hint="eastAsia" w:cs="宋体"/>
                <w:lang w:val="zh-CN" w:bidi="ar"/>
              </w:rPr>
              <w:t>（5）装修过程中要加强室内的通风，通风换气是减少室内空气污染的一种非常有效的方法，室内空气不流通，室内污染物不能很好的扩散，势必会造成更严重的污染。</w:t>
            </w:r>
          </w:p>
          <w:p>
            <w:pPr>
              <w:adjustRightInd w:val="0"/>
              <w:snapToGrid w:val="0"/>
              <w:spacing w:line="360" w:lineRule="auto"/>
              <w:ind w:firstLine="420" w:firstLineChars="200"/>
              <w:rPr>
                <w:rFonts w:cs="宋体"/>
                <w:lang w:val="zh-CN" w:bidi="ar"/>
              </w:rPr>
            </w:pPr>
            <w:r>
              <w:rPr>
                <w:rFonts w:hint="eastAsia" w:cs="宋体"/>
                <w:lang w:val="zh-CN" w:bidi="ar"/>
              </w:rPr>
              <w:t>（6）装修过程产生的剩余的边角废料应及时的加以清理，严禁随处堆放。建设单位应从节约、环保角度出发，将其分类收集，并将其出售至其它单位回收再利用。</w:t>
            </w:r>
          </w:p>
          <w:p>
            <w:pPr>
              <w:adjustRightInd w:val="0"/>
              <w:snapToGrid w:val="0"/>
              <w:spacing w:line="360" w:lineRule="auto"/>
              <w:ind w:firstLine="420" w:firstLineChars="200"/>
              <w:rPr>
                <w:rFonts w:cs="宋体"/>
                <w:lang w:val="zh-CN" w:bidi="ar"/>
              </w:rPr>
            </w:pPr>
            <w:r>
              <w:rPr>
                <w:rFonts w:hint="eastAsia" w:cs="宋体"/>
                <w:lang w:val="zh-CN" w:bidi="ar"/>
              </w:rPr>
              <w:t>（7）加强施工队伍的管理，提升施工人员自身素质，做到施工有序、文明施工，将施工期间的环境污染降至最低。</w:t>
            </w:r>
          </w:p>
          <w:p>
            <w:pPr>
              <w:adjustRightInd w:val="0"/>
              <w:snapToGrid w:val="0"/>
              <w:spacing w:line="360" w:lineRule="auto"/>
              <w:ind w:firstLine="420" w:firstLineChars="200"/>
              <w:rPr>
                <w:rFonts w:cs="宋体"/>
                <w:lang w:val="zh-CN" w:bidi="ar"/>
              </w:rPr>
            </w:pPr>
            <w:r>
              <w:rPr>
                <w:rFonts w:hint="eastAsia" w:cs="宋体"/>
                <w:lang w:val="zh-CN" w:bidi="ar"/>
              </w:rPr>
              <w:t>经采取上述措施后，本项目装修期间污染因素不会对施工人员、敏感点及周围环境造成明显不良影响。</w:t>
            </w:r>
          </w:p>
          <w:p>
            <w:pPr>
              <w:adjustRightInd w:val="0"/>
              <w:snapToGrid w:val="0"/>
              <w:ind w:firstLine="420" w:firstLineChars="200"/>
              <w:rPr>
                <w:color w:val="000000" w:themeColor="text1"/>
                <w14:textFill>
                  <w14:solidFill>
                    <w14:schemeClr w14:val="tx1"/>
                  </w14:solidFill>
                </w14:textFill>
              </w:rPr>
            </w:pPr>
            <w:r>
              <w:rPr>
                <w:rFonts w:hint="eastAsia" w:cs="宋体"/>
                <w:lang w:val="zh-CN" w:bidi="ar"/>
              </w:rPr>
              <w:t>综上，本项目施工期在严格落实以上污染防治措施的前提下，对周边环境影响不大。</w:t>
            </w:r>
          </w:p>
        </w:tc>
      </w:tr>
    </w:tbl>
    <w:p>
      <w:pPr>
        <w:pStyle w:val="106"/>
        <w:sectPr>
          <w:pgSz w:w="11907" w:h="16840"/>
          <w:pgMar w:top="1701" w:right="1531" w:bottom="2127" w:left="1531" w:header="851" w:footer="851" w:gutter="0"/>
          <w:pgBorders>
            <w:top w:val="none" w:sz="0" w:space="0"/>
            <w:left w:val="none" w:sz="0" w:space="0"/>
            <w:bottom w:val="none" w:sz="0" w:space="0"/>
            <w:right w:val="none" w:sz="0" w:space="0"/>
          </w:pgBorders>
          <w:cols w:space="720" w:num="1"/>
          <w:docGrid w:linePitch="312" w:charSpace="0"/>
        </w:sectPr>
      </w:pPr>
    </w:p>
    <w:tbl>
      <w:tblPr>
        <w:tblStyle w:val="92"/>
        <w:tblW w:w="4999"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715"/>
        <w:gridCol w:w="14818"/>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9" w:hRule="atLeast"/>
          <w:jc w:val="center"/>
        </w:trPr>
        <w:tc>
          <w:tcPr>
            <w:tcW w:w="230" w:type="pct"/>
            <w:tcMar>
              <w:left w:w="28" w:type="dxa"/>
              <w:right w:w="28" w:type="dxa"/>
            </w:tcMar>
            <w:vAlign w:val="center"/>
          </w:tcPr>
          <w:p>
            <w:pPr>
              <w:adjustRightInd w:val="0"/>
              <w:snapToGrid w:val="0"/>
              <w:jc w:val="center"/>
              <w:rPr>
                <w:color w:val="000000" w:themeColor="text1"/>
                <w14:textFill>
                  <w14:solidFill>
                    <w14:schemeClr w14:val="tx1"/>
                  </w14:solidFill>
                </w14:textFill>
              </w:rPr>
            </w:pPr>
            <w:r>
              <w:rPr>
                <w:bCs/>
                <w:color w:val="000000" w:themeColor="text1"/>
                <w14:textFill>
                  <w14:solidFill>
                    <w14:schemeClr w14:val="tx1"/>
                  </w14:solidFill>
                </w14:textFill>
              </w:rPr>
              <w:t>运营期环境影响和保护措施</w:t>
            </w:r>
          </w:p>
        </w:tc>
        <w:tc>
          <w:tcPr>
            <w:tcW w:w="4769" w:type="pct"/>
            <w:vAlign w:val="center"/>
          </w:tcPr>
          <w:p>
            <w:pPr>
              <w:pStyle w:val="5"/>
              <w:spacing w:line="360" w:lineRule="auto"/>
              <w:rPr>
                <w:color w:val="000000" w:themeColor="text1"/>
                <w:sz w:val="21"/>
                <w:szCs w:val="21"/>
                <w:lang w:eastAsia="zh-CN"/>
                <w14:textFill>
                  <w14:solidFill>
                    <w14:schemeClr w14:val="tx1"/>
                  </w14:solidFill>
                </w14:textFill>
              </w:rPr>
            </w:pPr>
            <w:bookmarkStart w:id="4" w:name="_Toc30266"/>
            <w:bookmarkStart w:id="5" w:name="_Toc515316308"/>
            <w:bookmarkStart w:id="6" w:name="_Toc515316309"/>
            <w:bookmarkStart w:id="7" w:name="_Toc26232"/>
            <w:r>
              <w:rPr>
                <w:color w:val="000000" w:themeColor="text1"/>
                <w:sz w:val="21"/>
                <w:szCs w:val="21"/>
                <w:lang w:eastAsia="zh-CN"/>
                <w14:textFill>
                  <w14:solidFill>
                    <w14:schemeClr w14:val="tx1"/>
                  </w14:solidFill>
                </w14:textFill>
              </w:rPr>
              <w:t>一、</w:t>
            </w:r>
            <w:bookmarkEnd w:id="4"/>
            <w:bookmarkEnd w:id="5"/>
            <w:r>
              <w:rPr>
                <w:color w:val="000000" w:themeColor="text1"/>
                <w:sz w:val="21"/>
                <w:szCs w:val="21"/>
                <w:lang w:eastAsia="zh-CN"/>
                <w14:textFill>
                  <w14:solidFill>
                    <w14:schemeClr w14:val="tx1"/>
                  </w14:solidFill>
                </w14:textFill>
              </w:rPr>
              <w:t>大气污染源及环保措施分析</w:t>
            </w:r>
          </w:p>
          <w:p>
            <w:pPr>
              <w:adjustRightInd w:val="0"/>
              <w:spacing w:line="360" w:lineRule="auto"/>
              <w:ind w:firstLine="422" w:firstLineChars="200"/>
              <w:textAlignment w:val="baseline"/>
              <w:rPr>
                <w:b/>
                <w:color w:val="000000" w:themeColor="text1"/>
                <w14:textFill>
                  <w14:solidFill>
                    <w14:schemeClr w14:val="tx1"/>
                  </w14:solidFill>
                </w14:textFill>
              </w:rPr>
            </w:pPr>
            <w:r>
              <w:rPr>
                <w:rFonts w:hint="eastAsia"/>
                <w:b/>
                <w:color w:val="000000" w:themeColor="text1"/>
                <w14:textFill>
                  <w14:solidFill>
                    <w14:schemeClr w14:val="tx1"/>
                  </w14:solidFill>
                </w14:textFill>
              </w:rPr>
              <w:t>1、</w:t>
            </w:r>
            <w:r>
              <w:rPr>
                <w:b/>
                <w:color w:val="000000" w:themeColor="text1"/>
                <w14:textFill>
                  <w14:solidFill>
                    <w14:schemeClr w14:val="tx1"/>
                  </w14:solidFill>
                </w14:textFill>
              </w:rPr>
              <w:t>废气源强核算</w:t>
            </w:r>
          </w:p>
          <w:bookmarkEnd w:id="6"/>
          <w:bookmarkEnd w:id="7"/>
          <w:p>
            <w:pPr>
              <w:widowControl/>
              <w:spacing w:line="360" w:lineRule="auto"/>
              <w:jc w:val="center"/>
              <w:rPr>
                <w:b/>
                <w:color w:val="000000" w:themeColor="text1"/>
                <w14:textFill>
                  <w14:solidFill>
                    <w14:schemeClr w14:val="tx1"/>
                  </w14:solidFill>
                </w14:textFill>
              </w:rPr>
            </w:pPr>
            <w:r>
              <w:rPr>
                <w:b/>
                <w:color w:val="000000" w:themeColor="text1"/>
                <w14:textFill>
                  <w14:solidFill>
                    <w14:schemeClr w14:val="tx1"/>
                  </w14:solidFill>
                </w14:textFill>
              </w:rPr>
              <w:t>表4-</w:t>
            </w:r>
            <w:r>
              <w:rPr>
                <w:rFonts w:hint="eastAsia"/>
                <w:b/>
                <w:color w:val="000000" w:themeColor="text1"/>
                <w14:textFill>
                  <w14:solidFill>
                    <w14:schemeClr w14:val="tx1"/>
                  </w14:solidFill>
                </w14:textFill>
              </w:rPr>
              <w:t>6</w:t>
            </w:r>
            <w:r>
              <w:rPr>
                <w:b/>
                <w:color w:val="000000" w:themeColor="text1"/>
                <w14:textFill>
                  <w14:solidFill>
                    <w14:schemeClr w14:val="tx1"/>
                  </w14:solidFill>
                </w14:textFill>
              </w:rPr>
              <w:t xml:space="preserve"> 废气污染物产排污核算汇总表</w:t>
            </w:r>
          </w:p>
          <w:tbl>
            <w:tblPr>
              <w:tblStyle w:val="92"/>
              <w:tblpPr w:leftFromText="180" w:rightFromText="180" w:vertAnchor="text" w:horzAnchor="page" w:tblpX="121" w:tblpY="253"/>
              <w:tblOverlap w:val="never"/>
              <w:tblW w:w="4993"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77"/>
              <w:gridCol w:w="1012"/>
              <w:gridCol w:w="1009"/>
              <w:gridCol w:w="907"/>
              <w:gridCol w:w="811"/>
              <w:gridCol w:w="1032"/>
              <w:gridCol w:w="747"/>
              <w:gridCol w:w="755"/>
              <w:gridCol w:w="936"/>
              <w:gridCol w:w="901"/>
              <w:gridCol w:w="1111"/>
              <w:gridCol w:w="1009"/>
              <w:gridCol w:w="709"/>
              <w:gridCol w:w="747"/>
              <w:gridCol w:w="10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44" w:type="pct"/>
                  <w:vMerge w:val="restart"/>
                  <w:vAlign w:val="center"/>
                </w:tcPr>
                <w:p>
                  <w:pPr>
                    <w:jc w:val="center"/>
                    <w:rPr>
                      <w:b/>
                      <w:sz w:val="18"/>
                      <w:szCs w:val="18"/>
                    </w:rPr>
                  </w:pPr>
                  <w:r>
                    <w:rPr>
                      <w:b/>
                      <w:sz w:val="18"/>
                      <w:szCs w:val="18"/>
                    </w:rPr>
                    <w:t>产排污环节</w:t>
                  </w:r>
                </w:p>
              </w:tc>
              <w:tc>
                <w:tcPr>
                  <w:tcW w:w="347" w:type="pct"/>
                  <w:vMerge w:val="restart"/>
                  <w:vAlign w:val="center"/>
                </w:tcPr>
                <w:p>
                  <w:pPr>
                    <w:jc w:val="center"/>
                    <w:rPr>
                      <w:b/>
                      <w:sz w:val="18"/>
                      <w:szCs w:val="18"/>
                    </w:rPr>
                  </w:pPr>
                  <w:r>
                    <w:rPr>
                      <w:b/>
                      <w:sz w:val="18"/>
                      <w:szCs w:val="18"/>
                    </w:rPr>
                    <w:t>污染物种类</w:t>
                  </w:r>
                </w:p>
              </w:tc>
              <w:tc>
                <w:tcPr>
                  <w:tcW w:w="935" w:type="pct"/>
                  <w:gridSpan w:val="3"/>
                  <w:vAlign w:val="center"/>
                </w:tcPr>
                <w:p>
                  <w:pPr>
                    <w:jc w:val="center"/>
                    <w:rPr>
                      <w:b/>
                      <w:sz w:val="18"/>
                      <w:szCs w:val="18"/>
                    </w:rPr>
                  </w:pPr>
                  <w:r>
                    <w:rPr>
                      <w:b/>
                      <w:sz w:val="18"/>
                      <w:szCs w:val="18"/>
                    </w:rPr>
                    <w:t>污染物产生情况</w:t>
                  </w:r>
                </w:p>
              </w:tc>
              <w:tc>
                <w:tcPr>
                  <w:tcW w:w="1499" w:type="pct"/>
                  <w:gridSpan w:val="5"/>
                  <w:vAlign w:val="center"/>
                </w:tcPr>
                <w:p>
                  <w:pPr>
                    <w:jc w:val="center"/>
                    <w:rPr>
                      <w:b/>
                      <w:bCs/>
                      <w:sz w:val="18"/>
                      <w:szCs w:val="18"/>
                    </w:rPr>
                  </w:pPr>
                  <w:r>
                    <w:rPr>
                      <w:b/>
                      <w:bCs/>
                      <w:sz w:val="18"/>
                      <w:szCs w:val="18"/>
                    </w:rPr>
                    <w:t>治理设施</w:t>
                  </w:r>
                </w:p>
              </w:tc>
              <w:tc>
                <w:tcPr>
                  <w:tcW w:w="970" w:type="pct"/>
                  <w:gridSpan w:val="3"/>
                  <w:vAlign w:val="center"/>
                </w:tcPr>
                <w:p>
                  <w:pPr>
                    <w:jc w:val="center"/>
                    <w:rPr>
                      <w:b/>
                      <w:bCs/>
                      <w:sz w:val="18"/>
                      <w:szCs w:val="18"/>
                    </w:rPr>
                  </w:pPr>
                  <w:r>
                    <w:rPr>
                      <w:b/>
                      <w:sz w:val="18"/>
                      <w:szCs w:val="18"/>
                    </w:rPr>
                    <w:t>污染物排放情况</w:t>
                  </w:r>
                </w:p>
              </w:tc>
              <w:tc>
                <w:tcPr>
                  <w:tcW w:w="256" w:type="pct"/>
                  <w:vMerge w:val="restart"/>
                  <w:vAlign w:val="center"/>
                </w:tcPr>
                <w:p>
                  <w:pPr>
                    <w:jc w:val="center"/>
                    <w:rPr>
                      <w:b/>
                      <w:bCs/>
                      <w:sz w:val="18"/>
                      <w:szCs w:val="18"/>
                    </w:rPr>
                  </w:pPr>
                  <w:r>
                    <w:rPr>
                      <w:b/>
                      <w:bCs/>
                      <w:sz w:val="18"/>
                      <w:szCs w:val="18"/>
                    </w:rPr>
                    <w:t>排放形式</w:t>
                  </w:r>
                </w:p>
              </w:tc>
              <w:tc>
                <w:tcPr>
                  <w:tcW w:w="346" w:type="pct"/>
                  <w:vMerge w:val="restart"/>
                  <w:vAlign w:val="center"/>
                </w:tcPr>
                <w:p>
                  <w:pPr>
                    <w:jc w:val="center"/>
                    <w:rPr>
                      <w:b/>
                      <w:bCs/>
                      <w:sz w:val="18"/>
                      <w:szCs w:val="18"/>
                    </w:rPr>
                  </w:pPr>
                  <w:r>
                    <w:rPr>
                      <w:b/>
                      <w:bCs/>
                      <w:sz w:val="18"/>
                      <w:szCs w:val="18"/>
                    </w:rPr>
                    <w:t>排放口编号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3" w:hRule="atLeast"/>
              </w:trPr>
              <w:tc>
                <w:tcPr>
                  <w:tcW w:w="644" w:type="pct"/>
                  <w:vMerge w:val="continue"/>
                  <w:vAlign w:val="center"/>
                </w:tcPr>
                <w:p>
                  <w:pPr>
                    <w:jc w:val="center"/>
                    <w:rPr>
                      <w:b/>
                      <w:sz w:val="18"/>
                      <w:szCs w:val="18"/>
                    </w:rPr>
                  </w:pPr>
                </w:p>
              </w:tc>
              <w:tc>
                <w:tcPr>
                  <w:tcW w:w="347" w:type="pct"/>
                  <w:vMerge w:val="continue"/>
                  <w:vAlign w:val="center"/>
                </w:tcPr>
                <w:p>
                  <w:pPr>
                    <w:jc w:val="center"/>
                    <w:rPr>
                      <w:b/>
                      <w:sz w:val="18"/>
                      <w:szCs w:val="18"/>
                    </w:rPr>
                  </w:pPr>
                </w:p>
              </w:tc>
              <w:tc>
                <w:tcPr>
                  <w:tcW w:w="346" w:type="pct"/>
                  <w:vAlign w:val="center"/>
                </w:tcPr>
                <w:p>
                  <w:pPr>
                    <w:jc w:val="center"/>
                    <w:rPr>
                      <w:b/>
                      <w:sz w:val="18"/>
                      <w:szCs w:val="18"/>
                    </w:rPr>
                  </w:pPr>
                  <w:r>
                    <w:rPr>
                      <w:b/>
                      <w:sz w:val="18"/>
                      <w:szCs w:val="18"/>
                    </w:rPr>
                    <w:t>产生量</w:t>
                  </w:r>
                </w:p>
              </w:tc>
              <w:tc>
                <w:tcPr>
                  <w:tcW w:w="311" w:type="pct"/>
                  <w:vAlign w:val="center"/>
                </w:tcPr>
                <w:p>
                  <w:pPr>
                    <w:jc w:val="center"/>
                    <w:rPr>
                      <w:b/>
                      <w:sz w:val="18"/>
                      <w:szCs w:val="18"/>
                    </w:rPr>
                  </w:pPr>
                  <w:r>
                    <w:rPr>
                      <w:b/>
                      <w:sz w:val="18"/>
                      <w:szCs w:val="18"/>
                    </w:rPr>
                    <w:t>产生速率</w:t>
                  </w:r>
                </w:p>
              </w:tc>
              <w:tc>
                <w:tcPr>
                  <w:tcW w:w="278" w:type="pct"/>
                  <w:vAlign w:val="center"/>
                </w:tcPr>
                <w:p>
                  <w:pPr>
                    <w:jc w:val="center"/>
                    <w:rPr>
                      <w:b/>
                      <w:sz w:val="18"/>
                      <w:szCs w:val="18"/>
                    </w:rPr>
                  </w:pPr>
                  <w:r>
                    <w:rPr>
                      <w:b/>
                      <w:sz w:val="18"/>
                      <w:szCs w:val="18"/>
                    </w:rPr>
                    <w:t>产生浓度</w:t>
                  </w:r>
                </w:p>
              </w:tc>
              <w:tc>
                <w:tcPr>
                  <w:tcW w:w="354" w:type="pct"/>
                  <w:vAlign w:val="center"/>
                </w:tcPr>
                <w:p>
                  <w:pPr>
                    <w:jc w:val="center"/>
                    <w:rPr>
                      <w:b/>
                      <w:bCs/>
                      <w:sz w:val="18"/>
                      <w:szCs w:val="18"/>
                    </w:rPr>
                  </w:pPr>
                  <w:r>
                    <w:rPr>
                      <w:b/>
                      <w:bCs/>
                      <w:sz w:val="18"/>
                      <w:szCs w:val="18"/>
                    </w:rPr>
                    <w:t>治理工艺</w:t>
                  </w:r>
                </w:p>
              </w:tc>
              <w:tc>
                <w:tcPr>
                  <w:tcW w:w="256" w:type="pct"/>
                  <w:vAlign w:val="center"/>
                </w:tcPr>
                <w:p>
                  <w:pPr>
                    <w:jc w:val="center"/>
                    <w:rPr>
                      <w:b/>
                      <w:bCs/>
                      <w:sz w:val="18"/>
                      <w:szCs w:val="18"/>
                    </w:rPr>
                  </w:pPr>
                  <w:r>
                    <w:rPr>
                      <w:b/>
                      <w:bCs/>
                      <w:sz w:val="18"/>
                      <w:szCs w:val="18"/>
                    </w:rPr>
                    <w:t>收集效率</w:t>
                  </w:r>
                </w:p>
              </w:tc>
              <w:tc>
                <w:tcPr>
                  <w:tcW w:w="259" w:type="pct"/>
                  <w:vAlign w:val="center"/>
                </w:tcPr>
                <w:p>
                  <w:pPr>
                    <w:jc w:val="center"/>
                    <w:rPr>
                      <w:b/>
                      <w:bCs/>
                      <w:sz w:val="18"/>
                      <w:szCs w:val="18"/>
                    </w:rPr>
                  </w:pPr>
                  <w:r>
                    <w:rPr>
                      <w:b/>
                      <w:bCs/>
                      <w:sz w:val="18"/>
                      <w:szCs w:val="18"/>
                    </w:rPr>
                    <w:t>风量</w:t>
                  </w:r>
                </w:p>
              </w:tc>
              <w:tc>
                <w:tcPr>
                  <w:tcW w:w="321" w:type="pct"/>
                  <w:vAlign w:val="center"/>
                </w:tcPr>
                <w:p>
                  <w:pPr>
                    <w:jc w:val="center"/>
                    <w:rPr>
                      <w:b/>
                      <w:bCs/>
                      <w:sz w:val="18"/>
                      <w:szCs w:val="18"/>
                    </w:rPr>
                  </w:pPr>
                  <w:r>
                    <w:rPr>
                      <w:b/>
                      <w:bCs/>
                      <w:sz w:val="18"/>
                      <w:szCs w:val="18"/>
                    </w:rPr>
                    <w:t>治理工艺去除率</w:t>
                  </w:r>
                </w:p>
              </w:tc>
              <w:tc>
                <w:tcPr>
                  <w:tcW w:w="309" w:type="pct"/>
                  <w:vAlign w:val="center"/>
                </w:tcPr>
                <w:p>
                  <w:pPr>
                    <w:jc w:val="center"/>
                    <w:rPr>
                      <w:b/>
                      <w:bCs/>
                      <w:sz w:val="18"/>
                      <w:szCs w:val="18"/>
                    </w:rPr>
                  </w:pPr>
                  <w:r>
                    <w:rPr>
                      <w:b/>
                      <w:bCs/>
                      <w:sz w:val="18"/>
                      <w:szCs w:val="18"/>
                    </w:rPr>
                    <w:t>是否为可行技术</w:t>
                  </w:r>
                </w:p>
              </w:tc>
              <w:tc>
                <w:tcPr>
                  <w:tcW w:w="381" w:type="pct"/>
                  <w:vAlign w:val="center"/>
                </w:tcPr>
                <w:p>
                  <w:pPr>
                    <w:jc w:val="center"/>
                    <w:rPr>
                      <w:b/>
                      <w:bCs/>
                      <w:sz w:val="18"/>
                      <w:szCs w:val="18"/>
                    </w:rPr>
                  </w:pPr>
                  <w:r>
                    <w:rPr>
                      <w:b/>
                      <w:bCs/>
                      <w:sz w:val="18"/>
                      <w:szCs w:val="18"/>
                    </w:rPr>
                    <w:t>排放量</w:t>
                  </w:r>
                </w:p>
              </w:tc>
              <w:tc>
                <w:tcPr>
                  <w:tcW w:w="346" w:type="pct"/>
                  <w:vAlign w:val="center"/>
                </w:tcPr>
                <w:p>
                  <w:pPr>
                    <w:jc w:val="center"/>
                    <w:rPr>
                      <w:b/>
                      <w:bCs/>
                      <w:sz w:val="18"/>
                      <w:szCs w:val="18"/>
                    </w:rPr>
                  </w:pPr>
                  <w:r>
                    <w:rPr>
                      <w:b/>
                      <w:bCs/>
                      <w:sz w:val="18"/>
                      <w:szCs w:val="18"/>
                    </w:rPr>
                    <w:t>排放速率</w:t>
                  </w:r>
                </w:p>
              </w:tc>
              <w:tc>
                <w:tcPr>
                  <w:tcW w:w="243" w:type="pct"/>
                  <w:vAlign w:val="center"/>
                </w:tcPr>
                <w:p>
                  <w:pPr>
                    <w:jc w:val="center"/>
                    <w:rPr>
                      <w:b/>
                      <w:bCs/>
                      <w:sz w:val="18"/>
                      <w:szCs w:val="18"/>
                    </w:rPr>
                  </w:pPr>
                  <w:r>
                    <w:rPr>
                      <w:b/>
                      <w:bCs/>
                      <w:sz w:val="18"/>
                      <w:szCs w:val="18"/>
                    </w:rPr>
                    <w:t>排放浓度</w:t>
                  </w:r>
                </w:p>
              </w:tc>
              <w:tc>
                <w:tcPr>
                  <w:tcW w:w="256" w:type="pct"/>
                  <w:vMerge w:val="continue"/>
                  <w:vAlign w:val="center"/>
                </w:tcPr>
                <w:p>
                  <w:pPr>
                    <w:jc w:val="center"/>
                    <w:rPr>
                      <w:b/>
                      <w:bCs/>
                      <w:sz w:val="18"/>
                      <w:szCs w:val="18"/>
                    </w:rPr>
                  </w:pPr>
                </w:p>
              </w:tc>
              <w:tc>
                <w:tcPr>
                  <w:tcW w:w="346" w:type="pct"/>
                  <w:vMerge w:val="continue"/>
                  <w:vAlign w:val="center"/>
                </w:tcPr>
                <w:p>
                  <w:pPr>
                    <w:jc w:val="center"/>
                    <w:rPr>
                      <w:b/>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644" w:type="pct"/>
                  <w:vMerge w:val="restart"/>
                  <w:vAlign w:val="center"/>
                </w:tcPr>
                <w:p>
                  <w:pPr>
                    <w:jc w:val="center"/>
                    <w:rPr>
                      <w:color w:val="auto"/>
                      <w:sz w:val="18"/>
                      <w:szCs w:val="18"/>
                    </w:rPr>
                  </w:pPr>
                  <w:r>
                    <w:rPr>
                      <w:rFonts w:hint="eastAsia"/>
                      <w:color w:val="auto"/>
                      <w:sz w:val="18"/>
                      <w:szCs w:val="18"/>
                    </w:rPr>
                    <w:t>密炼、开炼</w:t>
                  </w:r>
                </w:p>
              </w:tc>
              <w:tc>
                <w:tcPr>
                  <w:tcW w:w="347" w:type="pct"/>
                  <w:vAlign w:val="center"/>
                </w:tcPr>
                <w:p>
                  <w:pPr>
                    <w:widowControl/>
                    <w:jc w:val="center"/>
                    <w:textAlignment w:val="center"/>
                    <w:rPr>
                      <w:color w:val="auto"/>
                      <w:sz w:val="18"/>
                      <w:szCs w:val="18"/>
                    </w:rPr>
                  </w:pPr>
                  <w:r>
                    <w:rPr>
                      <w:rFonts w:hint="eastAsia"/>
                      <w:color w:val="auto"/>
                      <w:sz w:val="18"/>
                      <w:szCs w:val="18"/>
                    </w:rPr>
                    <w:t>VOCs（以</w:t>
                  </w:r>
                  <w:r>
                    <w:rPr>
                      <w:color w:val="auto"/>
                      <w:sz w:val="18"/>
                      <w:szCs w:val="18"/>
                    </w:rPr>
                    <w:t>非甲烷总烃</w:t>
                  </w:r>
                  <w:r>
                    <w:rPr>
                      <w:rFonts w:hint="eastAsia"/>
                      <w:color w:val="auto"/>
                      <w:sz w:val="18"/>
                      <w:szCs w:val="18"/>
                    </w:rPr>
                    <w:t>表征）</w:t>
                  </w:r>
                </w:p>
              </w:tc>
              <w:tc>
                <w:tcPr>
                  <w:tcW w:w="346" w:type="pct"/>
                  <w:vAlign w:val="center"/>
                </w:tcPr>
                <w:p>
                  <w:pPr>
                    <w:widowControl/>
                    <w:jc w:val="center"/>
                    <w:textAlignment w:val="center"/>
                    <w:rPr>
                      <w:rFonts w:hint="default" w:eastAsia="宋体"/>
                      <w:bCs/>
                      <w:color w:val="FF0000"/>
                      <w:sz w:val="18"/>
                      <w:szCs w:val="18"/>
                      <w:highlight w:val="none"/>
                      <w:lang w:val="en-US" w:eastAsia="zh-CN"/>
                    </w:rPr>
                  </w:pPr>
                  <w:r>
                    <w:rPr>
                      <w:rFonts w:hint="eastAsia"/>
                      <w:bCs/>
                      <w:color w:val="FF0000"/>
                      <w:sz w:val="18"/>
                      <w:szCs w:val="18"/>
                      <w:highlight w:val="none"/>
                      <w:lang w:val="en-US" w:eastAsia="zh-CN"/>
                    </w:rPr>
                    <w:t>2.6966</w:t>
                  </w:r>
                </w:p>
              </w:tc>
              <w:tc>
                <w:tcPr>
                  <w:tcW w:w="311" w:type="pct"/>
                  <w:vAlign w:val="center"/>
                </w:tcPr>
                <w:p>
                  <w:pPr>
                    <w:widowControl/>
                    <w:jc w:val="center"/>
                    <w:textAlignment w:val="center"/>
                    <w:rPr>
                      <w:rFonts w:hint="default" w:eastAsia="宋体"/>
                      <w:color w:val="FF0000"/>
                      <w:sz w:val="18"/>
                      <w:szCs w:val="18"/>
                      <w:highlight w:val="none"/>
                      <w:lang w:val="en-US" w:eastAsia="zh-CN"/>
                    </w:rPr>
                  </w:pPr>
                  <w:r>
                    <w:rPr>
                      <w:rFonts w:hint="eastAsia"/>
                      <w:color w:val="FF0000"/>
                      <w:sz w:val="18"/>
                      <w:szCs w:val="18"/>
                      <w:highlight w:val="none"/>
                      <w:lang w:val="en-US" w:eastAsia="zh-CN"/>
                    </w:rPr>
                    <w:t>1.1236</w:t>
                  </w:r>
                </w:p>
              </w:tc>
              <w:tc>
                <w:tcPr>
                  <w:tcW w:w="278" w:type="pct"/>
                  <w:vAlign w:val="center"/>
                </w:tcPr>
                <w:p>
                  <w:pPr>
                    <w:widowControl/>
                    <w:jc w:val="center"/>
                    <w:textAlignment w:val="center"/>
                    <w:rPr>
                      <w:rFonts w:hint="default" w:eastAsia="宋体"/>
                      <w:color w:val="FF0000"/>
                      <w:sz w:val="18"/>
                      <w:szCs w:val="18"/>
                      <w:highlight w:val="none"/>
                      <w:lang w:val="en-US" w:eastAsia="zh-CN"/>
                    </w:rPr>
                  </w:pPr>
                  <w:r>
                    <w:rPr>
                      <w:rFonts w:hint="eastAsia"/>
                      <w:color w:val="FF0000"/>
                      <w:sz w:val="18"/>
                      <w:szCs w:val="18"/>
                      <w:highlight w:val="none"/>
                      <w:lang w:val="en-US" w:eastAsia="zh-CN"/>
                    </w:rPr>
                    <w:t>24.97</w:t>
                  </w:r>
                </w:p>
              </w:tc>
              <w:tc>
                <w:tcPr>
                  <w:tcW w:w="354" w:type="pct"/>
                  <w:vAlign w:val="center"/>
                </w:tcPr>
                <w:p>
                  <w:pPr>
                    <w:widowControl/>
                    <w:jc w:val="center"/>
                    <w:textAlignment w:val="center"/>
                    <w:rPr>
                      <w:color w:val="auto"/>
                      <w:sz w:val="18"/>
                      <w:szCs w:val="18"/>
                      <w:highlight w:val="none"/>
                    </w:rPr>
                  </w:pPr>
                  <w:r>
                    <w:rPr>
                      <w:rFonts w:hint="eastAsia" w:ascii="宋体" w:hAnsi="宋体" w:cs="宋体"/>
                      <w:color w:val="FF0000"/>
                      <w:sz w:val="18"/>
                      <w:szCs w:val="18"/>
                      <w:highlight w:val="none"/>
                      <w:lang w:val="en-US" w:eastAsia="zh-CN" w:bidi="ar"/>
                    </w:rPr>
                    <w:t>两</w:t>
                  </w:r>
                  <w:r>
                    <w:rPr>
                      <w:rFonts w:ascii="宋体" w:hAnsi="宋体" w:cs="宋体"/>
                      <w:color w:val="FF0000"/>
                      <w:sz w:val="18"/>
                      <w:szCs w:val="18"/>
                      <w:highlight w:val="none"/>
                      <w:lang w:bidi="ar"/>
                    </w:rPr>
                    <w:t>级活性炭吸附装置</w:t>
                  </w:r>
                </w:p>
              </w:tc>
              <w:tc>
                <w:tcPr>
                  <w:tcW w:w="256" w:type="pct"/>
                  <w:vAlign w:val="center"/>
                </w:tcPr>
                <w:p>
                  <w:pPr>
                    <w:widowControl/>
                    <w:jc w:val="center"/>
                    <w:textAlignment w:val="center"/>
                    <w:rPr>
                      <w:color w:val="auto"/>
                      <w:sz w:val="18"/>
                      <w:szCs w:val="18"/>
                      <w:highlight w:val="none"/>
                    </w:rPr>
                  </w:pPr>
                  <w:r>
                    <w:rPr>
                      <w:rFonts w:hint="eastAsia"/>
                      <w:color w:val="auto"/>
                      <w:sz w:val="18"/>
                      <w:szCs w:val="18"/>
                      <w:highlight w:val="none"/>
                      <w:lang w:bidi="ar"/>
                    </w:rPr>
                    <w:t>95</w:t>
                  </w:r>
                  <w:r>
                    <w:rPr>
                      <w:color w:val="auto"/>
                      <w:sz w:val="18"/>
                      <w:szCs w:val="18"/>
                      <w:highlight w:val="none"/>
                      <w:lang w:bidi="ar"/>
                    </w:rPr>
                    <w:t>%</w:t>
                  </w:r>
                </w:p>
              </w:tc>
              <w:tc>
                <w:tcPr>
                  <w:tcW w:w="259" w:type="pct"/>
                  <w:vAlign w:val="center"/>
                </w:tcPr>
                <w:p>
                  <w:pPr>
                    <w:widowControl/>
                    <w:jc w:val="center"/>
                    <w:textAlignment w:val="center"/>
                    <w:rPr>
                      <w:rFonts w:hint="default" w:eastAsia="宋体"/>
                      <w:color w:val="auto"/>
                      <w:sz w:val="18"/>
                      <w:szCs w:val="18"/>
                      <w:highlight w:val="none"/>
                      <w:lang w:val="en-US" w:eastAsia="zh-CN"/>
                    </w:rPr>
                  </w:pPr>
                  <w:r>
                    <w:rPr>
                      <w:rFonts w:hint="eastAsia"/>
                      <w:color w:val="FF0000"/>
                      <w:sz w:val="18"/>
                      <w:szCs w:val="18"/>
                      <w:highlight w:val="none"/>
                      <w:lang w:val="en-US" w:eastAsia="zh-CN"/>
                    </w:rPr>
                    <w:t>45000</w:t>
                  </w:r>
                </w:p>
              </w:tc>
              <w:tc>
                <w:tcPr>
                  <w:tcW w:w="321" w:type="pct"/>
                  <w:vAlign w:val="center"/>
                </w:tcPr>
                <w:p>
                  <w:pPr>
                    <w:widowControl/>
                    <w:jc w:val="center"/>
                    <w:textAlignment w:val="center"/>
                    <w:rPr>
                      <w:color w:val="auto"/>
                      <w:sz w:val="18"/>
                      <w:szCs w:val="18"/>
                      <w:highlight w:val="none"/>
                    </w:rPr>
                  </w:pPr>
                  <w:r>
                    <w:rPr>
                      <w:color w:val="auto"/>
                      <w:sz w:val="18"/>
                      <w:szCs w:val="18"/>
                      <w:highlight w:val="none"/>
                      <w:lang w:bidi="ar"/>
                    </w:rPr>
                    <w:t>70%</w:t>
                  </w:r>
                </w:p>
              </w:tc>
              <w:tc>
                <w:tcPr>
                  <w:tcW w:w="309" w:type="pct"/>
                  <w:vAlign w:val="center"/>
                </w:tcPr>
                <w:p>
                  <w:pPr>
                    <w:widowControl/>
                    <w:jc w:val="center"/>
                    <w:textAlignment w:val="center"/>
                    <w:rPr>
                      <w:color w:val="auto"/>
                      <w:sz w:val="18"/>
                      <w:szCs w:val="18"/>
                      <w:highlight w:val="none"/>
                    </w:rPr>
                  </w:pPr>
                  <w:r>
                    <w:rPr>
                      <w:rFonts w:hint="eastAsia" w:ascii="宋体" w:hAnsi="宋体" w:cs="宋体"/>
                      <w:color w:val="auto"/>
                      <w:sz w:val="18"/>
                      <w:szCs w:val="18"/>
                      <w:highlight w:val="none"/>
                      <w:lang w:bidi="ar"/>
                    </w:rPr>
                    <w:t>是</w:t>
                  </w:r>
                </w:p>
              </w:tc>
              <w:tc>
                <w:tcPr>
                  <w:tcW w:w="381" w:type="pct"/>
                  <w:vAlign w:val="center"/>
                </w:tcPr>
                <w:p>
                  <w:pPr>
                    <w:widowControl/>
                    <w:jc w:val="center"/>
                    <w:textAlignment w:val="center"/>
                    <w:rPr>
                      <w:rFonts w:hint="default" w:eastAsia="宋体"/>
                      <w:color w:val="auto"/>
                      <w:sz w:val="18"/>
                      <w:szCs w:val="18"/>
                      <w:highlight w:val="none"/>
                      <w:lang w:val="en-US" w:eastAsia="zh-CN"/>
                    </w:rPr>
                  </w:pPr>
                  <w:r>
                    <w:rPr>
                      <w:rFonts w:hint="eastAsia"/>
                      <w:color w:val="FF0000"/>
                      <w:sz w:val="18"/>
                      <w:szCs w:val="18"/>
                      <w:highlight w:val="none"/>
                    </w:rPr>
                    <w:t>0.</w:t>
                  </w:r>
                  <w:r>
                    <w:rPr>
                      <w:rFonts w:hint="eastAsia"/>
                      <w:color w:val="FF0000"/>
                      <w:sz w:val="18"/>
                      <w:szCs w:val="18"/>
                      <w:highlight w:val="none"/>
                      <w:lang w:val="en-US" w:eastAsia="zh-CN"/>
                    </w:rPr>
                    <w:t>70786</w:t>
                  </w:r>
                </w:p>
              </w:tc>
              <w:tc>
                <w:tcPr>
                  <w:tcW w:w="346" w:type="pct"/>
                  <w:vAlign w:val="center"/>
                </w:tcPr>
                <w:p>
                  <w:pPr>
                    <w:widowControl/>
                    <w:jc w:val="center"/>
                    <w:textAlignment w:val="center"/>
                    <w:rPr>
                      <w:rFonts w:hint="default" w:eastAsia="宋体"/>
                      <w:color w:val="auto"/>
                      <w:sz w:val="18"/>
                      <w:szCs w:val="18"/>
                      <w:highlight w:val="none"/>
                      <w:lang w:val="en-US" w:eastAsia="zh-CN"/>
                    </w:rPr>
                  </w:pPr>
                  <w:r>
                    <w:rPr>
                      <w:color w:val="FF0000"/>
                      <w:sz w:val="18"/>
                      <w:szCs w:val="18"/>
                      <w:highlight w:val="none"/>
                      <w:lang w:bidi="ar"/>
                    </w:rPr>
                    <w:t>0.</w:t>
                  </w:r>
                  <w:r>
                    <w:rPr>
                      <w:rFonts w:hint="eastAsia"/>
                      <w:color w:val="FF0000"/>
                      <w:sz w:val="18"/>
                      <w:szCs w:val="18"/>
                      <w:highlight w:val="none"/>
                      <w:lang w:val="en-US" w:eastAsia="zh-CN" w:bidi="ar"/>
                    </w:rPr>
                    <w:t>29494</w:t>
                  </w:r>
                </w:p>
              </w:tc>
              <w:tc>
                <w:tcPr>
                  <w:tcW w:w="243" w:type="pct"/>
                  <w:vAlign w:val="center"/>
                </w:tcPr>
                <w:p>
                  <w:pPr>
                    <w:widowControl/>
                    <w:jc w:val="center"/>
                    <w:textAlignment w:val="center"/>
                    <w:rPr>
                      <w:rFonts w:hint="default" w:eastAsia="宋体"/>
                      <w:color w:val="auto"/>
                      <w:sz w:val="18"/>
                      <w:szCs w:val="18"/>
                      <w:highlight w:val="none"/>
                      <w:lang w:val="en-US" w:eastAsia="zh-CN"/>
                    </w:rPr>
                  </w:pPr>
                  <w:r>
                    <w:rPr>
                      <w:rFonts w:hint="eastAsia"/>
                      <w:color w:val="FF0000"/>
                      <w:sz w:val="18"/>
                      <w:szCs w:val="18"/>
                      <w:highlight w:val="none"/>
                      <w:lang w:val="en-US" w:eastAsia="zh-CN"/>
                    </w:rPr>
                    <w:t>6.55</w:t>
                  </w:r>
                </w:p>
              </w:tc>
              <w:tc>
                <w:tcPr>
                  <w:tcW w:w="256" w:type="pct"/>
                  <w:vMerge w:val="restart"/>
                  <w:vAlign w:val="center"/>
                </w:tcPr>
                <w:p>
                  <w:pPr>
                    <w:widowControl/>
                    <w:jc w:val="center"/>
                    <w:textAlignment w:val="center"/>
                    <w:rPr>
                      <w:color w:val="auto"/>
                      <w:sz w:val="18"/>
                      <w:szCs w:val="18"/>
                    </w:rPr>
                  </w:pPr>
                  <w:r>
                    <w:rPr>
                      <w:rFonts w:hint="eastAsia" w:ascii="宋体" w:hAnsi="宋体" w:cs="宋体"/>
                      <w:color w:val="auto"/>
                      <w:sz w:val="18"/>
                      <w:szCs w:val="18"/>
                      <w:lang w:bidi="ar"/>
                    </w:rPr>
                    <w:t>有组织</w:t>
                  </w:r>
                </w:p>
              </w:tc>
              <w:tc>
                <w:tcPr>
                  <w:tcW w:w="346" w:type="pct"/>
                  <w:vMerge w:val="restart"/>
                  <w:vAlign w:val="center"/>
                </w:tcPr>
                <w:p>
                  <w:pPr>
                    <w:widowControl/>
                    <w:jc w:val="center"/>
                    <w:textAlignment w:val="center"/>
                    <w:rPr>
                      <w:color w:val="auto"/>
                      <w:sz w:val="18"/>
                      <w:szCs w:val="18"/>
                    </w:rPr>
                  </w:pPr>
                  <w:r>
                    <w:rPr>
                      <w:rFonts w:hint="eastAsia"/>
                      <w:color w:val="auto"/>
                      <w:sz w:val="18"/>
                      <w:szCs w:val="18"/>
                    </w:rPr>
                    <w:t>DA002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7" w:hRule="atLeast"/>
              </w:trPr>
              <w:tc>
                <w:tcPr>
                  <w:tcW w:w="644" w:type="pct"/>
                  <w:vMerge w:val="continue"/>
                  <w:vAlign w:val="center"/>
                </w:tcPr>
                <w:p>
                  <w:pPr>
                    <w:jc w:val="center"/>
                    <w:rPr>
                      <w:color w:val="auto"/>
                      <w:sz w:val="18"/>
                      <w:szCs w:val="18"/>
                    </w:rPr>
                  </w:pPr>
                </w:p>
              </w:tc>
              <w:tc>
                <w:tcPr>
                  <w:tcW w:w="347" w:type="pct"/>
                  <w:vAlign w:val="center"/>
                </w:tcPr>
                <w:p>
                  <w:pPr>
                    <w:jc w:val="center"/>
                    <w:rPr>
                      <w:color w:val="auto"/>
                      <w:sz w:val="18"/>
                      <w:szCs w:val="18"/>
                    </w:rPr>
                  </w:pPr>
                  <w:r>
                    <w:rPr>
                      <w:color w:val="auto"/>
                      <w:sz w:val="18"/>
                      <w:szCs w:val="18"/>
                    </w:rPr>
                    <w:t>颗粒物</w:t>
                  </w:r>
                </w:p>
              </w:tc>
              <w:tc>
                <w:tcPr>
                  <w:tcW w:w="346" w:type="pct"/>
                  <w:vAlign w:val="center"/>
                </w:tcPr>
                <w:p>
                  <w:pPr>
                    <w:widowControl/>
                    <w:jc w:val="center"/>
                    <w:textAlignment w:val="center"/>
                    <w:rPr>
                      <w:rFonts w:hint="default" w:eastAsia="宋体"/>
                      <w:color w:val="FF0000"/>
                      <w:sz w:val="18"/>
                      <w:szCs w:val="18"/>
                      <w:highlight w:val="none"/>
                      <w:lang w:val="en-US" w:eastAsia="zh-CN"/>
                    </w:rPr>
                  </w:pPr>
                  <w:r>
                    <w:rPr>
                      <w:rFonts w:hint="eastAsia"/>
                      <w:color w:val="FF0000"/>
                      <w:sz w:val="18"/>
                      <w:szCs w:val="18"/>
                      <w:highlight w:val="none"/>
                      <w:lang w:val="en-US" w:eastAsia="zh-CN"/>
                    </w:rPr>
                    <w:t>2.7826</w:t>
                  </w:r>
                </w:p>
              </w:tc>
              <w:tc>
                <w:tcPr>
                  <w:tcW w:w="311" w:type="pct"/>
                  <w:vAlign w:val="center"/>
                </w:tcPr>
                <w:p>
                  <w:pPr>
                    <w:widowControl/>
                    <w:jc w:val="center"/>
                    <w:textAlignment w:val="center"/>
                    <w:rPr>
                      <w:rFonts w:hint="default" w:eastAsia="宋体"/>
                      <w:color w:val="FF0000"/>
                      <w:sz w:val="18"/>
                      <w:szCs w:val="18"/>
                      <w:highlight w:val="none"/>
                      <w:lang w:val="en-US" w:eastAsia="zh-CN"/>
                    </w:rPr>
                  </w:pPr>
                  <w:r>
                    <w:rPr>
                      <w:rFonts w:hint="eastAsia"/>
                      <w:color w:val="FF0000"/>
                      <w:sz w:val="18"/>
                      <w:szCs w:val="18"/>
                      <w:highlight w:val="none"/>
                      <w:lang w:val="en-US" w:eastAsia="zh-CN"/>
                    </w:rPr>
                    <w:t>1.1594</w:t>
                  </w:r>
                </w:p>
              </w:tc>
              <w:tc>
                <w:tcPr>
                  <w:tcW w:w="278" w:type="pct"/>
                  <w:vAlign w:val="center"/>
                </w:tcPr>
                <w:p>
                  <w:pPr>
                    <w:widowControl/>
                    <w:jc w:val="center"/>
                    <w:textAlignment w:val="center"/>
                    <w:rPr>
                      <w:rFonts w:hint="default" w:eastAsia="宋体"/>
                      <w:color w:val="FF0000"/>
                      <w:sz w:val="18"/>
                      <w:szCs w:val="18"/>
                      <w:highlight w:val="none"/>
                      <w:lang w:val="en-US" w:eastAsia="zh-CN"/>
                    </w:rPr>
                  </w:pPr>
                  <w:r>
                    <w:rPr>
                      <w:rFonts w:hint="eastAsia"/>
                      <w:color w:val="FF0000"/>
                      <w:sz w:val="18"/>
                      <w:szCs w:val="18"/>
                      <w:highlight w:val="none"/>
                      <w:lang w:val="en-US" w:eastAsia="zh-CN"/>
                    </w:rPr>
                    <w:t>25.76</w:t>
                  </w:r>
                </w:p>
              </w:tc>
              <w:tc>
                <w:tcPr>
                  <w:tcW w:w="354" w:type="pct"/>
                  <w:vAlign w:val="center"/>
                </w:tcPr>
                <w:p>
                  <w:pPr>
                    <w:widowControl/>
                    <w:jc w:val="center"/>
                    <w:textAlignment w:val="center"/>
                    <w:rPr>
                      <w:rFonts w:hint="eastAsia" w:eastAsia="宋体"/>
                      <w:color w:val="auto"/>
                      <w:sz w:val="18"/>
                      <w:szCs w:val="18"/>
                      <w:highlight w:val="none"/>
                      <w:lang w:val="en-US" w:eastAsia="zh-CN"/>
                    </w:rPr>
                  </w:pPr>
                  <w:r>
                    <w:rPr>
                      <w:rFonts w:ascii="宋体" w:hAnsi="宋体" w:cs="宋体"/>
                      <w:color w:val="auto"/>
                      <w:sz w:val="18"/>
                      <w:szCs w:val="18"/>
                      <w:highlight w:val="none"/>
                      <w:lang w:bidi="ar"/>
                    </w:rPr>
                    <w:t>布袋除尘</w:t>
                  </w:r>
                  <w:r>
                    <w:rPr>
                      <w:rFonts w:hint="eastAsia" w:ascii="宋体" w:hAnsi="宋体" w:cs="宋体"/>
                      <w:color w:val="auto"/>
                      <w:sz w:val="18"/>
                      <w:szCs w:val="18"/>
                      <w:highlight w:val="none"/>
                      <w:lang w:val="en-US" w:eastAsia="zh-CN" w:bidi="ar"/>
                    </w:rPr>
                    <w:t>器</w:t>
                  </w:r>
                </w:p>
              </w:tc>
              <w:tc>
                <w:tcPr>
                  <w:tcW w:w="256" w:type="pct"/>
                  <w:vAlign w:val="center"/>
                </w:tcPr>
                <w:p>
                  <w:pPr>
                    <w:widowControl/>
                    <w:jc w:val="center"/>
                    <w:textAlignment w:val="center"/>
                    <w:rPr>
                      <w:color w:val="auto"/>
                      <w:sz w:val="18"/>
                      <w:szCs w:val="18"/>
                      <w:highlight w:val="none"/>
                    </w:rPr>
                  </w:pPr>
                  <w:r>
                    <w:rPr>
                      <w:rFonts w:hint="eastAsia"/>
                      <w:color w:val="auto"/>
                      <w:sz w:val="18"/>
                      <w:szCs w:val="18"/>
                      <w:highlight w:val="none"/>
                      <w:lang w:val="en-US" w:eastAsia="zh-CN" w:bidi="ar"/>
                    </w:rPr>
                    <w:t>95</w:t>
                  </w:r>
                  <w:r>
                    <w:rPr>
                      <w:color w:val="auto"/>
                      <w:sz w:val="18"/>
                      <w:szCs w:val="18"/>
                      <w:highlight w:val="none"/>
                      <w:lang w:bidi="ar"/>
                    </w:rPr>
                    <w:t>%</w:t>
                  </w:r>
                </w:p>
              </w:tc>
              <w:tc>
                <w:tcPr>
                  <w:tcW w:w="259" w:type="pct"/>
                  <w:vAlign w:val="center"/>
                </w:tcPr>
                <w:p>
                  <w:pPr>
                    <w:widowControl/>
                    <w:jc w:val="center"/>
                    <w:textAlignment w:val="center"/>
                    <w:rPr>
                      <w:color w:val="auto"/>
                      <w:sz w:val="18"/>
                      <w:szCs w:val="18"/>
                      <w:highlight w:val="none"/>
                    </w:rPr>
                  </w:pPr>
                  <w:r>
                    <w:rPr>
                      <w:rFonts w:hint="eastAsia"/>
                      <w:color w:val="FF0000"/>
                      <w:sz w:val="18"/>
                      <w:szCs w:val="18"/>
                      <w:highlight w:val="none"/>
                      <w:lang w:val="en-US" w:eastAsia="zh-CN"/>
                    </w:rPr>
                    <w:t>45000</w:t>
                  </w:r>
                </w:p>
              </w:tc>
              <w:tc>
                <w:tcPr>
                  <w:tcW w:w="321" w:type="pct"/>
                  <w:vAlign w:val="center"/>
                </w:tcPr>
                <w:p>
                  <w:pPr>
                    <w:widowControl/>
                    <w:jc w:val="center"/>
                    <w:textAlignment w:val="center"/>
                    <w:rPr>
                      <w:color w:val="auto"/>
                      <w:sz w:val="18"/>
                      <w:szCs w:val="18"/>
                      <w:highlight w:val="none"/>
                    </w:rPr>
                  </w:pPr>
                  <w:r>
                    <w:rPr>
                      <w:color w:val="auto"/>
                      <w:sz w:val="18"/>
                      <w:szCs w:val="18"/>
                      <w:highlight w:val="none"/>
                      <w:lang w:bidi="ar"/>
                    </w:rPr>
                    <w:t>9</w:t>
                  </w:r>
                  <w:r>
                    <w:rPr>
                      <w:rFonts w:hint="eastAsia"/>
                      <w:color w:val="auto"/>
                      <w:sz w:val="18"/>
                      <w:szCs w:val="18"/>
                      <w:highlight w:val="none"/>
                      <w:lang w:bidi="ar"/>
                    </w:rPr>
                    <w:t>9</w:t>
                  </w:r>
                  <w:r>
                    <w:rPr>
                      <w:color w:val="auto"/>
                      <w:sz w:val="18"/>
                      <w:szCs w:val="18"/>
                      <w:highlight w:val="none"/>
                      <w:lang w:bidi="ar"/>
                    </w:rPr>
                    <w:t>%</w:t>
                  </w:r>
                </w:p>
              </w:tc>
              <w:tc>
                <w:tcPr>
                  <w:tcW w:w="309" w:type="pct"/>
                  <w:vAlign w:val="center"/>
                </w:tcPr>
                <w:p>
                  <w:pPr>
                    <w:widowControl/>
                    <w:jc w:val="center"/>
                    <w:textAlignment w:val="center"/>
                    <w:rPr>
                      <w:color w:val="auto"/>
                      <w:sz w:val="18"/>
                      <w:szCs w:val="18"/>
                      <w:highlight w:val="none"/>
                    </w:rPr>
                  </w:pPr>
                  <w:r>
                    <w:rPr>
                      <w:rFonts w:hint="eastAsia" w:ascii="宋体" w:hAnsi="宋体" w:cs="宋体"/>
                      <w:color w:val="auto"/>
                      <w:sz w:val="18"/>
                      <w:szCs w:val="18"/>
                      <w:highlight w:val="none"/>
                      <w:lang w:bidi="ar"/>
                    </w:rPr>
                    <w:t>是</w:t>
                  </w:r>
                </w:p>
              </w:tc>
              <w:tc>
                <w:tcPr>
                  <w:tcW w:w="381" w:type="pct"/>
                  <w:vAlign w:val="center"/>
                </w:tcPr>
                <w:p>
                  <w:pPr>
                    <w:widowControl/>
                    <w:jc w:val="center"/>
                    <w:textAlignment w:val="center"/>
                    <w:rPr>
                      <w:rFonts w:hint="default" w:eastAsia="宋体"/>
                      <w:color w:val="auto"/>
                      <w:sz w:val="18"/>
                      <w:szCs w:val="18"/>
                      <w:highlight w:val="none"/>
                      <w:lang w:val="en-US" w:eastAsia="zh-CN"/>
                    </w:rPr>
                  </w:pPr>
                  <w:r>
                    <w:rPr>
                      <w:color w:val="FF0000"/>
                      <w:sz w:val="18"/>
                      <w:szCs w:val="18"/>
                      <w:highlight w:val="none"/>
                      <w:lang w:bidi="ar"/>
                    </w:rPr>
                    <w:t>0.0</w:t>
                  </w:r>
                  <w:r>
                    <w:rPr>
                      <w:rFonts w:hint="eastAsia"/>
                      <w:color w:val="FF0000"/>
                      <w:sz w:val="18"/>
                      <w:szCs w:val="18"/>
                      <w:highlight w:val="none"/>
                      <w:lang w:val="en-US" w:eastAsia="zh-CN" w:bidi="ar"/>
                    </w:rPr>
                    <w:t>24348</w:t>
                  </w:r>
                </w:p>
              </w:tc>
              <w:tc>
                <w:tcPr>
                  <w:tcW w:w="346" w:type="pct"/>
                  <w:vAlign w:val="center"/>
                </w:tcPr>
                <w:p>
                  <w:pPr>
                    <w:widowControl/>
                    <w:jc w:val="center"/>
                    <w:textAlignment w:val="center"/>
                    <w:rPr>
                      <w:rFonts w:hint="default" w:eastAsia="宋体"/>
                      <w:color w:val="auto"/>
                      <w:sz w:val="18"/>
                      <w:szCs w:val="18"/>
                      <w:highlight w:val="none"/>
                      <w:lang w:val="en-US" w:eastAsia="zh-CN"/>
                    </w:rPr>
                  </w:pPr>
                  <w:r>
                    <w:rPr>
                      <w:color w:val="FF0000"/>
                      <w:sz w:val="18"/>
                      <w:szCs w:val="18"/>
                      <w:highlight w:val="none"/>
                      <w:lang w:bidi="ar"/>
                    </w:rPr>
                    <w:t>0.</w:t>
                  </w:r>
                  <w:r>
                    <w:rPr>
                      <w:rFonts w:hint="eastAsia"/>
                      <w:color w:val="FF0000"/>
                      <w:sz w:val="18"/>
                      <w:szCs w:val="18"/>
                      <w:highlight w:val="none"/>
                      <w:lang w:bidi="ar"/>
                    </w:rPr>
                    <w:t>0</w:t>
                  </w:r>
                  <w:r>
                    <w:rPr>
                      <w:rFonts w:hint="eastAsia"/>
                      <w:color w:val="FF0000"/>
                      <w:sz w:val="18"/>
                      <w:szCs w:val="18"/>
                      <w:highlight w:val="none"/>
                      <w:lang w:val="en-US" w:eastAsia="zh-CN" w:bidi="ar"/>
                    </w:rPr>
                    <w:t>10145</w:t>
                  </w:r>
                </w:p>
              </w:tc>
              <w:tc>
                <w:tcPr>
                  <w:tcW w:w="243" w:type="pct"/>
                  <w:vAlign w:val="center"/>
                </w:tcPr>
                <w:p>
                  <w:pPr>
                    <w:widowControl/>
                    <w:jc w:val="center"/>
                    <w:textAlignment w:val="center"/>
                    <w:rPr>
                      <w:rFonts w:hint="default" w:eastAsia="宋体"/>
                      <w:color w:val="auto"/>
                      <w:sz w:val="18"/>
                      <w:szCs w:val="18"/>
                      <w:highlight w:val="none"/>
                      <w:lang w:val="en-US" w:eastAsia="zh-CN"/>
                    </w:rPr>
                  </w:pPr>
                  <w:r>
                    <w:rPr>
                      <w:rFonts w:hint="eastAsia"/>
                      <w:color w:val="FF0000"/>
                      <w:sz w:val="18"/>
                      <w:szCs w:val="18"/>
                      <w:highlight w:val="none"/>
                    </w:rPr>
                    <w:t>0.</w:t>
                  </w:r>
                  <w:r>
                    <w:rPr>
                      <w:rFonts w:hint="eastAsia"/>
                      <w:color w:val="FF0000"/>
                      <w:sz w:val="18"/>
                      <w:szCs w:val="18"/>
                      <w:highlight w:val="none"/>
                      <w:lang w:val="en-US" w:eastAsia="zh-CN"/>
                    </w:rPr>
                    <w:t>225</w:t>
                  </w:r>
                </w:p>
              </w:tc>
              <w:tc>
                <w:tcPr>
                  <w:tcW w:w="256" w:type="pct"/>
                  <w:vMerge w:val="continue"/>
                  <w:vAlign w:val="center"/>
                </w:tcPr>
                <w:p>
                  <w:pPr>
                    <w:jc w:val="center"/>
                    <w:rPr>
                      <w:color w:val="auto"/>
                      <w:sz w:val="18"/>
                      <w:szCs w:val="18"/>
                    </w:rPr>
                  </w:pPr>
                </w:p>
              </w:tc>
              <w:tc>
                <w:tcPr>
                  <w:tcW w:w="346" w:type="pct"/>
                  <w:vMerge w:val="continue"/>
                  <w:vAlign w:val="center"/>
                </w:tcPr>
                <w:p>
                  <w:pPr>
                    <w:widowControl/>
                    <w:jc w:val="center"/>
                    <w:textAlignment w:val="center"/>
                    <w:rPr>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644" w:type="pct"/>
                  <w:vAlign w:val="center"/>
                </w:tcPr>
                <w:p>
                  <w:pPr>
                    <w:jc w:val="center"/>
                    <w:rPr>
                      <w:color w:val="auto"/>
                      <w:sz w:val="18"/>
                      <w:szCs w:val="18"/>
                      <w:highlight w:val="none"/>
                    </w:rPr>
                  </w:pPr>
                  <w:r>
                    <w:rPr>
                      <w:rFonts w:hint="eastAsia"/>
                      <w:color w:val="auto"/>
                      <w:sz w:val="18"/>
                      <w:szCs w:val="18"/>
                      <w:highlight w:val="none"/>
                    </w:rPr>
                    <w:t>配料</w:t>
                  </w:r>
                </w:p>
              </w:tc>
              <w:tc>
                <w:tcPr>
                  <w:tcW w:w="347" w:type="pct"/>
                  <w:vAlign w:val="center"/>
                </w:tcPr>
                <w:p>
                  <w:pPr>
                    <w:widowControl/>
                    <w:jc w:val="center"/>
                    <w:textAlignment w:val="center"/>
                    <w:rPr>
                      <w:color w:val="auto"/>
                      <w:sz w:val="18"/>
                      <w:szCs w:val="18"/>
                      <w:highlight w:val="none"/>
                    </w:rPr>
                  </w:pPr>
                  <w:r>
                    <w:rPr>
                      <w:color w:val="auto"/>
                      <w:sz w:val="18"/>
                      <w:szCs w:val="18"/>
                      <w:highlight w:val="none"/>
                    </w:rPr>
                    <w:t>颗粒物</w:t>
                  </w:r>
                </w:p>
              </w:tc>
              <w:tc>
                <w:tcPr>
                  <w:tcW w:w="346" w:type="pct"/>
                  <w:vAlign w:val="center"/>
                </w:tcPr>
                <w:p>
                  <w:pPr>
                    <w:widowControl/>
                    <w:jc w:val="center"/>
                    <w:textAlignment w:val="center"/>
                    <w:rPr>
                      <w:rFonts w:hint="default" w:eastAsia="宋体"/>
                      <w:bCs/>
                      <w:color w:val="auto"/>
                      <w:sz w:val="18"/>
                      <w:szCs w:val="18"/>
                      <w:highlight w:val="none"/>
                      <w:lang w:val="en-US" w:eastAsia="zh-CN"/>
                    </w:rPr>
                  </w:pPr>
                  <w:r>
                    <w:rPr>
                      <w:rFonts w:hint="eastAsia"/>
                      <w:bCs/>
                      <w:color w:val="auto"/>
                      <w:sz w:val="18"/>
                      <w:szCs w:val="18"/>
                      <w:highlight w:val="none"/>
                      <w:lang w:val="en-US" w:eastAsia="zh-CN"/>
                    </w:rPr>
                    <w:t>1.15</w:t>
                  </w:r>
                </w:p>
              </w:tc>
              <w:tc>
                <w:tcPr>
                  <w:tcW w:w="311" w:type="pct"/>
                  <w:vAlign w:val="center"/>
                </w:tcPr>
                <w:p>
                  <w:pPr>
                    <w:widowControl/>
                    <w:jc w:val="center"/>
                    <w:textAlignment w:val="center"/>
                    <w:rPr>
                      <w:rFonts w:hint="default" w:eastAsia="宋体"/>
                      <w:color w:val="auto"/>
                      <w:sz w:val="18"/>
                      <w:szCs w:val="18"/>
                      <w:highlight w:val="none"/>
                      <w:lang w:val="en-US" w:eastAsia="zh-CN"/>
                    </w:rPr>
                  </w:pPr>
                  <w:r>
                    <w:rPr>
                      <w:rFonts w:hint="eastAsia"/>
                      <w:color w:val="auto"/>
                      <w:sz w:val="18"/>
                      <w:szCs w:val="18"/>
                      <w:highlight w:val="none"/>
                      <w:lang w:val="en-US" w:eastAsia="zh-CN"/>
                    </w:rPr>
                    <w:t>0.4792</w:t>
                  </w:r>
                </w:p>
              </w:tc>
              <w:tc>
                <w:tcPr>
                  <w:tcW w:w="278" w:type="pct"/>
                  <w:vAlign w:val="center"/>
                </w:tcPr>
                <w:p>
                  <w:pPr>
                    <w:widowControl/>
                    <w:jc w:val="center"/>
                    <w:textAlignment w:val="center"/>
                    <w:rPr>
                      <w:rFonts w:hint="default" w:eastAsia="宋体"/>
                      <w:color w:val="auto"/>
                      <w:sz w:val="18"/>
                      <w:szCs w:val="18"/>
                      <w:highlight w:val="yellow"/>
                      <w:lang w:val="en-US" w:eastAsia="zh-CN"/>
                    </w:rPr>
                  </w:pPr>
                  <w:r>
                    <w:rPr>
                      <w:rFonts w:hint="eastAsia"/>
                      <w:color w:val="auto"/>
                      <w:sz w:val="18"/>
                      <w:szCs w:val="18"/>
                      <w:highlight w:val="none"/>
                      <w:lang w:val="en-US" w:eastAsia="zh-CN"/>
                    </w:rPr>
                    <w:t>79.86</w:t>
                  </w:r>
                </w:p>
              </w:tc>
              <w:tc>
                <w:tcPr>
                  <w:tcW w:w="354" w:type="pct"/>
                  <w:vAlign w:val="center"/>
                </w:tcPr>
                <w:p>
                  <w:pPr>
                    <w:widowControl/>
                    <w:jc w:val="center"/>
                    <w:textAlignment w:val="center"/>
                    <w:rPr>
                      <w:color w:val="auto"/>
                      <w:highlight w:val="none"/>
                    </w:rPr>
                  </w:pPr>
                  <w:r>
                    <w:rPr>
                      <w:rFonts w:hint="eastAsia" w:ascii="宋体" w:hAnsi="宋体" w:cs="宋体"/>
                      <w:color w:val="auto"/>
                      <w:sz w:val="18"/>
                      <w:szCs w:val="18"/>
                      <w:highlight w:val="none"/>
                      <w:lang w:bidi="ar"/>
                    </w:rPr>
                    <w:t>脉冲布袋除尘器</w:t>
                  </w:r>
                </w:p>
              </w:tc>
              <w:tc>
                <w:tcPr>
                  <w:tcW w:w="256" w:type="pct"/>
                  <w:vAlign w:val="center"/>
                </w:tcPr>
                <w:p>
                  <w:pPr>
                    <w:widowControl/>
                    <w:jc w:val="center"/>
                    <w:textAlignment w:val="center"/>
                    <w:rPr>
                      <w:color w:val="auto"/>
                      <w:sz w:val="18"/>
                      <w:szCs w:val="18"/>
                      <w:highlight w:val="none"/>
                    </w:rPr>
                  </w:pPr>
                  <w:r>
                    <w:rPr>
                      <w:rFonts w:hint="eastAsia"/>
                      <w:color w:val="auto"/>
                      <w:sz w:val="18"/>
                      <w:szCs w:val="18"/>
                      <w:highlight w:val="none"/>
                      <w:lang w:bidi="ar"/>
                    </w:rPr>
                    <w:t>95</w:t>
                  </w:r>
                  <w:r>
                    <w:rPr>
                      <w:color w:val="auto"/>
                      <w:sz w:val="18"/>
                      <w:szCs w:val="18"/>
                      <w:highlight w:val="none"/>
                      <w:lang w:bidi="ar"/>
                    </w:rPr>
                    <w:t>%</w:t>
                  </w:r>
                </w:p>
              </w:tc>
              <w:tc>
                <w:tcPr>
                  <w:tcW w:w="259" w:type="pct"/>
                  <w:vAlign w:val="center"/>
                </w:tcPr>
                <w:p>
                  <w:pPr>
                    <w:widowControl/>
                    <w:jc w:val="center"/>
                    <w:textAlignment w:val="center"/>
                    <w:rPr>
                      <w:color w:val="auto"/>
                      <w:sz w:val="18"/>
                      <w:szCs w:val="18"/>
                      <w:highlight w:val="yellow"/>
                    </w:rPr>
                  </w:pPr>
                  <w:r>
                    <w:rPr>
                      <w:rFonts w:hint="eastAsia"/>
                      <w:color w:val="auto"/>
                      <w:sz w:val="18"/>
                      <w:szCs w:val="18"/>
                      <w:highlight w:val="none"/>
                    </w:rPr>
                    <w:t>6000</w:t>
                  </w:r>
                </w:p>
              </w:tc>
              <w:tc>
                <w:tcPr>
                  <w:tcW w:w="321" w:type="pct"/>
                  <w:vAlign w:val="center"/>
                </w:tcPr>
                <w:p>
                  <w:pPr>
                    <w:widowControl/>
                    <w:jc w:val="center"/>
                    <w:textAlignment w:val="center"/>
                    <w:rPr>
                      <w:color w:val="auto"/>
                      <w:sz w:val="18"/>
                      <w:szCs w:val="18"/>
                      <w:highlight w:val="none"/>
                    </w:rPr>
                  </w:pPr>
                  <w:r>
                    <w:rPr>
                      <w:color w:val="auto"/>
                      <w:sz w:val="18"/>
                      <w:szCs w:val="18"/>
                      <w:highlight w:val="none"/>
                      <w:lang w:bidi="ar"/>
                    </w:rPr>
                    <w:t>9</w:t>
                  </w:r>
                  <w:r>
                    <w:rPr>
                      <w:rFonts w:hint="eastAsia"/>
                      <w:color w:val="auto"/>
                      <w:sz w:val="18"/>
                      <w:szCs w:val="18"/>
                      <w:highlight w:val="none"/>
                      <w:lang w:bidi="ar"/>
                    </w:rPr>
                    <w:t>9</w:t>
                  </w:r>
                  <w:r>
                    <w:rPr>
                      <w:color w:val="auto"/>
                      <w:sz w:val="18"/>
                      <w:szCs w:val="18"/>
                      <w:highlight w:val="none"/>
                      <w:lang w:bidi="ar"/>
                    </w:rPr>
                    <w:t>%</w:t>
                  </w:r>
                </w:p>
              </w:tc>
              <w:tc>
                <w:tcPr>
                  <w:tcW w:w="309" w:type="pct"/>
                  <w:vAlign w:val="center"/>
                </w:tcPr>
                <w:p>
                  <w:pPr>
                    <w:widowControl/>
                    <w:jc w:val="center"/>
                    <w:textAlignment w:val="center"/>
                    <w:rPr>
                      <w:color w:val="auto"/>
                      <w:sz w:val="18"/>
                      <w:szCs w:val="18"/>
                      <w:highlight w:val="none"/>
                    </w:rPr>
                  </w:pPr>
                  <w:r>
                    <w:rPr>
                      <w:rFonts w:hint="eastAsia" w:ascii="宋体" w:hAnsi="宋体" w:cs="宋体"/>
                      <w:color w:val="auto"/>
                      <w:sz w:val="18"/>
                      <w:szCs w:val="18"/>
                      <w:highlight w:val="none"/>
                      <w:lang w:bidi="ar"/>
                    </w:rPr>
                    <w:t>是</w:t>
                  </w:r>
                </w:p>
              </w:tc>
              <w:tc>
                <w:tcPr>
                  <w:tcW w:w="381" w:type="pct"/>
                  <w:vAlign w:val="center"/>
                </w:tcPr>
                <w:p>
                  <w:pPr>
                    <w:widowControl/>
                    <w:jc w:val="center"/>
                    <w:textAlignment w:val="center"/>
                    <w:rPr>
                      <w:rFonts w:hint="eastAsia"/>
                      <w:color w:val="auto"/>
                      <w:sz w:val="18"/>
                      <w:szCs w:val="18"/>
                      <w:highlight w:val="none"/>
                    </w:rPr>
                  </w:pPr>
                  <w:r>
                    <w:rPr>
                      <w:rFonts w:hint="eastAsia"/>
                      <w:color w:val="auto"/>
                      <w:sz w:val="18"/>
                      <w:szCs w:val="18"/>
                      <w:highlight w:val="none"/>
                    </w:rPr>
                    <w:t>0.0</w:t>
                  </w:r>
                  <w:r>
                    <w:rPr>
                      <w:rFonts w:hint="eastAsia"/>
                      <w:color w:val="auto"/>
                      <w:sz w:val="18"/>
                      <w:szCs w:val="18"/>
                      <w:highlight w:val="none"/>
                      <w:lang w:val="en-US" w:eastAsia="zh-CN"/>
                    </w:rPr>
                    <w:t>1093</w:t>
                  </w:r>
                </w:p>
              </w:tc>
              <w:tc>
                <w:tcPr>
                  <w:tcW w:w="346" w:type="pct"/>
                  <w:vAlign w:val="center"/>
                </w:tcPr>
                <w:p>
                  <w:pPr>
                    <w:widowControl/>
                    <w:jc w:val="center"/>
                    <w:textAlignment w:val="center"/>
                    <w:rPr>
                      <w:rFonts w:hint="eastAsia"/>
                      <w:color w:val="auto"/>
                      <w:sz w:val="18"/>
                      <w:szCs w:val="18"/>
                      <w:highlight w:val="none"/>
                    </w:rPr>
                  </w:pPr>
                  <w:r>
                    <w:rPr>
                      <w:rFonts w:hint="eastAsia"/>
                      <w:color w:val="auto"/>
                      <w:sz w:val="18"/>
                      <w:szCs w:val="18"/>
                      <w:highlight w:val="none"/>
                    </w:rPr>
                    <w:t>0.0</w:t>
                  </w:r>
                  <w:r>
                    <w:rPr>
                      <w:rFonts w:hint="eastAsia"/>
                      <w:color w:val="auto"/>
                      <w:sz w:val="18"/>
                      <w:szCs w:val="18"/>
                      <w:highlight w:val="none"/>
                      <w:lang w:val="en-US" w:eastAsia="zh-CN"/>
                    </w:rPr>
                    <w:t>046</w:t>
                  </w:r>
                </w:p>
              </w:tc>
              <w:tc>
                <w:tcPr>
                  <w:tcW w:w="243" w:type="pct"/>
                  <w:vAlign w:val="center"/>
                </w:tcPr>
                <w:p>
                  <w:pPr>
                    <w:widowControl/>
                    <w:jc w:val="center"/>
                    <w:textAlignment w:val="center"/>
                    <w:rPr>
                      <w:rFonts w:hint="default"/>
                      <w:color w:val="auto"/>
                      <w:sz w:val="18"/>
                      <w:szCs w:val="18"/>
                      <w:highlight w:val="none"/>
                      <w:lang w:val="en-US"/>
                    </w:rPr>
                  </w:pPr>
                  <w:r>
                    <w:rPr>
                      <w:rFonts w:hint="eastAsia"/>
                      <w:color w:val="auto"/>
                      <w:sz w:val="18"/>
                      <w:szCs w:val="18"/>
                      <w:highlight w:val="none"/>
                      <w:lang w:val="en-US" w:eastAsia="zh-CN"/>
                    </w:rPr>
                    <w:t>0.76</w:t>
                  </w:r>
                </w:p>
              </w:tc>
              <w:tc>
                <w:tcPr>
                  <w:tcW w:w="256" w:type="pct"/>
                  <w:vAlign w:val="center"/>
                </w:tcPr>
                <w:p>
                  <w:pPr>
                    <w:widowControl/>
                    <w:jc w:val="center"/>
                    <w:textAlignment w:val="center"/>
                    <w:rPr>
                      <w:color w:val="auto"/>
                      <w:sz w:val="18"/>
                      <w:szCs w:val="18"/>
                      <w:highlight w:val="none"/>
                    </w:rPr>
                  </w:pPr>
                  <w:r>
                    <w:rPr>
                      <w:rFonts w:hint="eastAsia" w:ascii="宋体" w:hAnsi="宋体" w:cs="宋体"/>
                      <w:color w:val="auto"/>
                      <w:sz w:val="18"/>
                      <w:szCs w:val="18"/>
                      <w:highlight w:val="none"/>
                      <w:lang w:bidi="ar"/>
                    </w:rPr>
                    <w:t>有组织</w:t>
                  </w:r>
                </w:p>
              </w:tc>
              <w:tc>
                <w:tcPr>
                  <w:tcW w:w="346" w:type="pct"/>
                  <w:vAlign w:val="center"/>
                </w:tcPr>
                <w:p>
                  <w:pPr>
                    <w:widowControl/>
                    <w:jc w:val="center"/>
                    <w:textAlignment w:val="center"/>
                    <w:rPr>
                      <w:color w:val="auto"/>
                      <w:sz w:val="18"/>
                      <w:szCs w:val="18"/>
                      <w:highlight w:val="none"/>
                    </w:rPr>
                  </w:pPr>
                  <w:r>
                    <w:rPr>
                      <w:rFonts w:hint="eastAsia"/>
                      <w:color w:val="auto"/>
                      <w:sz w:val="18"/>
                      <w:szCs w:val="18"/>
                      <w:highlight w:val="none"/>
                    </w:rPr>
                    <w:t>DA001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644" w:type="pct"/>
                  <w:vAlign w:val="center"/>
                </w:tcPr>
                <w:p>
                  <w:pPr>
                    <w:jc w:val="center"/>
                    <w:rPr>
                      <w:color w:val="auto"/>
                      <w:sz w:val="18"/>
                      <w:szCs w:val="18"/>
                    </w:rPr>
                  </w:pPr>
                  <w:r>
                    <w:rPr>
                      <w:rFonts w:hint="eastAsia"/>
                      <w:color w:val="auto"/>
                      <w:sz w:val="18"/>
                      <w:szCs w:val="18"/>
                    </w:rPr>
                    <w:t>模压</w:t>
                  </w:r>
                </w:p>
              </w:tc>
              <w:tc>
                <w:tcPr>
                  <w:tcW w:w="347" w:type="pct"/>
                  <w:vAlign w:val="center"/>
                </w:tcPr>
                <w:p>
                  <w:pPr>
                    <w:widowControl/>
                    <w:jc w:val="center"/>
                    <w:textAlignment w:val="center"/>
                    <w:rPr>
                      <w:color w:val="auto"/>
                      <w:sz w:val="18"/>
                      <w:szCs w:val="18"/>
                    </w:rPr>
                  </w:pPr>
                  <w:r>
                    <w:rPr>
                      <w:rFonts w:hint="eastAsia"/>
                      <w:color w:val="auto"/>
                      <w:sz w:val="18"/>
                      <w:szCs w:val="18"/>
                    </w:rPr>
                    <w:t>VOC（以</w:t>
                  </w:r>
                  <w:r>
                    <w:rPr>
                      <w:color w:val="auto"/>
                      <w:sz w:val="18"/>
                      <w:szCs w:val="18"/>
                    </w:rPr>
                    <w:t>非甲烷总烃</w:t>
                  </w:r>
                  <w:r>
                    <w:rPr>
                      <w:rFonts w:hint="eastAsia"/>
                      <w:color w:val="auto"/>
                      <w:sz w:val="18"/>
                      <w:szCs w:val="18"/>
                    </w:rPr>
                    <w:t>表征）</w:t>
                  </w:r>
                </w:p>
              </w:tc>
              <w:tc>
                <w:tcPr>
                  <w:tcW w:w="346" w:type="pct"/>
                  <w:vAlign w:val="center"/>
                </w:tcPr>
                <w:p>
                  <w:pPr>
                    <w:widowControl/>
                    <w:jc w:val="center"/>
                    <w:textAlignment w:val="center"/>
                    <w:rPr>
                      <w:rFonts w:hint="default"/>
                      <w:color w:val="FF0000"/>
                      <w:sz w:val="18"/>
                      <w:szCs w:val="18"/>
                      <w:lang w:val="en-US" w:eastAsia="zh-CN"/>
                    </w:rPr>
                  </w:pPr>
                  <w:r>
                    <w:rPr>
                      <w:rFonts w:hint="eastAsia"/>
                      <w:color w:val="FF0000"/>
                      <w:sz w:val="18"/>
                      <w:szCs w:val="18"/>
                    </w:rPr>
                    <w:t>0.0</w:t>
                  </w:r>
                  <w:r>
                    <w:rPr>
                      <w:rFonts w:hint="eastAsia"/>
                      <w:color w:val="FF0000"/>
                      <w:sz w:val="18"/>
                      <w:szCs w:val="18"/>
                      <w:lang w:val="en-US" w:eastAsia="zh-CN"/>
                    </w:rPr>
                    <w:t>175</w:t>
                  </w:r>
                </w:p>
              </w:tc>
              <w:tc>
                <w:tcPr>
                  <w:tcW w:w="311" w:type="pct"/>
                  <w:vAlign w:val="center"/>
                </w:tcPr>
                <w:p>
                  <w:pPr>
                    <w:widowControl/>
                    <w:jc w:val="center"/>
                    <w:textAlignment w:val="center"/>
                    <w:rPr>
                      <w:rFonts w:hint="default"/>
                      <w:color w:val="FF0000"/>
                      <w:sz w:val="18"/>
                      <w:szCs w:val="18"/>
                      <w:lang w:val="en-US" w:eastAsia="zh-CN"/>
                    </w:rPr>
                  </w:pPr>
                  <w:r>
                    <w:rPr>
                      <w:rFonts w:hint="eastAsia"/>
                      <w:color w:val="FF0000"/>
                      <w:sz w:val="18"/>
                      <w:szCs w:val="18"/>
                    </w:rPr>
                    <w:t>0.00</w:t>
                  </w:r>
                  <w:r>
                    <w:rPr>
                      <w:rFonts w:hint="eastAsia"/>
                      <w:color w:val="FF0000"/>
                      <w:sz w:val="18"/>
                      <w:szCs w:val="18"/>
                      <w:lang w:val="en-US" w:eastAsia="zh-CN"/>
                    </w:rPr>
                    <w:t>7293</w:t>
                  </w:r>
                </w:p>
              </w:tc>
              <w:tc>
                <w:tcPr>
                  <w:tcW w:w="278" w:type="pct"/>
                  <w:vAlign w:val="center"/>
                </w:tcPr>
                <w:p>
                  <w:pPr>
                    <w:widowControl/>
                    <w:jc w:val="center"/>
                    <w:textAlignment w:val="center"/>
                    <w:rPr>
                      <w:rFonts w:hint="default"/>
                      <w:color w:val="FF0000"/>
                      <w:sz w:val="18"/>
                      <w:szCs w:val="18"/>
                      <w:lang w:val="en-US" w:eastAsia="zh-CN"/>
                    </w:rPr>
                  </w:pPr>
                  <w:r>
                    <w:rPr>
                      <w:rFonts w:hint="eastAsia"/>
                      <w:color w:val="FF0000"/>
                      <w:sz w:val="18"/>
                      <w:szCs w:val="18"/>
                    </w:rPr>
                    <w:t>0.</w:t>
                  </w:r>
                  <w:r>
                    <w:rPr>
                      <w:rFonts w:hint="eastAsia"/>
                      <w:color w:val="FF0000"/>
                      <w:sz w:val="18"/>
                      <w:szCs w:val="18"/>
                      <w:lang w:val="en-US" w:eastAsia="zh-CN"/>
                    </w:rPr>
                    <w:t>28</w:t>
                  </w:r>
                </w:p>
              </w:tc>
              <w:tc>
                <w:tcPr>
                  <w:tcW w:w="354" w:type="pct"/>
                  <w:vAlign w:val="center"/>
                </w:tcPr>
                <w:p>
                  <w:pPr>
                    <w:widowControl/>
                    <w:jc w:val="center"/>
                    <w:textAlignment w:val="center"/>
                    <w:rPr>
                      <w:color w:val="auto"/>
                      <w:sz w:val="18"/>
                      <w:szCs w:val="18"/>
                    </w:rPr>
                  </w:pPr>
                  <w:r>
                    <w:rPr>
                      <w:rFonts w:hint="eastAsia" w:ascii="宋体" w:hAnsi="宋体" w:cs="宋体"/>
                      <w:color w:val="FF0000"/>
                      <w:sz w:val="18"/>
                      <w:szCs w:val="18"/>
                      <w:lang w:val="en-US" w:eastAsia="zh-CN" w:bidi="ar"/>
                    </w:rPr>
                    <w:t>两</w:t>
                  </w:r>
                  <w:r>
                    <w:rPr>
                      <w:rFonts w:ascii="宋体" w:hAnsi="宋体" w:cs="宋体"/>
                      <w:color w:val="FF0000"/>
                      <w:sz w:val="18"/>
                      <w:szCs w:val="18"/>
                      <w:lang w:bidi="ar"/>
                    </w:rPr>
                    <w:t>级活性炭吸附装置</w:t>
                  </w:r>
                </w:p>
              </w:tc>
              <w:tc>
                <w:tcPr>
                  <w:tcW w:w="256" w:type="pct"/>
                  <w:vAlign w:val="center"/>
                </w:tcPr>
                <w:p>
                  <w:pPr>
                    <w:widowControl/>
                    <w:jc w:val="center"/>
                    <w:textAlignment w:val="center"/>
                    <w:rPr>
                      <w:color w:val="auto"/>
                      <w:sz w:val="18"/>
                      <w:szCs w:val="18"/>
                    </w:rPr>
                  </w:pPr>
                  <w:r>
                    <w:rPr>
                      <w:rFonts w:hint="eastAsia"/>
                      <w:color w:val="auto"/>
                      <w:sz w:val="18"/>
                      <w:szCs w:val="18"/>
                      <w:lang w:val="en-US" w:eastAsia="zh-CN" w:bidi="ar"/>
                    </w:rPr>
                    <w:t>95</w:t>
                  </w:r>
                  <w:r>
                    <w:rPr>
                      <w:color w:val="auto"/>
                      <w:sz w:val="18"/>
                      <w:szCs w:val="18"/>
                      <w:lang w:bidi="ar"/>
                    </w:rPr>
                    <w:t>%</w:t>
                  </w:r>
                </w:p>
              </w:tc>
              <w:tc>
                <w:tcPr>
                  <w:tcW w:w="259" w:type="pct"/>
                  <w:vAlign w:val="center"/>
                </w:tcPr>
                <w:p>
                  <w:pPr>
                    <w:widowControl/>
                    <w:jc w:val="center"/>
                    <w:textAlignment w:val="center"/>
                    <w:rPr>
                      <w:color w:val="auto"/>
                      <w:sz w:val="18"/>
                      <w:szCs w:val="18"/>
                    </w:rPr>
                  </w:pPr>
                  <w:r>
                    <w:rPr>
                      <w:rFonts w:hint="eastAsia"/>
                      <w:color w:val="auto"/>
                      <w:sz w:val="18"/>
                      <w:szCs w:val="18"/>
                    </w:rPr>
                    <w:t>26000</w:t>
                  </w:r>
                </w:p>
              </w:tc>
              <w:tc>
                <w:tcPr>
                  <w:tcW w:w="321" w:type="pct"/>
                  <w:vAlign w:val="center"/>
                </w:tcPr>
                <w:p>
                  <w:pPr>
                    <w:widowControl/>
                    <w:jc w:val="center"/>
                    <w:textAlignment w:val="center"/>
                    <w:rPr>
                      <w:color w:val="auto"/>
                      <w:sz w:val="18"/>
                      <w:szCs w:val="18"/>
                    </w:rPr>
                  </w:pPr>
                  <w:r>
                    <w:rPr>
                      <w:color w:val="auto"/>
                      <w:sz w:val="18"/>
                      <w:szCs w:val="18"/>
                      <w:lang w:bidi="ar"/>
                    </w:rPr>
                    <w:t>70%</w:t>
                  </w:r>
                </w:p>
              </w:tc>
              <w:tc>
                <w:tcPr>
                  <w:tcW w:w="309" w:type="pct"/>
                  <w:vAlign w:val="center"/>
                </w:tcPr>
                <w:p>
                  <w:pPr>
                    <w:widowControl/>
                    <w:jc w:val="center"/>
                    <w:textAlignment w:val="center"/>
                    <w:rPr>
                      <w:color w:val="auto"/>
                      <w:sz w:val="18"/>
                      <w:szCs w:val="18"/>
                    </w:rPr>
                  </w:pPr>
                  <w:r>
                    <w:rPr>
                      <w:rFonts w:hint="eastAsia" w:ascii="宋体" w:hAnsi="宋体" w:cs="宋体"/>
                      <w:color w:val="auto"/>
                      <w:sz w:val="18"/>
                      <w:szCs w:val="18"/>
                      <w:lang w:bidi="ar"/>
                    </w:rPr>
                    <w:t>是</w:t>
                  </w:r>
                </w:p>
              </w:tc>
              <w:tc>
                <w:tcPr>
                  <w:tcW w:w="381" w:type="pct"/>
                  <w:vAlign w:val="center"/>
                </w:tcPr>
                <w:p>
                  <w:pPr>
                    <w:widowControl/>
                    <w:jc w:val="center"/>
                    <w:textAlignment w:val="center"/>
                    <w:rPr>
                      <w:rFonts w:hint="default" w:eastAsia="宋体"/>
                      <w:color w:val="auto"/>
                      <w:sz w:val="18"/>
                      <w:szCs w:val="18"/>
                      <w:lang w:val="en-US" w:eastAsia="zh-CN"/>
                    </w:rPr>
                  </w:pPr>
                  <w:r>
                    <w:rPr>
                      <w:color w:val="FF0000"/>
                      <w:sz w:val="18"/>
                      <w:szCs w:val="18"/>
                      <w:lang w:bidi="ar"/>
                    </w:rPr>
                    <w:t>0.00</w:t>
                  </w:r>
                  <w:r>
                    <w:rPr>
                      <w:rFonts w:hint="eastAsia"/>
                      <w:color w:val="FF0000"/>
                      <w:sz w:val="18"/>
                      <w:szCs w:val="18"/>
                      <w:lang w:val="en-US" w:eastAsia="zh-CN" w:bidi="ar"/>
                    </w:rPr>
                    <w:t>4988</w:t>
                  </w:r>
                </w:p>
              </w:tc>
              <w:tc>
                <w:tcPr>
                  <w:tcW w:w="346" w:type="pct"/>
                  <w:vAlign w:val="center"/>
                </w:tcPr>
                <w:p>
                  <w:pPr>
                    <w:widowControl/>
                    <w:jc w:val="center"/>
                    <w:textAlignment w:val="center"/>
                    <w:rPr>
                      <w:rFonts w:hint="default" w:eastAsia="宋体"/>
                      <w:color w:val="auto"/>
                      <w:sz w:val="18"/>
                      <w:szCs w:val="18"/>
                      <w:lang w:val="en-US" w:eastAsia="zh-CN"/>
                    </w:rPr>
                  </w:pPr>
                  <w:r>
                    <w:rPr>
                      <w:color w:val="FF0000"/>
                      <w:sz w:val="18"/>
                      <w:szCs w:val="18"/>
                      <w:lang w:bidi="ar"/>
                    </w:rPr>
                    <w:t>0.00</w:t>
                  </w:r>
                  <w:r>
                    <w:rPr>
                      <w:rFonts w:hint="eastAsia"/>
                      <w:color w:val="FF0000"/>
                      <w:sz w:val="18"/>
                      <w:szCs w:val="18"/>
                      <w:lang w:val="en-US" w:eastAsia="zh-CN" w:bidi="ar"/>
                    </w:rPr>
                    <w:t>2078</w:t>
                  </w:r>
                </w:p>
              </w:tc>
              <w:tc>
                <w:tcPr>
                  <w:tcW w:w="243" w:type="pct"/>
                  <w:vAlign w:val="center"/>
                </w:tcPr>
                <w:p>
                  <w:pPr>
                    <w:widowControl/>
                    <w:jc w:val="center"/>
                    <w:textAlignment w:val="center"/>
                    <w:rPr>
                      <w:rFonts w:hint="default" w:eastAsia="宋体"/>
                      <w:color w:val="auto"/>
                      <w:sz w:val="18"/>
                      <w:szCs w:val="18"/>
                      <w:lang w:val="en-US" w:eastAsia="zh-CN"/>
                    </w:rPr>
                  </w:pPr>
                  <w:r>
                    <w:rPr>
                      <w:rFonts w:hint="eastAsia"/>
                      <w:color w:val="FF0000"/>
                      <w:sz w:val="18"/>
                      <w:szCs w:val="18"/>
                      <w:lang w:val="en-US" w:eastAsia="zh-CN" w:bidi="ar"/>
                    </w:rPr>
                    <w:t>0.08</w:t>
                  </w:r>
                </w:p>
              </w:tc>
              <w:tc>
                <w:tcPr>
                  <w:tcW w:w="256" w:type="pct"/>
                  <w:vAlign w:val="center"/>
                </w:tcPr>
                <w:p>
                  <w:pPr>
                    <w:widowControl/>
                    <w:jc w:val="center"/>
                    <w:textAlignment w:val="center"/>
                    <w:rPr>
                      <w:color w:val="auto"/>
                      <w:sz w:val="18"/>
                      <w:szCs w:val="18"/>
                    </w:rPr>
                  </w:pPr>
                  <w:r>
                    <w:rPr>
                      <w:rFonts w:hint="eastAsia" w:ascii="宋体" w:hAnsi="宋体" w:cs="宋体"/>
                      <w:color w:val="auto"/>
                      <w:sz w:val="18"/>
                      <w:szCs w:val="18"/>
                      <w:lang w:bidi="ar"/>
                    </w:rPr>
                    <w:t>有组织</w:t>
                  </w:r>
                </w:p>
              </w:tc>
              <w:tc>
                <w:tcPr>
                  <w:tcW w:w="346" w:type="pct"/>
                  <w:vAlign w:val="center"/>
                </w:tcPr>
                <w:p>
                  <w:pPr>
                    <w:widowControl/>
                    <w:jc w:val="center"/>
                    <w:textAlignment w:val="center"/>
                    <w:rPr>
                      <w:color w:val="auto"/>
                      <w:sz w:val="18"/>
                      <w:szCs w:val="18"/>
                    </w:rPr>
                  </w:pPr>
                  <w:r>
                    <w:rPr>
                      <w:rFonts w:hint="eastAsia"/>
                      <w:color w:val="auto"/>
                      <w:sz w:val="18"/>
                      <w:szCs w:val="18"/>
                    </w:rPr>
                    <w:t>DA003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644" w:type="pct"/>
                  <w:vAlign w:val="center"/>
                </w:tcPr>
                <w:p>
                  <w:pPr>
                    <w:jc w:val="center"/>
                    <w:rPr>
                      <w:color w:val="auto"/>
                      <w:sz w:val="18"/>
                      <w:szCs w:val="18"/>
                    </w:rPr>
                  </w:pPr>
                  <w:r>
                    <w:rPr>
                      <w:rFonts w:hint="eastAsia"/>
                      <w:color w:val="auto"/>
                      <w:sz w:val="18"/>
                      <w:szCs w:val="18"/>
                    </w:rPr>
                    <w:t>食堂油烟</w:t>
                  </w:r>
                </w:p>
              </w:tc>
              <w:tc>
                <w:tcPr>
                  <w:tcW w:w="347" w:type="pct"/>
                  <w:vAlign w:val="center"/>
                </w:tcPr>
                <w:p>
                  <w:pPr>
                    <w:widowControl/>
                    <w:jc w:val="center"/>
                    <w:textAlignment w:val="center"/>
                    <w:rPr>
                      <w:color w:val="auto"/>
                      <w:sz w:val="18"/>
                      <w:szCs w:val="18"/>
                    </w:rPr>
                  </w:pPr>
                  <w:r>
                    <w:rPr>
                      <w:rFonts w:hint="eastAsia"/>
                      <w:color w:val="auto"/>
                      <w:sz w:val="18"/>
                      <w:szCs w:val="18"/>
                    </w:rPr>
                    <w:t>油烟</w:t>
                  </w:r>
                </w:p>
              </w:tc>
              <w:tc>
                <w:tcPr>
                  <w:tcW w:w="346" w:type="pct"/>
                  <w:vAlign w:val="center"/>
                </w:tcPr>
                <w:p>
                  <w:pPr>
                    <w:widowControl/>
                    <w:jc w:val="center"/>
                    <w:textAlignment w:val="center"/>
                    <w:rPr>
                      <w:color w:val="auto"/>
                      <w:sz w:val="18"/>
                      <w:szCs w:val="18"/>
                    </w:rPr>
                  </w:pPr>
                  <w:r>
                    <w:rPr>
                      <w:rFonts w:hint="eastAsia"/>
                      <w:color w:val="auto"/>
                      <w:sz w:val="18"/>
                      <w:szCs w:val="18"/>
                    </w:rPr>
                    <w:t>0.0297</w:t>
                  </w:r>
                </w:p>
              </w:tc>
              <w:tc>
                <w:tcPr>
                  <w:tcW w:w="311" w:type="pct"/>
                  <w:vAlign w:val="center"/>
                </w:tcPr>
                <w:p>
                  <w:pPr>
                    <w:widowControl/>
                    <w:jc w:val="center"/>
                    <w:textAlignment w:val="center"/>
                    <w:rPr>
                      <w:color w:val="auto"/>
                      <w:sz w:val="18"/>
                      <w:szCs w:val="18"/>
                    </w:rPr>
                  </w:pPr>
                  <w:r>
                    <w:rPr>
                      <w:rFonts w:hint="eastAsia"/>
                      <w:color w:val="auto"/>
                      <w:sz w:val="18"/>
                      <w:szCs w:val="18"/>
                    </w:rPr>
                    <w:t>0.02475</w:t>
                  </w:r>
                </w:p>
              </w:tc>
              <w:tc>
                <w:tcPr>
                  <w:tcW w:w="278" w:type="pct"/>
                  <w:vAlign w:val="center"/>
                </w:tcPr>
                <w:p>
                  <w:pPr>
                    <w:widowControl/>
                    <w:jc w:val="center"/>
                    <w:textAlignment w:val="center"/>
                    <w:rPr>
                      <w:color w:val="auto"/>
                      <w:sz w:val="18"/>
                      <w:szCs w:val="18"/>
                      <w:lang w:bidi="ar"/>
                    </w:rPr>
                  </w:pPr>
                  <w:r>
                    <w:rPr>
                      <w:rFonts w:hint="eastAsia"/>
                      <w:color w:val="auto"/>
                      <w:sz w:val="18"/>
                      <w:szCs w:val="18"/>
                      <w:lang w:bidi="ar"/>
                    </w:rPr>
                    <w:t>3.09</w:t>
                  </w:r>
                </w:p>
              </w:tc>
              <w:tc>
                <w:tcPr>
                  <w:tcW w:w="354" w:type="pct"/>
                  <w:vAlign w:val="center"/>
                </w:tcPr>
                <w:p>
                  <w:pPr>
                    <w:widowControl/>
                    <w:jc w:val="center"/>
                    <w:textAlignment w:val="center"/>
                    <w:rPr>
                      <w:rFonts w:ascii="宋体" w:hAnsi="宋体" w:cs="宋体"/>
                      <w:color w:val="auto"/>
                      <w:sz w:val="18"/>
                      <w:szCs w:val="18"/>
                      <w:lang w:bidi="ar"/>
                    </w:rPr>
                  </w:pPr>
                  <w:r>
                    <w:rPr>
                      <w:rFonts w:hint="eastAsia" w:ascii="宋体" w:hAnsi="宋体" w:cs="宋体"/>
                      <w:color w:val="auto"/>
                      <w:sz w:val="18"/>
                      <w:szCs w:val="18"/>
                      <w:lang w:bidi="ar"/>
                    </w:rPr>
                    <w:t>油烟净化器</w:t>
                  </w:r>
                </w:p>
              </w:tc>
              <w:tc>
                <w:tcPr>
                  <w:tcW w:w="256" w:type="pct"/>
                  <w:vAlign w:val="center"/>
                </w:tcPr>
                <w:p>
                  <w:pPr>
                    <w:widowControl/>
                    <w:jc w:val="center"/>
                    <w:textAlignment w:val="center"/>
                    <w:rPr>
                      <w:color w:val="auto"/>
                      <w:sz w:val="18"/>
                      <w:szCs w:val="18"/>
                      <w:lang w:bidi="ar"/>
                    </w:rPr>
                  </w:pPr>
                  <w:r>
                    <w:rPr>
                      <w:rFonts w:hint="eastAsia"/>
                      <w:color w:val="auto"/>
                      <w:sz w:val="18"/>
                      <w:szCs w:val="18"/>
                      <w:lang w:bidi="ar"/>
                    </w:rPr>
                    <w:t>/</w:t>
                  </w:r>
                </w:p>
              </w:tc>
              <w:tc>
                <w:tcPr>
                  <w:tcW w:w="259" w:type="pct"/>
                  <w:vAlign w:val="center"/>
                </w:tcPr>
                <w:p>
                  <w:pPr>
                    <w:widowControl/>
                    <w:jc w:val="center"/>
                    <w:textAlignment w:val="center"/>
                    <w:rPr>
                      <w:color w:val="auto"/>
                      <w:sz w:val="18"/>
                      <w:szCs w:val="18"/>
                    </w:rPr>
                  </w:pPr>
                  <w:r>
                    <w:rPr>
                      <w:rFonts w:hint="eastAsia"/>
                      <w:color w:val="auto"/>
                      <w:sz w:val="18"/>
                      <w:szCs w:val="18"/>
                    </w:rPr>
                    <w:t>8000</w:t>
                  </w:r>
                </w:p>
              </w:tc>
              <w:tc>
                <w:tcPr>
                  <w:tcW w:w="321" w:type="pct"/>
                  <w:vAlign w:val="center"/>
                </w:tcPr>
                <w:p>
                  <w:pPr>
                    <w:widowControl/>
                    <w:jc w:val="center"/>
                    <w:textAlignment w:val="center"/>
                    <w:rPr>
                      <w:color w:val="auto"/>
                      <w:sz w:val="18"/>
                      <w:szCs w:val="18"/>
                      <w:lang w:bidi="ar"/>
                    </w:rPr>
                  </w:pPr>
                  <w:r>
                    <w:rPr>
                      <w:rFonts w:hint="eastAsia"/>
                      <w:color w:val="auto"/>
                      <w:sz w:val="18"/>
                      <w:szCs w:val="18"/>
                      <w:lang w:bidi="ar"/>
                    </w:rPr>
                    <w:t>80%</w:t>
                  </w:r>
                </w:p>
              </w:tc>
              <w:tc>
                <w:tcPr>
                  <w:tcW w:w="309" w:type="pct"/>
                  <w:vAlign w:val="center"/>
                </w:tcPr>
                <w:p>
                  <w:pPr>
                    <w:widowControl/>
                    <w:jc w:val="center"/>
                    <w:textAlignment w:val="center"/>
                    <w:rPr>
                      <w:rFonts w:ascii="宋体" w:hAnsi="宋体" w:cs="宋体"/>
                      <w:color w:val="auto"/>
                      <w:sz w:val="18"/>
                      <w:szCs w:val="18"/>
                      <w:lang w:bidi="ar"/>
                    </w:rPr>
                  </w:pPr>
                  <w:r>
                    <w:rPr>
                      <w:rFonts w:hint="eastAsia" w:ascii="宋体" w:hAnsi="宋体" w:cs="宋体"/>
                      <w:color w:val="auto"/>
                      <w:sz w:val="18"/>
                      <w:szCs w:val="18"/>
                      <w:lang w:bidi="ar"/>
                    </w:rPr>
                    <w:t>是</w:t>
                  </w:r>
                </w:p>
              </w:tc>
              <w:tc>
                <w:tcPr>
                  <w:tcW w:w="381" w:type="pct"/>
                  <w:vAlign w:val="center"/>
                </w:tcPr>
                <w:p>
                  <w:pPr>
                    <w:widowControl/>
                    <w:jc w:val="center"/>
                    <w:textAlignment w:val="center"/>
                    <w:rPr>
                      <w:color w:val="auto"/>
                      <w:sz w:val="18"/>
                      <w:szCs w:val="18"/>
                      <w:lang w:bidi="ar"/>
                    </w:rPr>
                  </w:pPr>
                  <w:r>
                    <w:rPr>
                      <w:rFonts w:hint="eastAsia"/>
                      <w:color w:val="auto"/>
                      <w:sz w:val="18"/>
                      <w:szCs w:val="18"/>
                      <w:lang w:bidi="ar"/>
                    </w:rPr>
                    <w:t>0.00594</w:t>
                  </w:r>
                </w:p>
              </w:tc>
              <w:tc>
                <w:tcPr>
                  <w:tcW w:w="346" w:type="pct"/>
                  <w:vAlign w:val="center"/>
                </w:tcPr>
                <w:p>
                  <w:pPr>
                    <w:widowControl/>
                    <w:jc w:val="center"/>
                    <w:textAlignment w:val="center"/>
                    <w:rPr>
                      <w:color w:val="auto"/>
                      <w:sz w:val="18"/>
                      <w:szCs w:val="18"/>
                      <w:lang w:bidi="ar"/>
                    </w:rPr>
                  </w:pPr>
                  <w:r>
                    <w:rPr>
                      <w:rFonts w:hint="eastAsia"/>
                      <w:color w:val="auto"/>
                      <w:sz w:val="18"/>
                      <w:szCs w:val="18"/>
                      <w:lang w:bidi="ar"/>
                    </w:rPr>
                    <w:t>0.00495</w:t>
                  </w:r>
                </w:p>
              </w:tc>
              <w:tc>
                <w:tcPr>
                  <w:tcW w:w="243" w:type="pct"/>
                  <w:vAlign w:val="center"/>
                </w:tcPr>
                <w:p>
                  <w:pPr>
                    <w:widowControl/>
                    <w:jc w:val="center"/>
                    <w:textAlignment w:val="center"/>
                    <w:rPr>
                      <w:color w:val="auto"/>
                      <w:sz w:val="18"/>
                      <w:szCs w:val="18"/>
                      <w:lang w:bidi="ar"/>
                    </w:rPr>
                  </w:pPr>
                  <w:r>
                    <w:rPr>
                      <w:rFonts w:hint="eastAsia"/>
                      <w:color w:val="auto"/>
                      <w:sz w:val="18"/>
                      <w:szCs w:val="18"/>
                      <w:lang w:bidi="ar"/>
                    </w:rPr>
                    <w:t>0.619</w:t>
                  </w:r>
                </w:p>
              </w:tc>
              <w:tc>
                <w:tcPr>
                  <w:tcW w:w="256" w:type="pct"/>
                  <w:vAlign w:val="center"/>
                </w:tcPr>
                <w:p>
                  <w:pPr>
                    <w:widowControl/>
                    <w:jc w:val="center"/>
                    <w:textAlignment w:val="center"/>
                    <w:rPr>
                      <w:rFonts w:ascii="宋体" w:hAnsi="宋体" w:cs="宋体"/>
                      <w:color w:val="auto"/>
                      <w:sz w:val="18"/>
                      <w:szCs w:val="18"/>
                      <w:lang w:bidi="ar"/>
                    </w:rPr>
                  </w:pPr>
                  <w:r>
                    <w:rPr>
                      <w:rFonts w:hint="eastAsia" w:ascii="宋体" w:hAnsi="宋体" w:cs="宋体"/>
                      <w:color w:val="auto"/>
                      <w:sz w:val="18"/>
                      <w:szCs w:val="18"/>
                      <w:lang w:bidi="ar"/>
                    </w:rPr>
                    <w:t>有组织</w:t>
                  </w:r>
                </w:p>
              </w:tc>
              <w:tc>
                <w:tcPr>
                  <w:tcW w:w="346" w:type="pct"/>
                  <w:vAlign w:val="center"/>
                </w:tcPr>
                <w:p>
                  <w:pPr>
                    <w:widowControl/>
                    <w:jc w:val="center"/>
                    <w:textAlignment w:val="center"/>
                    <w:rPr>
                      <w:color w:val="auto"/>
                      <w:sz w:val="18"/>
                      <w:szCs w:val="18"/>
                    </w:rPr>
                  </w:pPr>
                  <w:r>
                    <w:rPr>
                      <w:rFonts w:hint="eastAsia"/>
                      <w:color w:val="auto"/>
                      <w:sz w:val="18"/>
                      <w:szCs w:val="18"/>
                    </w:rPr>
                    <w:t>DA004</w:t>
                  </w:r>
                </w:p>
              </w:tc>
            </w:tr>
          </w:tbl>
          <w:p>
            <w:pPr>
              <w:pStyle w:val="106"/>
              <w:jc w:val="center"/>
              <w:rPr>
                <w:rFonts w:ascii="Times New Roman" w:hAnsi="Times New Roman" w:cs="Times New Roman"/>
                <w:b/>
                <w:color w:val="000000" w:themeColor="text1"/>
                <w:sz w:val="21"/>
                <w:szCs w:val="21"/>
                <w14:textFill>
                  <w14:solidFill>
                    <w14:schemeClr w14:val="tx1"/>
                  </w14:solidFill>
                </w14:textFill>
              </w:rPr>
            </w:pPr>
            <w:r>
              <w:rPr>
                <w:rFonts w:ascii="Times New Roman" w:hAnsi="Times New Roman" w:cs="Times New Roman"/>
                <w:b/>
                <w:color w:val="000000" w:themeColor="text1"/>
                <w:sz w:val="21"/>
                <w:szCs w:val="21"/>
                <w14:textFill>
                  <w14:solidFill>
                    <w14:schemeClr w14:val="tx1"/>
                  </w14:solidFill>
                </w14:textFill>
              </w:rPr>
              <w:t>（单位:风量：m</w:t>
            </w:r>
            <w:r>
              <w:rPr>
                <w:rFonts w:ascii="Times New Roman" w:hAnsi="Times New Roman" w:cs="Times New Roman"/>
                <w:b/>
                <w:color w:val="000000" w:themeColor="text1"/>
                <w:sz w:val="21"/>
                <w:szCs w:val="21"/>
                <w:vertAlign w:val="superscript"/>
                <w14:textFill>
                  <w14:solidFill>
                    <w14:schemeClr w14:val="tx1"/>
                  </w14:solidFill>
                </w14:textFill>
              </w:rPr>
              <w:t>3</w:t>
            </w:r>
            <w:r>
              <w:rPr>
                <w:rFonts w:ascii="Times New Roman" w:hAnsi="Times New Roman" w:cs="Times New Roman"/>
                <w:b/>
                <w:color w:val="000000" w:themeColor="text1"/>
                <w:sz w:val="21"/>
                <w:szCs w:val="21"/>
                <w14:textFill>
                  <w14:solidFill>
                    <w14:schemeClr w14:val="tx1"/>
                  </w14:solidFill>
                </w14:textFill>
              </w:rPr>
              <w:t>/h；浓度：mg/m</w:t>
            </w:r>
            <w:r>
              <w:rPr>
                <w:rFonts w:ascii="Times New Roman" w:hAnsi="Times New Roman" w:cs="Times New Roman"/>
                <w:b/>
                <w:color w:val="000000" w:themeColor="text1"/>
                <w:sz w:val="21"/>
                <w:szCs w:val="21"/>
                <w:vertAlign w:val="superscript"/>
                <w14:textFill>
                  <w14:solidFill>
                    <w14:schemeClr w14:val="tx1"/>
                  </w14:solidFill>
                </w14:textFill>
              </w:rPr>
              <w:t>3</w:t>
            </w:r>
            <w:r>
              <w:rPr>
                <w:rFonts w:ascii="Times New Roman" w:hAnsi="Times New Roman" w:cs="Times New Roman"/>
                <w:b/>
                <w:color w:val="000000" w:themeColor="text1"/>
                <w:sz w:val="21"/>
                <w:szCs w:val="21"/>
                <w14:textFill>
                  <w14:solidFill>
                    <w14:schemeClr w14:val="tx1"/>
                  </w14:solidFill>
                </w14:textFill>
              </w:rPr>
              <w:t>；产生量、排放量：t/a；速率：kg/h；去除率、效率：%）</w:t>
            </w:r>
          </w:p>
          <w:p>
            <w:pPr>
              <w:adjustRightInd w:val="0"/>
              <w:snapToGrid w:val="0"/>
              <w:rPr>
                <w:color w:val="000000" w:themeColor="text1"/>
                <w14:textFill>
                  <w14:solidFill>
                    <w14:schemeClr w14:val="tx1"/>
                  </w14:solidFill>
                </w14:textFill>
              </w:rPr>
            </w:pPr>
          </w:p>
        </w:tc>
      </w:tr>
    </w:tbl>
    <w:p>
      <w:pPr>
        <w:pStyle w:val="106"/>
        <w:sectPr>
          <w:pgSz w:w="16840" w:h="11907" w:orient="landscape"/>
          <w:pgMar w:top="720" w:right="720" w:bottom="720" w:left="720" w:header="851" w:footer="851" w:gutter="0"/>
          <w:pgBorders>
            <w:top w:val="none" w:sz="0" w:space="0"/>
            <w:left w:val="none" w:sz="0" w:space="0"/>
            <w:bottom w:val="none" w:sz="0" w:space="0"/>
            <w:right w:val="none" w:sz="0" w:space="0"/>
          </w:pgBorders>
          <w:cols w:space="720" w:num="1"/>
          <w:docGrid w:linePitch="312" w:charSpace="0"/>
        </w:sectPr>
      </w:pPr>
    </w:p>
    <w:tbl>
      <w:tblPr>
        <w:tblStyle w:val="9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
        <w:gridCol w:w="95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43" w:hRule="atLeast"/>
          <w:jc w:val="center"/>
        </w:trPr>
        <w:tc>
          <w:tcPr>
            <w:tcW w:w="225" w:type="pct"/>
            <w:vAlign w:val="center"/>
          </w:tcPr>
          <w:p>
            <w:pPr>
              <w:adjustRightInd w:val="0"/>
              <w:snapToGrid w:val="0"/>
              <w:jc w:val="center"/>
              <w:rPr>
                <w:bCs/>
                <w:color w:val="auto"/>
              </w:rPr>
            </w:pPr>
            <w:r>
              <w:rPr>
                <w:bCs/>
                <w:color w:val="auto"/>
              </w:rPr>
              <w:t>运营</w:t>
            </w:r>
          </w:p>
          <w:p>
            <w:pPr>
              <w:adjustRightInd w:val="0"/>
              <w:snapToGrid w:val="0"/>
              <w:jc w:val="center"/>
              <w:rPr>
                <w:bCs/>
                <w:color w:val="auto"/>
              </w:rPr>
            </w:pPr>
            <w:r>
              <w:rPr>
                <w:bCs/>
                <w:color w:val="auto"/>
              </w:rPr>
              <w:t>期环</w:t>
            </w:r>
          </w:p>
          <w:p>
            <w:pPr>
              <w:adjustRightInd w:val="0"/>
              <w:snapToGrid w:val="0"/>
              <w:jc w:val="center"/>
              <w:rPr>
                <w:bCs/>
                <w:color w:val="auto"/>
              </w:rPr>
            </w:pPr>
            <w:r>
              <w:rPr>
                <w:bCs/>
                <w:color w:val="auto"/>
              </w:rPr>
              <w:t>境影</w:t>
            </w:r>
          </w:p>
          <w:p>
            <w:pPr>
              <w:adjustRightInd w:val="0"/>
              <w:snapToGrid w:val="0"/>
              <w:jc w:val="center"/>
              <w:rPr>
                <w:bCs/>
                <w:color w:val="auto"/>
              </w:rPr>
            </w:pPr>
            <w:r>
              <w:rPr>
                <w:bCs/>
                <w:color w:val="auto"/>
              </w:rPr>
              <w:t>响和</w:t>
            </w:r>
          </w:p>
          <w:p>
            <w:pPr>
              <w:adjustRightInd w:val="0"/>
              <w:snapToGrid w:val="0"/>
              <w:jc w:val="center"/>
              <w:rPr>
                <w:bCs/>
                <w:color w:val="auto"/>
              </w:rPr>
            </w:pPr>
            <w:r>
              <w:rPr>
                <w:bCs/>
                <w:color w:val="auto"/>
              </w:rPr>
              <w:t>保护</w:t>
            </w:r>
          </w:p>
          <w:p>
            <w:pPr>
              <w:pStyle w:val="85"/>
              <w:adjustRightInd w:val="0"/>
              <w:snapToGrid w:val="0"/>
              <w:spacing w:before="0" w:beforeAutospacing="0" w:after="0" w:afterAutospacing="0"/>
              <w:jc w:val="center"/>
              <w:rPr>
                <w:rFonts w:ascii="Times New Roman" w:hAnsi="Times New Roman"/>
                <w:snapToGrid w:val="0"/>
                <w:color w:val="auto"/>
                <w:sz w:val="30"/>
                <w:szCs w:val="30"/>
              </w:rPr>
            </w:pPr>
            <w:r>
              <w:rPr>
                <w:rFonts w:ascii="Times New Roman" w:hAnsi="Times New Roman"/>
                <w:bCs/>
                <w:color w:val="auto"/>
                <w:sz w:val="21"/>
                <w:szCs w:val="21"/>
              </w:rPr>
              <w:t>措施</w:t>
            </w:r>
          </w:p>
        </w:tc>
        <w:tc>
          <w:tcPr>
            <w:tcW w:w="4774" w:type="pct"/>
          </w:tcPr>
          <w:p>
            <w:pPr>
              <w:adjustRightInd w:val="0"/>
              <w:spacing w:line="360" w:lineRule="auto"/>
              <w:ind w:firstLine="422" w:firstLineChars="200"/>
              <w:textAlignment w:val="baseline"/>
              <w:rPr>
                <w:b/>
                <w:color w:val="auto"/>
              </w:rPr>
            </w:pPr>
            <w:r>
              <w:rPr>
                <w:b/>
                <w:color w:val="auto"/>
              </w:rPr>
              <w:t>1.1源强核算过程</w:t>
            </w:r>
          </w:p>
          <w:p>
            <w:pPr>
              <w:adjustRightInd w:val="0"/>
              <w:snapToGrid w:val="0"/>
              <w:spacing w:line="360" w:lineRule="auto"/>
              <w:ind w:firstLine="422" w:firstLineChars="200"/>
              <w:textAlignment w:val="baseline"/>
              <w:rPr>
                <w:b/>
                <w:bCs/>
                <w:color w:val="auto"/>
              </w:rPr>
            </w:pPr>
            <w:r>
              <w:rPr>
                <w:b/>
                <w:bCs/>
                <w:color w:val="auto"/>
              </w:rPr>
              <w:t>（1）配料粉尘</w:t>
            </w:r>
          </w:p>
          <w:p>
            <w:pPr>
              <w:adjustRightInd w:val="0"/>
              <w:snapToGrid w:val="0"/>
              <w:spacing w:line="360" w:lineRule="auto"/>
              <w:ind w:firstLine="420" w:firstLineChars="200"/>
              <w:textAlignment w:val="baseline"/>
              <w:rPr>
                <w:b/>
                <w:bCs/>
                <w:color w:val="auto"/>
              </w:rPr>
            </w:pPr>
            <w:r>
              <w:rPr>
                <w:color w:val="auto"/>
              </w:rPr>
              <w:t>本项目炭黑采取自动称量、密闭输送系统送入密炼机，可有效降低炭黑粉尘产生量。根据《逸散性工业粉尘控制技术》（1989年12月第1版，J.A.奥里蒙），</w:t>
            </w:r>
            <w:r>
              <w:rPr>
                <w:rFonts w:hint="eastAsia"/>
                <w:color w:val="auto"/>
                <w:lang w:val="en-US" w:eastAsia="zh-CN"/>
              </w:rPr>
              <w:t>炭黑</w:t>
            </w:r>
            <w:r>
              <w:rPr>
                <w:color w:val="auto"/>
              </w:rPr>
              <w:t>逸散粉尘排放系数为</w:t>
            </w:r>
            <w:r>
              <w:rPr>
                <w:rFonts w:hint="eastAsia"/>
                <w:color w:val="auto"/>
                <w:lang w:val="en-US" w:eastAsia="zh-CN"/>
              </w:rPr>
              <w:t>0.1</w:t>
            </w:r>
            <w:r>
              <w:rPr>
                <w:color w:val="auto"/>
              </w:rPr>
              <w:t>kg/t</w:t>
            </w:r>
            <w:r>
              <w:rPr>
                <w:rFonts w:hint="eastAsia"/>
                <w:color w:val="auto"/>
                <w:lang w:eastAsia="zh-CN"/>
              </w:rPr>
              <w:t>，</w:t>
            </w:r>
            <w:r>
              <w:rPr>
                <w:rFonts w:hint="eastAsia"/>
                <w:color w:val="auto"/>
                <w:lang w:val="en-US" w:eastAsia="zh-CN"/>
              </w:rPr>
              <w:t>碳酸钙投料</w:t>
            </w:r>
            <w:r>
              <w:rPr>
                <w:color w:val="auto"/>
              </w:rPr>
              <w:t>逸散粉尘排放系数为</w:t>
            </w:r>
            <w:r>
              <w:rPr>
                <w:rFonts w:hint="eastAsia"/>
                <w:color w:val="auto"/>
                <w:lang w:val="en-US" w:eastAsia="zh-CN"/>
              </w:rPr>
              <w:t>0.2</w:t>
            </w:r>
            <w:r>
              <w:rPr>
                <w:color w:val="auto"/>
              </w:rPr>
              <w:t>kg/t。本项目炭黑使用量为3500t/a，</w:t>
            </w:r>
            <w:r>
              <w:rPr>
                <w:rFonts w:hint="eastAsia"/>
                <w:color w:val="auto"/>
                <w:lang w:val="en-US" w:eastAsia="zh-CN"/>
              </w:rPr>
              <w:t>碳酸钙使用量为4000t/a，</w:t>
            </w:r>
            <w:r>
              <w:rPr>
                <w:color w:val="auto"/>
              </w:rPr>
              <w:t>则</w:t>
            </w:r>
            <w:r>
              <w:rPr>
                <w:rFonts w:hint="eastAsia"/>
                <w:color w:val="auto"/>
                <w:lang w:val="en-US" w:eastAsia="zh-CN"/>
              </w:rPr>
              <w:t>投料</w:t>
            </w:r>
            <w:r>
              <w:rPr>
                <w:color w:val="auto"/>
              </w:rPr>
              <w:t>粉尘产生量为</w:t>
            </w:r>
            <w:r>
              <w:rPr>
                <w:rFonts w:hint="eastAsia"/>
                <w:color w:val="auto"/>
                <w:lang w:val="en-US" w:eastAsia="zh-CN"/>
              </w:rPr>
              <w:t>1.15</w:t>
            </w:r>
            <w:r>
              <w:rPr>
                <w:color w:val="auto"/>
              </w:rPr>
              <w:t>t/a，产生速率</w:t>
            </w:r>
            <w:r>
              <w:rPr>
                <w:rFonts w:hint="eastAsia"/>
                <w:color w:val="auto"/>
                <w:lang w:val="en-US" w:eastAsia="zh-CN"/>
              </w:rPr>
              <w:t>0.4792</w:t>
            </w:r>
            <w:r>
              <w:rPr>
                <w:color w:val="auto"/>
              </w:rPr>
              <w:t>kg/h。</w:t>
            </w:r>
          </w:p>
          <w:p>
            <w:pPr>
              <w:adjustRightInd w:val="0"/>
              <w:snapToGrid w:val="0"/>
              <w:spacing w:line="360" w:lineRule="auto"/>
              <w:ind w:firstLine="422" w:firstLineChars="200"/>
              <w:textAlignment w:val="baseline"/>
              <w:rPr>
                <w:b/>
                <w:bCs/>
                <w:color w:val="auto"/>
              </w:rPr>
            </w:pPr>
            <w:r>
              <w:rPr>
                <w:b/>
                <w:bCs/>
                <w:color w:val="auto"/>
              </w:rPr>
              <w:t>废气收集及处理设施</w:t>
            </w:r>
          </w:p>
          <w:p>
            <w:pPr>
              <w:spacing w:line="360" w:lineRule="auto"/>
              <w:ind w:firstLine="420" w:firstLineChars="200"/>
              <w:rPr>
                <w:color w:val="auto"/>
              </w:rPr>
            </w:pPr>
            <w:r>
              <w:rPr>
                <w:color w:val="auto"/>
              </w:rPr>
              <w:t>建设单位拟在</w:t>
            </w:r>
            <w:r>
              <w:rPr>
                <w:rFonts w:hint="eastAsia"/>
                <w:color w:val="auto"/>
                <w:lang w:val="en-US" w:eastAsia="zh-CN"/>
              </w:rPr>
              <w:t>炭黑、碳酸钙投料口</w:t>
            </w:r>
            <w:r>
              <w:rPr>
                <w:color w:val="auto"/>
              </w:rPr>
              <w:t>上方设置</w:t>
            </w:r>
            <w:r>
              <w:rPr>
                <w:rFonts w:hint="eastAsia"/>
                <w:color w:val="auto"/>
                <w:lang w:val="en-US" w:eastAsia="zh-CN"/>
              </w:rPr>
              <w:t>密闭</w:t>
            </w:r>
            <w:r>
              <w:rPr>
                <w:color w:val="auto"/>
              </w:rPr>
              <w:t>集气罩，将废气进行全密闭收集。废气经集中收集后引至“脉冲</w:t>
            </w:r>
            <w:r>
              <w:rPr>
                <w:rFonts w:hint="eastAsia"/>
                <w:color w:val="auto"/>
                <w:lang w:val="en-US" w:eastAsia="zh-CN"/>
              </w:rPr>
              <w:t>式</w:t>
            </w:r>
            <w:r>
              <w:rPr>
                <w:color w:val="auto"/>
              </w:rPr>
              <w:t>布袋除尘器”进行处理，处理达标后通过DA001排气筒排放。</w:t>
            </w:r>
          </w:p>
          <w:p>
            <w:pPr>
              <w:widowControl/>
              <w:adjustRightInd w:val="0"/>
              <w:snapToGrid w:val="0"/>
              <w:spacing w:line="360" w:lineRule="auto"/>
              <w:ind w:firstLine="422" w:firstLineChars="200"/>
              <w:rPr>
                <w:color w:val="auto"/>
              </w:rPr>
            </w:pPr>
            <w:r>
              <w:rPr>
                <w:b/>
                <w:bCs/>
                <w:color w:val="auto"/>
              </w:rPr>
              <w:t>风量：</w:t>
            </w:r>
            <w:r>
              <w:rPr>
                <w:rFonts w:hint="eastAsia"/>
                <w:color w:val="auto"/>
                <w:lang w:val="en-US" w:eastAsia="zh-CN"/>
              </w:rPr>
              <w:t>投料口</w:t>
            </w:r>
            <w:r>
              <w:rPr>
                <w:rFonts w:hint="eastAsia"/>
                <w:color w:val="auto"/>
              </w:rPr>
              <w:t>上方排风管内径</w:t>
            </w:r>
            <w:r>
              <w:rPr>
                <w:color w:val="auto"/>
              </w:rPr>
              <w:t>为</w:t>
            </w:r>
            <w:r>
              <w:rPr>
                <w:rFonts w:hint="eastAsia"/>
                <w:color w:val="auto"/>
              </w:rPr>
              <w:t>0.5m，控制风速为8m/s，根据《废气处理工程技术手册》（王纯 张殿印 主编）第十七章 净化系统的设计公式17-13：</w:t>
            </w:r>
          </w:p>
          <w:p>
            <w:pPr>
              <w:widowControl/>
              <w:adjustRightInd w:val="0"/>
              <w:snapToGrid w:val="0"/>
              <w:spacing w:line="360" w:lineRule="auto"/>
              <w:jc w:val="center"/>
              <w:rPr>
                <w:color w:val="auto"/>
                <w:vertAlign w:val="superscript"/>
              </w:rPr>
            </w:pPr>
            <w:r>
              <w:rPr>
                <w:color w:val="auto"/>
              </w:rPr>
              <w:t>管道直径D=（4Q/πv）</w:t>
            </w:r>
            <w:r>
              <w:rPr>
                <w:color w:val="auto"/>
                <w:vertAlign w:val="superscript"/>
              </w:rPr>
              <w:t>1/2</w:t>
            </w:r>
          </w:p>
          <w:p>
            <w:pPr>
              <w:widowControl/>
              <w:adjustRightInd w:val="0"/>
              <w:snapToGrid w:val="0"/>
              <w:spacing w:line="360" w:lineRule="auto"/>
              <w:ind w:firstLine="420" w:firstLineChars="200"/>
              <w:rPr>
                <w:color w:val="auto"/>
              </w:rPr>
            </w:pPr>
            <w:r>
              <w:rPr>
                <w:color w:val="auto"/>
              </w:rPr>
              <w:t>式中：Q为系统风量</w:t>
            </w:r>
            <w:r>
              <w:rPr>
                <w:rFonts w:hint="eastAsia"/>
                <w:color w:val="auto"/>
              </w:rPr>
              <w:t>（m</w:t>
            </w:r>
            <w:r>
              <w:rPr>
                <w:rFonts w:hint="eastAsia"/>
                <w:color w:val="auto"/>
                <w:vertAlign w:val="superscript"/>
              </w:rPr>
              <w:t>3</w:t>
            </w:r>
            <w:r>
              <w:rPr>
                <w:rFonts w:hint="eastAsia"/>
                <w:color w:val="auto"/>
              </w:rPr>
              <w:t>/s）</w:t>
            </w:r>
            <w:r>
              <w:rPr>
                <w:color w:val="auto"/>
              </w:rPr>
              <w:t>，v为管内风速</w:t>
            </w:r>
            <w:r>
              <w:rPr>
                <w:rFonts w:hint="eastAsia"/>
                <w:color w:val="auto"/>
              </w:rPr>
              <w:t>（m/s）。</w:t>
            </w:r>
          </w:p>
          <w:p>
            <w:pPr>
              <w:widowControl/>
              <w:adjustRightInd w:val="0"/>
              <w:snapToGrid w:val="0"/>
              <w:spacing w:line="360" w:lineRule="auto"/>
              <w:ind w:firstLine="420" w:firstLineChars="200"/>
              <w:rPr>
                <w:color w:val="auto"/>
              </w:rPr>
            </w:pPr>
            <w:r>
              <w:rPr>
                <w:color w:val="auto"/>
              </w:rPr>
              <w:t>由上式变换后可得Q=πD</w:t>
            </w:r>
            <w:r>
              <w:rPr>
                <w:color w:val="auto"/>
                <w:vertAlign w:val="superscript"/>
              </w:rPr>
              <w:t>2</w:t>
            </w:r>
            <w:r>
              <w:rPr>
                <w:color w:val="auto"/>
              </w:rPr>
              <w:t>*V/4</w:t>
            </w:r>
            <w:r>
              <w:rPr>
                <w:rFonts w:hint="eastAsia"/>
                <w:color w:val="auto"/>
              </w:rPr>
              <w:t>，则单台风机风量为（</w:t>
            </w:r>
            <w:r>
              <w:rPr>
                <w:color w:val="auto"/>
              </w:rPr>
              <w:t>3.14*</w:t>
            </w:r>
            <w:r>
              <w:rPr>
                <w:rFonts w:hint="eastAsia"/>
                <w:color w:val="auto"/>
              </w:rPr>
              <w:t>0.5</w:t>
            </w:r>
            <w:r>
              <w:rPr>
                <w:color w:val="auto"/>
              </w:rPr>
              <w:t>*</w:t>
            </w:r>
            <w:r>
              <w:rPr>
                <w:rFonts w:hint="eastAsia"/>
                <w:color w:val="auto"/>
              </w:rPr>
              <w:t>0.5*8）/4*3600=5654.87</w:t>
            </w:r>
            <w:r>
              <w:rPr>
                <w:color w:val="auto"/>
              </w:rPr>
              <w:t>m</w:t>
            </w:r>
            <w:r>
              <w:rPr>
                <w:color w:val="auto"/>
                <w:vertAlign w:val="superscript"/>
              </w:rPr>
              <w:t>3</w:t>
            </w:r>
            <w:r>
              <w:rPr>
                <w:color w:val="auto"/>
              </w:rPr>
              <w:t>/h</w:t>
            </w:r>
            <w:r>
              <w:rPr>
                <w:rFonts w:hint="eastAsia"/>
                <w:color w:val="auto"/>
              </w:rPr>
              <w:t>。</w:t>
            </w:r>
          </w:p>
          <w:p>
            <w:pPr>
              <w:adjustRightInd w:val="0"/>
              <w:snapToGrid w:val="0"/>
              <w:spacing w:before="120" w:beforeLines="50" w:line="360" w:lineRule="auto"/>
              <w:ind w:firstLine="420" w:firstLineChars="200"/>
              <w:rPr>
                <w:color w:val="auto"/>
              </w:rPr>
            </w:pPr>
            <w:r>
              <w:rPr>
                <w:rFonts w:hint="eastAsia"/>
                <w:color w:val="auto"/>
              </w:rPr>
              <w:t>综上，本项目配料粉尘收集风量为5654.87m</w:t>
            </w:r>
            <w:r>
              <w:rPr>
                <w:rFonts w:hint="eastAsia"/>
                <w:color w:val="auto"/>
                <w:vertAlign w:val="superscript"/>
              </w:rPr>
              <w:t>3</w:t>
            </w:r>
            <w:r>
              <w:rPr>
                <w:rFonts w:hint="eastAsia"/>
                <w:color w:val="auto"/>
              </w:rPr>
              <w:t>/h，考虑风力损失，本项目排气筒（DA001）中设置风机风量为6000m</w:t>
            </w:r>
            <w:r>
              <w:rPr>
                <w:rFonts w:hint="eastAsia"/>
                <w:color w:val="auto"/>
                <w:vertAlign w:val="superscript"/>
              </w:rPr>
              <w:t>3</w:t>
            </w:r>
            <w:r>
              <w:rPr>
                <w:rFonts w:hint="eastAsia"/>
                <w:color w:val="auto"/>
              </w:rPr>
              <w:t>/h。</w:t>
            </w:r>
          </w:p>
          <w:p>
            <w:pPr>
              <w:adjustRightInd w:val="0"/>
              <w:snapToGrid w:val="0"/>
              <w:spacing w:line="360" w:lineRule="auto"/>
              <w:ind w:firstLine="422" w:firstLineChars="200"/>
              <w:textAlignment w:val="baseline"/>
              <w:rPr>
                <w:color w:val="auto"/>
              </w:rPr>
            </w:pPr>
            <w:r>
              <w:rPr>
                <w:b/>
                <w:bCs/>
                <w:color w:val="auto"/>
              </w:rPr>
              <w:t>收集效率：</w:t>
            </w:r>
            <w:r>
              <w:rPr>
                <w:color w:val="auto"/>
              </w:rPr>
              <w:t>根据《广东省工业源挥发性有机物减排量核算方法（试行）》表4.5-1废气收集集气效率参考值，设备废气排口直连集气设备集气效率为95%，因此收集率取95%。</w:t>
            </w:r>
          </w:p>
          <w:p>
            <w:pPr>
              <w:adjustRightInd w:val="0"/>
              <w:snapToGrid w:val="0"/>
              <w:spacing w:line="360" w:lineRule="auto"/>
              <w:ind w:firstLine="422" w:firstLineChars="200"/>
              <w:textAlignment w:val="baseline"/>
              <w:rPr>
                <w:bCs/>
                <w:color w:val="auto"/>
              </w:rPr>
            </w:pPr>
            <w:r>
              <w:rPr>
                <w:b/>
                <w:color w:val="auto"/>
              </w:rPr>
              <w:t>处理效率：</w:t>
            </w:r>
            <w:r>
              <w:rPr>
                <w:bCs/>
                <w:color w:val="auto"/>
              </w:rPr>
              <w:t>根据《大气污染控制技术手册》（化学工业出版社、马广大主编），布袋除尘器的除尘效率在99%，本评价取值99%。</w:t>
            </w:r>
          </w:p>
          <w:p>
            <w:pPr>
              <w:adjustRightInd w:val="0"/>
              <w:snapToGrid w:val="0"/>
              <w:spacing w:line="360" w:lineRule="auto"/>
              <w:ind w:firstLine="420" w:firstLineChars="200"/>
              <w:rPr>
                <w:color w:val="auto"/>
              </w:rPr>
            </w:pPr>
            <w:r>
              <w:rPr>
                <w:rStyle w:val="104"/>
                <w:color w:val="auto"/>
              </w:rPr>
              <w:t>综上分析，</w:t>
            </w:r>
            <w:r>
              <w:rPr>
                <w:color w:val="auto"/>
              </w:rPr>
              <w:t>配料粉尘</w:t>
            </w:r>
            <w:r>
              <w:rPr>
                <w:bCs/>
                <w:color w:val="auto"/>
              </w:rPr>
              <w:t>产生量</w:t>
            </w:r>
            <w:r>
              <w:rPr>
                <w:rFonts w:hint="eastAsia"/>
                <w:bCs/>
                <w:color w:val="auto"/>
                <w:lang w:val="en-US" w:eastAsia="zh-CN"/>
              </w:rPr>
              <w:t>1.15</w:t>
            </w:r>
            <w:r>
              <w:rPr>
                <w:bCs/>
                <w:color w:val="auto"/>
              </w:rPr>
              <w:t>t/a，产生速率约</w:t>
            </w:r>
            <w:r>
              <w:rPr>
                <w:rFonts w:hint="eastAsia"/>
                <w:bCs/>
                <w:color w:val="auto"/>
                <w:lang w:val="en-US" w:eastAsia="zh-CN"/>
              </w:rPr>
              <w:t>0.4792</w:t>
            </w:r>
            <w:r>
              <w:rPr>
                <w:bCs/>
                <w:color w:val="auto"/>
              </w:rPr>
              <w:t>kg/h，产生浓度为</w:t>
            </w:r>
            <w:r>
              <w:rPr>
                <w:rFonts w:hint="eastAsia"/>
                <w:bCs/>
                <w:color w:val="auto"/>
                <w:lang w:val="en-US" w:eastAsia="zh-CN"/>
              </w:rPr>
              <w:t>79.86</w:t>
            </w:r>
            <w:r>
              <w:rPr>
                <w:bCs/>
                <w:color w:val="auto"/>
              </w:rPr>
              <w:t>mg/m</w:t>
            </w:r>
            <w:r>
              <w:rPr>
                <w:bCs/>
                <w:color w:val="auto"/>
                <w:vertAlign w:val="superscript"/>
              </w:rPr>
              <w:t>3</w:t>
            </w:r>
            <w:r>
              <w:rPr>
                <w:bCs/>
                <w:color w:val="auto"/>
              </w:rPr>
              <w:t>，经过脉冲式布袋除尘器处理后</w:t>
            </w:r>
            <w:r>
              <w:rPr>
                <w:rFonts w:hint="eastAsia"/>
                <w:bCs/>
                <w:color w:val="auto"/>
              </w:rPr>
              <w:t>有组织</w:t>
            </w:r>
            <w:r>
              <w:rPr>
                <w:bCs/>
                <w:color w:val="auto"/>
              </w:rPr>
              <w:t>排放量约0.0</w:t>
            </w:r>
            <w:r>
              <w:rPr>
                <w:rFonts w:hint="eastAsia"/>
                <w:bCs/>
                <w:color w:val="auto"/>
                <w:lang w:val="en-US" w:eastAsia="zh-CN"/>
              </w:rPr>
              <w:t>1093</w:t>
            </w:r>
            <w:r>
              <w:rPr>
                <w:bCs/>
                <w:color w:val="auto"/>
              </w:rPr>
              <w:t>t/a，排放速率约0.0</w:t>
            </w:r>
            <w:r>
              <w:rPr>
                <w:rFonts w:hint="eastAsia"/>
                <w:bCs/>
                <w:color w:val="auto"/>
                <w:lang w:val="en-US" w:eastAsia="zh-CN"/>
              </w:rPr>
              <w:t>046</w:t>
            </w:r>
            <w:r>
              <w:rPr>
                <w:bCs/>
                <w:color w:val="auto"/>
              </w:rPr>
              <w:t>kg/h，排放浓度约为</w:t>
            </w:r>
            <w:r>
              <w:rPr>
                <w:rFonts w:hint="eastAsia"/>
                <w:bCs/>
                <w:color w:val="auto"/>
                <w:lang w:val="en-US" w:eastAsia="zh-CN"/>
              </w:rPr>
              <w:t>0.76</w:t>
            </w:r>
            <w:r>
              <w:rPr>
                <w:bCs/>
                <w:color w:val="auto"/>
              </w:rPr>
              <w:t>mg/m</w:t>
            </w:r>
            <w:r>
              <w:rPr>
                <w:bCs/>
                <w:color w:val="auto"/>
                <w:vertAlign w:val="superscript"/>
              </w:rPr>
              <w:t>3</w:t>
            </w:r>
            <w:r>
              <w:rPr>
                <w:bCs/>
                <w:color w:val="auto"/>
              </w:rPr>
              <w:t>。</w:t>
            </w:r>
            <w:r>
              <w:rPr>
                <w:rFonts w:hint="eastAsia"/>
                <w:bCs/>
                <w:color w:val="auto"/>
              </w:rPr>
              <w:t>粉尘无组织排放量为0.</w:t>
            </w:r>
            <w:r>
              <w:rPr>
                <w:rFonts w:hint="eastAsia"/>
                <w:bCs/>
                <w:color w:val="auto"/>
                <w:lang w:val="en-US" w:eastAsia="zh-CN"/>
              </w:rPr>
              <w:t>0575</w:t>
            </w:r>
            <w:r>
              <w:rPr>
                <w:rFonts w:hint="eastAsia"/>
                <w:bCs/>
                <w:color w:val="auto"/>
              </w:rPr>
              <w:t>t/a，排放速率约0.</w:t>
            </w:r>
            <w:r>
              <w:rPr>
                <w:rFonts w:hint="eastAsia"/>
                <w:bCs/>
                <w:color w:val="auto"/>
                <w:lang w:val="en-US" w:eastAsia="zh-CN"/>
              </w:rPr>
              <w:t>02396</w:t>
            </w:r>
            <w:r>
              <w:rPr>
                <w:rFonts w:hint="eastAsia"/>
                <w:bCs/>
                <w:color w:val="auto"/>
              </w:rPr>
              <w:t>kg/h。</w:t>
            </w:r>
          </w:p>
          <w:p>
            <w:pPr>
              <w:numPr>
                <w:ilvl w:val="0"/>
                <w:numId w:val="14"/>
              </w:numPr>
              <w:adjustRightInd w:val="0"/>
              <w:snapToGrid w:val="0"/>
              <w:spacing w:line="360" w:lineRule="auto"/>
              <w:ind w:firstLine="422" w:firstLineChars="200"/>
              <w:rPr>
                <w:b/>
                <w:color w:val="auto"/>
              </w:rPr>
            </w:pPr>
            <w:r>
              <w:rPr>
                <w:b/>
                <w:color w:val="auto"/>
              </w:rPr>
              <w:t>混炼废气</w:t>
            </w:r>
          </w:p>
          <w:p>
            <w:pPr>
              <w:adjustRightInd w:val="0"/>
              <w:snapToGrid w:val="0"/>
              <w:spacing w:line="360" w:lineRule="auto"/>
              <w:ind w:firstLine="420" w:firstLineChars="200"/>
              <w:rPr>
                <w:bCs/>
                <w:color w:val="auto"/>
              </w:rPr>
            </w:pPr>
            <w:r>
              <w:rPr>
                <w:bCs/>
                <w:color w:val="auto"/>
              </w:rPr>
              <w:t>密炼烟气的成分较为复杂，包括少量粉尘和橡胶因受热挥发的少量有机废气，其中部分低分子有机物会散发异味产生异味气体。开炼过程中橡胶因受热会有少量有机废气，其中部分低分子有机物会散发异味产生异味气体。</w:t>
            </w:r>
          </w:p>
          <w:p>
            <w:pPr>
              <w:adjustRightInd w:val="0"/>
              <w:snapToGrid w:val="0"/>
              <w:spacing w:line="360" w:lineRule="auto"/>
              <w:ind w:firstLine="420" w:firstLineChars="200"/>
              <w:rPr>
                <w:bCs/>
                <w:color w:val="auto"/>
              </w:rPr>
            </w:pPr>
            <w:r>
              <w:rPr>
                <w:bCs/>
                <w:color w:val="auto"/>
              </w:rPr>
              <w:t>密炼、开炼工序称为混炼工段，参照《橡胶制品生产过程中废气污染物的排放系数》（施晓亮、吴高强、郑磊、李明，《橡胶工业》2016年第63卷第2期），本项目所用橡胶NBR（丁腈</w:t>
            </w:r>
            <w:r>
              <w:rPr>
                <w:rFonts w:hint="eastAsia"/>
                <w:bCs/>
                <w:color w:val="auto"/>
                <w:lang w:val="en-US" w:eastAsia="zh-CN"/>
              </w:rPr>
              <w:t>橡</w:t>
            </w:r>
            <w:r>
              <w:rPr>
                <w:bCs/>
                <w:color w:val="auto"/>
              </w:rPr>
              <w:t>胶）和EPDM（乙丙</w:t>
            </w:r>
            <w:r>
              <w:rPr>
                <w:rFonts w:hint="eastAsia"/>
                <w:bCs/>
                <w:color w:val="auto"/>
                <w:lang w:val="en-US" w:eastAsia="zh-CN"/>
              </w:rPr>
              <w:t>橡</w:t>
            </w:r>
            <w:r>
              <w:rPr>
                <w:bCs/>
                <w:color w:val="auto"/>
              </w:rPr>
              <w:t>胶）</w:t>
            </w:r>
            <w:r>
              <w:rPr>
                <w:rFonts w:hint="eastAsia"/>
                <w:bCs/>
                <w:color w:val="auto"/>
                <w:lang w:eastAsia="zh-CN"/>
              </w:rPr>
              <w:t>、</w:t>
            </w:r>
            <w:r>
              <w:rPr>
                <w:rFonts w:hint="eastAsia"/>
                <w:bCs/>
                <w:color w:val="auto"/>
                <w:lang w:val="en-US" w:eastAsia="zh-CN"/>
              </w:rPr>
              <w:t>FKM（全氟醚橡胶）</w:t>
            </w:r>
            <w:r>
              <w:rPr>
                <w:bCs/>
                <w:color w:val="auto"/>
              </w:rPr>
              <w:t>混炼过程VOC</w:t>
            </w:r>
            <w:r>
              <w:rPr>
                <w:rFonts w:hint="eastAsia"/>
                <w:bCs/>
                <w:color w:val="auto"/>
                <w:lang w:val="en-US" w:eastAsia="zh-CN"/>
              </w:rPr>
              <w:t>s</w:t>
            </w:r>
            <w:r>
              <w:rPr>
                <w:bCs/>
                <w:color w:val="auto"/>
              </w:rPr>
              <w:t>产生系数分别为230mg/kg、291mg/kg</w:t>
            </w:r>
            <w:r>
              <w:rPr>
                <w:rFonts w:hint="eastAsia"/>
                <w:bCs/>
                <w:color w:val="auto"/>
                <w:lang w:eastAsia="zh-CN"/>
              </w:rPr>
              <w:t>、</w:t>
            </w:r>
            <w:r>
              <w:rPr>
                <w:rFonts w:hint="eastAsia"/>
                <w:bCs/>
                <w:color w:val="auto"/>
                <w:lang w:val="en-US" w:eastAsia="zh-CN"/>
              </w:rPr>
              <w:t>81.6</w:t>
            </w:r>
            <w:r>
              <w:rPr>
                <w:bCs/>
                <w:color w:val="auto"/>
              </w:rPr>
              <w:t>mg/kg，颗粒物产生系数分别为130mg/kg、358mg/kg</w:t>
            </w:r>
            <w:r>
              <w:rPr>
                <w:rFonts w:hint="eastAsia"/>
                <w:bCs/>
                <w:color w:val="auto"/>
                <w:lang w:eastAsia="zh-CN"/>
              </w:rPr>
              <w:t>、</w:t>
            </w:r>
            <w:r>
              <w:rPr>
                <w:rFonts w:hint="eastAsia"/>
                <w:bCs/>
                <w:color w:val="auto"/>
                <w:lang w:val="en-US" w:eastAsia="zh-CN"/>
              </w:rPr>
              <w:t>317</w:t>
            </w:r>
            <w:r>
              <w:rPr>
                <w:bCs/>
                <w:color w:val="auto"/>
              </w:rPr>
              <w:t>mg/kg，污染物产生量的计算公式如下：</w:t>
            </w:r>
          </w:p>
          <w:p>
            <w:pPr>
              <w:widowControl/>
              <w:adjustRightInd w:val="0"/>
              <w:snapToGrid w:val="0"/>
              <w:spacing w:line="360" w:lineRule="auto"/>
              <w:ind w:firstLine="420" w:firstLineChars="200"/>
              <w:jc w:val="center"/>
              <w:rPr>
                <w:color w:val="auto"/>
                <w:vertAlign w:val="superscript"/>
              </w:rPr>
            </w:pPr>
            <w:r>
              <w:rPr>
                <w:color w:val="auto"/>
              </w:rPr>
              <w:t>G=P</w:t>
            </w:r>
            <w:r>
              <w:rPr>
                <w:rFonts w:hint="eastAsia"/>
                <w:color w:val="auto"/>
              </w:rPr>
              <w:t>*</w:t>
            </w:r>
            <w:r>
              <w:rPr>
                <w:color w:val="auto"/>
              </w:rPr>
              <w:t>M×10</w:t>
            </w:r>
            <w:r>
              <w:rPr>
                <w:color w:val="auto"/>
                <w:vertAlign w:val="superscript"/>
              </w:rPr>
              <w:t>-3</w:t>
            </w:r>
          </w:p>
          <w:p>
            <w:pPr>
              <w:widowControl/>
              <w:adjustRightInd w:val="0"/>
              <w:snapToGrid w:val="0"/>
              <w:spacing w:line="360" w:lineRule="auto"/>
              <w:ind w:firstLine="420" w:firstLineChars="200"/>
              <w:rPr>
                <w:color w:val="auto"/>
              </w:rPr>
            </w:pPr>
            <w:r>
              <w:rPr>
                <w:color w:val="auto"/>
              </w:rPr>
              <w:t>其中：G——污染物排放量，t；</w:t>
            </w:r>
          </w:p>
          <w:p>
            <w:pPr>
              <w:widowControl/>
              <w:adjustRightInd w:val="0"/>
              <w:snapToGrid w:val="0"/>
              <w:spacing w:line="360" w:lineRule="auto"/>
              <w:ind w:firstLine="420" w:firstLineChars="200"/>
              <w:rPr>
                <w:color w:val="auto"/>
              </w:rPr>
            </w:pPr>
            <w:r>
              <w:rPr>
                <w:color w:val="auto"/>
              </w:rPr>
              <w:t>P——混炼过程VOC产物系数，单位：千克/吨-原料；</w:t>
            </w:r>
          </w:p>
          <w:p>
            <w:pPr>
              <w:widowControl/>
              <w:adjustRightInd w:val="0"/>
              <w:snapToGrid w:val="0"/>
              <w:spacing w:line="360" w:lineRule="auto"/>
              <w:ind w:firstLine="420" w:firstLineChars="200"/>
              <w:rPr>
                <w:color w:val="auto"/>
              </w:rPr>
            </w:pPr>
            <w:r>
              <w:rPr>
                <w:color w:val="auto"/>
              </w:rPr>
              <w:t>M——原料使用量，t。</w:t>
            </w:r>
          </w:p>
          <w:p>
            <w:pPr>
              <w:adjustRightInd w:val="0"/>
              <w:snapToGrid w:val="0"/>
              <w:spacing w:line="360" w:lineRule="auto"/>
              <w:ind w:firstLine="420" w:firstLineChars="200"/>
              <w:rPr>
                <w:color w:val="FF0000"/>
              </w:rPr>
            </w:pPr>
            <w:r>
              <w:rPr>
                <w:bCs/>
                <w:color w:val="FF0000"/>
              </w:rPr>
              <w:t>本项目橡胶丁腈橡胶和乙丙橡胶的使用量分别为</w:t>
            </w:r>
            <w:r>
              <w:rPr>
                <w:rFonts w:hint="eastAsia"/>
                <w:bCs/>
                <w:color w:val="FF0000"/>
                <w:lang w:val="en-US" w:eastAsia="zh-CN"/>
              </w:rPr>
              <w:t>3500</w:t>
            </w:r>
            <w:r>
              <w:rPr>
                <w:bCs/>
                <w:color w:val="FF0000"/>
              </w:rPr>
              <w:t>t/a、</w:t>
            </w:r>
            <w:r>
              <w:rPr>
                <w:rFonts w:hint="eastAsia"/>
                <w:bCs/>
                <w:color w:val="FF0000"/>
                <w:lang w:val="en-US" w:eastAsia="zh-CN"/>
              </w:rPr>
              <w:t>6500</w:t>
            </w:r>
            <w:r>
              <w:rPr>
                <w:bCs/>
                <w:color w:val="FF0000"/>
              </w:rPr>
              <w:t>t/a</w:t>
            </w:r>
            <w:r>
              <w:rPr>
                <w:rFonts w:hint="eastAsia"/>
                <w:bCs/>
                <w:color w:val="FF0000"/>
                <w:lang w:eastAsia="zh-CN"/>
              </w:rPr>
              <w:t>、</w:t>
            </w:r>
            <w:r>
              <w:rPr>
                <w:rFonts w:hint="eastAsia"/>
                <w:bCs/>
                <w:color w:val="FF0000"/>
                <w:lang w:val="en-US" w:eastAsia="zh-CN"/>
              </w:rPr>
              <w:t>2t/a</w:t>
            </w:r>
            <w:r>
              <w:rPr>
                <w:bCs/>
                <w:color w:val="FF0000"/>
              </w:rPr>
              <w:t>，因此混炼工序VOC</w:t>
            </w:r>
            <w:r>
              <w:rPr>
                <w:rFonts w:hint="eastAsia"/>
                <w:bCs/>
                <w:color w:val="FF0000"/>
                <w:lang w:val="en-US" w:eastAsia="zh-CN"/>
              </w:rPr>
              <w:t>s（以非甲烷总烃表征）</w:t>
            </w:r>
            <w:r>
              <w:rPr>
                <w:bCs/>
                <w:color w:val="FF0000"/>
              </w:rPr>
              <w:t>产生量约</w:t>
            </w:r>
            <w:r>
              <w:rPr>
                <w:rFonts w:hint="eastAsia"/>
                <w:bCs/>
                <w:color w:val="FF0000"/>
                <w:lang w:val="en-US" w:eastAsia="zh-CN"/>
              </w:rPr>
              <w:t>2.6966</w:t>
            </w:r>
            <w:r>
              <w:rPr>
                <w:bCs/>
                <w:color w:val="FF0000"/>
              </w:rPr>
              <w:t>t/a，产生速率约</w:t>
            </w:r>
            <w:r>
              <w:rPr>
                <w:rFonts w:hint="eastAsia"/>
                <w:bCs/>
                <w:color w:val="FF0000"/>
                <w:lang w:val="en-US" w:eastAsia="zh-CN"/>
              </w:rPr>
              <w:t>1.1236</w:t>
            </w:r>
            <w:r>
              <w:rPr>
                <w:bCs/>
                <w:color w:val="FF0000"/>
              </w:rPr>
              <w:t>kg/h，颗粒物产生量</w:t>
            </w:r>
            <w:r>
              <w:rPr>
                <w:rFonts w:hint="eastAsia"/>
                <w:bCs/>
                <w:color w:val="FF0000"/>
                <w:lang w:val="en-US" w:eastAsia="zh-CN"/>
              </w:rPr>
              <w:t>2.7826</w:t>
            </w:r>
            <w:r>
              <w:rPr>
                <w:bCs/>
                <w:color w:val="FF0000"/>
              </w:rPr>
              <w:t>t/a，产生速率</w:t>
            </w:r>
            <w:r>
              <w:rPr>
                <w:rFonts w:hint="eastAsia"/>
                <w:bCs/>
                <w:color w:val="FF0000"/>
                <w:lang w:val="en-US" w:eastAsia="zh-CN"/>
              </w:rPr>
              <w:t>1.1594</w:t>
            </w:r>
            <w:r>
              <w:rPr>
                <w:bCs/>
                <w:color w:val="FF0000"/>
              </w:rPr>
              <w:t>kg/h。</w:t>
            </w:r>
          </w:p>
          <w:p>
            <w:pPr>
              <w:adjustRightInd w:val="0"/>
              <w:snapToGrid w:val="0"/>
              <w:spacing w:line="360" w:lineRule="auto"/>
              <w:ind w:firstLine="422" w:firstLineChars="200"/>
              <w:rPr>
                <w:rFonts w:hint="default" w:eastAsia="宋体"/>
                <w:bCs/>
                <w:color w:val="auto"/>
                <w:lang w:val="en-US" w:eastAsia="zh-CN"/>
              </w:rPr>
            </w:pPr>
            <w:r>
              <w:rPr>
                <w:b/>
                <w:bCs/>
                <w:color w:val="auto"/>
              </w:rPr>
              <w:t>废气收集及处理设施：</w:t>
            </w:r>
            <w:r>
              <w:rPr>
                <w:bCs/>
                <w:color w:val="auto"/>
              </w:rPr>
              <w:t>本项目混炼废气主要包括粉尘、有机废气</w:t>
            </w:r>
            <w:r>
              <w:rPr>
                <w:rFonts w:hint="eastAsia"/>
                <w:bCs/>
                <w:color w:val="auto"/>
              </w:rPr>
              <w:t>，</w:t>
            </w:r>
            <w:r>
              <w:rPr>
                <w:bCs/>
                <w:color w:val="auto"/>
              </w:rPr>
              <w:t>拟采用</w:t>
            </w:r>
            <w:r>
              <w:rPr>
                <w:rFonts w:hint="eastAsia"/>
                <w:bCs/>
                <w:color w:val="auto"/>
                <w:lang w:eastAsia="zh-CN"/>
              </w:rPr>
              <w:t>“</w:t>
            </w:r>
            <w:r>
              <w:rPr>
                <w:bCs/>
                <w:color w:val="auto"/>
              </w:rPr>
              <w:t>布袋除尘器除尘+</w:t>
            </w:r>
            <w:r>
              <w:rPr>
                <w:rFonts w:hint="eastAsia"/>
                <w:bCs/>
                <w:color w:val="auto"/>
                <w:lang w:val="en-US" w:eastAsia="zh-CN"/>
              </w:rPr>
              <w:t>两</w:t>
            </w:r>
            <w:r>
              <w:rPr>
                <w:bCs/>
                <w:color w:val="auto"/>
              </w:rPr>
              <w:t>级活性炭吸附装置</w:t>
            </w:r>
            <w:r>
              <w:rPr>
                <w:rFonts w:hint="eastAsia"/>
                <w:bCs/>
                <w:color w:val="auto"/>
                <w:lang w:eastAsia="zh-CN"/>
              </w:rPr>
              <w:t>”</w:t>
            </w:r>
            <w:r>
              <w:rPr>
                <w:bCs/>
                <w:color w:val="auto"/>
              </w:rPr>
              <w:t>处理本项目混炼废气。</w:t>
            </w:r>
          </w:p>
          <w:p>
            <w:pPr>
              <w:widowControl/>
              <w:adjustRightInd w:val="0"/>
              <w:snapToGrid w:val="0"/>
              <w:spacing w:line="360" w:lineRule="auto"/>
              <w:ind w:firstLine="420" w:firstLineChars="200"/>
              <w:rPr>
                <w:color w:val="auto"/>
              </w:rPr>
            </w:pPr>
            <w:r>
              <w:rPr>
                <w:bCs/>
                <w:color w:val="auto"/>
              </w:rPr>
              <w:t>①密炼工序废气收集措施：项目密炼机均自带负压抽气装置（每条生产线的密炼机均配制有1套负压抽气装置），密炼过程中产生的粉尘和有机废气被负压抽气装置收集</w:t>
            </w:r>
            <w:r>
              <w:rPr>
                <w:rFonts w:hint="eastAsia"/>
                <w:color w:val="auto"/>
              </w:rPr>
              <w:t>，排风管内径</w:t>
            </w:r>
            <w:r>
              <w:rPr>
                <w:color w:val="auto"/>
              </w:rPr>
              <w:t>为</w:t>
            </w:r>
            <w:r>
              <w:rPr>
                <w:rFonts w:hint="eastAsia"/>
                <w:color w:val="auto"/>
              </w:rPr>
              <w:t>0.2m，控制风速为13.5m/s，根据《废气处理工程技术手册》（王纯 张殿印 主编）第十七章 净化系统的设计公式17-13：</w:t>
            </w:r>
          </w:p>
          <w:p>
            <w:pPr>
              <w:widowControl/>
              <w:adjustRightInd w:val="0"/>
              <w:snapToGrid w:val="0"/>
              <w:spacing w:line="360" w:lineRule="auto"/>
              <w:jc w:val="center"/>
              <w:rPr>
                <w:color w:val="auto"/>
                <w:vertAlign w:val="superscript"/>
              </w:rPr>
            </w:pPr>
            <w:r>
              <w:rPr>
                <w:color w:val="auto"/>
              </w:rPr>
              <w:t>管道直径D=（4Q/πv）</w:t>
            </w:r>
            <w:r>
              <w:rPr>
                <w:color w:val="auto"/>
                <w:vertAlign w:val="superscript"/>
              </w:rPr>
              <w:t>1/2</w:t>
            </w:r>
          </w:p>
          <w:p>
            <w:pPr>
              <w:widowControl/>
              <w:adjustRightInd w:val="0"/>
              <w:snapToGrid w:val="0"/>
              <w:spacing w:line="360" w:lineRule="auto"/>
              <w:ind w:firstLine="420" w:firstLineChars="200"/>
              <w:rPr>
                <w:color w:val="auto"/>
              </w:rPr>
            </w:pPr>
            <w:r>
              <w:rPr>
                <w:color w:val="auto"/>
              </w:rPr>
              <w:t>式中：Q为系统风量</w:t>
            </w:r>
            <w:r>
              <w:rPr>
                <w:rFonts w:hint="eastAsia"/>
                <w:color w:val="auto"/>
              </w:rPr>
              <w:t>（m</w:t>
            </w:r>
            <w:r>
              <w:rPr>
                <w:rFonts w:hint="eastAsia"/>
                <w:color w:val="auto"/>
                <w:vertAlign w:val="superscript"/>
              </w:rPr>
              <w:t>3</w:t>
            </w:r>
            <w:r>
              <w:rPr>
                <w:rFonts w:hint="eastAsia"/>
                <w:color w:val="auto"/>
              </w:rPr>
              <w:t>/s）</w:t>
            </w:r>
            <w:r>
              <w:rPr>
                <w:color w:val="auto"/>
              </w:rPr>
              <w:t>，v为管内风速</w:t>
            </w:r>
            <w:r>
              <w:rPr>
                <w:rFonts w:hint="eastAsia"/>
                <w:color w:val="auto"/>
              </w:rPr>
              <w:t>（m/s）。</w:t>
            </w:r>
          </w:p>
          <w:p>
            <w:pPr>
              <w:widowControl/>
              <w:adjustRightInd w:val="0"/>
              <w:snapToGrid w:val="0"/>
              <w:spacing w:line="360" w:lineRule="auto"/>
              <w:ind w:firstLine="420" w:firstLineChars="200"/>
              <w:rPr>
                <w:bCs/>
                <w:color w:val="auto"/>
              </w:rPr>
            </w:pPr>
            <w:r>
              <w:rPr>
                <w:color w:val="auto"/>
              </w:rPr>
              <w:t>由上式变换后可得Q=πD</w:t>
            </w:r>
            <w:r>
              <w:rPr>
                <w:color w:val="auto"/>
                <w:vertAlign w:val="superscript"/>
              </w:rPr>
              <w:t>2</w:t>
            </w:r>
            <w:r>
              <w:rPr>
                <w:color w:val="auto"/>
              </w:rPr>
              <w:t>*V/4</w:t>
            </w:r>
            <w:r>
              <w:rPr>
                <w:rFonts w:hint="eastAsia"/>
                <w:color w:val="auto"/>
              </w:rPr>
              <w:t>，则单台风机风量为（</w:t>
            </w:r>
            <w:r>
              <w:rPr>
                <w:color w:val="auto"/>
              </w:rPr>
              <w:t>3.14*</w:t>
            </w:r>
            <w:r>
              <w:rPr>
                <w:rFonts w:hint="eastAsia"/>
                <w:color w:val="auto"/>
              </w:rPr>
              <w:t>0.2</w:t>
            </w:r>
            <w:r>
              <w:rPr>
                <w:color w:val="auto"/>
              </w:rPr>
              <w:t>*</w:t>
            </w:r>
            <w:r>
              <w:rPr>
                <w:rFonts w:hint="eastAsia"/>
                <w:color w:val="auto"/>
              </w:rPr>
              <w:t>0.2*13.5）/4*3600=1526.81</w:t>
            </w:r>
            <w:r>
              <w:rPr>
                <w:color w:val="auto"/>
              </w:rPr>
              <w:t>m</w:t>
            </w:r>
            <w:r>
              <w:rPr>
                <w:color w:val="auto"/>
                <w:vertAlign w:val="superscript"/>
              </w:rPr>
              <w:t>3</w:t>
            </w:r>
            <w:r>
              <w:rPr>
                <w:color w:val="auto"/>
              </w:rPr>
              <w:t>/h</w:t>
            </w:r>
            <w:r>
              <w:rPr>
                <w:rFonts w:hint="eastAsia"/>
                <w:color w:val="auto"/>
              </w:rPr>
              <w:t>。</w:t>
            </w:r>
          </w:p>
          <w:p>
            <w:pPr>
              <w:adjustRightInd w:val="0"/>
              <w:snapToGrid w:val="0"/>
              <w:spacing w:line="360" w:lineRule="auto"/>
              <w:ind w:firstLine="420" w:firstLineChars="200"/>
              <w:rPr>
                <w:color w:val="auto"/>
              </w:rPr>
            </w:pPr>
            <w:r>
              <w:rPr>
                <w:bCs/>
                <w:color w:val="auto"/>
              </w:rPr>
              <w:t>②开炼工序废气收集措施：每台开炼机上方设置集气罩，收集开炼工序产生的废气。</w:t>
            </w:r>
          </w:p>
          <w:p>
            <w:pPr>
              <w:widowControl/>
              <w:adjustRightInd w:val="0"/>
              <w:snapToGrid w:val="0"/>
              <w:spacing w:line="360" w:lineRule="auto"/>
              <w:ind w:firstLine="420" w:firstLineChars="200"/>
              <w:rPr>
                <w:color w:val="auto"/>
              </w:rPr>
            </w:pPr>
            <w:r>
              <w:rPr>
                <w:rFonts w:hint="eastAsia"/>
                <w:color w:val="auto"/>
              </w:rPr>
              <w:t>开炼</w:t>
            </w:r>
            <w:r>
              <w:rPr>
                <w:color w:val="auto"/>
              </w:rPr>
              <w:t>废气经负压收集后进入</w:t>
            </w:r>
            <w:r>
              <w:rPr>
                <w:bCs/>
                <w:color w:val="auto"/>
              </w:rPr>
              <w:t>布袋除尘器除尘+</w:t>
            </w:r>
            <w:r>
              <w:rPr>
                <w:rFonts w:hint="eastAsia"/>
                <w:bCs/>
                <w:color w:val="auto"/>
                <w:lang w:val="en-US" w:eastAsia="zh-CN"/>
              </w:rPr>
              <w:t>两</w:t>
            </w:r>
            <w:r>
              <w:rPr>
                <w:bCs/>
                <w:color w:val="auto"/>
              </w:rPr>
              <w:t>级活性炭吸附装置</w:t>
            </w:r>
            <w:r>
              <w:rPr>
                <w:color w:val="auto"/>
              </w:rPr>
              <w:t>进行有机废气的处理，处理后的达标废气经15m排气筒DA002排放。</w:t>
            </w:r>
          </w:p>
          <w:p>
            <w:pPr>
              <w:adjustRightInd w:val="0"/>
              <w:snapToGrid w:val="0"/>
              <w:spacing w:line="360" w:lineRule="auto"/>
              <w:ind w:firstLine="422" w:firstLineChars="200"/>
              <w:textAlignment w:val="baseline"/>
              <w:rPr>
                <w:bCs/>
                <w:color w:val="auto"/>
              </w:rPr>
            </w:pPr>
            <w:r>
              <w:rPr>
                <w:b/>
                <w:bCs/>
                <w:color w:val="auto"/>
              </w:rPr>
              <w:t>风量：</w:t>
            </w:r>
            <w:r>
              <w:rPr>
                <w:bCs/>
                <w:color w:val="auto"/>
              </w:rPr>
              <w:t>根据《三废处理工程技术手册》（废气卷）中落地式外部集气管道风量确定计算公式：</w:t>
            </w:r>
          </w:p>
          <w:p>
            <w:pPr>
              <w:widowControl/>
              <w:adjustRightInd w:val="0"/>
              <w:snapToGrid w:val="0"/>
              <w:spacing w:line="360" w:lineRule="auto"/>
              <w:ind w:firstLine="420" w:firstLineChars="200"/>
              <w:jc w:val="center"/>
              <w:rPr>
                <w:color w:val="auto"/>
              </w:rPr>
            </w:pPr>
            <w:r>
              <w:rPr>
                <w:color w:val="auto"/>
              </w:rPr>
              <w:t>Q=3600×0.75（10x</w:t>
            </w:r>
            <w:r>
              <w:rPr>
                <w:color w:val="auto"/>
                <w:vertAlign w:val="superscript"/>
              </w:rPr>
              <w:t>2</w:t>
            </w:r>
            <w:r>
              <w:rPr>
                <w:color w:val="auto"/>
              </w:rPr>
              <w:t>+F）×Vx</w:t>
            </w:r>
          </w:p>
          <w:p>
            <w:pPr>
              <w:widowControl/>
              <w:adjustRightInd w:val="0"/>
              <w:snapToGrid w:val="0"/>
              <w:spacing w:line="360" w:lineRule="auto"/>
              <w:ind w:firstLine="420" w:firstLineChars="200"/>
              <w:rPr>
                <w:color w:val="auto"/>
              </w:rPr>
            </w:pPr>
            <w:r>
              <w:rPr>
                <w:color w:val="auto"/>
              </w:rPr>
              <w:t>其中：x——集气罩至污染源的距离（m）；</w:t>
            </w:r>
          </w:p>
          <w:p>
            <w:pPr>
              <w:widowControl/>
              <w:adjustRightInd w:val="0"/>
              <w:snapToGrid w:val="0"/>
              <w:spacing w:line="360" w:lineRule="auto"/>
              <w:ind w:firstLine="420" w:firstLineChars="200"/>
              <w:rPr>
                <w:color w:val="auto"/>
              </w:rPr>
            </w:pPr>
            <w:r>
              <w:rPr>
                <w:color w:val="auto"/>
              </w:rPr>
              <w:t>F——集气罩罩口面积（m</w:t>
            </w:r>
            <w:r>
              <w:rPr>
                <w:color w:val="auto"/>
                <w:vertAlign w:val="superscript"/>
              </w:rPr>
              <w:t>2</w:t>
            </w:r>
            <w:r>
              <w:rPr>
                <w:color w:val="auto"/>
              </w:rPr>
              <w:t>）；</w:t>
            </w:r>
          </w:p>
          <w:p>
            <w:pPr>
              <w:widowControl/>
              <w:adjustRightInd w:val="0"/>
              <w:snapToGrid w:val="0"/>
              <w:spacing w:line="360" w:lineRule="auto"/>
              <w:ind w:firstLine="420" w:firstLineChars="200"/>
              <w:rPr>
                <w:color w:val="auto"/>
              </w:rPr>
            </w:pPr>
            <w:r>
              <w:rPr>
                <w:color w:val="auto"/>
              </w:rPr>
              <w:t>V</w:t>
            </w:r>
            <w:r>
              <w:rPr>
                <w:color w:val="auto"/>
                <w:vertAlign w:val="subscript"/>
              </w:rPr>
              <w:t>X</w:t>
            </w:r>
            <w:r>
              <w:rPr>
                <w:color w:val="auto"/>
              </w:rPr>
              <w:t>——控制风速（m/s）。</w:t>
            </w:r>
          </w:p>
          <w:p>
            <w:pPr>
              <w:widowControl/>
              <w:spacing w:before="120" w:beforeLines="50" w:line="360" w:lineRule="auto"/>
              <w:jc w:val="center"/>
              <w:rPr>
                <w:b/>
                <w:color w:val="auto"/>
              </w:rPr>
            </w:pPr>
            <w:r>
              <w:rPr>
                <w:b/>
                <w:color w:val="auto"/>
              </w:rPr>
              <w:t>表4-</w:t>
            </w:r>
            <w:r>
              <w:rPr>
                <w:rFonts w:hint="eastAsia"/>
                <w:b/>
                <w:color w:val="auto"/>
              </w:rPr>
              <w:t>8</w:t>
            </w:r>
            <w:r>
              <w:rPr>
                <w:b/>
                <w:color w:val="auto"/>
              </w:rPr>
              <w:t xml:space="preserve"> 项目混炼废气收集风量设计参数表</w:t>
            </w:r>
          </w:p>
          <w:tbl>
            <w:tblPr>
              <w:tblStyle w:val="9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13"/>
              <w:gridCol w:w="1415"/>
              <w:gridCol w:w="1242"/>
              <w:gridCol w:w="1194"/>
              <w:gridCol w:w="1538"/>
              <w:gridCol w:w="1210"/>
              <w:gridCol w:w="11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3" w:type="dxa"/>
                  <w:vAlign w:val="center"/>
                </w:tcPr>
                <w:p>
                  <w:pPr>
                    <w:widowControl/>
                    <w:adjustRightInd w:val="0"/>
                    <w:snapToGrid w:val="0"/>
                    <w:jc w:val="center"/>
                    <w:rPr>
                      <w:b/>
                      <w:bCs/>
                      <w:color w:val="auto"/>
                    </w:rPr>
                  </w:pPr>
                  <w:r>
                    <w:rPr>
                      <w:b/>
                      <w:bCs/>
                      <w:color w:val="auto"/>
                    </w:rPr>
                    <w:t>设备</w:t>
                  </w:r>
                </w:p>
              </w:tc>
              <w:tc>
                <w:tcPr>
                  <w:tcW w:w="1415" w:type="dxa"/>
                  <w:vAlign w:val="center"/>
                </w:tcPr>
                <w:p>
                  <w:pPr>
                    <w:widowControl/>
                    <w:adjustRightInd w:val="0"/>
                    <w:snapToGrid w:val="0"/>
                    <w:jc w:val="center"/>
                    <w:rPr>
                      <w:b/>
                      <w:bCs/>
                      <w:color w:val="auto"/>
                    </w:rPr>
                  </w:pPr>
                  <w:r>
                    <w:rPr>
                      <w:b/>
                      <w:bCs/>
                      <w:color w:val="auto"/>
                    </w:rPr>
                    <w:t>集气罩至污染源的距离（m）</w:t>
                  </w:r>
                </w:p>
              </w:tc>
              <w:tc>
                <w:tcPr>
                  <w:tcW w:w="1242" w:type="dxa"/>
                  <w:vAlign w:val="center"/>
                </w:tcPr>
                <w:p>
                  <w:pPr>
                    <w:widowControl/>
                    <w:adjustRightInd w:val="0"/>
                    <w:snapToGrid w:val="0"/>
                    <w:jc w:val="center"/>
                    <w:rPr>
                      <w:b/>
                      <w:bCs/>
                      <w:color w:val="auto"/>
                    </w:rPr>
                  </w:pPr>
                  <w:r>
                    <w:rPr>
                      <w:b/>
                      <w:bCs/>
                      <w:color w:val="auto"/>
                    </w:rPr>
                    <w:t>集气罩口面积</w:t>
                  </w:r>
                  <w:r>
                    <w:rPr>
                      <w:rFonts w:hint="eastAsia"/>
                      <w:b/>
                      <w:bCs/>
                      <w:color w:val="auto"/>
                    </w:rPr>
                    <w:t>/排风管面积</w:t>
                  </w:r>
                  <w:r>
                    <w:rPr>
                      <w:b/>
                      <w:bCs/>
                      <w:color w:val="auto"/>
                    </w:rPr>
                    <w:t>（m</w:t>
                  </w:r>
                  <w:r>
                    <w:rPr>
                      <w:b/>
                      <w:bCs/>
                      <w:color w:val="auto"/>
                      <w:vertAlign w:val="superscript"/>
                    </w:rPr>
                    <w:t>2</w:t>
                  </w:r>
                  <w:r>
                    <w:rPr>
                      <w:b/>
                      <w:bCs/>
                      <w:color w:val="auto"/>
                    </w:rPr>
                    <w:t>）</w:t>
                  </w:r>
                </w:p>
              </w:tc>
              <w:tc>
                <w:tcPr>
                  <w:tcW w:w="1194" w:type="dxa"/>
                  <w:vAlign w:val="center"/>
                </w:tcPr>
                <w:p>
                  <w:pPr>
                    <w:widowControl/>
                    <w:adjustRightInd w:val="0"/>
                    <w:snapToGrid w:val="0"/>
                    <w:jc w:val="center"/>
                    <w:rPr>
                      <w:b/>
                      <w:bCs/>
                      <w:color w:val="auto"/>
                    </w:rPr>
                  </w:pPr>
                  <w:r>
                    <w:rPr>
                      <w:b/>
                      <w:bCs/>
                      <w:color w:val="auto"/>
                    </w:rPr>
                    <w:t>控制风速（m/s）</w:t>
                  </w:r>
                </w:p>
              </w:tc>
              <w:tc>
                <w:tcPr>
                  <w:tcW w:w="1538" w:type="dxa"/>
                  <w:vAlign w:val="center"/>
                </w:tcPr>
                <w:p>
                  <w:pPr>
                    <w:widowControl/>
                    <w:adjustRightInd w:val="0"/>
                    <w:snapToGrid w:val="0"/>
                    <w:jc w:val="center"/>
                    <w:rPr>
                      <w:b/>
                      <w:bCs/>
                      <w:color w:val="auto"/>
                    </w:rPr>
                  </w:pPr>
                  <w:r>
                    <w:rPr>
                      <w:b/>
                      <w:bCs/>
                      <w:color w:val="auto"/>
                    </w:rPr>
                    <w:t>单个集气设施风量（m</w:t>
                  </w:r>
                  <w:r>
                    <w:rPr>
                      <w:b/>
                      <w:bCs/>
                      <w:color w:val="auto"/>
                      <w:vertAlign w:val="superscript"/>
                    </w:rPr>
                    <w:t>3</w:t>
                  </w:r>
                  <w:r>
                    <w:rPr>
                      <w:b/>
                      <w:bCs/>
                      <w:color w:val="auto"/>
                    </w:rPr>
                    <w:t>/h）</w:t>
                  </w:r>
                </w:p>
              </w:tc>
              <w:tc>
                <w:tcPr>
                  <w:tcW w:w="1210" w:type="dxa"/>
                  <w:vAlign w:val="center"/>
                </w:tcPr>
                <w:p>
                  <w:pPr>
                    <w:widowControl/>
                    <w:adjustRightInd w:val="0"/>
                    <w:snapToGrid w:val="0"/>
                    <w:jc w:val="center"/>
                    <w:rPr>
                      <w:b/>
                      <w:bCs/>
                      <w:color w:val="auto"/>
                    </w:rPr>
                  </w:pPr>
                  <w:r>
                    <w:rPr>
                      <w:b/>
                      <w:bCs/>
                      <w:color w:val="auto"/>
                    </w:rPr>
                    <w:t>集气设施数量（个）</w:t>
                  </w:r>
                </w:p>
              </w:tc>
              <w:tc>
                <w:tcPr>
                  <w:tcW w:w="1176" w:type="dxa"/>
                  <w:vAlign w:val="center"/>
                </w:tcPr>
                <w:p>
                  <w:pPr>
                    <w:widowControl/>
                    <w:adjustRightInd w:val="0"/>
                    <w:snapToGrid w:val="0"/>
                    <w:jc w:val="center"/>
                    <w:rPr>
                      <w:b/>
                      <w:bCs/>
                      <w:color w:val="auto"/>
                    </w:rPr>
                  </w:pPr>
                  <w:r>
                    <w:rPr>
                      <w:b/>
                      <w:bCs/>
                      <w:color w:val="auto"/>
                    </w:rPr>
                    <w:t>风量（m</w:t>
                  </w:r>
                  <w:r>
                    <w:rPr>
                      <w:b/>
                      <w:bCs/>
                      <w:color w:val="auto"/>
                      <w:vertAlign w:val="superscript"/>
                    </w:rPr>
                    <w:t>3</w:t>
                  </w:r>
                  <w:r>
                    <w:rPr>
                      <w:b/>
                      <w:bCs/>
                      <w:color w:val="auto"/>
                    </w:rPr>
                    <w:t>/h）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1513" w:type="dxa"/>
                  <w:vAlign w:val="center"/>
                </w:tcPr>
                <w:p>
                  <w:pPr>
                    <w:widowControl/>
                    <w:adjustRightInd w:val="0"/>
                    <w:snapToGrid w:val="0"/>
                    <w:jc w:val="center"/>
                    <w:rPr>
                      <w:color w:val="auto"/>
                    </w:rPr>
                  </w:pPr>
                  <w:r>
                    <w:rPr>
                      <w:color w:val="auto"/>
                    </w:rPr>
                    <w:t>密炼机</w:t>
                  </w:r>
                </w:p>
              </w:tc>
              <w:tc>
                <w:tcPr>
                  <w:tcW w:w="1415" w:type="dxa"/>
                  <w:vAlign w:val="center"/>
                </w:tcPr>
                <w:p>
                  <w:pPr>
                    <w:widowControl/>
                    <w:adjustRightInd w:val="0"/>
                    <w:snapToGrid w:val="0"/>
                    <w:jc w:val="center"/>
                    <w:rPr>
                      <w:color w:val="auto"/>
                    </w:rPr>
                  </w:pPr>
                  <w:r>
                    <w:rPr>
                      <w:rFonts w:hint="eastAsia"/>
                      <w:color w:val="auto"/>
                    </w:rPr>
                    <w:t>/</w:t>
                  </w:r>
                </w:p>
              </w:tc>
              <w:tc>
                <w:tcPr>
                  <w:tcW w:w="1242" w:type="dxa"/>
                  <w:vAlign w:val="center"/>
                </w:tcPr>
                <w:p>
                  <w:pPr>
                    <w:widowControl/>
                    <w:adjustRightInd w:val="0"/>
                    <w:snapToGrid w:val="0"/>
                    <w:jc w:val="center"/>
                    <w:rPr>
                      <w:color w:val="auto"/>
                    </w:rPr>
                  </w:pPr>
                  <w:r>
                    <w:rPr>
                      <w:color w:val="auto"/>
                    </w:rPr>
                    <w:t>0.</w:t>
                  </w:r>
                  <w:r>
                    <w:rPr>
                      <w:rFonts w:hint="eastAsia"/>
                      <w:color w:val="auto"/>
                    </w:rPr>
                    <w:t>03142</w:t>
                  </w:r>
                </w:p>
              </w:tc>
              <w:tc>
                <w:tcPr>
                  <w:tcW w:w="1194" w:type="dxa"/>
                  <w:vAlign w:val="center"/>
                </w:tcPr>
                <w:p>
                  <w:pPr>
                    <w:widowControl/>
                    <w:adjustRightInd w:val="0"/>
                    <w:snapToGrid w:val="0"/>
                    <w:jc w:val="center"/>
                    <w:rPr>
                      <w:color w:val="auto"/>
                    </w:rPr>
                  </w:pPr>
                  <w:r>
                    <w:rPr>
                      <w:rFonts w:hint="eastAsia"/>
                      <w:color w:val="auto"/>
                    </w:rPr>
                    <w:t>13.5</w:t>
                  </w:r>
                </w:p>
              </w:tc>
              <w:tc>
                <w:tcPr>
                  <w:tcW w:w="1538" w:type="dxa"/>
                  <w:vAlign w:val="center"/>
                </w:tcPr>
                <w:p>
                  <w:pPr>
                    <w:widowControl/>
                    <w:adjustRightInd w:val="0"/>
                    <w:snapToGrid w:val="0"/>
                    <w:jc w:val="center"/>
                    <w:rPr>
                      <w:color w:val="auto"/>
                    </w:rPr>
                  </w:pPr>
                  <w:r>
                    <w:rPr>
                      <w:rFonts w:hint="eastAsia"/>
                      <w:color w:val="auto"/>
                    </w:rPr>
                    <w:t>1526.81</w:t>
                  </w:r>
                </w:p>
              </w:tc>
              <w:tc>
                <w:tcPr>
                  <w:tcW w:w="1210" w:type="dxa"/>
                  <w:vAlign w:val="center"/>
                </w:tcPr>
                <w:p>
                  <w:pPr>
                    <w:widowControl/>
                    <w:adjustRightInd w:val="0"/>
                    <w:snapToGrid w:val="0"/>
                    <w:jc w:val="center"/>
                    <w:rPr>
                      <w:color w:val="auto"/>
                    </w:rPr>
                  </w:pPr>
                  <w:r>
                    <w:rPr>
                      <w:rFonts w:hint="eastAsia"/>
                      <w:color w:val="auto"/>
                    </w:rPr>
                    <w:t>10</w:t>
                  </w:r>
                </w:p>
              </w:tc>
              <w:tc>
                <w:tcPr>
                  <w:tcW w:w="1176" w:type="dxa"/>
                  <w:vAlign w:val="center"/>
                </w:tcPr>
                <w:p>
                  <w:pPr>
                    <w:widowControl/>
                    <w:adjustRightInd w:val="0"/>
                    <w:snapToGrid w:val="0"/>
                    <w:jc w:val="center"/>
                    <w:rPr>
                      <w:color w:val="auto"/>
                    </w:rPr>
                  </w:pPr>
                  <w:r>
                    <w:rPr>
                      <w:rFonts w:hint="eastAsia"/>
                      <w:color w:val="auto"/>
                    </w:rPr>
                    <w:t>15268.1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1513" w:type="dxa"/>
                  <w:vAlign w:val="center"/>
                </w:tcPr>
                <w:p>
                  <w:pPr>
                    <w:widowControl/>
                    <w:adjustRightInd w:val="0"/>
                    <w:snapToGrid w:val="0"/>
                    <w:jc w:val="center"/>
                    <w:rPr>
                      <w:color w:val="auto"/>
                    </w:rPr>
                  </w:pPr>
                  <w:r>
                    <w:rPr>
                      <w:color w:val="auto"/>
                    </w:rPr>
                    <w:t>开炼机（22寸、18寸）</w:t>
                  </w:r>
                </w:p>
              </w:tc>
              <w:tc>
                <w:tcPr>
                  <w:tcW w:w="1415" w:type="dxa"/>
                  <w:vAlign w:val="center"/>
                </w:tcPr>
                <w:p>
                  <w:pPr>
                    <w:widowControl/>
                    <w:adjustRightInd w:val="0"/>
                    <w:snapToGrid w:val="0"/>
                    <w:jc w:val="center"/>
                    <w:rPr>
                      <w:color w:val="auto"/>
                    </w:rPr>
                  </w:pPr>
                  <w:r>
                    <w:rPr>
                      <w:color w:val="auto"/>
                    </w:rPr>
                    <w:t>0.3</w:t>
                  </w:r>
                </w:p>
              </w:tc>
              <w:tc>
                <w:tcPr>
                  <w:tcW w:w="1242" w:type="dxa"/>
                  <w:vAlign w:val="center"/>
                </w:tcPr>
                <w:p>
                  <w:pPr>
                    <w:widowControl/>
                    <w:adjustRightInd w:val="0"/>
                    <w:snapToGrid w:val="0"/>
                    <w:jc w:val="center"/>
                    <w:rPr>
                      <w:color w:val="auto"/>
                    </w:rPr>
                  </w:pPr>
                  <w:r>
                    <w:rPr>
                      <w:color w:val="auto"/>
                    </w:rPr>
                    <w:t>0.1</w:t>
                  </w:r>
                </w:p>
              </w:tc>
              <w:tc>
                <w:tcPr>
                  <w:tcW w:w="1194" w:type="dxa"/>
                  <w:vAlign w:val="center"/>
                </w:tcPr>
                <w:p>
                  <w:pPr>
                    <w:widowControl/>
                    <w:adjustRightInd w:val="0"/>
                    <w:snapToGrid w:val="0"/>
                    <w:jc w:val="center"/>
                    <w:rPr>
                      <w:color w:val="auto"/>
                    </w:rPr>
                  </w:pPr>
                  <w:r>
                    <w:rPr>
                      <w:color w:val="auto"/>
                    </w:rPr>
                    <w:t>0.6</w:t>
                  </w:r>
                </w:p>
              </w:tc>
              <w:tc>
                <w:tcPr>
                  <w:tcW w:w="1538" w:type="dxa"/>
                  <w:vAlign w:val="center"/>
                </w:tcPr>
                <w:p>
                  <w:pPr>
                    <w:widowControl/>
                    <w:adjustRightInd w:val="0"/>
                    <w:snapToGrid w:val="0"/>
                    <w:jc w:val="center"/>
                    <w:rPr>
                      <w:color w:val="auto"/>
                    </w:rPr>
                  </w:pPr>
                  <w:r>
                    <w:rPr>
                      <w:color w:val="auto"/>
                    </w:rPr>
                    <w:t>1620</w:t>
                  </w:r>
                </w:p>
              </w:tc>
              <w:tc>
                <w:tcPr>
                  <w:tcW w:w="1210" w:type="dxa"/>
                  <w:vAlign w:val="center"/>
                </w:tcPr>
                <w:p>
                  <w:pPr>
                    <w:widowControl/>
                    <w:adjustRightInd w:val="0"/>
                    <w:snapToGrid w:val="0"/>
                    <w:jc w:val="center"/>
                    <w:rPr>
                      <w:color w:val="auto"/>
                    </w:rPr>
                  </w:pPr>
                  <w:r>
                    <w:rPr>
                      <w:color w:val="auto"/>
                    </w:rPr>
                    <w:t>9</w:t>
                  </w:r>
                </w:p>
              </w:tc>
              <w:tc>
                <w:tcPr>
                  <w:tcW w:w="1176" w:type="dxa"/>
                  <w:vAlign w:val="center"/>
                </w:tcPr>
                <w:p>
                  <w:pPr>
                    <w:widowControl/>
                    <w:adjustRightInd w:val="0"/>
                    <w:snapToGrid w:val="0"/>
                    <w:jc w:val="center"/>
                    <w:rPr>
                      <w:color w:val="auto"/>
                    </w:rPr>
                  </w:pPr>
                  <w:r>
                    <w:rPr>
                      <w:color w:val="auto"/>
                    </w:rPr>
                    <w:t>14580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1513" w:type="dxa"/>
                  <w:vAlign w:val="center"/>
                </w:tcPr>
                <w:p>
                  <w:pPr>
                    <w:widowControl/>
                    <w:adjustRightInd w:val="0"/>
                    <w:snapToGrid w:val="0"/>
                    <w:jc w:val="center"/>
                    <w:rPr>
                      <w:color w:val="auto"/>
                    </w:rPr>
                  </w:pPr>
                  <w:r>
                    <w:rPr>
                      <w:color w:val="auto"/>
                    </w:rPr>
                    <w:t>开炼机（9寸、6寸）</w:t>
                  </w:r>
                </w:p>
              </w:tc>
              <w:tc>
                <w:tcPr>
                  <w:tcW w:w="1415" w:type="dxa"/>
                  <w:vAlign w:val="center"/>
                </w:tcPr>
                <w:p>
                  <w:pPr>
                    <w:widowControl/>
                    <w:adjustRightInd w:val="0"/>
                    <w:snapToGrid w:val="0"/>
                    <w:jc w:val="center"/>
                    <w:rPr>
                      <w:color w:val="auto"/>
                    </w:rPr>
                  </w:pPr>
                  <w:r>
                    <w:rPr>
                      <w:color w:val="auto"/>
                    </w:rPr>
                    <w:t>0.3</w:t>
                  </w:r>
                </w:p>
              </w:tc>
              <w:tc>
                <w:tcPr>
                  <w:tcW w:w="1242" w:type="dxa"/>
                  <w:vAlign w:val="center"/>
                </w:tcPr>
                <w:p>
                  <w:pPr>
                    <w:widowControl/>
                    <w:adjustRightInd w:val="0"/>
                    <w:snapToGrid w:val="0"/>
                    <w:jc w:val="center"/>
                    <w:rPr>
                      <w:color w:val="auto"/>
                    </w:rPr>
                  </w:pPr>
                  <w:r>
                    <w:rPr>
                      <w:color w:val="auto"/>
                    </w:rPr>
                    <w:t>0.01</w:t>
                  </w:r>
                </w:p>
              </w:tc>
              <w:tc>
                <w:tcPr>
                  <w:tcW w:w="1194" w:type="dxa"/>
                  <w:vAlign w:val="center"/>
                </w:tcPr>
                <w:p>
                  <w:pPr>
                    <w:widowControl/>
                    <w:adjustRightInd w:val="0"/>
                    <w:snapToGrid w:val="0"/>
                    <w:jc w:val="center"/>
                    <w:rPr>
                      <w:color w:val="auto"/>
                    </w:rPr>
                  </w:pPr>
                  <w:r>
                    <w:rPr>
                      <w:color w:val="auto"/>
                    </w:rPr>
                    <w:t>0.6</w:t>
                  </w:r>
                </w:p>
              </w:tc>
              <w:tc>
                <w:tcPr>
                  <w:tcW w:w="1538" w:type="dxa"/>
                  <w:vAlign w:val="center"/>
                </w:tcPr>
                <w:p>
                  <w:pPr>
                    <w:widowControl/>
                    <w:adjustRightInd w:val="0"/>
                    <w:snapToGrid w:val="0"/>
                    <w:jc w:val="center"/>
                    <w:rPr>
                      <w:color w:val="auto"/>
                    </w:rPr>
                  </w:pPr>
                  <w:r>
                    <w:rPr>
                      <w:color w:val="auto"/>
                    </w:rPr>
                    <w:t>1474.2</w:t>
                  </w:r>
                </w:p>
              </w:tc>
              <w:tc>
                <w:tcPr>
                  <w:tcW w:w="1210" w:type="dxa"/>
                  <w:vAlign w:val="center"/>
                </w:tcPr>
                <w:p>
                  <w:pPr>
                    <w:widowControl/>
                    <w:adjustRightInd w:val="0"/>
                    <w:snapToGrid w:val="0"/>
                    <w:jc w:val="center"/>
                    <w:rPr>
                      <w:color w:val="auto"/>
                    </w:rPr>
                  </w:pPr>
                  <w:r>
                    <w:rPr>
                      <w:color w:val="auto"/>
                    </w:rPr>
                    <w:t>4</w:t>
                  </w:r>
                </w:p>
              </w:tc>
              <w:tc>
                <w:tcPr>
                  <w:tcW w:w="1176" w:type="dxa"/>
                  <w:vAlign w:val="center"/>
                </w:tcPr>
                <w:p>
                  <w:pPr>
                    <w:widowControl/>
                    <w:adjustRightInd w:val="0"/>
                    <w:snapToGrid w:val="0"/>
                    <w:jc w:val="center"/>
                    <w:rPr>
                      <w:color w:val="auto"/>
                    </w:rPr>
                  </w:pPr>
                  <w:r>
                    <w:rPr>
                      <w:color w:val="auto"/>
                    </w:rPr>
                    <w:t>5896.8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8112" w:type="dxa"/>
                  <w:gridSpan w:val="6"/>
                  <w:vAlign w:val="center"/>
                </w:tcPr>
                <w:p>
                  <w:pPr>
                    <w:widowControl/>
                    <w:adjustRightInd w:val="0"/>
                    <w:snapToGrid w:val="0"/>
                    <w:jc w:val="center"/>
                    <w:rPr>
                      <w:color w:val="auto"/>
                    </w:rPr>
                  </w:pPr>
                  <w:r>
                    <w:rPr>
                      <w:color w:val="auto"/>
                    </w:rPr>
                    <w:t>合计</w:t>
                  </w:r>
                </w:p>
              </w:tc>
              <w:tc>
                <w:tcPr>
                  <w:tcW w:w="1176" w:type="dxa"/>
                  <w:vAlign w:val="center"/>
                </w:tcPr>
                <w:p>
                  <w:pPr>
                    <w:widowControl/>
                    <w:adjustRightInd w:val="0"/>
                    <w:snapToGrid w:val="0"/>
                    <w:jc w:val="center"/>
                    <w:rPr>
                      <w:color w:val="auto"/>
                    </w:rPr>
                  </w:pPr>
                  <w:r>
                    <w:rPr>
                      <w:color w:val="auto"/>
                    </w:rPr>
                    <w:t>35</w:t>
                  </w:r>
                  <w:r>
                    <w:rPr>
                      <w:rFonts w:hint="eastAsia"/>
                      <w:color w:val="auto"/>
                    </w:rPr>
                    <w:t>744</w:t>
                  </w:r>
                  <w:r>
                    <w:rPr>
                      <w:color w:val="auto"/>
                    </w:rPr>
                    <w:t>.</w:t>
                  </w:r>
                  <w:r>
                    <w:rPr>
                      <w:rFonts w:hint="eastAsia"/>
                      <w:color w:val="auto"/>
                    </w:rPr>
                    <w:t>9</w:t>
                  </w:r>
                </w:p>
              </w:tc>
            </w:tr>
          </w:tbl>
          <w:p>
            <w:pPr>
              <w:adjustRightInd w:val="0"/>
              <w:snapToGrid w:val="0"/>
              <w:spacing w:before="120" w:beforeLines="50" w:line="360" w:lineRule="auto"/>
              <w:ind w:firstLine="420" w:firstLineChars="200"/>
              <w:rPr>
                <w:bCs/>
                <w:color w:val="FF0000"/>
              </w:rPr>
            </w:pPr>
            <w:r>
              <w:rPr>
                <w:bCs/>
                <w:color w:val="FF0000"/>
              </w:rPr>
              <w:t xml:space="preserve">根据《废气处理工程技术手册》，风机选型应该在净化系统设计总排风量上附加风管和设备的漏风量： </w:t>
            </w:r>
          </w:p>
          <w:p>
            <w:pPr>
              <w:adjustRightInd w:val="0"/>
              <w:snapToGrid w:val="0"/>
              <w:spacing w:before="120" w:beforeLines="50" w:line="360" w:lineRule="auto"/>
              <w:jc w:val="center"/>
              <w:rPr>
                <w:bCs/>
                <w:color w:val="FF0000"/>
              </w:rPr>
            </w:pPr>
            <w:r>
              <w:rPr>
                <w:bCs/>
                <w:color w:val="FF0000"/>
              </w:rPr>
              <w:t>Q=K</w:t>
            </w:r>
            <w:r>
              <w:rPr>
                <w:bCs/>
                <w:color w:val="FF0000"/>
                <w:vertAlign w:val="subscript"/>
              </w:rPr>
              <w:t>1</w:t>
            </w:r>
            <w:r>
              <w:rPr>
                <w:bCs/>
                <w:color w:val="FF0000"/>
              </w:rPr>
              <w:t>K</w:t>
            </w:r>
            <w:r>
              <w:rPr>
                <w:bCs/>
                <w:color w:val="FF0000"/>
                <w:vertAlign w:val="subscript"/>
              </w:rPr>
              <w:t>2</w:t>
            </w:r>
            <w:r>
              <w:rPr>
                <w:bCs/>
                <w:color w:val="FF0000"/>
              </w:rPr>
              <w:t>Q</w:t>
            </w:r>
          </w:p>
          <w:p>
            <w:pPr>
              <w:adjustRightInd w:val="0"/>
              <w:snapToGrid w:val="0"/>
              <w:spacing w:before="120" w:beforeLines="50" w:line="360" w:lineRule="auto"/>
              <w:ind w:firstLine="420" w:firstLineChars="200"/>
              <w:rPr>
                <w:bCs/>
                <w:color w:val="FF0000"/>
              </w:rPr>
            </w:pPr>
            <w:r>
              <w:rPr>
                <w:bCs/>
                <w:color w:val="FF0000"/>
              </w:rPr>
              <w:t>其中：Q——系统设计最大总排风量，m</w:t>
            </w:r>
            <w:r>
              <w:rPr>
                <w:bCs/>
                <w:color w:val="FF0000"/>
                <w:vertAlign w:val="superscript"/>
              </w:rPr>
              <w:t>3</w:t>
            </w:r>
            <w:r>
              <w:rPr>
                <w:bCs/>
                <w:color w:val="FF0000"/>
              </w:rPr>
              <w:t xml:space="preserve">/h； </w:t>
            </w:r>
          </w:p>
          <w:p>
            <w:pPr>
              <w:adjustRightInd w:val="0"/>
              <w:snapToGrid w:val="0"/>
              <w:spacing w:before="120" w:beforeLines="50" w:line="360" w:lineRule="auto"/>
              <w:ind w:firstLine="420" w:firstLineChars="200"/>
              <w:rPr>
                <w:bCs/>
                <w:color w:val="FF0000"/>
              </w:rPr>
            </w:pPr>
            <w:r>
              <w:rPr>
                <w:bCs/>
                <w:color w:val="FF0000"/>
              </w:rPr>
              <w:t>K</w:t>
            </w:r>
            <w:r>
              <w:rPr>
                <w:bCs/>
                <w:color w:val="FF0000"/>
                <w:vertAlign w:val="subscript"/>
              </w:rPr>
              <w:t>1</w:t>
            </w:r>
            <w:r>
              <w:rPr>
                <w:bCs/>
                <w:color w:val="FF0000"/>
              </w:rPr>
              <w:t>——管道漏风附加系数，一般送、排风系统K</w:t>
            </w:r>
            <w:r>
              <w:rPr>
                <w:bCs/>
                <w:color w:val="FF0000"/>
                <w:vertAlign w:val="subscript"/>
              </w:rPr>
              <w:t>1</w:t>
            </w:r>
            <w:r>
              <w:rPr>
                <w:bCs/>
                <w:color w:val="FF0000"/>
              </w:rPr>
              <w:t xml:space="preserve">=1.05~1.1，除尘系统K=1.1~1.15，气力输送系统K =1.15； </w:t>
            </w:r>
          </w:p>
          <w:p>
            <w:pPr>
              <w:adjustRightInd w:val="0"/>
              <w:snapToGrid w:val="0"/>
              <w:spacing w:before="120" w:beforeLines="50" w:line="360" w:lineRule="auto"/>
              <w:ind w:firstLine="420" w:firstLineChars="200"/>
              <w:rPr>
                <w:bCs/>
                <w:color w:val="FF0000"/>
              </w:rPr>
            </w:pPr>
            <w:r>
              <w:rPr>
                <w:bCs/>
                <w:color w:val="FF0000"/>
              </w:rPr>
              <w:t>K</w:t>
            </w:r>
            <w:r>
              <w:rPr>
                <w:bCs/>
                <w:color w:val="FF0000"/>
                <w:vertAlign w:val="subscript"/>
              </w:rPr>
              <w:t>2</w:t>
            </w:r>
            <w:r>
              <w:rPr>
                <w:bCs/>
                <w:color w:val="FF0000"/>
              </w:rPr>
              <w:t xml:space="preserve">——设备漏风附加系数，K一般处于1.02~1.05范围。 </w:t>
            </w:r>
          </w:p>
          <w:p>
            <w:pPr>
              <w:adjustRightInd w:val="0"/>
              <w:snapToGrid w:val="0"/>
              <w:spacing w:line="360" w:lineRule="auto"/>
              <w:ind w:firstLine="420" w:firstLineChars="200"/>
              <w:textAlignment w:val="baseline"/>
              <w:rPr>
                <w:rFonts w:hint="eastAsia"/>
                <w:bCs/>
                <w:color w:val="auto"/>
              </w:rPr>
            </w:pPr>
            <w:r>
              <w:rPr>
                <w:bCs/>
                <w:color w:val="FF0000"/>
              </w:rPr>
              <w:t>经验公式计算得出本项目排气筒（DA00</w:t>
            </w:r>
            <w:r>
              <w:rPr>
                <w:rFonts w:hint="eastAsia"/>
                <w:bCs/>
                <w:color w:val="FF0000"/>
                <w:lang w:val="en-US" w:eastAsia="zh-CN"/>
              </w:rPr>
              <w:t>2</w:t>
            </w:r>
            <w:r>
              <w:rPr>
                <w:bCs/>
                <w:color w:val="FF0000"/>
              </w:rPr>
              <w:t>）的总风量为</w:t>
            </w:r>
            <w:r>
              <w:rPr>
                <w:rFonts w:hint="eastAsia"/>
                <w:bCs/>
                <w:color w:val="FF0000"/>
                <w:lang w:val="en-US" w:eastAsia="zh-CN"/>
              </w:rPr>
              <w:t>35744.9</w:t>
            </w:r>
            <w:r>
              <w:rPr>
                <w:bCs/>
                <w:color w:val="FF0000"/>
              </w:rPr>
              <w:t>m</w:t>
            </w:r>
            <w:r>
              <w:rPr>
                <w:bCs/>
                <w:color w:val="FF0000"/>
                <w:vertAlign w:val="superscript"/>
              </w:rPr>
              <w:t>3</w:t>
            </w:r>
            <w:r>
              <w:rPr>
                <w:bCs/>
                <w:color w:val="FF0000"/>
              </w:rPr>
              <w:t>/h，考虑风管和设备的漏风量，管道漏风附加系数取1.1，设备漏风附加系数取1.05，因此排气筒（DA00</w:t>
            </w:r>
            <w:r>
              <w:rPr>
                <w:rFonts w:hint="eastAsia"/>
                <w:bCs/>
                <w:color w:val="FF0000"/>
                <w:lang w:val="en-US" w:eastAsia="zh-CN"/>
              </w:rPr>
              <w:t>2</w:t>
            </w:r>
            <w:r>
              <w:rPr>
                <w:bCs/>
                <w:color w:val="FF0000"/>
              </w:rPr>
              <w:t>）中设置风机风量为</w:t>
            </w:r>
            <w:r>
              <w:rPr>
                <w:rFonts w:hint="eastAsia"/>
                <w:bCs/>
                <w:color w:val="FF0000"/>
                <w:lang w:val="en-US" w:eastAsia="zh-CN"/>
              </w:rPr>
              <w:t>45217.3</w:t>
            </w:r>
            <w:r>
              <w:rPr>
                <w:bCs/>
                <w:color w:val="FF0000"/>
              </w:rPr>
              <w:t>m</w:t>
            </w:r>
            <w:r>
              <w:rPr>
                <w:bCs/>
                <w:color w:val="FF0000"/>
                <w:vertAlign w:val="superscript"/>
              </w:rPr>
              <w:t>3</w:t>
            </w:r>
            <w:r>
              <w:rPr>
                <w:bCs/>
                <w:color w:val="FF0000"/>
              </w:rPr>
              <w:t>/h ，</w:t>
            </w:r>
            <w:r>
              <w:rPr>
                <w:rFonts w:hint="eastAsia"/>
                <w:bCs/>
                <w:color w:val="FF0000"/>
              </w:rPr>
              <w:t>取</w:t>
            </w:r>
            <w:r>
              <w:rPr>
                <w:rFonts w:hint="eastAsia"/>
                <w:bCs/>
                <w:color w:val="FF0000"/>
                <w:lang w:val="en-US" w:eastAsia="zh-CN"/>
              </w:rPr>
              <w:t>45000</w:t>
            </w:r>
            <w:r>
              <w:rPr>
                <w:bCs/>
                <w:color w:val="FF0000"/>
              </w:rPr>
              <w:t>m</w:t>
            </w:r>
            <w:r>
              <w:rPr>
                <w:bCs/>
                <w:color w:val="FF0000"/>
                <w:vertAlign w:val="superscript"/>
              </w:rPr>
              <w:t>3</w:t>
            </w:r>
            <w:r>
              <w:rPr>
                <w:bCs/>
                <w:color w:val="FF0000"/>
              </w:rPr>
              <w:t>/h</w:t>
            </w:r>
            <w:r>
              <w:rPr>
                <w:rFonts w:hint="eastAsia"/>
                <w:bCs/>
                <w:color w:val="FF0000"/>
              </w:rPr>
              <w:t>。</w:t>
            </w:r>
          </w:p>
          <w:p>
            <w:pPr>
              <w:adjustRightInd w:val="0"/>
              <w:snapToGrid w:val="0"/>
              <w:spacing w:line="360" w:lineRule="auto"/>
              <w:ind w:firstLine="422" w:firstLineChars="200"/>
              <w:rPr>
                <w:bCs/>
                <w:color w:val="auto"/>
              </w:rPr>
            </w:pPr>
            <w:r>
              <w:rPr>
                <w:b/>
                <w:color w:val="auto"/>
              </w:rPr>
              <w:t>收集效率：</w:t>
            </w:r>
            <w:r>
              <w:rPr>
                <w:bCs/>
                <w:color w:val="auto"/>
              </w:rPr>
              <w:t>《广东省工业源挥发性有机物减排量核算方法（试行）》表4.5-1废气收集集气效率参考值，密炼机采用自带负压抽气装置收集，</w:t>
            </w:r>
            <w:r>
              <w:rPr>
                <w:rFonts w:hint="eastAsia"/>
                <w:bCs/>
                <w:color w:val="auto"/>
              </w:rPr>
              <w:t>密炼</w:t>
            </w:r>
            <w:r>
              <w:rPr>
                <w:bCs/>
                <w:color w:val="auto"/>
              </w:rPr>
              <w:t>设备有固定排放管（或口）直接与风管连接，设备整体密闭只留产品进出口，且进出口处有废气收集措施，收集系统运行时周边基本无VOCs散发，收集效率为95%，开炼机产生的废气落地式集气罩收集，且污染物产生点（或生产设施）四周及上下有围挡设施，仅保留物料进出通道，通道敞开面小于1个操作工位面，即此集气罩可视为包围型集气设备，控制风速为0.6m/s，收集效率取80%。</w:t>
            </w:r>
          </w:p>
          <w:p>
            <w:pPr>
              <w:spacing w:line="360" w:lineRule="auto"/>
              <w:ind w:firstLine="422" w:firstLineChars="200"/>
              <w:rPr>
                <w:color w:val="auto"/>
              </w:rPr>
            </w:pPr>
            <w:r>
              <w:rPr>
                <w:b/>
                <w:bCs/>
                <w:color w:val="auto"/>
              </w:rPr>
              <w:t>处理效率：</w:t>
            </w:r>
            <w:r>
              <w:rPr>
                <w:color w:val="auto"/>
              </w:rPr>
              <w:t>参考</w:t>
            </w:r>
            <w:r>
              <w:rPr>
                <w:color w:val="auto"/>
                <w:szCs w:val="21"/>
              </w:rPr>
              <w:t>《深圳市典型行业工艺废气排污量核算方法（试行）》表6挥发性有机物治理设施及达标要求，活性炭吸附治理效率为70%，</w:t>
            </w:r>
            <w:r>
              <w:rPr>
                <w:rFonts w:hint="eastAsia"/>
                <w:color w:val="auto"/>
                <w:highlight w:val="none"/>
              </w:rPr>
              <w:t>实际</w:t>
            </w:r>
            <w:r>
              <w:rPr>
                <w:color w:val="auto"/>
                <w:highlight w:val="none"/>
              </w:rPr>
              <w:t>运行时，</w:t>
            </w:r>
            <w:r>
              <w:rPr>
                <w:rFonts w:hint="eastAsia"/>
                <w:color w:val="auto"/>
                <w:highlight w:val="none"/>
              </w:rPr>
              <w:t>经</w:t>
            </w:r>
            <w:r>
              <w:rPr>
                <w:color w:val="auto"/>
                <w:highlight w:val="none"/>
              </w:rPr>
              <w:t>第一级活性炭吸附后，第二级活性炭吸附效率比第一级要低，</w:t>
            </w:r>
            <w:r>
              <w:rPr>
                <w:rFonts w:hint="eastAsia"/>
                <w:color w:val="auto"/>
                <w:highlight w:val="none"/>
                <w:lang w:val="en-US" w:eastAsia="zh-CN"/>
              </w:rPr>
              <w:t>本项目</w:t>
            </w:r>
            <w:r>
              <w:rPr>
                <w:color w:val="auto"/>
                <w:highlight w:val="none"/>
              </w:rPr>
              <w:t>保守估算，</w:t>
            </w:r>
            <w:r>
              <w:rPr>
                <w:rFonts w:hint="eastAsia"/>
                <w:color w:val="auto"/>
                <w:highlight w:val="none"/>
                <w:lang w:val="en-US" w:eastAsia="zh-CN"/>
              </w:rPr>
              <w:t>两</w:t>
            </w:r>
            <w:r>
              <w:rPr>
                <w:color w:val="auto"/>
                <w:szCs w:val="21"/>
                <w:highlight w:val="none"/>
              </w:rPr>
              <w:t>级活性吸附去除率取70%。</w:t>
            </w:r>
            <w:r>
              <w:rPr>
                <w:bCs/>
                <w:color w:val="auto"/>
              </w:rPr>
              <w:t>根据《大气污染控制技术手册》（化学工业出版社、马广大主编），布袋除尘器的除尘效率在99%，本评价取值99%。</w:t>
            </w:r>
          </w:p>
          <w:p>
            <w:pPr>
              <w:adjustRightInd w:val="0"/>
              <w:snapToGrid w:val="0"/>
              <w:spacing w:line="360" w:lineRule="auto"/>
              <w:ind w:firstLine="420" w:firstLineChars="200"/>
              <w:rPr>
                <w:bCs/>
                <w:color w:val="FF0000"/>
                <w:highlight w:val="none"/>
              </w:rPr>
            </w:pPr>
            <w:r>
              <w:rPr>
                <w:rStyle w:val="104"/>
                <w:color w:val="auto"/>
                <w:highlight w:val="none"/>
              </w:rPr>
              <w:t>综上分析，混炼工序</w:t>
            </w:r>
            <w:r>
              <w:rPr>
                <w:rStyle w:val="104"/>
                <w:rFonts w:hint="eastAsia"/>
                <w:color w:val="auto"/>
                <w:highlight w:val="none"/>
                <w:lang w:val="en-US" w:eastAsia="zh-CN"/>
              </w:rPr>
              <w:t>非甲烷总烃</w:t>
            </w:r>
            <w:r>
              <w:rPr>
                <w:bCs/>
                <w:color w:val="auto"/>
                <w:highlight w:val="none"/>
              </w:rPr>
              <w:t>产生量</w:t>
            </w:r>
            <w:r>
              <w:rPr>
                <w:rFonts w:hint="eastAsia"/>
                <w:bCs/>
                <w:color w:val="FF0000"/>
                <w:highlight w:val="none"/>
                <w:lang w:val="en-US" w:eastAsia="zh-CN"/>
              </w:rPr>
              <w:t>2.6966</w:t>
            </w:r>
            <w:r>
              <w:rPr>
                <w:bCs/>
                <w:color w:val="FF0000"/>
                <w:highlight w:val="none"/>
              </w:rPr>
              <w:t>t/a</w:t>
            </w:r>
            <w:r>
              <w:rPr>
                <w:bCs/>
                <w:color w:val="auto"/>
                <w:highlight w:val="none"/>
              </w:rPr>
              <w:t>，产生速率约</w:t>
            </w:r>
            <w:r>
              <w:rPr>
                <w:rFonts w:hint="eastAsia"/>
                <w:bCs/>
                <w:color w:val="FF0000"/>
                <w:highlight w:val="none"/>
                <w:lang w:val="en-US" w:eastAsia="zh-CN"/>
              </w:rPr>
              <w:t>1.1236</w:t>
            </w:r>
            <w:r>
              <w:rPr>
                <w:bCs/>
                <w:color w:val="FF0000"/>
                <w:highlight w:val="none"/>
              </w:rPr>
              <w:t>kg/h</w:t>
            </w:r>
            <w:r>
              <w:rPr>
                <w:bCs/>
                <w:color w:val="auto"/>
                <w:highlight w:val="none"/>
              </w:rPr>
              <w:t>，产生浓度约</w:t>
            </w:r>
            <w:r>
              <w:rPr>
                <w:rFonts w:hint="eastAsia"/>
                <w:bCs/>
                <w:color w:val="FF0000"/>
                <w:highlight w:val="none"/>
                <w:lang w:val="en-US" w:eastAsia="zh-CN"/>
              </w:rPr>
              <w:t>24.97</w:t>
            </w:r>
            <w:r>
              <w:rPr>
                <w:bCs/>
                <w:color w:val="FF0000"/>
                <w:highlight w:val="none"/>
              </w:rPr>
              <w:t>mg/m</w:t>
            </w:r>
            <w:r>
              <w:rPr>
                <w:bCs/>
                <w:color w:val="FF0000"/>
                <w:highlight w:val="none"/>
                <w:vertAlign w:val="superscript"/>
              </w:rPr>
              <w:t>3</w:t>
            </w:r>
            <w:r>
              <w:rPr>
                <w:bCs/>
                <w:color w:val="auto"/>
                <w:highlight w:val="none"/>
              </w:rPr>
              <w:t>，</w:t>
            </w:r>
            <w:r>
              <w:rPr>
                <w:rFonts w:hint="eastAsia"/>
                <w:bCs/>
                <w:color w:val="auto"/>
                <w:highlight w:val="none"/>
              </w:rPr>
              <w:t>有组织</w:t>
            </w:r>
            <w:r>
              <w:rPr>
                <w:bCs/>
                <w:color w:val="auto"/>
                <w:highlight w:val="none"/>
              </w:rPr>
              <w:t>排放量约</w:t>
            </w:r>
            <w:r>
              <w:rPr>
                <w:bCs/>
                <w:color w:val="FF0000"/>
                <w:highlight w:val="none"/>
              </w:rPr>
              <w:t>0.</w:t>
            </w:r>
            <w:r>
              <w:rPr>
                <w:rFonts w:hint="eastAsia"/>
                <w:bCs/>
                <w:color w:val="FF0000"/>
                <w:highlight w:val="none"/>
                <w:lang w:val="en-US" w:eastAsia="zh-CN"/>
              </w:rPr>
              <w:t>70786</w:t>
            </w:r>
            <w:r>
              <w:rPr>
                <w:bCs/>
                <w:color w:val="FF0000"/>
                <w:highlight w:val="none"/>
              </w:rPr>
              <w:t>t/a</w:t>
            </w:r>
            <w:r>
              <w:rPr>
                <w:bCs/>
                <w:color w:val="auto"/>
                <w:highlight w:val="none"/>
              </w:rPr>
              <w:t>，排放速率约</w:t>
            </w:r>
            <w:r>
              <w:rPr>
                <w:bCs/>
                <w:color w:val="FF0000"/>
                <w:highlight w:val="none"/>
              </w:rPr>
              <w:t>0.</w:t>
            </w:r>
            <w:r>
              <w:rPr>
                <w:rFonts w:hint="eastAsia"/>
                <w:bCs/>
                <w:color w:val="FF0000"/>
                <w:highlight w:val="none"/>
                <w:lang w:val="en-US" w:eastAsia="zh-CN"/>
              </w:rPr>
              <w:t>29494</w:t>
            </w:r>
            <w:r>
              <w:rPr>
                <w:bCs/>
                <w:color w:val="FF0000"/>
                <w:highlight w:val="none"/>
              </w:rPr>
              <w:t>kg/h</w:t>
            </w:r>
            <w:r>
              <w:rPr>
                <w:bCs/>
                <w:color w:val="auto"/>
                <w:highlight w:val="none"/>
              </w:rPr>
              <w:t>，排放浓度约为</w:t>
            </w:r>
            <w:r>
              <w:rPr>
                <w:rFonts w:hint="eastAsia"/>
                <w:bCs/>
                <w:color w:val="FF0000"/>
                <w:highlight w:val="none"/>
                <w:lang w:val="en-US" w:eastAsia="zh-CN"/>
              </w:rPr>
              <w:t>6.55</w:t>
            </w:r>
            <w:r>
              <w:rPr>
                <w:bCs/>
                <w:color w:val="FF0000"/>
                <w:highlight w:val="none"/>
              </w:rPr>
              <w:t>mg/m</w:t>
            </w:r>
            <w:r>
              <w:rPr>
                <w:bCs/>
                <w:color w:val="FF0000"/>
                <w:highlight w:val="none"/>
                <w:vertAlign w:val="superscript"/>
              </w:rPr>
              <w:t>3</w:t>
            </w:r>
            <w:r>
              <w:rPr>
                <w:rFonts w:hint="eastAsia"/>
                <w:bCs/>
                <w:color w:val="auto"/>
                <w:highlight w:val="none"/>
              </w:rPr>
              <w:t>，无组织排放量为</w:t>
            </w:r>
            <w:r>
              <w:rPr>
                <w:rFonts w:hint="eastAsia"/>
                <w:bCs/>
                <w:color w:val="FF0000"/>
                <w:highlight w:val="none"/>
              </w:rPr>
              <w:t>0</w:t>
            </w:r>
            <w:r>
              <w:rPr>
                <w:rFonts w:hint="eastAsia"/>
                <w:bCs/>
                <w:color w:val="FF0000"/>
                <w:highlight w:val="none"/>
                <w:lang w:val="en-US" w:eastAsia="zh-CN"/>
              </w:rPr>
              <w:t>.3371</w:t>
            </w:r>
            <w:r>
              <w:rPr>
                <w:rFonts w:hint="eastAsia"/>
                <w:bCs/>
                <w:color w:val="FF0000"/>
                <w:highlight w:val="none"/>
              </w:rPr>
              <w:t>t/a</w:t>
            </w:r>
            <w:r>
              <w:rPr>
                <w:bCs/>
                <w:color w:val="auto"/>
                <w:highlight w:val="none"/>
              </w:rPr>
              <w:t>，排放速率约</w:t>
            </w:r>
            <w:r>
              <w:rPr>
                <w:bCs/>
                <w:color w:val="FF0000"/>
                <w:highlight w:val="none"/>
              </w:rPr>
              <w:t>0.</w:t>
            </w:r>
            <w:r>
              <w:rPr>
                <w:rFonts w:hint="eastAsia"/>
                <w:bCs/>
                <w:color w:val="FF0000"/>
                <w:highlight w:val="none"/>
                <w:lang w:val="en-US" w:eastAsia="zh-CN"/>
              </w:rPr>
              <w:t>14045</w:t>
            </w:r>
            <w:r>
              <w:rPr>
                <w:bCs/>
                <w:color w:val="FF0000"/>
                <w:highlight w:val="none"/>
              </w:rPr>
              <w:t>kg/h</w:t>
            </w:r>
            <w:r>
              <w:rPr>
                <w:bCs/>
                <w:color w:val="auto"/>
                <w:highlight w:val="none"/>
              </w:rPr>
              <w:t>；颗粒物产生量</w:t>
            </w:r>
            <w:r>
              <w:rPr>
                <w:rFonts w:hint="eastAsia"/>
                <w:bCs/>
                <w:color w:val="FF0000"/>
                <w:highlight w:val="none"/>
                <w:lang w:val="en-US" w:eastAsia="zh-CN"/>
              </w:rPr>
              <w:t>2.7826</w:t>
            </w:r>
            <w:r>
              <w:rPr>
                <w:bCs/>
                <w:color w:val="FF0000"/>
                <w:highlight w:val="none"/>
              </w:rPr>
              <w:t>t/a，</w:t>
            </w:r>
            <w:r>
              <w:rPr>
                <w:bCs/>
                <w:color w:val="auto"/>
                <w:highlight w:val="none"/>
              </w:rPr>
              <w:t>产生速率约</w:t>
            </w:r>
            <w:r>
              <w:rPr>
                <w:rFonts w:hint="eastAsia"/>
                <w:bCs/>
                <w:color w:val="FF0000"/>
                <w:highlight w:val="none"/>
                <w:lang w:val="en-US" w:eastAsia="zh-CN"/>
              </w:rPr>
              <w:t>1.1594</w:t>
            </w:r>
            <w:r>
              <w:rPr>
                <w:bCs/>
                <w:color w:val="FF0000"/>
                <w:highlight w:val="none"/>
              </w:rPr>
              <w:t>kg/h，</w:t>
            </w:r>
            <w:r>
              <w:rPr>
                <w:bCs/>
                <w:color w:val="auto"/>
                <w:highlight w:val="none"/>
              </w:rPr>
              <w:t>产生浓度</w:t>
            </w:r>
            <w:r>
              <w:rPr>
                <w:rFonts w:hint="eastAsia"/>
                <w:bCs/>
                <w:color w:val="FF0000"/>
                <w:highlight w:val="none"/>
                <w:lang w:val="en-US" w:eastAsia="zh-CN"/>
              </w:rPr>
              <w:t>25.76</w:t>
            </w:r>
            <w:r>
              <w:rPr>
                <w:bCs/>
                <w:color w:val="FF0000"/>
                <w:highlight w:val="none"/>
              </w:rPr>
              <w:t>mg/m</w:t>
            </w:r>
            <w:r>
              <w:rPr>
                <w:bCs/>
                <w:color w:val="FF0000"/>
                <w:highlight w:val="none"/>
                <w:vertAlign w:val="superscript"/>
              </w:rPr>
              <w:t>3</w:t>
            </w:r>
            <w:r>
              <w:rPr>
                <w:bCs/>
                <w:color w:val="auto"/>
                <w:highlight w:val="none"/>
              </w:rPr>
              <w:t>，</w:t>
            </w:r>
            <w:r>
              <w:rPr>
                <w:rFonts w:hint="eastAsia"/>
                <w:bCs/>
                <w:color w:val="auto"/>
                <w:highlight w:val="none"/>
              </w:rPr>
              <w:t>有组织</w:t>
            </w:r>
            <w:r>
              <w:rPr>
                <w:bCs/>
                <w:color w:val="auto"/>
                <w:highlight w:val="none"/>
              </w:rPr>
              <w:t>排放量约</w:t>
            </w:r>
            <w:r>
              <w:rPr>
                <w:rFonts w:hint="eastAsia"/>
                <w:bCs/>
                <w:color w:val="FF0000"/>
                <w:highlight w:val="none"/>
                <w:lang w:val="en-US" w:eastAsia="zh-CN"/>
              </w:rPr>
              <w:t>0.024348t/a</w:t>
            </w:r>
            <w:r>
              <w:rPr>
                <w:bCs/>
                <w:color w:val="auto"/>
                <w:highlight w:val="none"/>
              </w:rPr>
              <w:t>，排放速率约</w:t>
            </w:r>
            <w:r>
              <w:rPr>
                <w:rFonts w:hint="eastAsia"/>
                <w:bCs/>
                <w:color w:val="FF0000"/>
                <w:highlight w:val="none"/>
                <w:lang w:val="en-US" w:eastAsia="zh-CN"/>
              </w:rPr>
              <w:t>0.010145</w:t>
            </w:r>
            <w:r>
              <w:rPr>
                <w:bCs/>
                <w:color w:val="FF0000"/>
                <w:highlight w:val="none"/>
              </w:rPr>
              <w:t>kg/h</w:t>
            </w:r>
            <w:r>
              <w:rPr>
                <w:bCs/>
                <w:color w:val="auto"/>
                <w:highlight w:val="none"/>
              </w:rPr>
              <w:t>，排放浓度约</w:t>
            </w:r>
            <w:r>
              <w:rPr>
                <w:bCs/>
                <w:color w:val="FF0000"/>
                <w:highlight w:val="none"/>
              </w:rPr>
              <w:t>为0.</w:t>
            </w:r>
            <w:r>
              <w:rPr>
                <w:rFonts w:hint="eastAsia"/>
                <w:bCs/>
                <w:color w:val="FF0000"/>
                <w:highlight w:val="none"/>
                <w:lang w:val="en-US" w:eastAsia="zh-CN"/>
              </w:rPr>
              <w:t>225</w:t>
            </w:r>
            <w:r>
              <w:rPr>
                <w:bCs/>
                <w:color w:val="FF0000"/>
                <w:highlight w:val="none"/>
              </w:rPr>
              <w:t>mg/m</w:t>
            </w:r>
            <w:r>
              <w:rPr>
                <w:bCs/>
                <w:color w:val="FF0000"/>
                <w:highlight w:val="none"/>
                <w:vertAlign w:val="superscript"/>
              </w:rPr>
              <w:t>3</w:t>
            </w:r>
            <w:r>
              <w:rPr>
                <w:rFonts w:hint="eastAsia"/>
                <w:bCs/>
                <w:color w:val="auto"/>
                <w:highlight w:val="none"/>
              </w:rPr>
              <w:t>，无组织排放量为</w:t>
            </w:r>
            <w:r>
              <w:rPr>
                <w:rFonts w:hint="eastAsia"/>
                <w:bCs/>
                <w:color w:val="FF0000"/>
                <w:highlight w:val="none"/>
              </w:rPr>
              <w:t>0.</w:t>
            </w:r>
            <w:r>
              <w:rPr>
                <w:rFonts w:hint="eastAsia"/>
                <w:bCs/>
                <w:color w:val="FF0000"/>
                <w:highlight w:val="none"/>
                <w:lang w:val="en-US" w:eastAsia="zh-CN"/>
              </w:rPr>
              <w:t>347825</w:t>
            </w:r>
            <w:r>
              <w:rPr>
                <w:rFonts w:hint="eastAsia"/>
                <w:bCs/>
                <w:color w:val="FF0000"/>
                <w:highlight w:val="none"/>
              </w:rPr>
              <w:t>t/a</w:t>
            </w:r>
            <w:r>
              <w:rPr>
                <w:bCs/>
                <w:color w:val="auto"/>
                <w:highlight w:val="none"/>
              </w:rPr>
              <w:t>，排放速率约</w:t>
            </w:r>
            <w:r>
              <w:rPr>
                <w:bCs/>
                <w:color w:val="FF0000"/>
                <w:highlight w:val="none"/>
              </w:rPr>
              <w:t>0.</w:t>
            </w:r>
            <w:r>
              <w:rPr>
                <w:rFonts w:hint="eastAsia"/>
                <w:bCs/>
                <w:color w:val="FF0000"/>
                <w:highlight w:val="none"/>
                <w:lang w:val="en-US" w:eastAsia="zh-CN"/>
              </w:rPr>
              <w:t>14493</w:t>
            </w:r>
            <w:r>
              <w:rPr>
                <w:bCs/>
                <w:color w:val="FF0000"/>
                <w:highlight w:val="none"/>
              </w:rPr>
              <w:t>kg/h。</w:t>
            </w:r>
          </w:p>
          <w:p>
            <w:pPr>
              <w:adjustRightInd w:val="0"/>
              <w:snapToGrid w:val="0"/>
              <w:spacing w:line="360" w:lineRule="auto"/>
              <w:ind w:firstLine="422" w:firstLineChars="200"/>
              <w:rPr>
                <w:b/>
                <w:color w:val="auto"/>
              </w:rPr>
            </w:pPr>
            <w:r>
              <w:rPr>
                <w:b/>
                <w:color w:val="auto"/>
              </w:rPr>
              <w:t>（3）模压废气</w:t>
            </w:r>
          </w:p>
          <w:p>
            <w:pPr>
              <w:adjustRightInd w:val="0"/>
              <w:snapToGrid w:val="0"/>
              <w:spacing w:line="360" w:lineRule="auto"/>
              <w:ind w:firstLine="420" w:firstLineChars="200"/>
              <w:rPr>
                <w:bCs/>
                <w:color w:val="auto"/>
              </w:rPr>
            </w:pPr>
            <w:r>
              <w:rPr>
                <w:bCs/>
                <w:color w:val="auto"/>
              </w:rPr>
              <w:t>模压工序废气主要为橡胶因受热挥发的有机废气，其中部分低分子有机物会散发异味产生异味气体。参照《橡胶制品生产过程中废气污染物的排放系数》（施晓亮、吴高强、郑磊、李明，《橡胶工业》2016年第63卷第2期），本项目模压所用橡胶VOC</w:t>
            </w:r>
            <w:r>
              <w:rPr>
                <w:rFonts w:hint="eastAsia"/>
                <w:bCs/>
                <w:color w:val="auto"/>
                <w:lang w:val="en-US" w:eastAsia="zh-CN"/>
              </w:rPr>
              <w:t>s</w:t>
            </w:r>
            <w:r>
              <w:rPr>
                <w:bCs/>
                <w:color w:val="auto"/>
              </w:rPr>
              <w:t>产生系数参照G型CR橡胶压延工序产污系数4.6mg/kg，</w:t>
            </w:r>
            <w:r>
              <w:rPr>
                <w:rFonts w:hint="eastAsia"/>
                <w:bCs/>
                <w:color w:val="auto"/>
                <w:lang w:val="en-US" w:eastAsia="zh-CN"/>
              </w:rPr>
              <w:t>VOCs</w:t>
            </w:r>
            <w:r>
              <w:rPr>
                <w:bCs/>
                <w:color w:val="auto"/>
              </w:rPr>
              <w:t>产生量的计算公式如下：</w:t>
            </w:r>
          </w:p>
          <w:p>
            <w:pPr>
              <w:widowControl/>
              <w:adjustRightInd w:val="0"/>
              <w:snapToGrid w:val="0"/>
              <w:spacing w:line="360" w:lineRule="auto"/>
              <w:ind w:firstLine="420" w:firstLineChars="200"/>
              <w:jc w:val="center"/>
              <w:rPr>
                <w:color w:val="auto"/>
                <w:vertAlign w:val="superscript"/>
              </w:rPr>
            </w:pPr>
            <w:r>
              <w:rPr>
                <w:color w:val="auto"/>
              </w:rPr>
              <w:t>G=PM×10</w:t>
            </w:r>
            <w:r>
              <w:rPr>
                <w:color w:val="auto"/>
                <w:vertAlign w:val="superscript"/>
              </w:rPr>
              <w:t>-3</w:t>
            </w:r>
          </w:p>
          <w:p>
            <w:pPr>
              <w:widowControl/>
              <w:adjustRightInd w:val="0"/>
              <w:snapToGrid w:val="0"/>
              <w:spacing w:line="360" w:lineRule="auto"/>
              <w:ind w:firstLine="420" w:firstLineChars="200"/>
              <w:rPr>
                <w:color w:val="auto"/>
              </w:rPr>
            </w:pPr>
            <w:r>
              <w:rPr>
                <w:color w:val="auto"/>
              </w:rPr>
              <w:t>其中：G——污染物排放量，t；</w:t>
            </w:r>
          </w:p>
          <w:p>
            <w:pPr>
              <w:widowControl/>
              <w:adjustRightInd w:val="0"/>
              <w:snapToGrid w:val="0"/>
              <w:spacing w:line="360" w:lineRule="auto"/>
              <w:ind w:firstLine="420" w:firstLineChars="200"/>
              <w:rPr>
                <w:color w:val="auto"/>
              </w:rPr>
            </w:pPr>
            <w:r>
              <w:rPr>
                <w:color w:val="auto"/>
              </w:rPr>
              <w:t>P——混炼过程VOC</w:t>
            </w:r>
            <w:r>
              <w:rPr>
                <w:rFonts w:hint="eastAsia"/>
                <w:color w:val="auto"/>
              </w:rPr>
              <w:t>s</w:t>
            </w:r>
            <w:r>
              <w:rPr>
                <w:color w:val="auto"/>
              </w:rPr>
              <w:t>产物系数，单位：千克/吨-原料；</w:t>
            </w:r>
          </w:p>
          <w:p>
            <w:pPr>
              <w:widowControl/>
              <w:adjustRightInd w:val="0"/>
              <w:snapToGrid w:val="0"/>
              <w:spacing w:line="360" w:lineRule="auto"/>
              <w:ind w:firstLine="420" w:firstLineChars="200"/>
              <w:rPr>
                <w:color w:val="auto"/>
              </w:rPr>
            </w:pPr>
            <w:r>
              <w:rPr>
                <w:color w:val="auto"/>
              </w:rPr>
              <w:t>M——原料使用量，t。</w:t>
            </w:r>
          </w:p>
          <w:p>
            <w:pPr>
              <w:adjustRightInd w:val="0"/>
              <w:snapToGrid w:val="0"/>
              <w:spacing w:line="360" w:lineRule="auto"/>
              <w:ind w:firstLine="420" w:firstLineChars="200"/>
              <w:rPr>
                <w:color w:val="auto"/>
              </w:rPr>
            </w:pPr>
            <w:r>
              <w:rPr>
                <w:bCs/>
                <w:color w:val="auto"/>
              </w:rPr>
              <w:t>本项目模压用橡胶使用量为</w:t>
            </w:r>
            <w:r>
              <w:rPr>
                <w:rFonts w:hint="eastAsia"/>
                <w:bCs/>
                <w:color w:val="FF0000"/>
                <w:highlight w:val="none"/>
                <w:lang w:val="en-US" w:eastAsia="zh-CN"/>
              </w:rPr>
              <w:t>3805</w:t>
            </w:r>
            <w:r>
              <w:rPr>
                <w:bCs/>
                <w:color w:val="FF0000"/>
                <w:highlight w:val="none"/>
              </w:rPr>
              <w:t>t/a</w:t>
            </w:r>
            <w:r>
              <w:rPr>
                <w:bCs/>
                <w:color w:val="auto"/>
              </w:rPr>
              <w:t>，因此模压工序</w:t>
            </w:r>
            <w:r>
              <w:rPr>
                <w:rFonts w:hint="eastAsia"/>
                <w:bCs/>
                <w:color w:val="auto"/>
                <w:lang w:val="en-US" w:eastAsia="zh-CN"/>
              </w:rPr>
              <w:t>VOCs（以非甲烷总烃标表征）</w:t>
            </w:r>
            <w:r>
              <w:rPr>
                <w:bCs/>
                <w:color w:val="auto"/>
              </w:rPr>
              <w:t>产生量约</w:t>
            </w:r>
            <w:r>
              <w:rPr>
                <w:bCs/>
                <w:color w:val="FF0000"/>
              </w:rPr>
              <w:t>0.0</w:t>
            </w:r>
            <w:r>
              <w:rPr>
                <w:rFonts w:hint="eastAsia"/>
                <w:bCs/>
                <w:color w:val="FF0000"/>
                <w:lang w:val="en-US" w:eastAsia="zh-CN"/>
              </w:rPr>
              <w:t>175</w:t>
            </w:r>
            <w:r>
              <w:rPr>
                <w:bCs/>
                <w:color w:val="FF0000"/>
              </w:rPr>
              <w:t>t/a</w:t>
            </w:r>
            <w:r>
              <w:rPr>
                <w:bCs/>
                <w:color w:val="auto"/>
              </w:rPr>
              <w:t>，产生速率约</w:t>
            </w:r>
            <w:r>
              <w:rPr>
                <w:bCs/>
                <w:color w:val="FF0000"/>
              </w:rPr>
              <w:t>0.00</w:t>
            </w:r>
            <w:r>
              <w:rPr>
                <w:rFonts w:hint="eastAsia"/>
                <w:bCs/>
                <w:color w:val="FF0000"/>
                <w:lang w:val="en-US" w:eastAsia="zh-CN"/>
              </w:rPr>
              <w:t>7293</w:t>
            </w:r>
            <w:r>
              <w:rPr>
                <w:bCs/>
                <w:color w:val="FF0000"/>
              </w:rPr>
              <w:t>kg/h。</w:t>
            </w:r>
          </w:p>
          <w:p>
            <w:pPr>
              <w:widowControl/>
              <w:adjustRightInd w:val="0"/>
              <w:snapToGrid w:val="0"/>
              <w:spacing w:line="360" w:lineRule="auto"/>
              <w:ind w:firstLine="422" w:firstLineChars="200"/>
              <w:rPr>
                <w:color w:val="auto"/>
              </w:rPr>
            </w:pPr>
            <w:r>
              <w:rPr>
                <w:b/>
                <w:bCs/>
                <w:color w:val="auto"/>
              </w:rPr>
              <w:t>废气收集及处理设施：</w:t>
            </w:r>
            <w:r>
              <w:rPr>
                <w:color w:val="auto"/>
              </w:rPr>
              <w:t>模压废气主要为有机废气。拟采用</w:t>
            </w:r>
            <w:r>
              <w:rPr>
                <w:rFonts w:hint="eastAsia"/>
                <w:color w:val="auto"/>
                <w:lang w:eastAsia="zh-CN"/>
              </w:rPr>
              <w:t>“</w:t>
            </w:r>
            <w:r>
              <w:rPr>
                <w:rFonts w:hint="eastAsia"/>
                <w:color w:val="auto"/>
                <w:lang w:val="en-US" w:eastAsia="zh-CN"/>
              </w:rPr>
              <w:t>两</w:t>
            </w:r>
            <w:r>
              <w:rPr>
                <w:color w:val="auto"/>
              </w:rPr>
              <w:t>级活性炭吸附装置</w:t>
            </w:r>
            <w:r>
              <w:rPr>
                <w:rFonts w:hint="eastAsia"/>
                <w:color w:val="auto"/>
                <w:lang w:eastAsia="zh-CN"/>
              </w:rPr>
              <w:t>”</w:t>
            </w:r>
            <w:r>
              <w:rPr>
                <w:color w:val="auto"/>
              </w:rPr>
              <w:t>处理产生的模压工序废气收集措施：项目模压机均自带负压抽气装置（每条生产线的模压机均配制有1套负压抽气装置），模压过程中产生的有机废气被负压抽气装置收集。</w:t>
            </w:r>
          </w:p>
          <w:p>
            <w:pPr>
              <w:widowControl/>
              <w:adjustRightInd w:val="0"/>
              <w:snapToGrid w:val="0"/>
              <w:spacing w:line="360" w:lineRule="auto"/>
              <w:ind w:firstLine="420" w:firstLineChars="200"/>
              <w:rPr>
                <w:color w:val="auto"/>
              </w:rPr>
            </w:pPr>
            <w:r>
              <w:rPr>
                <w:color w:val="auto"/>
              </w:rPr>
              <w:t>模压废气经负压收集后进入</w:t>
            </w:r>
            <w:r>
              <w:rPr>
                <w:rFonts w:hint="eastAsia"/>
                <w:color w:val="auto"/>
                <w:lang w:val="en-US" w:eastAsia="zh-CN"/>
              </w:rPr>
              <w:t>两</w:t>
            </w:r>
            <w:r>
              <w:rPr>
                <w:color w:val="auto"/>
              </w:rPr>
              <w:t>级活性炭吸附装置进行有机废气的处理，处理后的达标废气经15m排气筒DA003排放。</w:t>
            </w:r>
          </w:p>
          <w:p>
            <w:pPr>
              <w:widowControl/>
              <w:adjustRightInd w:val="0"/>
              <w:snapToGrid w:val="0"/>
              <w:spacing w:line="360" w:lineRule="auto"/>
              <w:ind w:firstLine="422" w:firstLineChars="200"/>
              <w:rPr>
                <w:color w:val="auto"/>
              </w:rPr>
            </w:pPr>
            <w:r>
              <w:rPr>
                <w:b/>
                <w:bCs/>
                <w:color w:val="auto"/>
              </w:rPr>
              <w:t>风量：</w:t>
            </w:r>
            <w:r>
              <w:rPr>
                <w:rFonts w:hint="eastAsia"/>
                <w:color w:val="auto"/>
              </w:rPr>
              <w:t>模压机上方排风管内径</w:t>
            </w:r>
            <w:r>
              <w:rPr>
                <w:color w:val="auto"/>
              </w:rPr>
              <w:t>为</w:t>
            </w:r>
            <w:r>
              <w:rPr>
                <w:rFonts w:hint="eastAsia"/>
                <w:color w:val="auto"/>
              </w:rPr>
              <w:t>0.3m，控制风速为3.2m/s，根据《废气处理工程技术手册》（王纯 张殿印 主编）第十七章 净化系统的设计公式17-13：</w:t>
            </w:r>
          </w:p>
          <w:p>
            <w:pPr>
              <w:widowControl/>
              <w:adjustRightInd w:val="0"/>
              <w:snapToGrid w:val="0"/>
              <w:spacing w:line="360" w:lineRule="auto"/>
              <w:jc w:val="center"/>
              <w:rPr>
                <w:color w:val="auto"/>
                <w:vertAlign w:val="superscript"/>
              </w:rPr>
            </w:pPr>
            <w:r>
              <w:rPr>
                <w:color w:val="auto"/>
              </w:rPr>
              <w:t>管道直径D=（4Q/πv）</w:t>
            </w:r>
            <w:r>
              <w:rPr>
                <w:color w:val="auto"/>
                <w:vertAlign w:val="superscript"/>
              </w:rPr>
              <w:t>1/2</w:t>
            </w:r>
          </w:p>
          <w:p>
            <w:pPr>
              <w:widowControl/>
              <w:adjustRightInd w:val="0"/>
              <w:snapToGrid w:val="0"/>
              <w:spacing w:line="360" w:lineRule="auto"/>
              <w:ind w:firstLine="420" w:firstLineChars="200"/>
              <w:rPr>
                <w:color w:val="auto"/>
              </w:rPr>
            </w:pPr>
            <w:r>
              <w:rPr>
                <w:color w:val="auto"/>
              </w:rPr>
              <w:t>式中：Q为系统风量</w:t>
            </w:r>
            <w:r>
              <w:rPr>
                <w:rFonts w:hint="eastAsia"/>
                <w:color w:val="auto"/>
              </w:rPr>
              <w:t>（m</w:t>
            </w:r>
            <w:r>
              <w:rPr>
                <w:rFonts w:hint="eastAsia"/>
                <w:color w:val="auto"/>
                <w:vertAlign w:val="superscript"/>
              </w:rPr>
              <w:t>3</w:t>
            </w:r>
            <w:r>
              <w:rPr>
                <w:rFonts w:hint="eastAsia"/>
                <w:color w:val="auto"/>
              </w:rPr>
              <w:t>/s）</w:t>
            </w:r>
            <w:r>
              <w:rPr>
                <w:color w:val="auto"/>
              </w:rPr>
              <w:t>，v为管内风速</w:t>
            </w:r>
            <w:r>
              <w:rPr>
                <w:rFonts w:hint="eastAsia"/>
                <w:color w:val="auto"/>
              </w:rPr>
              <w:t>（m/s）。</w:t>
            </w:r>
          </w:p>
          <w:p>
            <w:pPr>
              <w:widowControl/>
              <w:adjustRightInd w:val="0"/>
              <w:snapToGrid w:val="0"/>
              <w:spacing w:line="360" w:lineRule="auto"/>
              <w:ind w:firstLine="420" w:firstLineChars="200"/>
              <w:rPr>
                <w:color w:val="auto"/>
              </w:rPr>
            </w:pPr>
            <w:r>
              <w:rPr>
                <w:color w:val="auto"/>
              </w:rPr>
              <w:t>由上式变换后可得Q=πD</w:t>
            </w:r>
            <w:r>
              <w:rPr>
                <w:color w:val="auto"/>
                <w:vertAlign w:val="superscript"/>
              </w:rPr>
              <w:t>2</w:t>
            </w:r>
            <w:r>
              <w:rPr>
                <w:color w:val="auto"/>
              </w:rPr>
              <w:t>*V/4</w:t>
            </w:r>
            <w:r>
              <w:rPr>
                <w:rFonts w:hint="eastAsia"/>
                <w:color w:val="auto"/>
              </w:rPr>
              <w:t>，则单台风机风量为（</w:t>
            </w:r>
            <w:r>
              <w:rPr>
                <w:color w:val="auto"/>
              </w:rPr>
              <w:t>3.14*</w:t>
            </w:r>
            <w:r>
              <w:rPr>
                <w:rFonts w:hint="eastAsia"/>
                <w:color w:val="auto"/>
              </w:rPr>
              <w:t>0.3</w:t>
            </w:r>
            <w:r>
              <w:rPr>
                <w:color w:val="auto"/>
              </w:rPr>
              <w:t>*</w:t>
            </w:r>
            <w:r>
              <w:rPr>
                <w:rFonts w:hint="eastAsia"/>
                <w:color w:val="auto"/>
              </w:rPr>
              <w:t>0.3*3.1）/4*3600=788.85</w:t>
            </w:r>
            <w:r>
              <w:rPr>
                <w:color w:val="auto"/>
              </w:rPr>
              <w:t>m</w:t>
            </w:r>
            <w:r>
              <w:rPr>
                <w:color w:val="auto"/>
                <w:vertAlign w:val="superscript"/>
              </w:rPr>
              <w:t>3</w:t>
            </w:r>
            <w:r>
              <w:rPr>
                <w:color w:val="auto"/>
              </w:rPr>
              <w:t>/h</w:t>
            </w:r>
            <w:r>
              <w:rPr>
                <w:rFonts w:hint="eastAsia"/>
                <w:color w:val="auto"/>
              </w:rPr>
              <w:t>。</w:t>
            </w:r>
          </w:p>
          <w:p>
            <w:pPr>
              <w:widowControl/>
              <w:spacing w:before="120" w:beforeLines="50" w:line="360" w:lineRule="auto"/>
              <w:jc w:val="center"/>
              <w:rPr>
                <w:b/>
                <w:color w:val="auto"/>
              </w:rPr>
            </w:pPr>
            <w:r>
              <w:rPr>
                <w:b/>
                <w:color w:val="auto"/>
              </w:rPr>
              <w:t>表4-</w:t>
            </w:r>
            <w:r>
              <w:rPr>
                <w:rFonts w:hint="eastAsia"/>
                <w:b/>
                <w:color w:val="auto"/>
              </w:rPr>
              <w:t>9</w:t>
            </w:r>
            <w:r>
              <w:rPr>
                <w:b/>
                <w:color w:val="auto"/>
              </w:rPr>
              <w:t xml:space="preserve"> 项目模压废气收集风量设计参数表</w:t>
            </w:r>
          </w:p>
          <w:tbl>
            <w:tblPr>
              <w:tblStyle w:val="9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9"/>
              <w:gridCol w:w="1465"/>
              <w:gridCol w:w="1570"/>
              <w:gridCol w:w="2288"/>
              <w:gridCol w:w="1774"/>
              <w:gridCol w:w="13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6" w:type="pct"/>
                  <w:vAlign w:val="center"/>
                </w:tcPr>
                <w:p>
                  <w:pPr>
                    <w:widowControl/>
                    <w:adjustRightInd w:val="0"/>
                    <w:snapToGrid w:val="0"/>
                    <w:jc w:val="center"/>
                    <w:rPr>
                      <w:b/>
                      <w:bCs/>
                      <w:color w:val="auto"/>
                    </w:rPr>
                  </w:pPr>
                  <w:r>
                    <w:rPr>
                      <w:b/>
                      <w:bCs/>
                      <w:color w:val="auto"/>
                    </w:rPr>
                    <w:t>设备</w:t>
                  </w:r>
                </w:p>
              </w:tc>
              <w:tc>
                <w:tcPr>
                  <w:tcW w:w="787" w:type="pct"/>
                  <w:vAlign w:val="center"/>
                </w:tcPr>
                <w:p>
                  <w:pPr>
                    <w:widowControl/>
                    <w:adjustRightInd w:val="0"/>
                    <w:snapToGrid w:val="0"/>
                    <w:jc w:val="center"/>
                    <w:rPr>
                      <w:b/>
                      <w:bCs/>
                      <w:color w:val="auto"/>
                    </w:rPr>
                  </w:pPr>
                  <w:r>
                    <w:rPr>
                      <w:rFonts w:hint="eastAsia"/>
                      <w:b/>
                      <w:bCs/>
                      <w:color w:val="auto"/>
                    </w:rPr>
                    <w:t>排风管内径</w:t>
                  </w:r>
                  <w:r>
                    <w:rPr>
                      <w:b/>
                      <w:bCs/>
                      <w:color w:val="auto"/>
                    </w:rPr>
                    <w:t>（m）</w:t>
                  </w:r>
                </w:p>
              </w:tc>
              <w:tc>
                <w:tcPr>
                  <w:tcW w:w="843" w:type="pct"/>
                  <w:vAlign w:val="center"/>
                </w:tcPr>
                <w:p>
                  <w:pPr>
                    <w:widowControl/>
                    <w:adjustRightInd w:val="0"/>
                    <w:snapToGrid w:val="0"/>
                    <w:jc w:val="center"/>
                    <w:rPr>
                      <w:b/>
                      <w:bCs/>
                      <w:color w:val="auto"/>
                    </w:rPr>
                  </w:pPr>
                  <w:r>
                    <w:rPr>
                      <w:b/>
                      <w:bCs/>
                      <w:color w:val="auto"/>
                    </w:rPr>
                    <w:t>控制风速（m/s）</w:t>
                  </w:r>
                </w:p>
              </w:tc>
              <w:tc>
                <w:tcPr>
                  <w:tcW w:w="1229" w:type="pct"/>
                  <w:vAlign w:val="center"/>
                </w:tcPr>
                <w:p>
                  <w:pPr>
                    <w:widowControl/>
                    <w:adjustRightInd w:val="0"/>
                    <w:snapToGrid w:val="0"/>
                    <w:jc w:val="center"/>
                    <w:rPr>
                      <w:b/>
                      <w:bCs/>
                      <w:color w:val="auto"/>
                    </w:rPr>
                  </w:pPr>
                  <w:r>
                    <w:rPr>
                      <w:b/>
                      <w:bCs/>
                      <w:color w:val="auto"/>
                    </w:rPr>
                    <w:t>单个集气设施风量（m</w:t>
                  </w:r>
                  <w:r>
                    <w:rPr>
                      <w:b/>
                      <w:bCs/>
                      <w:color w:val="auto"/>
                      <w:vertAlign w:val="superscript"/>
                    </w:rPr>
                    <w:t>3</w:t>
                  </w:r>
                  <w:r>
                    <w:rPr>
                      <w:b/>
                      <w:bCs/>
                      <w:color w:val="auto"/>
                    </w:rPr>
                    <w:t>/h）</w:t>
                  </w:r>
                </w:p>
              </w:tc>
              <w:tc>
                <w:tcPr>
                  <w:tcW w:w="952" w:type="pct"/>
                  <w:vAlign w:val="center"/>
                </w:tcPr>
                <w:p>
                  <w:pPr>
                    <w:widowControl/>
                    <w:adjustRightInd w:val="0"/>
                    <w:snapToGrid w:val="0"/>
                    <w:jc w:val="center"/>
                    <w:rPr>
                      <w:b/>
                      <w:bCs/>
                      <w:color w:val="auto"/>
                    </w:rPr>
                  </w:pPr>
                  <w:r>
                    <w:rPr>
                      <w:b/>
                      <w:bCs/>
                      <w:color w:val="auto"/>
                    </w:rPr>
                    <w:t>集气设施数量（个）</w:t>
                  </w:r>
                </w:p>
              </w:tc>
              <w:tc>
                <w:tcPr>
                  <w:tcW w:w="732" w:type="pct"/>
                  <w:vAlign w:val="center"/>
                </w:tcPr>
                <w:p>
                  <w:pPr>
                    <w:widowControl/>
                    <w:adjustRightInd w:val="0"/>
                    <w:snapToGrid w:val="0"/>
                    <w:jc w:val="center"/>
                    <w:rPr>
                      <w:b/>
                      <w:bCs/>
                      <w:color w:val="auto"/>
                    </w:rPr>
                  </w:pPr>
                  <w:r>
                    <w:rPr>
                      <w:b/>
                      <w:bCs/>
                      <w:color w:val="auto"/>
                    </w:rPr>
                    <w:t>风量（m</w:t>
                  </w:r>
                  <w:r>
                    <w:rPr>
                      <w:b/>
                      <w:bCs/>
                      <w:color w:val="auto"/>
                      <w:vertAlign w:val="superscript"/>
                    </w:rPr>
                    <w:t>3</w:t>
                  </w:r>
                  <w:r>
                    <w:rPr>
                      <w:b/>
                      <w:bCs/>
                      <w:color w:val="auto"/>
                    </w:rPr>
                    <w:t>/h）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456" w:type="pct"/>
                  <w:vAlign w:val="center"/>
                </w:tcPr>
                <w:p>
                  <w:pPr>
                    <w:widowControl/>
                    <w:adjustRightInd w:val="0"/>
                    <w:snapToGrid w:val="0"/>
                    <w:jc w:val="center"/>
                    <w:rPr>
                      <w:color w:val="auto"/>
                    </w:rPr>
                  </w:pPr>
                  <w:r>
                    <w:rPr>
                      <w:color w:val="auto"/>
                    </w:rPr>
                    <w:t>模压机</w:t>
                  </w:r>
                </w:p>
              </w:tc>
              <w:tc>
                <w:tcPr>
                  <w:tcW w:w="787" w:type="pct"/>
                  <w:vAlign w:val="center"/>
                </w:tcPr>
                <w:p>
                  <w:pPr>
                    <w:widowControl/>
                    <w:adjustRightInd w:val="0"/>
                    <w:snapToGrid w:val="0"/>
                    <w:jc w:val="center"/>
                    <w:rPr>
                      <w:color w:val="auto"/>
                    </w:rPr>
                  </w:pPr>
                  <w:r>
                    <w:rPr>
                      <w:color w:val="auto"/>
                    </w:rPr>
                    <w:t>0.</w:t>
                  </w:r>
                  <w:r>
                    <w:rPr>
                      <w:rFonts w:hint="eastAsia"/>
                      <w:color w:val="auto"/>
                    </w:rPr>
                    <w:t>3</w:t>
                  </w:r>
                </w:p>
              </w:tc>
              <w:tc>
                <w:tcPr>
                  <w:tcW w:w="843" w:type="pct"/>
                  <w:vAlign w:val="center"/>
                </w:tcPr>
                <w:p>
                  <w:pPr>
                    <w:widowControl/>
                    <w:adjustRightInd w:val="0"/>
                    <w:snapToGrid w:val="0"/>
                    <w:jc w:val="center"/>
                    <w:rPr>
                      <w:color w:val="auto"/>
                    </w:rPr>
                  </w:pPr>
                  <w:r>
                    <w:rPr>
                      <w:rFonts w:hint="eastAsia"/>
                      <w:color w:val="auto"/>
                    </w:rPr>
                    <w:t>3.1</w:t>
                  </w:r>
                </w:p>
              </w:tc>
              <w:tc>
                <w:tcPr>
                  <w:tcW w:w="1229" w:type="pct"/>
                  <w:vAlign w:val="center"/>
                </w:tcPr>
                <w:p>
                  <w:pPr>
                    <w:widowControl/>
                    <w:adjustRightInd w:val="0"/>
                    <w:snapToGrid w:val="0"/>
                    <w:jc w:val="center"/>
                    <w:rPr>
                      <w:color w:val="auto"/>
                    </w:rPr>
                  </w:pPr>
                  <w:r>
                    <w:rPr>
                      <w:rFonts w:hint="eastAsia"/>
                      <w:color w:val="auto"/>
                    </w:rPr>
                    <w:t>788.85</w:t>
                  </w:r>
                </w:p>
              </w:tc>
              <w:tc>
                <w:tcPr>
                  <w:tcW w:w="952" w:type="pct"/>
                  <w:vAlign w:val="center"/>
                </w:tcPr>
                <w:p>
                  <w:pPr>
                    <w:widowControl/>
                    <w:adjustRightInd w:val="0"/>
                    <w:snapToGrid w:val="0"/>
                    <w:jc w:val="center"/>
                    <w:rPr>
                      <w:color w:val="auto"/>
                    </w:rPr>
                  </w:pPr>
                  <w:r>
                    <w:rPr>
                      <w:color w:val="auto"/>
                    </w:rPr>
                    <w:t>32</w:t>
                  </w:r>
                </w:p>
              </w:tc>
              <w:tc>
                <w:tcPr>
                  <w:tcW w:w="732" w:type="pct"/>
                  <w:vAlign w:val="center"/>
                </w:tcPr>
                <w:p>
                  <w:pPr>
                    <w:widowControl/>
                    <w:adjustRightInd w:val="0"/>
                    <w:snapToGrid w:val="0"/>
                    <w:jc w:val="center"/>
                    <w:rPr>
                      <w:color w:val="auto"/>
                    </w:rPr>
                  </w:pPr>
                  <w:r>
                    <w:rPr>
                      <w:rFonts w:hint="eastAsia"/>
                      <w:color w:val="auto"/>
                    </w:rPr>
                    <w:t>25243.32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4268" w:type="pct"/>
                  <w:gridSpan w:val="5"/>
                  <w:vAlign w:val="center"/>
                </w:tcPr>
                <w:p>
                  <w:pPr>
                    <w:widowControl/>
                    <w:adjustRightInd w:val="0"/>
                    <w:snapToGrid w:val="0"/>
                    <w:jc w:val="center"/>
                    <w:rPr>
                      <w:color w:val="auto"/>
                    </w:rPr>
                  </w:pPr>
                  <w:r>
                    <w:rPr>
                      <w:color w:val="auto"/>
                    </w:rPr>
                    <w:t>合计</w:t>
                  </w:r>
                </w:p>
              </w:tc>
              <w:tc>
                <w:tcPr>
                  <w:tcW w:w="732" w:type="pct"/>
                  <w:vAlign w:val="center"/>
                </w:tcPr>
                <w:p>
                  <w:pPr>
                    <w:widowControl/>
                    <w:adjustRightInd w:val="0"/>
                    <w:snapToGrid w:val="0"/>
                    <w:jc w:val="center"/>
                    <w:rPr>
                      <w:color w:val="auto"/>
                    </w:rPr>
                  </w:pPr>
                  <w:r>
                    <w:rPr>
                      <w:rFonts w:hint="eastAsia"/>
                      <w:color w:val="auto"/>
                    </w:rPr>
                    <w:t>25243.32</w:t>
                  </w:r>
                </w:p>
              </w:tc>
            </w:tr>
          </w:tbl>
          <w:p>
            <w:pPr>
              <w:adjustRightInd w:val="0"/>
              <w:snapToGrid w:val="0"/>
              <w:spacing w:before="120" w:beforeLines="50" w:line="360" w:lineRule="auto"/>
              <w:ind w:firstLine="420" w:firstLineChars="200"/>
              <w:rPr>
                <w:bCs/>
                <w:color w:val="auto"/>
              </w:rPr>
            </w:pPr>
            <w:r>
              <w:rPr>
                <w:rFonts w:hint="eastAsia"/>
                <w:color w:val="auto"/>
              </w:rPr>
              <w:t>综上，本项目配料粉尘收集风量为25243.32m</w:t>
            </w:r>
            <w:r>
              <w:rPr>
                <w:rFonts w:hint="eastAsia"/>
                <w:color w:val="auto"/>
                <w:vertAlign w:val="superscript"/>
              </w:rPr>
              <w:t>3</w:t>
            </w:r>
            <w:r>
              <w:rPr>
                <w:rFonts w:hint="eastAsia"/>
                <w:color w:val="auto"/>
              </w:rPr>
              <w:t>/h，考虑风力损失，本项目排气筒（DA001）中设置风机风量为26000m</w:t>
            </w:r>
            <w:r>
              <w:rPr>
                <w:rFonts w:hint="eastAsia"/>
                <w:color w:val="auto"/>
                <w:vertAlign w:val="superscript"/>
              </w:rPr>
              <w:t>3</w:t>
            </w:r>
            <w:r>
              <w:rPr>
                <w:rFonts w:hint="eastAsia"/>
                <w:color w:val="auto"/>
              </w:rPr>
              <w:t>/h。</w:t>
            </w:r>
          </w:p>
          <w:p>
            <w:pPr>
              <w:adjustRightInd w:val="0"/>
              <w:snapToGrid w:val="0"/>
              <w:spacing w:line="360" w:lineRule="auto"/>
              <w:ind w:firstLine="422" w:firstLineChars="200"/>
              <w:rPr>
                <w:bCs/>
                <w:color w:val="auto"/>
              </w:rPr>
            </w:pPr>
            <w:r>
              <w:rPr>
                <w:b/>
                <w:color w:val="auto"/>
              </w:rPr>
              <w:t>收集效率：</w:t>
            </w:r>
            <w:r>
              <w:rPr>
                <w:bCs/>
                <w:color w:val="auto"/>
              </w:rPr>
              <w:t>《广东省工业源挥发性有机物减排量核算方法（试行）》表4.5-1废气收集集气效率参考值，模压机采用自带负压抽气装置收集，设备有固定排放管（或口）直接与风管连接，设备整体密闭只留产品进出口，且进出口处有废气收集措施，收集系统运行时周边基本无VOC散发，收集效率为</w:t>
            </w:r>
            <w:r>
              <w:rPr>
                <w:rFonts w:hint="eastAsia"/>
                <w:bCs/>
                <w:color w:val="auto"/>
                <w:lang w:val="en-US" w:eastAsia="zh-CN"/>
              </w:rPr>
              <w:t>95</w:t>
            </w:r>
            <w:r>
              <w:rPr>
                <w:bCs/>
                <w:color w:val="auto"/>
              </w:rPr>
              <w:t>%。</w:t>
            </w:r>
          </w:p>
          <w:p>
            <w:pPr>
              <w:spacing w:line="360" w:lineRule="auto"/>
              <w:ind w:firstLine="422" w:firstLineChars="200"/>
              <w:rPr>
                <w:color w:val="auto"/>
                <w:highlight w:val="none"/>
              </w:rPr>
            </w:pPr>
            <w:r>
              <w:rPr>
                <w:b/>
                <w:bCs/>
                <w:color w:val="auto"/>
              </w:rPr>
              <w:t>处理效率：</w:t>
            </w:r>
            <w:r>
              <w:rPr>
                <w:color w:val="auto"/>
                <w:szCs w:val="21"/>
              </w:rPr>
              <w:t>根据《深圳市典型行业工艺废气排污量核算方法（试行）》表6挥发性有机物治理设施及达标要求，活性炭吸附治理效率</w:t>
            </w:r>
            <w:r>
              <w:rPr>
                <w:color w:val="auto"/>
                <w:szCs w:val="21"/>
                <w:highlight w:val="none"/>
              </w:rPr>
              <w:t>为70%，</w:t>
            </w:r>
            <w:r>
              <w:rPr>
                <w:rFonts w:hint="eastAsia"/>
                <w:color w:val="auto"/>
                <w:highlight w:val="none"/>
              </w:rPr>
              <w:t>实际</w:t>
            </w:r>
            <w:r>
              <w:rPr>
                <w:color w:val="auto"/>
                <w:highlight w:val="none"/>
              </w:rPr>
              <w:t>运行时，</w:t>
            </w:r>
            <w:r>
              <w:rPr>
                <w:rFonts w:hint="eastAsia"/>
                <w:color w:val="auto"/>
                <w:highlight w:val="none"/>
              </w:rPr>
              <w:t>经</w:t>
            </w:r>
            <w:r>
              <w:rPr>
                <w:color w:val="auto"/>
                <w:highlight w:val="none"/>
              </w:rPr>
              <w:t>第一级活性炭吸附后，第二级活性炭吸附效率比第一级要低，</w:t>
            </w:r>
            <w:r>
              <w:rPr>
                <w:rFonts w:hint="eastAsia"/>
                <w:color w:val="auto"/>
                <w:highlight w:val="none"/>
                <w:lang w:val="en-US" w:eastAsia="zh-CN"/>
              </w:rPr>
              <w:t>本项目</w:t>
            </w:r>
            <w:r>
              <w:rPr>
                <w:color w:val="auto"/>
                <w:highlight w:val="none"/>
              </w:rPr>
              <w:t>保守估算，</w:t>
            </w:r>
            <w:r>
              <w:rPr>
                <w:rFonts w:hint="eastAsia"/>
                <w:color w:val="auto"/>
                <w:highlight w:val="none"/>
                <w:lang w:val="en-US" w:eastAsia="zh-CN"/>
              </w:rPr>
              <w:t>两</w:t>
            </w:r>
            <w:r>
              <w:rPr>
                <w:color w:val="auto"/>
                <w:szCs w:val="21"/>
                <w:highlight w:val="none"/>
              </w:rPr>
              <w:t>级活性</w:t>
            </w:r>
            <w:r>
              <w:rPr>
                <w:rFonts w:hint="eastAsia"/>
                <w:color w:val="auto"/>
                <w:szCs w:val="21"/>
                <w:highlight w:val="none"/>
                <w:lang w:val="en-US" w:eastAsia="zh-CN"/>
              </w:rPr>
              <w:t>碳</w:t>
            </w:r>
            <w:r>
              <w:rPr>
                <w:color w:val="auto"/>
                <w:szCs w:val="21"/>
                <w:highlight w:val="none"/>
              </w:rPr>
              <w:t>吸附去除率取70%。</w:t>
            </w:r>
          </w:p>
          <w:p>
            <w:pPr>
              <w:adjustRightInd w:val="0"/>
              <w:snapToGrid w:val="0"/>
              <w:spacing w:line="360" w:lineRule="auto"/>
              <w:ind w:firstLine="420" w:firstLineChars="200"/>
              <w:rPr>
                <w:b/>
                <w:color w:val="auto"/>
                <w:highlight w:val="none"/>
              </w:rPr>
            </w:pPr>
            <w:r>
              <w:rPr>
                <w:rStyle w:val="104"/>
                <w:color w:val="auto"/>
                <w:highlight w:val="none"/>
              </w:rPr>
              <w:t>综上分析，模压工序</w:t>
            </w:r>
            <w:r>
              <w:rPr>
                <w:rStyle w:val="104"/>
                <w:rFonts w:hint="eastAsia"/>
                <w:color w:val="FF0000"/>
                <w:highlight w:val="none"/>
                <w:lang w:val="en-US" w:eastAsia="zh-CN"/>
              </w:rPr>
              <w:t>非甲烷总烃</w:t>
            </w:r>
            <w:r>
              <w:rPr>
                <w:bCs/>
                <w:color w:val="auto"/>
                <w:highlight w:val="none"/>
              </w:rPr>
              <w:t>产生量</w:t>
            </w:r>
            <w:r>
              <w:rPr>
                <w:bCs/>
                <w:color w:val="FF0000"/>
                <w:highlight w:val="none"/>
              </w:rPr>
              <w:t>0.0</w:t>
            </w:r>
            <w:r>
              <w:rPr>
                <w:rFonts w:hint="eastAsia"/>
                <w:bCs/>
                <w:color w:val="FF0000"/>
                <w:highlight w:val="none"/>
                <w:lang w:val="en-US" w:eastAsia="zh-CN"/>
              </w:rPr>
              <w:t>175</w:t>
            </w:r>
            <w:r>
              <w:rPr>
                <w:bCs/>
                <w:color w:val="auto"/>
                <w:highlight w:val="none"/>
              </w:rPr>
              <w:t>t/a，产生速率约</w:t>
            </w:r>
            <w:r>
              <w:rPr>
                <w:bCs/>
                <w:color w:val="FF0000"/>
                <w:highlight w:val="none"/>
              </w:rPr>
              <w:t>0.00</w:t>
            </w:r>
            <w:r>
              <w:rPr>
                <w:rFonts w:hint="eastAsia"/>
                <w:bCs/>
                <w:color w:val="FF0000"/>
                <w:highlight w:val="none"/>
                <w:lang w:val="en-US" w:eastAsia="zh-CN"/>
              </w:rPr>
              <w:t>7293</w:t>
            </w:r>
            <w:r>
              <w:rPr>
                <w:bCs/>
                <w:color w:val="auto"/>
                <w:highlight w:val="none"/>
              </w:rPr>
              <w:t>kg/h，产生浓度约</w:t>
            </w:r>
            <w:r>
              <w:rPr>
                <w:bCs/>
                <w:color w:val="FF0000"/>
                <w:highlight w:val="none"/>
              </w:rPr>
              <w:t>0.</w:t>
            </w:r>
            <w:r>
              <w:rPr>
                <w:rFonts w:hint="eastAsia"/>
                <w:bCs/>
                <w:color w:val="FF0000"/>
                <w:highlight w:val="none"/>
                <w:lang w:val="en-US" w:eastAsia="zh-CN"/>
              </w:rPr>
              <w:t>28</w:t>
            </w:r>
            <w:r>
              <w:rPr>
                <w:bCs/>
                <w:color w:val="auto"/>
                <w:highlight w:val="none"/>
              </w:rPr>
              <w:t>mg/m</w:t>
            </w:r>
            <w:r>
              <w:rPr>
                <w:bCs/>
                <w:color w:val="auto"/>
                <w:highlight w:val="none"/>
                <w:vertAlign w:val="superscript"/>
              </w:rPr>
              <w:t>3</w:t>
            </w:r>
            <w:r>
              <w:rPr>
                <w:bCs/>
                <w:color w:val="auto"/>
                <w:highlight w:val="none"/>
              </w:rPr>
              <w:t>，</w:t>
            </w:r>
            <w:r>
              <w:rPr>
                <w:rFonts w:hint="eastAsia"/>
                <w:bCs/>
                <w:color w:val="auto"/>
                <w:highlight w:val="none"/>
              </w:rPr>
              <w:t>有组织</w:t>
            </w:r>
            <w:r>
              <w:rPr>
                <w:bCs/>
                <w:color w:val="auto"/>
                <w:highlight w:val="none"/>
              </w:rPr>
              <w:t>排放量约</w:t>
            </w:r>
            <w:r>
              <w:rPr>
                <w:bCs/>
                <w:color w:val="FF0000"/>
                <w:highlight w:val="none"/>
              </w:rPr>
              <w:t>0.00</w:t>
            </w:r>
            <w:r>
              <w:rPr>
                <w:rFonts w:hint="eastAsia"/>
                <w:bCs/>
                <w:color w:val="FF0000"/>
                <w:highlight w:val="none"/>
                <w:lang w:val="en-US" w:eastAsia="zh-CN"/>
              </w:rPr>
              <w:t>4988</w:t>
            </w:r>
            <w:r>
              <w:rPr>
                <w:bCs/>
                <w:color w:val="FF0000"/>
                <w:highlight w:val="none"/>
              </w:rPr>
              <w:t>t/a</w:t>
            </w:r>
            <w:r>
              <w:rPr>
                <w:bCs/>
                <w:color w:val="auto"/>
                <w:highlight w:val="none"/>
              </w:rPr>
              <w:t>，排放速率约</w:t>
            </w:r>
            <w:r>
              <w:rPr>
                <w:bCs/>
                <w:color w:val="FF0000"/>
                <w:highlight w:val="none"/>
              </w:rPr>
              <w:t>0.00</w:t>
            </w:r>
            <w:r>
              <w:rPr>
                <w:rFonts w:hint="eastAsia"/>
                <w:bCs/>
                <w:color w:val="FF0000"/>
                <w:highlight w:val="none"/>
                <w:lang w:val="en-US" w:eastAsia="zh-CN"/>
              </w:rPr>
              <w:t>2078</w:t>
            </w:r>
            <w:r>
              <w:rPr>
                <w:bCs/>
                <w:color w:val="FF0000"/>
                <w:highlight w:val="none"/>
              </w:rPr>
              <w:t>kg/h</w:t>
            </w:r>
            <w:r>
              <w:rPr>
                <w:bCs/>
                <w:color w:val="auto"/>
                <w:highlight w:val="none"/>
              </w:rPr>
              <w:t>，排放浓度约为</w:t>
            </w:r>
            <w:r>
              <w:rPr>
                <w:bCs/>
                <w:color w:val="FF0000"/>
                <w:highlight w:val="none"/>
              </w:rPr>
              <w:t>0.</w:t>
            </w:r>
            <w:r>
              <w:rPr>
                <w:rFonts w:hint="eastAsia"/>
                <w:bCs/>
                <w:color w:val="FF0000"/>
                <w:highlight w:val="none"/>
                <w:lang w:val="en-US" w:eastAsia="zh-CN"/>
              </w:rPr>
              <w:t>08</w:t>
            </w:r>
            <w:r>
              <w:rPr>
                <w:bCs/>
                <w:color w:val="FF0000"/>
                <w:highlight w:val="none"/>
              </w:rPr>
              <w:t>mg/m</w:t>
            </w:r>
            <w:r>
              <w:rPr>
                <w:bCs/>
                <w:color w:val="FF0000"/>
                <w:highlight w:val="none"/>
                <w:vertAlign w:val="superscript"/>
              </w:rPr>
              <w:t>3</w:t>
            </w:r>
            <w:r>
              <w:rPr>
                <w:rFonts w:hint="eastAsia"/>
                <w:bCs/>
                <w:color w:val="auto"/>
                <w:highlight w:val="none"/>
              </w:rPr>
              <w:t>，无组织排放量为</w:t>
            </w:r>
            <w:r>
              <w:rPr>
                <w:rFonts w:hint="eastAsia"/>
                <w:bCs/>
                <w:color w:val="FF0000"/>
                <w:highlight w:val="none"/>
              </w:rPr>
              <w:t>0.000</w:t>
            </w:r>
            <w:r>
              <w:rPr>
                <w:rFonts w:hint="eastAsia"/>
                <w:bCs/>
                <w:color w:val="FF0000"/>
                <w:highlight w:val="none"/>
                <w:lang w:val="en-US" w:eastAsia="zh-CN"/>
              </w:rPr>
              <w:t>875</w:t>
            </w:r>
            <w:r>
              <w:rPr>
                <w:rFonts w:hint="eastAsia"/>
                <w:bCs/>
                <w:color w:val="FF0000"/>
                <w:highlight w:val="none"/>
              </w:rPr>
              <w:t>t/a</w:t>
            </w:r>
            <w:r>
              <w:rPr>
                <w:rFonts w:hint="eastAsia"/>
                <w:bCs/>
                <w:color w:val="auto"/>
                <w:highlight w:val="none"/>
              </w:rPr>
              <w:t>，排放速率约为</w:t>
            </w:r>
            <w:r>
              <w:rPr>
                <w:rFonts w:hint="eastAsia"/>
                <w:bCs/>
                <w:color w:val="FF0000"/>
                <w:highlight w:val="none"/>
              </w:rPr>
              <w:t>0.000</w:t>
            </w:r>
            <w:r>
              <w:rPr>
                <w:rFonts w:hint="eastAsia"/>
                <w:bCs/>
                <w:color w:val="FF0000"/>
                <w:highlight w:val="none"/>
                <w:lang w:val="en-US" w:eastAsia="zh-CN"/>
              </w:rPr>
              <w:t>3646</w:t>
            </w:r>
            <w:r>
              <w:rPr>
                <w:rFonts w:hint="eastAsia"/>
                <w:bCs/>
                <w:color w:val="FF0000"/>
                <w:highlight w:val="none"/>
              </w:rPr>
              <w:t>kg/h</w:t>
            </w:r>
            <w:r>
              <w:rPr>
                <w:rFonts w:hint="eastAsia"/>
                <w:bCs/>
                <w:color w:val="auto"/>
                <w:highlight w:val="none"/>
              </w:rPr>
              <w:t>。</w:t>
            </w:r>
          </w:p>
          <w:p>
            <w:pPr>
              <w:spacing w:line="360" w:lineRule="auto"/>
              <w:ind w:firstLine="422" w:firstLineChars="200"/>
              <w:rPr>
                <w:b/>
                <w:bCs/>
                <w:color w:val="auto"/>
              </w:rPr>
            </w:pPr>
            <w:r>
              <w:rPr>
                <w:b/>
                <w:bCs/>
                <w:color w:val="auto"/>
              </w:rPr>
              <w:t>（</w:t>
            </w:r>
            <w:r>
              <w:rPr>
                <w:rFonts w:hint="eastAsia"/>
                <w:b/>
                <w:bCs/>
                <w:color w:val="auto"/>
              </w:rPr>
              <w:t>4</w:t>
            </w:r>
            <w:r>
              <w:rPr>
                <w:b/>
                <w:bCs/>
                <w:color w:val="auto"/>
              </w:rPr>
              <w:t>）食堂油烟</w:t>
            </w:r>
          </w:p>
          <w:p>
            <w:pPr>
              <w:widowControl/>
              <w:adjustRightInd w:val="0"/>
              <w:snapToGrid w:val="0"/>
              <w:spacing w:line="360" w:lineRule="auto"/>
              <w:ind w:firstLine="420" w:firstLineChars="200"/>
              <w:rPr>
                <w:color w:val="auto"/>
                <w:lang w:bidi="ar"/>
              </w:rPr>
            </w:pPr>
            <w:r>
              <w:rPr>
                <w:color w:val="auto"/>
                <w:lang w:bidi="ar"/>
              </w:rPr>
              <w:t>本项目设有员工食堂，</w:t>
            </w:r>
            <w:r>
              <w:rPr>
                <w:rFonts w:hAnsi="宋体"/>
                <w:color w:val="auto"/>
                <w:szCs w:val="21"/>
              </w:rPr>
              <w:t>参考《排放源统计调查产排污核算方法和系数手册》（生态环境部公告 2021年 第24号）其中的《</w:t>
            </w:r>
            <w:r>
              <w:rPr>
                <w:rFonts w:hint="eastAsia" w:hAnsi="宋体"/>
                <w:color w:val="auto"/>
                <w:szCs w:val="21"/>
              </w:rPr>
              <w:t>生活污染源产排污系数手册</w:t>
            </w:r>
            <w:r>
              <w:rPr>
                <w:rFonts w:hAnsi="宋体"/>
                <w:color w:val="auto"/>
                <w:szCs w:val="21"/>
              </w:rPr>
              <w:t>》</w:t>
            </w:r>
            <w:r>
              <w:rPr>
                <w:rFonts w:hint="eastAsia" w:hAnsi="宋体"/>
                <w:color w:val="auto"/>
                <w:szCs w:val="21"/>
              </w:rPr>
              <w:t>，</w:t>
            </w:r>
            <w:r>
              <w:rPr>
                <w:rFonts w:hAnsi="宋体"/>
                <w:color w:val="auto"/>
                <w:szCs w:val="21"/>
              </w:rPr>
              <w:t>项目位于</w:t>
            </w:r>
            <w:r>
              <w:rPr>
                <w:rFonts w:hint="eastAsia" w:hAnsi="宋体"/>
                <w:color w:val="auto"/>
                <w:szCs w:val="21"/>
              </w:rPr>
              <w:t>广东省</w:t>
            </w:r>
            <w:r>
              <w:rPr>
                <w:rFonts w:hAnsi="宋体"/>
                <w:color w:val="auto"/>
                <w:szCs w:val="21"/>
              </w:rPr>
              <w:t>惠州市，地域分</w:t>
            </w:r>
            <w:r>
              <w:rPr>
                <w:rFonts w:hint="eastAsia" w:hAnsi="宋体"/>
                <w:color w:val="auto"/>
                <w:szCs w:val="21"/>
              </w:rPr>
              <w:t>类</w:t>
            </w:r>
            <w:r>
              <w:rPr>
                <w:rFonts w:hAnsi="宋体"/>
                <w:color w:val="auto"/>
                <w:szCs w:val="21"/>
              </w:rPr>
              <w:t>属于一区，</w:t>
            </w:r>
            <w:r>
              <w:rPr>
                <w:rFonts w:hint="eastAsia" w:hAnsi="宋体"/>
                <w:color w:val="auto"/>
                <w:szCs w:val="21"/>
              </w:rPr>
              <w:t>餐饮油烟</w:t>
            </w:r>
            <w:r>
              <w:rPr>
                <w:rFonts w:hAnsi="宋体"/>
                <w:color w:val="auto"/>
                <w:szCs w:val="21"/>
              </w:rPr>
              <w:t>产生系数为165</w:t>
            </w:r>
            <w:r>
              <w:rPr>
                <w:rFonts w:hint="eastAsia" w:hAnsi="宋体"/>
                <w:color w:val="auto"/>
                <w:szCs w:val="21"/>
              </w:rPr>
              <w:t>g/（人•</w:t>
            </w:r>
            <w:r>
              <w:rPr>
                <w:rFonts w:hAnsi="宋体"/>
                <w:color w:val="auto"/>
                <w:szCs w:val="21"/>
              </w:rPr>
              <w:t>a</w:t>
            </w:r>
            <w:r>
              <w:rPr>
                <w:rFonts w:hint="eastAsia" w:hAnsi="宋体"/>
                <w:color w:val="auto"/>
                <w:szCs w:val="21"/>
              </w:rPr>
              <w:t>）。根据建设单位提供的资料，项目</w:t>
            </w:r>
            <w:r>
              <w:rPr>
                <w:rFonts w:hAnsi="宋体"/>
                <w:color w:val="auto"/>
                <w:szCs w:val="21"/>
              </w:rPr>
              <w:t>员工共</w:t>
            </w:r>
            <w:r>
              <w:rPr>
                <w:rFonts w:hint="eastAsia" w:hAnsi="宋体"/>
                <w:color w:val="auto"/>
                <w:szCs w:val="21"/>
              </w:rPr>
              <w:t>180人，则项目油烟产生量约</w:t>
            </w:r>
            <w:r>
              <w:rPr>
                <w:rFonts w:hAnsi="宋体"/>
                <w:color w:val="auto"/>
                <w:szCs w:val="21"/>
              </w:rPr>
              <w:t>0.0</w:t>
            </w:r>
            <w:r>
              <w:rPr>
                <w:rFonts w:hint="eastAsia" w:hAnsi="宋体"/>
                <w:color w:val="auto"/>
                <w:szCs w:val="21"/>
              </w:rPr>
              <w:t>297t/a，项目</w:t>
            </w:r>
            <w:r>
              <w:rPr>
                <w:rFonts w:hAnsi="宋体"/>
                <w:color w:val="auto"/>
                <w:szCs w:val="21"/>
              </w:rPr>
              <w:t>食堂油烟经集烟罩收集后引至静电油烟净化器处理后</w:t>
            </w:r>
            <w:r>
              <w:rPr>
                <w:rFonts w:hint="eastAsia" w:hAnsi="宋体"/>
                <w:color w:val="auto"/>
                <w:szCs w:val="21"/>
              </w:rPr>
              <w:t>经15米</w:t>
            </w:r>
            <w:r>
              <w:rPr>
                <w:rFonts w:hAnsi="宋体"/>
                <w:color w:val="auto"/>
                <w:szCs w:val="21"/>
              </w:rPr>
              <w:t>高排放口排放（</w:t>
            </w:r>
            <w:r>
              <w:rPr>
                <w:rFonts w:hint="eastAsia" w:hAnsi="宋体"/>
                <w:color w:val="auto"/>
                <w:szCs w:val="21"/>
              </w:rPr>
              <w:t>DA</w:t>
            </w:r>
            <w:r>
              <w:rPr>
                <w:rFonts w:hAnsi="宋体"/>
                <w:color w:val="auto"/>
                <w:szCs w:val="21"/>
              </w:rPr>
              <w:t>003），</w:t>
            </w:r>
            <w:r>
              <w:rPr>
                <w:rFonts w:hint="eastAsia" w:hAnsi="宋体"/>
                <w:color w:val="auto"/>
                <w:szCs w:val="21"/>
              </w:rPr>
              <w:t>静电</w:t>
            </w:r>
            <w:r>
              <w:rPr>
                <w:rFonts w:hAnsi="宋体"/>
                <w:color w:val="auto"/>
                <w:szCs w:val="21"/>
              </w:rPr>
              <w:t>油烟净化器</w:t>
            </w:r>
            <w:r>
              <w:rPr>
                <w:rFonts w:hint="eastAsia" w:hAnsi="宋体"/>
                <w:color w:val="auto"/>
                <w:szCs w:val="21"/>
              </w:rPr>
              <w:t>处理</w:t>
            </w:r>
            <w:r>
              <w:rPr>
                <w:rFonts w:hAnsi="宋体"/>
                <w:color w:val="auto"/>
                <w:szCs w:val="21"/>
              </w:rPr>
              <w:t>效率约</w:t>
            </w:r>
            <w:r>
              <w:rPr>
                <w:rFonts w:hint="eastAsia" w:hAnsi="宋体"/>
                <w:color w:val="auto"/>
                <w:szCs w:val="21"/>
              </w:rPr>
              <w:t>8</w:t>
            </w:r>
            <w:r>
              <w:rPr>
                <w:rFonts w:hAnsi="宋体"/>
                <w:color w:val="auto"/>
                <w:szCs w:val="21"/>
              </w:rPr>
              <w:t>0%，</w:t>
            </w:r>
            <w:r>
              <w:rPr>
                <w:rFonts w:hint="eastAsia" w:hAnsi="宋体"/>
                <w:color w:val="auto"/>
                <w:szCs w:val="21"/>
              </w:rPr>
              <w:t>项</w:t>
            </w:r>
            <w:r>
              <w:rPr>
                <w:rFonts w:hAnsi="宋体"/>
                <w:color w:val="auto"/>
                <w:szCs w:val="21"/>
              </w:rPr>
              <w:t>目设置灶头</w:t>
            </w:r>
            <w:r>
              <w:rPr>
                <w:rFonts w:hint="eastAsia" w:hAnsi="宋体"/>
                <w:color w:val="auto"/>
                <w:szCs w:val="21"/>
              </w:rPr>
              <w:t>4个</w:t>
            </w:r>
            <w:r>
              <w:rPr>
                <w:rFonts w:hAnsi="宋体"/>
                <w:color w:val="auto"/>
                <w:szCs w:val="21"/>
              </w:rPr>
              <w:t>，单个灶头风量约</w:t>
            </w:r>
            <w:r>
              <w:rPr>
                <w:rFonts w:hint="eastAsia" w:hAnsi="宋体"/>
                <w:color w:val="auto"/>
                <w:szCs w:val="21"/>
              </w:rPr>
              <w:t>为2000m</w:t>
            </w:r>
            <w:r>
              <w:rPr>
                <w:rFonts w:hint="eastAsia" w:hAnsi="宋体"/>
                <w:color w:val="auto"/>
                <w:szCs w:val="21"/>
                <w:vertAlign w:val="superscript"/>
              </w:rPr>
              <w:t>3</w:t>
            </w:r>
            <w:r>
              <w:rPr>
                <w:rFonts w:hint="eastAsia" w:hAnsi="宋体"/>
                <w:color w:val="auto"/>
                <w:szCs w:val="21"/>
              </w:rPr>
              <w:t>/h，则</w:t>
            </w:r>
            <w:r>
              <w:rPr>
                <w:rFonts w:hAnsi="宋体"/>
                <w:color w:val="auto"/>
                <w:szCs w:val="21"/>
              </w:rPr>
              <w:t>食堂油烟净化器风量约</w:t>
            </w:r>
            <w:r>
              <w:rPr>
                <w:rFonts w:hint="eastAsia" w:hAnsi="宋体"/>
                <w:color w:val="auto"/>
                <w:szCs w:val="21"/>
              </w:rPr>
              <w:t>8</w:t>
            </w:r>
            <w:r>
              <w:rPr>
                <w:rFonts w:hAnsi="宋体"/>
                <w:color w:val="auto"/>
                <w:szCs w:val="21"/>
              </w:rPr>
              <w:t>000</w:t>
            </w:r>
            <w:r>
              <w:rPr>
                <w:rFonts w:hint="eastAsia" w:hAnsi="宋体"/>
                <w:color w:val="auto"/>
                <w:szCs w:val="21"/>
              </w:rPr>
              <w:t>m</w:t>
            </w:r>
            <w:r>
              <w:rPr>
                <w:rFonts w:hint="eastAsia" w:hAnsi="宋体"/>
                <w:color w:val="auto"/>
                <w:szCs w:val="21"/>
                <w:vertAlign w:val="superscript"/>
              </w:rPr>
              <w:t>3</w:t>
            </w:r>
            <w:r>
              <w:rPr>
                <w:rFonts w:hint="eastAsia" w:hAnsi="宋体"/>
                <w:color w:val="auto"/>
                <w:szCs w:val="21"/>
              </w:rPr>
              <w:t>/h，食堂每天烹饪时间按4h计，则</w:t>
            </w:r>
            <w:r>
              <w:rPr>
                <w:rFonts w:hAnsi="宋体"/>
                <w:color w:val="auto"/>
                <w:szCs w:val="21"/>
              </w:rPr>
              <w:t>项目食堂油烟产生浓度约</w:t>
            </w:r>
            <w:r>
              <w:rPr>
                <w:rFonts w:hint="eastAsia" w:hAnsi="宋体"/>
                <w:color w:val="auto"/>
                <w:szCs w:val="21"/>
              </w:rPr>
              <w:t>3.09</w:t>
            </w:r>
            <w:r>
              <w:rPr>
                <w:rFonts w:hAnsi="宋体"/>
                <w:color w:val="auto"/>
                <w:szCs w:val="21"/>
              </w:rPr>
              <w:t>mg</w:t>
            </w:r>
            <w:r>
              <w:rPr>
                <w:rFonts w:hint="eastAsia" w:hAnsi="宋体"/>
                <w:color w:val="auto"/>
                <w:szCs w:val="21"/>
              </w:rPr>
              <w:t>/m</w:t>
            </w:r>
            <w:r>
              <w:rPr>
                <w:rFonts w:hint="eastAsia" w:hAnsi="宋体"/>
                <w:color w:val="auto"/>
                <w:szCs w:val="21"/>
                <w:vertAlign w:val="superscript"/>
              </w:rPr>
              <w:t>3</w:t>
            </w:r>
            <w:r>
              <w:rPr>
                <w:rFonts w:hint="eastAsia" w:hAnsi="宋体"/>
                <w:color w:val="auto"/>
                <w:szCs w:val="21"/>
              </w:rPr>
              <w:t>，经</w:t>
            </w:r>
            <w:r>
              <w:rPr>
                <w:rFonts w:hAnsi="宋体"/>
                <w:color w:val="auto"/>
                <w:szCs w:val="21"/>
              </w:rPr>
              <w:t>静电油烟净化器处理后</w:t>
            </w:r>
            <w:r>
              <w:rPr>
                <w:rFonts w:hint="eastAsia" w:hAnsi="宋体"/>
                <w:color w:val="auto"/>
                <w:szCs w:val="21"/>
              </w:rPr>
              <w:t>排放量</w:t>
            </w:r>
            <w:r>
              <w:rPr>
                <w:rFonts w:hAnsi="宋体"/>
                <w:color w:val="auto"/>
                <w:szCs w:val="21"/>
              </w:rPr>
              <w:t>约</w:t>
            </w:r>
            <w:r>
              <w:rPr>
                <w:rFonts w:hint="eastAsia" w:hAnsi="宋体"/>
                <w:color w:val="auto"/>
                <w:szCs w:val="21"/>
              </w:rPr>
              <w:t>0.00594t/a，</w:t>
            </w:r>
            <w:r>
              <w:rPr>
                <w:rFonts w:hAnsi="宋体"/>
                <w:color w:val="auto"/>
                <w:szCs w:val="21"/>
              </w:rPr>
              <w:t>排放浓度约0.6</w:t>
            </w:r>
            <w:r>
              <w:rPr>
                <w:rFonts w:hint="eastAsia" w:hAnsi="宋体"/>
                <w:color w:val="auto"/>
                <w:szCs w:val="21"/>
              </w:rPr>
              <w:t>19</w:t>
            </w:r>
            <w:r>
              <w:rPr>
                <w:rFonts w:hAnsi="宋体"/>
                <w:color w:val="auto"/>
                <w:szCs w:val="21"/>
              </w:rPr>
              <w:t>mg</w:t>
            </w:r>
            <w:r>
              <w:rPr>
                <w:rFonts w:hint="eastAsia" w:hAnsi="宋体"/>
                <w:color w:val="auto"/>
                <w:szCs w:val="21"/>
              </w:rPr>
              <w:t>/m</w:t>
            </w:r>
            <w:r>
              <w:rPr>
                <w:rFonts w:hint="eastAsia" w:hAnsi="宋体"/>
                <w:color w:val="auto"/>
                <w:szCs w:val="21"/>
                <w:vertAlign w:val="superscript"/>
              </w:rPr>
              <w:t>3</w:t>
            </w:r>
            <w:r>
              <w:rPr>
                <w:rFonts w:hint="eastAsia" w:hAnsi="宋体"/>
                <w:color w:val="auto"/>
                <w:szCs w:val="21"/>
              </w:rPr>
              <w:t>。食堂油烟废气产排污情况见下表：</w:t>
            </w:r>
          </w:p>
          <w:p>
            <w:pPr>
              <w:widowControl/>
              <w:spacing w:before="120" w:beforeLines="50" w:line="360" w:lineRule="auto"/>
              <w:jc w:val="center"/>
              <w:rPr>
                <w:b/>
                <w:color w:val="auto"/>
              </w:rPr>
            </w:pPr>
            <w:r>
              <w:rPr>
                <w:b/>
                <w:color w:val="auto"/>
              </w:rPr>
              <w:t>表</w:t>
            </w:r>
            <w:r>
              <w:rPr>
                <w:rFonts w:hint="eastAsia"/>
                <w:b/>
                <w:color w:val="auto"/>
              </w:rPr>
              <w:t>4-11</w:t>
            </w:r>
            <w:r>
              <w:rPr>
                <w:b/>
                <w:color w:val="auto"/>
              </w:rPr>
              <w:t xml:space="preserve"> 食堂油烟废气产排污情况</w:t>
            </w:r>
          </w:p>
          <w:tbl>
            <w:tblPr>
              <w:tblStyle w:val="9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77"/>
              <w:gridCol w:w="1711"/>
              <w:gridCol w:w="1221"/>
              <w:gridCol w:w="1465"/>
              <w:gridCol w:w="1248"/>
              <w:gridCol w:w="1466"/>
              <w:gridCol w:w="12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2" w:hRule="atLeast"/>
                <w:jc w:val="center"/>
              </w:trPr>
              <w:tc>
                <w:tcPr>
                  <w:tcW w:w="527" w:type="pct"/>
                  <w:vAlign w:val="center"/>
                </w:tcPr>
                <w:p>
                  <w:pPr>
                    <w:jc w:val="center"/>
                    <w:rPr>
                      <w:b/>
                      <w:bCs/>
                      <w:color w:val="auto"/>
                    </w:rPr>
                  </w:pPr>
                  <w:r>
                    <w:rPr>
                      <w:b/>
                      <w:bCs/>
                      <w:color w:val="auto"/>
                    </w:rPr>
                    <w:t>项目</w:t>
                  </w:r>
                </w:p>
              </w:tc>
              <w:tc>
                <w:tcPr>
                  <w:tcW w:w="921" w:type="pct"/>
                  <w:vAlign w:val="center"/>
                </w:tcPr>
                <w:p>
                  <w:pPr>
                    <w:jc w:val="center"/>
                    <w:rPr>
                      <w:b/>
                      <w:bCs/>
                      <w:color w:val="auto"/>
                    </w:rPr>
                  </w:pPr>
                  <w:r>
                    <w:rPr>
                      <w:b/>
                      <w:bCs/>
                      <w:color w:val="auto"/>
                    </w:rPr>
                    <w:t>废气产生量</w:t>
                  </w:r>
                </w:p>
              </w:tc>
              <w:tc>
                <w:tcPr>
                  <w:tcW w:w="658" w:type="pct"/>
                  <w:vAlign w:val="center"/>
                </w:tcPr>
                <w:p>
                  <w:pPr>
                    <w:jc w:val="center"/>
                    <w:rPr>
                      <w:b/>
                      <w:bCs/>
                      <w:color w:val="auto"/>
                    </w:rPr>
                  </w:pPr>
                  <w:r>
                    <w:rPr>
                      <w:b/>
                      <w:bCs/>
                      <w:color w:val="auto"/>
                    </w:rPr>
                    <w:t>产生浓度</w:t>
                  </w:r>
                </w:p>
              </w:tc>
              <w:tc>
                <w:tcPr>
                  <w:tcW w:w="789" w:type="pct"/>
                  <w:vAlign w:val="center"/>
                </w:tcPr>
                <w:p>
                  <w:pPr>
                    <w:jc w:val="center"/>
                    <w:rPr>
                      <w:b/>
                      <w:bCs/>
                      <w:color w:val="auto"/>
                    </w:rPr>
                  </w:pPr>
                  <w:r>
                    <w:rPr>
                      <w:b/>
                      <w:bCs/>
                      <w:color w:val="auto"/>
                    </w:rPr>
                    <w:t>油烟产生量</w:t>
                  </w:r>
                </w:p>
              </w:tc>
              <w:tc>
                <w:tcPr>
                  <w:tcW w:w="658" w:type="pct"/>
                  <w:vAlign w:val="center"/>
                </w:tcPr>
                <w:p>
                  <w:pPr>
                    <w:jc w:val="center"/>
                    <w:rPr>
                      <w:b/>
                      <w:bCs/>
                      <w:color w:val="auto"/>
                    </w:rPr>
                  </w:pPr>
                  <w:r>
                    <w:rPr>
                      <w:b/>
                      <w:bCs/>
                      <w:color w:val="auto"/>
                    </w:rPr>
                    <w:t>排放浓度</w:t>
                  </w:r>
                </w:p>
              </w:tc>
              <w:tc>
                <w:tcPr>
                  <w:tcW w:w="789" w:type="pct"/>
                  <w:vAlign w:val="center"/>
                </w:tcPr>
                <w:p>
                  <w:pPr>
                    <w:jc w:val="center"/>
                    <w:rPr>
                      <w:b/>
                      <w:bCs/>
                      <w:color w:val="auto"/>
                    </w:rPr>
                  </w:pPr>
                  <w:r>
                    <w:rPr>
                      <w:b/>
                      <w:bCs/>
                      <w:color w:val="auto"/>
                    </w:rPr>
                    <w:t>油烟排放量</w:t>
                  </w:r>
                </w:p>
              </w:tc>
              <w:tc>
                <w:tcPr>
                  <w:tcW w:w="658" w:type="pct"/>
                  <w:vAlign w:val="center"/>
                </w:tcPr>
                <w:p>
                  <w:pPr>
                    <w:jc w:val="center"/>
                    <w:rPr>
                      <w:b/>
                      <w:bCs/>
                      <w:color w:val="auto"/>
                    </w:rPr>
                  </w:pPr>
                  <w:r>
                    <w:rPr>
                      <w:b/>
                      <w:bCs/>
                      <w:color w:val="auto"/>
                    </w:rPr>
                    <w:t>处理效率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2" w:hRule="atLeast"/>
                <w:jc w:val="center"/>
              </w:trPr>
              <w:tc>
                <w:tcPr>
                  <w:tcW w:w="527" w:type="pct"/>
                  <w:vAlign w:val="center"/>
                </w:tcPr>
                <w:p>
                  <w:pPr>
                    <w:jc w:val="center"/>
                    <w:rPr>
                      <w:color w:val="auto"/>
                    </w:rPr>
                  </w:pPr>
                  <w:r>
                    <w:rPr>
                      <w:color w:val="auto"/>
                    </w:rPr>
                    <w:t>食堂</w:t>
                  </w:r>
                </w:p>
              </w:tc>
              <w:tc>
                <w:tcPr>
                  <w:tcW w:w="921" w:type="pct"/>
                  <w:vAlign w:val="center"/>
                </w:tcPr>
                <w:p>
                  <w:pPr>
                    <w:jc w:val="center"/>
                    <w:rPr>
                      <w:color w:val="auto"/>
                    </w:rPr>
                  </w:pPr>
                  <w:r>
                    <w:rPr>
                      <w:rFonts w:hint="eastAsia"/>
                      <w:color w:val="auto"/>
                    </w:rPr>
                    <w:t>960</w:t>
                  </w:r>
                  <w:r>
                    <w:rPr>
                      <w:color w:val="auto"/>
                    </w:rPr>
                    <w:t>万m</w:t>
                  </w:r>
                  <w:r>
                    <w:rPr>
                      <w:color w:val="auto"/>
                      <w:vertAlign w:val="superscript"/>
                    </w:rPr>
                    <w:t>3</w:t>
                  </w:r>
                  <w:r>
                    <w:rPr>
                      <w:color w:val="auto"/>
                    </w:rPr>
                    <w:t>/a</w:t>
                  </w:r>
                </w:p>
              </w:tc>
              <w:tc>
                <w:tcPr>
                  <w:tcW w:w="658" w:type="pct"/>
                  <w:vAlign w:val="center"/>
                </w:tcPr>
                <w:p>
                  <w:pPr>
                    <w:jc w:val="center"/>
                    <w:rPr>
                      <w:color w:val="auto"/>
                    </w:rPr>
                  </w:pPr>
                  <w:r>
                    <w:rPr>
                      <w:rFonts w:hint="eastAsia"/>
                      <w:color w:val="auto"/>
                    </w:rPr>
                    <w:t>3.09</w:t>
                  </w:r>
                  <w:r>
                    <w:rPr>
                      <w:color w:val="auto"/>
                    </w:rPr>
                    <w:t>mg/m</w:t>
                  </w:r>
                  <w:r>
                    <w:rPr>
                      <w:color w:val="auto"/>
                      <w:vertAlign w:val="superscript"/>
                    </w:rPr>
                    <w:t>3</w:t>
                  </w:r>
                </w:p>
              </w:tc>
              <w:tc>
                <w:tcPr>
                  <w:tcW w:w="789" w:type="pct"/>
                  <w:vAlign w:val="center"/>
                </w:tcPr>
                <w:p>
                  <w:pPr>
                    <w:jc w:val="center"/>
                    <w:rPr>
                      <w:color w:val="auto"/>
                    </w:rPr>
                  </w:pPr>
                  <w:r>
                    <w:rPr>
                      <w:color w:val="auto"/>
                    </w:rPr>
                    <w:t>0.</w:t>
                  </w:r>
                  <w:r>
                    <w:rPr>
                      <w:rFonts w:hint="eastAsia"/>
                      <w:color w:val="auto"/>
                    </w:rPr>
                    <w:t>0297</w:t>
                  </w:r>
                  <w:r>
                    <w:rPr>
                      <w:color w:val="auto"/>
                    </w:rPr>
                    <w:t>t/a</w:t>
                  </w:r>
                </w:p>
              </w:tc>
              <w:tc>
                <w:tcPr>
                  <w:tcW w:w="658" w:type="pct"/>
                  <w:vAlign w:val="center"/>
                </w:tcPr>
                <w:p>
                  <w:pPr>
                    <w:jc w:val="center"/>
                    <w:rPr>
                      <w:color w:val="auto"/>
                    </w:rPr>
                  </w:pPr>
                  <w:r>
                    <w:rPr>
                      <w:rFonts w:hint="eastAsia"/>
                      <w:color w:val="auto"/>
                    </w:rPr>
                    <w:t>0.619</w:t>
                  </w:r>
                  <w:r>
                    <w:rPr>
                      <w:color w:val="auto"/>
                    </w:rPr>
                    <w:t>mg/m</w:t>
                  </w:r>
                  <w:r>
                    <w:rPr>
                      <w:color w:val="auto"/>
                      <w:vertAlign w:val="superscript"/>
                    </w:rPr>
                    <w:t>3</w:t>
                  </w:r>
                </w:p>
              </w:tc>
              <w:tc>
                <w:tcPr>
                  <w:tcW w:w="789" w:type="pct"/>
                  <w:vAlign w:val="center"/>
                </w:tcPr>
                <w:p>
                  <w:pPr>
                    <w:jc w:val="center"/>
                    <w:rPr>
                      <w:color w:val="auto"/>
                    </w:rPr>
                  </w:pPr>
                  <w:r>
                    <w:rPr>
                      <w:color w:val="auto"/>
                    </w:rPr>
                    <w:t>0.0</w:t>
                  </w:r>
                  <w:r>
                    <w:rPr>
                      <w:rFonts w:hint="eastAsia"/>
                      <w:color w:val="auto"/>
                    </w:rPr>
                    <w:t>059</w:t>
                  </w:r>
                  <w:r>
                    <w:rPr>
                      <w:color w:val="auto"/>
                    </w:rPr>
                    <w:t>t/a</w:t>
                  </w:r>
                </w:p>
              </w:tc>
              <w:tc>
                <w:tcPr>
                  <w:tcW w:w="658" w:type="pct"/>
                  <w:vAlign w:val="center"/>
                </w:tcPr>
                <w:p>
                  <w:pPr>
                    <w:jc w:val="center"/>
                    <w:rPr>
                      <w:color w:val="auto"/>
                    </w:rPr>
                  </w:pPr>
                  <w:r>
                    <w:rPr>
                      <w:color w:val="auto"/>
                    </w:rPr>
                    <w:t>80%</w:t>
                  </w:r>
                </w:p>
              </w:tc>
            </w:tr>
          </w:tbl>
          <w:p>
            <w:pPr>
              <w:widowControl/>
              <w:adjustRightInd w:val="0"/>
              <w:snapToGrid w:val="0"/>
              <w:spacing w:before="120" w:beforeLines="50" w:line="360" w:lineRule="auto"/>
              <w:ind w:firstLine="422" w:firstLineChars="200"/>
              <w:rPr>
                <w:b/>
                <w:color w:val="auto"/>
                <w:lang w:bidi="ar"/>
              </w:rPr>
            </w:pPr>
            <w:r>
              <w:rPr>
                <w:b/>
                <w:color w:val="auto"/>
                <w:lang w:bidi="ar"/>
              </w:rPr>
              <w:t>1.2、达标性分析</w:t>
            </w:r>
          </w:p>
          <w:p>
            <w:pPr>
              <w:pStyle w:val="246"/>
              <w:widowControl/>
              <w:adjustRightInd w:val="0"/>
              <w:snapToGrid w:val="0"/>
              <w:spacing w:line="360" w:lineRule="auto"/>
              <w:rPr>
                <w:b/>
                <w:color w:val="auto"/>
                <w:sz w:val="21"/>
                <w:szCs w:val="24"/>
                <w:lang w:bidi="ar"/>
              </w:rPr>
            </w:pPr>
            <w:r>
              <w:rPr>
                <w:b/>
                <w:color w:val="auto"/>
                <w:sz w:val="21"/>
                <w:szCs w:val="24"/>
                <w:lang w:bidi="ar"/>
              </w:rPr>
              <w:t>（1）配料粉尘</w:t>
            </w:r>
          </w:p>
          <w:p>
            <w:pPr>
              <w:pStyle w:val="246"/>
              <w:widowControl/>
              <w:adjustRightInd w:val="0"/>
              <w:snapToGrid w:val="0"/>
              <w:spacing w:line="360" w:lineRule="auto"/>
              <w:rPr>
                <w:color w:val="auto"/>
                <w:sz w:val="21"/>
                <w:szCs w:val="21"/>
              </w:rPr>
            </w:pPr>
            <w:r>
              <w:rPr>
                <w:rFonts w:cs="宋体"/>
                <w:bCs/>
                <w:color w:val="auto"/>
                <w:kern w:val="0"/>
                <w:sz w:val="21"/>
                <w:szCs w:val="21"/>
                <w:lang w:bidi="ar"/>
              </w:rPr>
              <w:t>本项目</w:t>
            </w:r>
            <w:r>
              <w:rPr>
                <w:rFonts w:hint="eastAsia" w:cs="宋体"/>
                <w:bCs/>
                <w:color w:val="auto"/>
                <w:kern w:val="0"/>
                <w:sz w:val="21"/>
                <w:szCs w:val="21"/>
                <w:lang w:val="en-US" w:eastAsia="zh-CN" w:bidi="ar"/>
              </w:rPr>
              <w:t>碳酸钙、</w:t>
            </w:r>
            <w:r>
              <w:rPr>
                <w:rFonts w:cs="宋体"/>
                <w:bCs/>
                <w:color w:val="auto"/>
                <w:kern w:val="0"/>
                <w:sz w:val="21"/>
                <w:szCs w:val="21"/>
                <w:lang w:bidi="ar"/>
              </w:rPr>
              <w:t>炭黑配料过程中会产生粉尘，粉尘产生量为</w:t>
            </w:r>
            <w:r>
              <w:rPr>
                <w:rFonts w:hint="eastAsia" w:cs="宋体"/>
                <w:bCs/>
                <w:color w:val="auto"/>
                <w:kern w:val="0"/>
                <w:sz w:val="21"/>
                <w:szCs w:val="21"/>
                <w:lang w:val="en-US" w:eastAsia="zh-CN" w:bidi="ar"/>
              </w:rPr>
              <w:t>1.15</w:t>
            </w:r>
            <w:r>
              <w:rPr>
                <w:rFonts w:cs="宋体"/>
                <w:bCs/>
                <w:color w:val="auto"/>
                <w:kern w:val="0"/>
                <w:sz w:val="21"/>
                <w:szCs w:val="21"/>
                <w:lang w:bidi="ar"/>
              </w:rPr>
              <w:t>t/a，收集后经脉冲除尘器处理后由一根15m高排气筒（DA001）排放，收集效率按95%计，处理效率按99%计，则配料粉尘有组织排放量为0.0</w:t>
            </w:r>
            <w:r>
              <w:rPr>
                <w:rFonts w:hint="eastAsia" w:cs="宋体"/>
                <w:bCs/>
                <w:color w:val="auto"/>
                <w:kern w:val="0"/>
                <w:sz w:val="21"/>
                <w:szCs w:val="21"/>
                <w:lang w:val="en-US" w:eastAsia="zh-CN" w:bidi="ar"/>
              </w:rPr>
              <w:t>109</w:t>
            </w:r>
            <w:r>
              <w:rPr>
                <w:rFonts w:cs="宋体"/>
                <w:bCs/>
                <w:color w:val="auto"/>
                <w:kern w:val="0"/>
                <w:sz w:val="21"/>
                <w:szCs w:val="21"/>
                <w:lang w:bidi="ar"/>
              </w:rPr>
              <w:t>t/a，排放速率约0.0</w:t>
            </w:r>
            <w:r>
              <w:rPr>
                <w:rFonts w:hint="eastAsia" w:cs="宋体"/>
                <w:bCs/>
                <w:color w:val="auto"/>
                <w:kern w:val="0"/>
                <w:sz w:val="21"/>
                <w:szCs w:val="21"/>
                <w:lang w:val="en-US" w:eastAsia="zh-CN" w:bidi="ar"/>
              </w:rPr>
              <w:t>046</w:t>
            </w:r>
            <w:r>
              <w:rPr>
                <w:rFonts w:cs="宋体"/>
                <w:bCs/>
                <w:color w:val="auto"/>
                <w:kern w:val="0"/>
                <w:sz w:val="21"/>
                <w:szCs w:val="21"/>
                <w:lang w:bidi="ar"/>
              </w:rPr>
              <w:t>kg/h，排放浓度约为</w:t>
            </w:r>
            <w:r>
              <w:rPr>
                <w:rFonts w:hint="eastAsia" w:cs="宋体"/>
                <w:bCs/>
                <w:color w:val="auto"/>
                <w:kern w:val="0"/>
                <w:sz w:val="21"/>
                <w:szCs w:val="21"/>
                <w:lang w:val="en-US" w:eastAsia="zh-CN" w:bidi="ar"/>
              </w:rPr>
              <w:t>0.76</w:t>
            </w:r>
            <w:r>
              <w:rPr>
                <w:rFonts w:cs="宋体"/>
                <w:bCs/>
                <w:color w:val="auto"/>
                <w:kern w:val="0"/>
                <w:sz w:val="21"/>
                <w:szCs w:val="21"/>
                <w:lang w:bidi="ar"/>
              </w:rPr>
              <w:t>mg/m</w:t>
            </w:r>
            <w:r>
              <w:rPr>
                <w:rFonts w:cs="宋体"/>
                <w:bCs/>
                <w:color w:val="auto"/>
                <w:kern w:val="0"/>
                <w:sz w:val="21"/>
                <w:szCs w:val="21"/>
                <w:vertAlign w:val="superscript"/>
                <w:lang w:bidi="ar"/>
              </w:rPr>
              <w:t>3</w:t>
            </w:r>
            <w:r>
              <w:rPr>
                <w:rFonts w:hint="eastAsia" w:cs="宋体"/>
                <w:bCs/>
                <w:color w:val="auto"/>
                <w:kern w:val="0"/>
                <w:sz w:val="21"/>
                <w:szCs w:val="21"/>
                <w:lang w:bidi="ar"/>
              </w:rPr>
              <w:t>，可以达到</w:t>
            </w:r>
            <w:r>
              <w:rPr>
                <w:rFonts w:hint="eastAsia"/>
                <w:color w:val="auto"/>
                <w:sz w:val="21"/>
                <w:szCs w:val="21"/>
              </w:rPr>
              <w:t>《橡胶制品工业污染物排放标准》（GB27632-2011）表5中轮胎企业及其他制品企业炼胶、硫化装置排放限值要求，未收集到的粉尘排放量为0.</w:t>
            </w:r>
            <w:r>
              <w:rPr>
                <w:rFonts w:hint="eastAsia"/>
                <w:color w:val="auto"/>
                <w:sz w:val="21"/>
                <w:szCs w:val="21"/>
                <w:lang w:val="en-US" w:eastAsia="zh-CN"/>
              </w:rPr>
              <w:t>0575</w:t>
            </w:r>
            <w:r>
              <w:rPr>
                <w:rFonts w:hint="eastAsia"/>
                <w:color w:val="auto"/>
                <w:sz w:val="21"/>
                <w:szCs w:val="21"/>
              </w:rPr>
              <w:t>t/a，排放速率为0.</w:t>
            </w:r>
            <w:r>
              <w:rPr>
                <w:rFonts w:hint="eastAsia"/>
                <w:color w:val="auto"/>
                <w:sz w:val="21"/>
                <w:szCs w:val="21"/>
                <w:lang w:val="en-US" w:eastAsia="zh-CN"/>
              </w:rPr>
              <w:t>02396</w:t>
            </w:r>
            <w:r>
              <w:rPr>
                <w:rFonts w:hint="eastAsia"/>
                <w:color w:val="auto"/>
                <w:sz w:val="21"/>
                <w:szCs w:val="21"/>
              </w:rPr>
              <w:t>kg/h，厂界无组织排放可以</w:t>
            </w:r>
            <w:r>
              <w:rPr>
                <w:rFonts w:hint="eastAsia" w:cs="宋体"/>
                <w:bCs/>
                <w:color w:val="auto"/>
                <w:kern w:val="0"/>
                <w:sz w:val="21"/>
                <w:szCs w:val="21"/>
                <w:lang w:bidi="ar"/>
              </w:rPr>
              <w:t>达到</w:t>
            </w:r>
            <w:r>
              <w:rPr>
                <w:rFonts w:hint="eastAsia"/>
                <w:color w:val="auto"/>
                <w:sz w:val="21"/>
                <w:szCs w:val="21"/>
              </w:rPr>
              <w:t>《橡胶制品工业污染物排放标准》（GB27632-2011）表6要求。</w:t>
            </w:r>
          </w:p>
          <w:p>
            <w:pPr>
              <w:pStyle w:val="246"/>
              <w:widowControl/>
              <w:adjustRightInd w:val="0"/>
              <w:snapToGrid w:val="0"/>
              <w:spacing w:line="360" w:lineRule="auto"/>
              <w:rPr>
                <w:b/>
                <w:color w:val="auto"/>
                <w:sz w:val="21"/>
                <w:szCs w:val="24"/>
                <w:lang w:bidi="ar"/>
              </w:rPr>
            </w:pPr>
            <w:r>
              <w:rPr>
                <w:rFonts w:hint="eastAsia"/>
                <w:b/>
                <w:color w:val="auto"/>
                <w:sz w:val="21"/>
                <w:szCs w:val="24"/>
                <w:lang w:bidi="ar"/>
              </w:rPr>
              <w:t>（2）混炼废气</w:t>
            </w:r>
          </w:p>
          <w:p>
            <w:pPr>
              <w:adjustRightInd w:val="0"/>
              <w:snapToGrid w:val="0"/>
              <w:spacing w:line="360" w:lineRule="auto"/>
              <w:ind w:firstLine="420" w:firstLineChars="200"/>
              <w:rPr>
                <w:color w:val="auto"/>
                <w:szCs w:val="21"/>
              </w:rPr>
            </w:pPr>
            <w:r>
              <w:rPr>
                <w:rFonts w:hint="eastAsia"/>
                <w:bCs/>
                <w:color w:val="auto"/>
                <w:szCs w:val="24"/>
                <w:lang w:bidi="ar"/>
              </w:rPr>
              <w:t>本项目</w:t>
            </w:r>
            <w:r>
              <w:rPr>
                <w:rStyle w:val="104"/>
                <w:color w:val="auto"/>
              </w:rPr>
              <w:t>混炼工序VOC</w:t>
            </w:r>
            <w:r>
              <w:rPr>
                <w:rStyle w:val="104"/>
                <w:rFonts w:hint="eastAsia"/>
                <w:color w:val="auto"/>
              </w:rPr>
              <w:t>s（以非甲烷总烃表征）、颗粒物</w:t>
            </w:r>
            <w:r>
              <w:rPr>
                <w:bCs/>
                <w:color w:val="auto"/>
              </w:rPr>
              <w:t>产生量</w:t>
            </w:r>
            <w:r>
              <w:rPr>
                <w:rFonts w:hint="eastAsia"/>
                <w:bCs/>
                <w:color w:val="auto"/>
              </w:rPr>
              <w:t>分别为</w:t>
            </w:r>
            <w:r>
              <w:rPr>
                <w:rFonts w:hint="eastAsia"/>
                <w:bCs/>
                <w:color w:val="FF0000"/>
                <w:lang w:val="en-US" w:eastAsia="zh-CN"/>
              </w:rPr>
              <w:t>2.6966</w:t>
            </w:r>
            <w:r>
              <w:rPr>
                <w:bCs/>
                <w:color w:val="FF0000"/>
              </w:rPr>
              <w:t>t/a</w:t>
            </w:r>
            <w:r>
              <w:rPr>
                <w:rFonts w:hint="eastAsia"/>
                <w:bCs/>
                <w:color w:val="FF0000"/>
              </w:rPr>
              <w:t>、</w:t>
            </w:r>
            <w:r>
              <w:rPr>
                <w:rFonts w:hint="eastAsia"/>
                <w:bCs/>
                <w:color w:val="FF0000"/>
                <w:lang w:val="en-US" w:eastAsia="zh-CN"/>
              </w:rPr>
              <w:t>2.7826</w:t>
            </w:r>
            <w:r>
              <w:rPr>
                <w:rFonts w:hint="eastAsia"/>
                <w:bCs/>
                <w:color w:val="FF0000"/>
              </w:rPr>
              <w:t>t/a</w:t>
            </w:r>
            <w:r>
              <w:rPr>
                <w:rFonts w:hint="eastAsia"/>
                <w:bCs/>
                <w:color w:val="auto"/>
                <w:szCs w:val="24"/>
                <w:lang w:bidi="ar"/>
              </w:rPr>
              <w:t>，混炼废气经负压收集至“</w:t>
            </w:r>
            <w:r>
              <w:rPr>
                <w:rFonts w:hint="eastAsia" w:cs="宋体"/>
                <w:bCs/>
                <w:color w:val="auto"/>
                <w:szCs w:val="21"/>
                <w:lang w:bidi="ar"/>
              </w:rPr>
              <w:t>布袋除尘+</w:t>
            </w:r>
            <w:r>
              <w:rPr>
                <w:rFonts w:hint="eastAsia" w:cs="宋体"/>
                <w:bCs/>
                <w:color w:val="auto"/>
                <w:szCs w:val="21"/>
                <w:lang w:val="en-US" w:eastAsia="zh-CN" w:bidi="ar"/>
              </w:rPr>
              <w:t>两</w:t>
            </w:r>
            <w:r>
              <w:rPr>
                <w:rFonts w:hint="eastAsia" w:cs="宋体"/>
                <w:bCs/>
                <w:color w:val="auto"/>
                <w:szCs w:val="21"/>
                <w:lang w:bidi="ar"/>
              </w:rPr>
              <w:t>级活性炭吸附”装置处理后由一根15m高排气筒（DA002）排放，收集效率大于80%，颗粒物</w:t>
            </w:r>
            <w:r>
              <w:rPr>
                <w:rFonts w:hint="eastAsia"/>
                <w:color w:val="auto"/>
                <w:szCs w:val="21"/>
              </w:rPr>
              <w:t>处理效率按99%计</w:t>
            </w:r>
            <w:r>
              <w:rPr>
                <w:bCs/>
                <w:color w:val="auto"/>
              </w:rPr>
              <w:t>，</w:t>
            </w:r>
            <w:r>
              <w:rPr>
                <w:rStyle w:val="104"/>
                <w:color w:val="auto"/>
              </w:rPr>
              <w:t>VOC</w:t>
            </w:r>
            <w:r>
              <w:rPr>
                <w:rStyle w:val="104"/>
                <w:rFonts w:hint="eastAsia"/>
                <w:color w:val="auto"/>
              </w:rPr>
              <w:t>s（以非甲烷总烃表征）处理效率按70%计，则</w:t>
            </w:r>
            <w:r>
              <w:rPr>
                <w:rStyle w:val="104"/>
                <w:color w:val="auto"/>
              </w:rPr>
              <w:t>VOC</w:t>
            </w:r>
            <w:r>
              <w:rPr>
                <w:rStyle w:val="104"/>
                <w:rFonts w:hint="eastAsia"/>
                <w:color w:val="auto"/>
              </w:rPr>
              <w:t>s（以非甲烷总烃表征）</w:t>
            </w:r>
            <w:r>
              <w:rPr>
                <w:bCs/>
                <w:color w:val="auto"/>
              </w:rPr>
              <w:t>产生量</w:t>
            </w:r>
            <w:r>
              <w:rPr>
                <w:rFonts w:hint="eastAsia"/>
                <w:bCs/>
                <w:color w:val="FF0000"/>
                <w:lang w:val="en-US" w:eastAsia="zh-CN"/>
              </w:rPr>
              <w:t>2.6966</w:t>
            </w:r>
            <w:r>
              <w:rPr>
                <w:bCs/>
                <w:color w:val="FF0000"/>
              </w:rPr>
              <w:t>t/a</w:t>
            </w:r>
            <w:r>
              <w:rPr>
                <w:bCs/>
                <w:color w:val="auto"/>
              </w:rPr>
              <w:t>，产生速率约</w:t>
            </w:r>
            <w:r>
              <w:rPr>
                <w:rFonts w:hint="eastAsia"/>
                <w:bCs/>
                <w:color w:val="FF0000"/>
                <w:lang w:val="en-US" w:eastAsia="zh-CN"/>
              </w:rPr>
              <w:t>1.1236</w:t>
            </w:r>
            <w:r>
              <w:rPr>
                <w:bCs/>
                <w:color w:val="FF0000"/>
              </w:rPr>
              <w:t>kg/h</w:t>
            </w:r>
            <w:r>
              <w:rPr>
                <w:bCs/>
                <w:color w:val="auto"/>
              </w:rPr>
              <w:t>，产生浓度约</w:t>
            </w:r>
            <w:r>
              <w:rPr>
                <w:rFonts w:hint="eastAsia"/>
                <w:bCs/>
                <w:color w:val="FF0000"/>
                <w:lang w:val="en-US" w:eastAsia="zh-CN"/>
              </w:rPr>
              <w:t>24.97</w:t>
            </w:r>
            <w:r>
              <w:rPr>
                <w:bCs/>
                <w:color w:val="FF0000"/>
              </w:rPr>
              <w:t>mg/m</w:t>
            </w:r>
            <w:r>
              <w:rPr>
                <w:bCs/>
                <w:color w:val="FF0000"/>
                <w:vertAlign w:val="superscript"/>
              </w:rPr>
              <w:t>3</w:t>
            </w:r>
            <w:r>
              <w:rPr>
                <w:bCs/>
                <w:color w:val="auto"/>
              </w:rPr>
              <w:t>，</w:t>
            </w:r>
            <w:r>
              <w:rPr>
                <w:rFonts w:hint="eastAsia"/>
                <w:bCs/>
                <w:color w:val="auto"/>
              </w:rPr>
              <w:t>有组织</w:t>
            </w:r>
            <w:r>
              <w:rPr>
                <w:bCs/>
                <w:color w:val="auto"/>
              </w:rPr>
              <w:t>排放量约</w:t>
            </w:r>
            <w:r>
              <w:rPr>
                <w:bCs/>
                <w:color w:val="FF0000"/>
              </w:rPr>
              <w:t>0.</w:t>
            </w:r>
            <w:r>
              <w:rPr>
                <w:rFonts w:hint="eastAsia"/>
                <w:bCs/>
                <w:color w:val="FF0000"/>
                <w:lang w:val="en-US" w:eastAsia="zh-CN"/>
              </w:rPr>
              <w:t>70786</w:t>
            </w:r>
            <w:r>
              <w:rPr>
                <w:bCs/>
                <w:color w:val="FF0000"/>
              </w:rPr>
              <w:t>t/a</w:t>
            </w:r>
            <w:r>
              <w:rPr>
                <w:bCs/>
                <w:color w:val="auto"/>
              </w:rPr>
              <w:t>，排放速率约</w:t>
            </w:r>
            <w:r>
              <w:rPr>
                <w:bCs/>
                <w:color w:val="FF0000"/>
              </w:rPr>
              <w:t>0.</w:t>
            </w:r>
            <w:r>
              <w:rPr>
                <w:rFonts w:hint="eastAsia"/>
                <w:bCs/>
                <w:color w:val="FF0000"/>
                <w:lang w:val="en-US" w:eastAsia="zh-CN"/>
              </w:rPr>
              <w:t>29464</w:t>
            </w:r>
            <w:r>
              <w:rPr>
                <w:bCs/>
                <w:color w:val="FF0000"/>
              </w:rPr>
              <w:t>kg/h</w:t>
            </w:r>
            <w:r>
              <w:rPr>
                <w:bCs/>
                <w:color w:val="auto"/>
              </w:rPr>
              <w:t>，排放浓度约为</w:t>
            </w:r>
            <w:r>
              <w:rPr>
                <w:rFonts w:hint="eastAsia"/>
                <w:bCs/>
                <w:color w:val="FF0000"/>
                <w:lang w:val="en-US" w:eastAsia="zh-CN"/>
              </w:rPr>
              <w:t>6.55</w:t>
            </w:r>
            <w:r>
              <w:rPr>
                <w:bCs/>
                <w:color w:val="FF0000"/>
              </w:rPr>
              <w:t>mg/m</w:t>
            </w:r>
            <w:r>
              <w:rPr>
                <w:bCs/>
                <w:color w:val="FF0000"/>
                <w:vertAlign w:val="superscript"/>
              </w:rPr>
              <w:t>3</w:t>
            </w:r>
            <w:r>
              <w:rPr>
                <w:bCs/>
                <w:color w:val="auto"/>
              </w:rPr>
              <w:t>；颗粒物产生量</w:t>
            </w:r>
            <w:r>
              <w:rPr>
                <w:rFonts w:hint="eastAsia"/>
                <w:bCs/>
                <w:color w:val="FF0000"/>
                <w:lang w:val="en-US" w:eastAsia="zh-CN"/>
              </w:rPr>
              <w:t>2.7826</w:t>
            </w:r>
            <w:r>
              <w:rPr>
                <w:bCs/>
                <w:color w:val="FF0000"/>
              </w:rPr>
              <w:t>t/a</w:t>
            </w:r>
            <w:r>
              <w:rPr>
                <w:bCs/>
                <w:color w:val="auto"/>
              </w:rPr>
              <w:t>，产生速率约</w:t>
            </w:r>
            <w:r>
              <w:rPr>
                <w:rFonts w:hint="eastAsia"/>
                <w:bCs/>
                <w:color w:val="FF0000"/>
                <w:lang w:val="en-US" w:eastAsia="zh-CN"/>
              </w:rPr>
              <w:t>1.1594</w:t>
            </w:r>
            <w:r>
              <w:rPr>
                <w:bCs/>
                <w:color w:val="FF0000"/>
              </w:rPr>
              <w:t>kg/h</w:t>
            </w:r>
            <w:r>
              <w:rPr>
                <w:bCs/>
                <w:color w:val="auto"/>
              </w:rPr>
              <w:t>，产生浓度</w:t>
            </w:r>
            <w:r>
              <w:rPr>
                <w:rFonts w:hint="eastAsia"/>
                <w:bCs/>
                <w:color w:val="FF0000"/>
                <w:lang w:val="en-US" w:eastAsia="zh-CN"/>
              </w:rPr>
              <w:t>25.76</w:t>
            </w:r>
            <w:r>
              <w:rPr>
                <w:bCs/>
                <w:color w:val="FF0000"/>
              </w:rPr>
              <w:t>mg/m</w:t>
            </w:r>
            <w:r>
              <w:rPr>
                <w:bCs/>
                <w:color w:val="FF0000"/>
                <w:vertAlign w:val="superscript"/>
              </w:rPr>
              <w:t>3</w:t>
            </w:r>
            <w:r>
              <w:rPr>
                <w:bCs/>
                <w:color w:val="auto"/>
              </w:rPr>
              <w:t>，</w:t>
            </w:r>
            <w:r>
              <w:rPr>
                <w:rFonts w:hint="eastAsia"/>
                <w:bCs/>
                <w:color w:val="auto"/>
              </w:rPr>
              <w:t>有组织</w:t>
            </w:r>
            <w:r>
              <w:rPr>
                <w:bCs/>
                <w:color w:val="auto"/>
              </w:rPr>
              <w:t>排放量约</w:t>
            </w:r>
            <w:r>
              <w:rPr>
                <w:rFonts w:hint="eastAsia"/>
                <w:bCs/>
                <w:color w:val="FF0000"/>
                <w:lang w:val="en-US" w:eastAsia="zh-CN"/>
              </w:rPr>
              <w:t>0.024348</w:t>
            </w:r>
            <w:r>
              <w:rPr>
                <w:bCs/>
                <w:color w:val="FF0000"/>
                <w:highlight w:val="none"/>
              </w:rPr>
              <w:t>t/a</w:t>
            </w:r>
            <w:r>
              <w:rPr>
                <w:bCs/>
                <w:color w:val="auto"/>
              </w:rPr>
              <w:t>，排放速率约</w:t>
            </w:r>
            <w:r>
              <w:rPr>
                <w:bCs/>
                <w:color w:val="FF0000"/>
                <w:highlight w:val="none"/>
              </w:rPr>
              <w:t>0.0</w:t>
            </w:r>
            <w:r>
              <w:rPr>
                <w:rFonts w:hint="eastAsia"/>
                <w:bCs/>
                <w:color w:val="FF0000"/>
                <w:highlight w:val="none"/>
                <w:lang w:val="en-US" w:eastAsia="zh-CN"/>
              </w:rPr>
              <w:t>10145</w:t>
            </w:r>
            <w:r>
              <w:rPr>
                <w:bCs/>
                <w:color w:val="FF0000"/>
                <w:highlight w:val="none"/>
              </w:rPr>
              <w:t>kg/h</w:t>
            </w:r>
            <w:r>
              <w:rPr>
                <w:bCs/>
                <w:color w:val="auto"/>
              </w:rPr>
              <w:t>，排放浓度约为</w:t>
            </w:r>
            <w:r>
              <w:rPr>
                <w:bCs/>
                <w:color w:val="FF0000"/>
                <w:highlight w:val="none"/>
              </w:rPr>
              <w:t>0.</w:t>
            </w:r>
            <w:r>
              <w:rPr>
                <w:rFonts w:hint="eastAsia"/>
                <w:bCs/>
                <w:color w:val="FF0000"/>
                <w:highlight w:val="none"/>
                <w:lang w:val="en-US" w:eastAsia="zh-CN"/>
              </w:rPr>
              <w:t>225</w:t>
            </w:r>
            <w:r>
              <w:rPr>
                <w:bCs/>
                <w:color w:val="FF0000"/>
                <w:highlight w:val="none"/>
              </w:rPr>
              <w:t>mg/m</w:t>
            </w:r>
            <w:r>
              <w:rPr>
                <w:bCs/>
                <w:color w:val="FF0000"/>
                <w:highlight w:val="none"/>
                <w:vertAlign w:val="superscript"/>
              </w:rPr>
              <w:t>3</w:t>
            </w:r>
            <w:r>
              <w:rPr>
                <w:rFonts w:hint="eastAsia"/>
                <w:bCs/>
                <w:color w:val="auto"/>
              </w:rPr>
              <w:t>，均可达到</w:t>
            </w:r>
            <w:r>
              <w:rPr>
                <w:rFonts w:hint="eastAsia"/>
                <w:color w:val="auto"/>
                <w:szCs w:val="21"/>
              </w:rPr>
              <w:t>《橡胶制品工业污染物排放标准》（GB27632-2011）表5中轮胎企业及其他制品企业炼胶、硫化装置排放限值要求</w:t>
            </w:r>
            <w:r>
              <w:rPr>
                <w:rStyle w:val="104"/>
                <w:rFonts w:hint="eastAsia"/>
                <w:color w:val="auto"/>
              </w:rPr>
              <w:t>，厂界</w:t>
            </w:r>
            <w:r>
              <w:rPr>
                <w:rFonts w:hint="eastAsia"/>
                <w:color w:val="auto"/>
                <w:szCs w:val="21"/>
              </w:rPr>
              <w:t>无组织排放</w:t>
            </w:r>
            <w:r>
              <w:rPr>
                <w:rStyle w:val="104"/>
                <w:rFonts w:hint="eastAsia"/>
                <w:color w:val="auto"/>
              </w:rPr>
              <w:t>可以达到</w:t>
            </w:r>
            <w:r>
              <w:rPr>
                <w:rFonts w:hint="eastAsia"/>
                <w:color w:val="auto"/>
                <w:szCs w:val="21"/>
              </w:rPr>
              <w:t>《橡胶制品工业污染物排放标准》（GB27632-2011）表6新建企业厂界无组织排放限值要求。</w:t>
            </w:r>
          </w:p>
          <w:p>
            <w:pPr>
              <w:pStyle w:val="246"/>
              <w:widowControl/>
              <w:adjustRightInd w:val="0"/>
              <w:snapToGrid w:val="0"/>
              <w:spacing w:line="360" w:lineRule="auto"/>
              <w:rPr>
                <w:bCs/>
                <w:color w:val="auto"/>
                <w:sz w:val="21"/>
                <w:szCs w:val="24"/>
                <w:lang w:bidi="ar"/>
              </w:rPr>
            </w:pPr>
            <w:r>
              <w:rPr>
                <w:rStyle w:val="104"/>
                <w:color w:val="auto"/>
              </w:rPr>
              <w:t>VOC</w:t>
            </w:r>
            <w:r>
              <w:rPr>
                <w:rStyle w:val="104"/>
                <w:rFonts w:hint="eastAsia"/>
                <w:color w:val="auto"/>
              </w:rPr>
              <w:t>s（以非甲烷总烃表征）</w:t>
            </w:r>
            <w:r>
              <w:rPr>
                <w:rFonts w:hint="eastAsia"/>
                <w:color w:val="auto"/>
                <w:sz w:val="21"/>
                <w:szCs w:val="21"/>
              </w:rPr>
              <w:t>厂房外无组织排放可以达到</w:t>
            </w:r>
            <w:r>
              <w:rPr>
                <w:rFonts w:hint="eastAsia" w:cs="宋体"/>
                <w:bCs/>
                <w:color w:val="auto"/>
                <w:kern w:val="0"/>
                <w:sz w:val="21"/>
                <w:szCs w:val="21"/>
                <w:lang w:bidi="ar"/>
              </w:rPr>
              <w:t>广</w:t>
            </w:r>
            <w:r>
              <w:rPr>
                <w:rFonts w:hint="eastAsia"/>
                <w:color w:val="auto"/>
                <w:sz w:val="21"/>
                <w:szCs w:val="21"/>
              </w:rPr>
              <w:t>东省《固定污染物挥发性有机物综合排放标准》（DB 44/2367-2022）表3厂区内VOCs无组织排放限值。</w:t>
            </w:r>
          </w:p>
          <w:p>
            <w:pPr>
              <w:pStyle w:val="246"/>
              <w:widowControl/>
              <w:adjustRightInd w:val="0"/>
              <w:snapToGrid w:val="0"/>
              <w:spacing w:line="360" w:lineRule="auto"/>
              <w:rPr>
                <w:b/>
                <w:color w:val="auto"/>
                <w:sz w:val="21"/>
                <w:szCs w:val="24"/>
                <w:lang w:bidi="ar"/>
              </w:rPr>
            </w:pPr>
            <w:r>
              <w:rPr>
                <w:rFonts w:hint="eastAsia"/>
                <w:b/>
                <w:color w:val="auto"/>
                <w:sz w:val="21"/>
                <w:szCs w:val="24"/>
                <w:lang w:bidi="ar"/>
              </w:rPr>
              <w:t>（3）模压废气</w:t>
            </w:r>
          </w:p>
          <w:p>
            <w:pPr>
              <w:adjustRightInd w:val="0"/>
              <w:snapToGrid w:val="0"/>
              <w:spacing w:line="360" w:lineRule="auto"/>
              <w:ind w:firstLine="420" w:firstLineChars="200"/>
              <w:rPr>
                <w:rFonts w:cs="宋体"/>
                <w:bCs/>
                <w:color w:val="auto"/>
                <w:szCs w:val="21"/>
                <w:lang w:bidi="ar"/>
              </w:rPr>
            </w:pPr>
            <w:r>
              <w:rPr>
                <w:rFonts w:hint="eastAsia" w:cs="宋体"/>
                <w:bCs/>
                <w:color w:val="auto"/>
                <w:szCs w:val="21"/>
                <w:lang w:bidi="ar"/>
              </w:rPr>
              <w:t>本项目模压</w:t>
            </w:r>
            <w:r>
              <w:rPr>
                <w:rFonts w:cs="宋体"/>
                <w:bCs/>
                <w:color w:val="auto"/>
                <w:szCs w:val="21"/>
                <w:lang w:bidi="ar"/>
              </w:rPr>
              <w:t>工序VOC</w:t>
            </w:r>
            <w:r>
              <w:rPr>
                <w:rFonts w:hint="eastAsia" w:cs="宋体"/>
                <w:bCs/>
                <w:color w:val="auto"/>
                <w:szCs w:val="21"/>
                <w:lang w:bidi="ar"/>
              </w:rPr>
              <w:t>s（以非甲烷总烃表征）</w:t>
            </w:r>
            <w:r>
              <w:rPr>
                <w:rFonts w:cs="宋体"/>
                <w:bCs/>
                <w:color w:val="auto"/>
                <w:szCs w:val="21"/>
                <w:lang w:bidi="ar"/>
              </w:rPr>
              <w:t>产生量</w:t>
            </w:r>
            <w:r>
              <w:rPr>
                <w:rFonts w:hint="eastAsia" w:cs="宋体"/>
                <w:bCs/>
                <w:color w:val="auto"/>
                <w:szCs w:val="21"/>
                <w:lang w:bidi="ar"/>
              </w:rPr>
              <w:t>为</w:t>
            </w:r>
            <w:r>
              <w:rPr>
                <w:bCs/>
                <w:color w:val="FF0000"/>
              </w:rPr>
              <w:t>0.0</w:t>
            </w:r>
            <w:r>
              <w:rPr>
                <w:rFonts w:hint="eastAsia"/>
                <w:bCs/>
                <w:color w:val="FF0000"/>
                <w:lang w:val="en-US" w:eastAsia="zh-CN"/>
              </w:rPr>
              <w:t>175</w:t>
            </w:r>
            <w:r>
              <w:rPr>
                <w:bCs/>
                <w:color w:val="FF0000"/>
              </w:rPr>
              <w:t>t/a</w:t>
            </w:r>
            <w:r>
              <w:rPr>
                <w:rFonts w:hint="eastAsia" w:cs="宋体"/>
                <w:bCs/>
                <w:color w:val="auto"/>
                <w:szCs w:val="21"/>
                <w:lang w:bidi="ar"/>
              </w:rPr>
              <w:t>，模压废气经负压收集至“</w:t>
            </w:r>
            <w:r>
              <w:rPr>
                <w:rFonts w:hint="eastAsia" w:cs="宋体"/>
                <w:bCs/>
                <w:color w:val="auto"/>
                <w:szCs w:val="21"/>
                <w:lang w:val="en-US" w:eastAsia="zh-CN" w:bidi="ar"/>
              </w:rPr>
              <w:t>两</w:t>
            </w:r>
            <w:r>
              <w:rPr>
                <w:rFonts w:hint="eastAsia" w:cs="宋体"/>
                <w:bCs/>
                <w:color w:val="auto"/>
                <w:szCs w:val="21"/>
                <w:lang w:bidi="ar"/>
              </w:rPr>
              <w:t>级活性炭吸附”装置处理后由一根15m高排气筒（DA003）排放，收集效率按</w:t>
            </w:r>
            <w:r>
              <w:rPr>
                <w:rFonts w:hint="eastAsia" w:cs="宋体"/>
                <w:bCs/>
                <w:color w:val="auto"/>
                <w:szCs w:val="21"/>
                <w:lang w:val="en-US" w:eastAsia="zh-CN" w:bidi="ar"/>
              </w:rPr>
              <w:t>95</w:t>
            </w:r>
            <w:r>
              <w:rPr>
                <w:rFonts w:hint="eastAsia" w:cs="宋体"/>
                <w:bCs/>
                <w:color w:val="auto"/>
                <w:szCs w:val="21"/>
                <w:lang w:bidi="ar"/>
              </w:rPr>
              <w:t>%计，处理效率按70%计</w:t>
            </w:r>
            <w:r>
              <w:rPr>
                <w:rFonts w:cs="宋体"/>
                <w:bCs/>
                <w:color w:val="auto"/>
                <w:szCs w:val="21"/>
                <w:lang w:bidi="ar"/>
              </w:rPr>
              <w:t>，VOC</w:t>
            </w:r>
            <w:r>
              <w:rPr>
                <w:rFonts w:hint="eastAsia" w:cs="宋体"/>
                <w:bCs/>
                <w:color w:val="auto"/>
                <w:szCs w:val="21"/>
                <w:lang w:bidi="ar"/>
              </w:rPr>
              <w:t>s（以非甲烷总烃表征）</w:t>
            </w:r>
            <w:r>
              <w:rPr>
                <w:rFonts w:cs="宋体"/>
                <w:bCs/>
                <w:color w:val="auto"/>
                <w:szCs w:val="21"/>
                <w:lang w:bidi="ar"/>
              </w:rPr>
              <w:t>产生速率约</w:t>
            </w:r>
            <w:r>
              <w:rPr>
                <w:bCs/>
                <w:color w:val="FF0000"/>
              </w:rPr>
              <w:t>0.00</w:t>
            </w:r>
            <w:r>
              <w:rPr>
                <w:rFonts w:hint="eastAsia"/>
                <w:bCs/>
                <w:color w:val="FF0000"/>
                <w:lang w:val="en-US" w:eastAsia="zh-CN"/>
              </w:rPr>
              <w:t>7293</w:t>
            </w:r>
            <w:r>
              <w:rPr>
                <w:bCs/>
                <w:color w:val="FF0000"/>
              </w:rPr>
              <w:t>kg/h</w:t>
            </w:r>
            <w:r>
              <w:rPr>
                <w:rFonts w:cs="宋体"/>
                <w:bCs/>
                <w:color w:val="auto"/>
                <w:szCs w:val="21"/>
                <w:lang w:bidi="ar"/>
              </w:rPr>
              <w:t>，产生浓度约</w:t>
            </w:r>
            <w:r>
              <w:rPr>
                <w:bCs/>
                <w:color w:val="FF0000"/>
              </w:rPr>
              <w:t>0.</w:t>
            </w:r>
            <w:r>
              <w:rPr>
                <w:rFonts w:hint="eastAsia"/>
                <w:bCs/>
                <w:color w:val="FF0000"/>
                <w:lang w:val="en-US" w:eastAsia="zh-CN"/>
              </w:rPr>
              <w:t>28</w:t>
            </w:r>
            <w:r>
              <w:rPr>
                <w:bCs/>
                <w:color w:val="FF0000"/>
              </w:rPr>
              <w:t>mg/m</w:t>
            </w:r>
            <w:r>
              <w:rPr>
                <w:bCs/>
                <w:color w:val="FF0000"/>
                <w:vertAlign w:val="superscript"/>
              </w:rPr>
              <w:t>3</w:t>
            </w:r>
            <w:r>
              <w:rPr>
                <w:rFonts w:cs="宋体"/>
                <w:bCs/>
                <w:color w:val="auto"/>
                <w:szCs w:val="21"/>
                <w:lang w:bidi="ar"/>
              </w:rPr>
              <w:t>，排放量约</w:t>
            </w:r>
            <w:r>
              <w:rPr>
                <w:bCs/>
                <w:color w:val="FF0000"/>
              </w:rPr>
              <w:t>0.00</w:t>
            </w:r>
            <w:r>
              <w:rPr>
                <w:rFonts w:hint="eastAsia"/>
                <w:bCs/>
                <w:color w:val="FF0000"/>
                <w:lang w:val="en-US" w:eastAsia="zh-CN"/>
              </w:rPr>
              <w:t>4988</w:t>
            </w:r>
            <w:r>
              <w:rPr>
                <w:bCs/>
                <w:color w:val="FF0000"/>
              </w:rPr>
              <w:t>t/a</w:t>
            </w:r>
            <w:r>
              <w:rPr>
                <w:rFonts w:cs="宋体"/>
                <w:bCs/>
                <w:color w:val="auto"/>
                <w:szCs w:val="21"/>
                <w:lang w:bidi="ar"/>
              </w:rPr>
              <w:t>，排放速率约</w:t>
            </w:r>
            <w:r>
              <w:rPr>
                <w:bCs/>
                <w:color w:val="FF0000"/>
              </w:rPr>
              <w:t>0.00</w:t>
            </w:r>
            <w:r>
              <w:rPr>
                <w:rFonts w:hint="eastAsia"/>
                <w:bCs/>
                <w:color w:val="FF0000"/>
                <w:lang w:val="en-US" w:eastAsia="zh-CN"/>
              </w:rPr>
              <w:t>2078</w:t>
            </w:r>
            <w:r>
              <w:rPr>
                <w:bCs/>
                <w:color w:val="FF0000"/>
              </w:rPr>
              <w:t>kg/h</w:t>
            </w:r>
            <w:r>
              <w:rPr>
                <w:rFonts w:cs="宋体"/>
                <w:bCs/>
                <w:color w:val="auto"/>
                <w:szCs w:val="21"/>
                <w:lang w:bidi="ar"/>
              </w:rPr>
              <w:t>，排放浓度约为</w:t>
            </w:r>
            <w:r>
              <w:rPr>
                <w:bCs/>
                <w:color w:val="FF0000"/>
              </w:rPr>
              <w:t>0.0</w:t>
            </w:r>
            <w:r>
              <w:rPr>
                <w:rFonts w:hint="eastAsia"/>
                <w:bCs/>
                <w:color w:val="FF0000"/>
                <w:lang w:val="en-US" w:eastAsia="zh-CN"/>
              </w:rPr>
              <w:t>8</w:t>
            </w:r>
            <w:r>
              <w:rPr>
                <w:bCs/>
                <w:color w:val="FF0000"/>
              </w:rPr>
              <w:t>mg/m</w:t>
            </w:r>
            <w:r>
              <w:rPr>
                <w:bCs/>
                <w:color w:val="FF0000"/>
                <w:vertAlign w:val="superscript"/>
              </w:rPr>
              <w:t>3</w:t>
            </w:r>
            <w:r>
              <w:rPr>
                <w:rFonts w:hint="eastAsia" w:cs="宋体"/>
                <w:bCs/>
                <w:color w:val="auto"/>
                <w:szCs w:val="21"/>
                <w:lang w:bidi="ar"/>
              </w:rPr>
              <w:t>，可达到《橡胶制品工业污染物排放标准》（GB27632-2011）表5中轮胎企业及其他制品企业炼胶、硫化装置排放限值要求。</w:t>
            </w:r>
            <w:r>
              <w:rPr>
                <w:rStyle w:val="104"/>
                <w:color w:val="auto"/>
              </w:rPr>
              <w:t>VOC</w:t>
            </w:r>
            <w:r>
              <w:rPr>
                <w:rStyle w:val="104"/>
                <w:rFonts w:hint="eastAsia"/>
                <w:color w:val="auto"/>
              </w:rPr>
              <w:t>s（以非甲烷总烃表征）无组织排放量为</w:t>
            </w:r>
            <w:r>
              <w:rPr>
                <w:rFonts w:hint="eastAsia"/>
                <w:bCs/>
                <w:color w:val="FF0000"/>
              </w:rPr>
              <w:t>0.000</w:t>
            </w:r>
            <w:r>
              <w:rPr>
                <w:rFonts w:hint="eastAsia"/>
                <w:bCs/>
                <w:color w:val="FF0000"/>
                <w:lang w:val="en-US" w:eastAsia="zh-CN"/>
              </w:rPr>
              <w:t>875t</w:t>
            </w:r>
            <w:r>
              <w:rPr>
                <w:rFonts w:hint="eastAsia"/>
                <w:bCs/>
                <w:color w:val="FF0000"/>
              </w:rPr>
              <w:t>/a</w:t>
            </w:r>
            <w:r>
              <w:rPr>
                <w:rStyle w:val="104"/>
                <w:rFonts w:hint="eastAsia"/>
                <w:color w:val="auto"/>
              </w:rPr>
              <w:t>，排放速率为</w:t>
            </w:r>
            <w:r>
              <w:rPr>
                <w:rFonts w:hint="eastAsia"/>
                <w:bCs/>
                <w:color w:val="FF0000"/>
              </w:rPr>
              <w:t>0.000</w:t>
            </w:r>
            <w:r>
              <w:rPr>
                <w:rFonts w:hint="eastAsia"/>
                <w:bCs/>
                <w:color w:val="FF0000"/>
                <w:lang w:val="en-US" w:eastAsia="zh-CN"/>
              </w:rPr>
              <w:t>3646</w:t>
            </w:r>
            <w:r>
              <w:rPr>
                <w:rFonts w:hint="eastAsia"/>
                <w:bCs/>
                <w:color w:val="FF0000"/>
              </w:rPr>
              <w:t>kg/h</w:t>
            </w:r>
            <w:r>
              <w:rPr>
                <w:rStyle w:val="104"/>
                <w:rFonts w:hint="eastAsia"/>
                <w:color w:val="auto"/>
              </w:rPr>
              <w:t>，厂界</w:t>
            </w:r>
            <w:r>
              <w:rPr>
                <w:rFonts w:hint="eastAsia"/>
                <w:color w:val="auto"/>
                <w:szCs w:val="21"/>
              </w:rPr>
              <w:t>无组织排放</w:t>
            </w:r>
            <w:r>
              <w:rPr>
                <w:rStyle w:val="104"/>
                <w:rFonts w:hint="eastAsia"/>
                <w:color w:val="auto"/>
              </w:rPr>
              <w:t>可以达到</w:t>
            </w:r>
            <w:r>
              <w:rPr>
                <w:rFonts w:hint="eastAsia"/>
                <w:color w:val="auto"/>
                <w:szCs w:val="21"/>
              </w:rPr>
              <w:t>《橡胶制品工业污染物排放标准》（GB27632-2011）表6新建企业厂界无组织排放限值要求。</w:t>
            </w:r>
          </w:p>
          <w:p>
            <w:pPr>
              <w:pStyle w:val="246"/>
              <w:widowControl/>
              <w:adjustRightInd w:val="0"/>
              <w:snapToGrid w:val="0"/>
              <w:spacing w:line="360" w:lineRule="auto"/>
              <w:rPr>
                <w:rFonts w:cs="宋体"/>
                <w:bCs/>
                <w:color w:val="auto"/>
                <w:kern w:val="0"/>
                <w:sz w:val="21"/>
                <w:szCs w:val="21"/>
                <w:lang w:bidi="ar"/>
              </w:rPr>
            </w:pPr>
            <w:r>
              <w:rPr>
                <w:rStyle w:val="104"/>
                <w:color w:val="auto"/>
              </w:rPr>
              <w:t>VOC</w:t>
            </w:r>
            <w:r>
              <w:rPr>
                <w:rStyle w:val="104"/>
                <w:rFonts w:hint="eastAsia"/>
                <w:color w:val="auto"/>
              </w:rPr>
              <w:t>s（以非甲烷总烃表征）</w:t>
            </w:r>
            <w:r>
              <w:rPr>
                <w:rFonts w:hint="eastAsia"/>
                <w:color w:val="auto"/>
                <w:sz w:val="21"/>
                <w:szCs w:val="21"/>
              </w:rPr>
              <w:t>厂房外无组织排放可以达到广东省《固定污染物挥发性有机物综合排放标准》（DB 44/2367-2022）表3厂区内VOCs无组织排放限值</w:t>
            </w:r>
            <w:r>
              <w:rPr>
                <w:rFonts w:hint="eastAsia" w:cs="宋体"/>
                <w:bCs/>
                <w:color w:val="auto"/>
                <w:kern w:val="0"/>
                <w:sz w:val="21"/>
                <w:szCs w:val="21"/>
                <w:lang w:bidi="ar"/>
              </w:rPr>
              <w:t>。</w:t>
            </w:r>
          </w:p>
          <w:p>
            <w:pPr>
              <w:tabs>
                <w:tab w:val="left" w:pos="3510"/>
              </w:tabs>
              <w:adjustRightInd w:val="0"/>
              <w:snapToGrid w:val="0"/>
              <w:spacing w:line="352" w:lineRule="auto"/>
              <w:ind w:firstLine="422" w:firstLineChars="200"/>
              <w:rPr>
                <w:b/>
                <w:color w:val="auto"/>
              </w:rPr>
            </w:pPr>
            <w:r>
              <w:rPr>
                <w:rFonts w:hint="eastAsia" w:cs="宋体"/>
                <w:b/>
                <w:color w:val="auto"/>
                <w:lang w:bidi="ar"/>
              </w:rPr>
              <w:t>（4）食堂油烟</w:t>
            </w:r>
          </w:p>
          <w:p>
            <w:pPr>
              <w:tabs>
                <w:tab w:val="left" w:pos="3510"/>
              </w:tabs>
              <w:adjustRightInd w:val="0"/>
              <w:snapToGrid w:val="0"/>
              <w:spacing w:line="360" w:lineRule="auto"/>
              <w:ind w:firstLine="420" w:firstLineChars="200"/>
              <w:rPr>
                <w:color w:val="auto"/>
                <w:lang w:bidi="ar"/>
              </w:rPr>
            </w:pPr>
            <w:r>
              <w:rPr>
                <w:rFonts w:hint="eastAsia"/>
                <w:color w:val="auto"/>
                <w:lang w:bidi="ar"/>
              </w:rPr>
              <w:t>食堂油烟收集后经油烟净化装置处理，处理后通过25m高烟囱高空排放，排放浓度可以达到《饮食业油烟排放标准（试行）》（</w:t>
            </w:r>
            <w:r>
              <w:rPr>
                <w:color w:val="auto"/>
                <w:lang w:bidi="ar"/>
              </w:rPr>
              <w:t>GB18483-2001</w:t>
            </w:r>
            <w:r>
              <w:rPr>
                <w:rFonts w:hint="eastAsia"/>
                <w:color w:val="auto"/>
                <w:lang w:bidi="ar"/>
              </w:rPr>
              <w:t>）。</w:t>
            </w:r>
          </w:p>
          <w:p>
            <w:pPr>
              <w:tabs>
                <w:tab w:val="left" w:pos="3510"/>
              </w:tabs>
              <w:adjustRightInd w:val="0"/>
              <w:snapToGrid w:val="0"/>
              <w:spacing w:line="360" w:lineRule="auto"/>
              <w:ind w:firstLine="420" w:firstLineChars="200"/>
              <w:rPr>
                <w:color w:val="auto"/>
                <w:lang w:bidi="ar"/>
              </w:rPr>
            </w:pPr>
            <w:r>
              <w:rPr>
                <w:rFonts w:hint="eastAsia"/>
                <w:color w:val="auto"/>
                <w:lang w:bidi="ar"/>
              </w:rPr>
              <w:t>综上所述，本项目大气污染物排放满足相关排放标准要求，不会对厂内及周边环境造成明显影响。</w:t>
            </w:r>
          </w:p>
          <w:p>
            <w:pPr>
              <w:tabs>
                <w:tab w:val="left" w:pos="1081"/>
              </w:tabs>
              <w:adjustRightInd w:val="0"/>
              <w:snapToGrid w:val="0"/>
              <w:spacing w:line="360" w:lineRule="auto"/>
              <w:ind w:firstLine="422" w:firstLineChars="200"/>
              <w:rPr>
                <w:b/>
                <w:color w:val="auto"/>
              </w:rPr>
            </w:pPr>
            <w:r>
              <w:rPr>
                <w:b/>
                <w:color w:val="auto"/>
              </w:rPr>
              <w:t>2</w:t>
            </w:r>
            <w:r>
              <w:rPr>
                <w:rFonts w:hint="eastAsia"/>
                <w:b/>
                <w:color w:val="auto"/>
              </w:rPr>
              <w:t>.</w:t>
            </w:r>
            <w:r>
              <w:rPr>
                <w:b/>
                <w:color w:val="auto"/>
              </w:rPr>
              <w:t>排放口情况</w:t>
            </w:r>
          </w:p>
          <w:p>
            <w:pPr>
              <w:adjustRightInd w:val="0"/>
              <w:spacing w:line="360" w:lineRule="auto"/>
              <w:ind w:firstLine="413" w:firstLineChars="197"/>
              <w:textAlignment w:val="baseline"/>
              <w:rPr>
                <w:color w:val="auto"/>
              </w:rPr>
            </w:pPr>
            <w:r>
              <w:rPr>
                <w:color w:val="auto"/>
              </w:rPr>
              <w:t>本项目拟设</w:t>
            </w:r>
            <w:r>
              <w:rPr>
                <w:rFonts w:hint="eastAsia"/>
                <w:color w:val="auto"/>
              </w:rPr>
              <w:t>4</w:t>
            </w:r>
            <w:r>
              <w:rPr>
                <w:color w:val="auto"/>
              </w:rPr>
              <w:t>根排气筒，各排气筒基本情况如下表所示。</w:t>
            </w:r>
          </w:p>
          <w:p>
            <w:pPr>
              <w:widowControl/>
              <w:spacing w:line="360" w:lineRule="auto"/>
              <w:jc w:val="center"/>
              <w:rPr>
                <w:b/>
                <w:color w:val="auto"/>
              </w:rPr>
            </w:pPr>
            <w:r>
              <w:rPr>
                <w:b/>
                <w:color w:val="auto"/>
              </w:rPr>
              <w:t>表4-</w:t>
            </w:r>
            <w:r>
              <w:rPr>
                <w:rFonts w:hint="eastAsia"/>
                <w:b/>
                <w:color w:val="auto"/>
              </w:rPr>
              <w:t>12</w:t>
            </w:r>
            <w:r>
              <w:rPr>
                <w:b/>
                <w:color w:val="auto"/>
              </w:rPr>
              <w:t xml:space="preserve"> 项目排气筒基本情况汇总表</w:t>
            </w:r>
          </w:p>
          <w:tbl>
            <w:tblPr>
              <w:tblStyle w:val="9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5"/>
              <w:gridCol w:w="922"/>
              <w:gridCol w:w="1127"/>
              <w:gridCol w:w="813"/>
              <w:gridCol w:w="816"/>
              <w:gridCol w:w="953"/>
              <w:gridCol w:w="865"/>
              <w:gridCol w:w="1539"/>
              <w:gridCol w:w="14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4" w:hRule="atLeast"/>
                <w:jc w:val="center"/>
              </w:trPr>
              <w:tc>
                <w:tcPr>
                  <w:tcW w:w="448" w:type="pct"/>
                  <w:vAlign w:val="center"/>
                </w:tcPr>
                <w:p>
                  <w:pPr>
                    <w:jc w:val="center"/>
                    <w:rPr>
                      <w:b/>
                      <w:color w:val="auto"/>
                    </w:rPr>
                  </w:pPr>
                  <w:r>
                    <w:rPr>
                      <w:b/>
                      <w:color w:val="auto"/>
                    </w:rPr>
                    <w:t>排放口编号</w:t>
                  </w:r>
                </w:p>
              </w:tc>
              <w:tc>
                <w:tcPr>
                  <w:tcW w:w="495" w:type="pct"/>
                  <w:vAlign w:val="center"/>
                </w:tcPr>
                <w:p>
                  <w:pPr>
                    <w:jc w:val="center"/>
                    <w:rPr>
                      <w:b/>
                      <w:bCs/>
                      <w:color w:val="auto"/>
                    </w:rPr>
                  </w:pPr>
                  <w:r>
                    <w:rPr>
                      <w:b/>
                      <w:bCs/>
                      <w:color w:val="auto"/>
                    </w:rPr>
                    <w:t>排放口名称</w:t>
                  </w:r>
                </w:p>
              </w:tc>
              <w:tc>
                <w:tcPr>
                  <w:tcW w:w="605" w:type="pct"/>
                  <w:vAlign w:val="center"/>
                </w:tcPr>
                <w:p>
                  <w:pPr>
                    <w:jc w:val="center"/>
                    <w:rPr>
                      <w:b/>
                      <w:bCs/>
                      <w:color w:val="auto"/>
                    </w:rPr>
                  </w:pPr>
                  <w:r>
                    <w:rPr>
                      <w:b/>
                      <w:bCs/>
                      <w:color w:val="auto"/>
                    </w:rPr>
                    <w:t>污染物种类</w:t>
                  </w:r>
                </w:p>
              </w:tc>
              <w:tc>
                <w:tcPr>
                  <w:tcW w:w="436" w:type="pct"/>
                  <w:vAlign w:val="center"/>
                </w:tcPr>
                <w:p>
                  <w:pPr>
                    <w:jc w:val="center"/>
                    <w:rPr>
                      <w:b/>
                      <w:bCs/>
                      <w:color w:val="auto"/>
                    </w:rPr>
                  </w:pPr>
                  <w:r>
                    <w:rPr>
                      <w:b/>
                      <w:bCs/>
                      <w:color w:val="auto"/>
                    </w:rPr>
                    <w:t>排气筒高度（m）</w:t>
                  </w:r>
                </w:p>
              </w:tc>
              <w:tc>
                <w:tcPr>
                  <w:tcW w:w="438" w:type="pct"/>
                  <w:vAlign w:val="center"/>
                </w:tcPr>
                <w:p>
                  <w:pPr>
                    <w:jc w:val="center"/>
                    <w:rPr>
                      <w:b/>
                      <w:bCs/>
                      <w:color w:val="auto"/>
                    </w:rPr>
                  </w:pPr>
                  <w:r>
                    <w:rPr>
                      <w:b/>
                      <w:bCs/>
                      <w:color w:val="auto"/>
                    </w:rPr>
                    <w:t>排气筒内径（m）</w:t>
                  </w:r>
                </w:p>
              </w:tc>
              <w:tc>
                <w:tcPr>
                  <w:tcW w:w="511" w:type="pct"/>
                  <w:vAlign w:val="center"/>
                </w:tcPr>
                <w:p>
                  <w:pPr>
                    <w:jc w:val="center"/>
                    <w:rPr>
                      <w:b/>
                      <w:bCs/>
                      <w:color w:val="auto"/>
                    </w:rPr>
                  </w:pPr>
                  <w:r>
                    <w:rPr>
                      <w:b/>
                      <w:bCs/>
                      <w:color w:val="auto"/>
                    </w:rPr>
                    <w:t>烟气流速（m/s）</w:t>
                  </w:r>
                </w:p>
              </w:tc>
              <w:tc>
                <w:tcPr>
                  <w:tcW w:w="464" w:type="pct"/>
                  <w:vAlign w:val="center"/>
                </w:tcPr>
                <w:p>
                  <w:pPr>
                    <w:jc w:val="center"/>
                    <w:rPr>
                      <w:b/>
                      <w:bCs/>
                      <w:color w:val="auto"/>
                    </w:rPr>
                  </w:pPr>
                  <w:r>
                    <w:rPr>
                      <w:b/>
                      <w:bCs/>
                      <w:color w:val="auto"/>
                    </w:rPr>
                    <w:t>烟气温度（℃）</w:t>
                  </w:r>
                </w:p>
              </w:tc>
              <w:tc>
                <w:tcPr>
                  <w:tcW w:w="1599" w:type="pct"/>
                  <w:gridSpan w:val="2"/>
                  <w:vAlign w:val="center"/>
                </w:tcPr>
                <w:p>
                  <w:pPr>
                    <w:jc w:val="center"/>
                    <w:rPr>
                      <w:b/>
                      <w:bCs/>
                      <w:color w:val="auto"/>
                    </w:rPr>
                  </w:pPr>
                  <w:r>
                    <w:rPr>
                      <w:b/>
                      <w:bCs/>
                      <w:color w:val="auto"/>
                    </w:rPr>
                    <w:t>地理坐标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7" w:hRule="atLeast"/>
                <w:jc w:val="center"/>
              </w:trPr>
              <w:tc>
                <w:tcPr>
                  <w:tcW w:w="448" w:type="pct"/>
                  <w:vAlign w:val="center"/>
                </w:tcPr>
                <w:p>
                  <w:pPr>
                    <w:jc w:val="center"/>
                    <w:rPr>
                      <w:color w:val="auto"/>
                    </w:rPr>
                  </w:pPr>
                  <w:r>
                    <w:rPr>
                      <w:color w:val="auto"/>
                    </w:rPr>
                    <w:t>DA001</w:t>
                  </w:r>
                </w:p>
              </w:tc>
              <w:tc>
                <w:tcPr>
                  <w:tcW w:w="495" w:type="pct"/>
                  <w:vAlign w:val="center"/>
                </w:tcPr>
                <w:p>
                  <w:pPr>
                    <w:widowControl/>
                    <w:jc w:val="center"/>
                    <w:textAlignment w:val="center"/>
                    <w:rPr>
                      <w:color w:val="auto"/>
                    </w:rPr>
                  </w:pPr>
                  <w:r>
                    <w:rPr>
                      <w:rFonts w:hint="eastAsia"/>
                      <w:color w:val="auto"/>
                    </w:rPr>
                    <w:t>配料粉尘</w:t>
                  </w:r>
                  <w:r>
                    <w:rPr>
                      <w:color w:val="auto"/>
                    </w:rPr>
                    <w:t>排放口</w:t>
                  </w:r>
                </w:p>
              </w:tc>
              <w:tc>
                <w:tcPr>
                  <w:tcW w:w="605" w:type="pct"/>
                  <w:vAlign w:val="center"/>
                </w:tcPr>
                <w:p>
                  <w:pPr>
                    <w:jc w:val="center"/>
                    <w:rPr>
                      <w:color w:val="auto"/>
                    </w:rPr>
                  </w:pPr>
                  <w:r>
                    <w:rPr>
                      <w:color w:val="auto"/>
                    </w:rPr>
                    <w:t>颗粒物</w:t>
                  </w:r>
                </w:p>
              </w:tc>
              <w:tc>
                <w:tcPr>
                  <w:tcW w:w="436" w:type="pct"/>
                  <w:vAlign w:val="center"/>
                </w:tcPr>
                <w:p>
                  <w:pPr>
                    <w:jc w:val="center"/>
                    <w:rPr>
                      <w:color w:val="auto"/>
                    </w:rPr>
                  </w:pPr>
                  <w:r>
                    <w:rPr>
                      <w:color w:val="auto"/>
                    </w:rPr>
                    <w:t>15</w:t>
                  </w:r>
                </w:p>
              </w:tc>
              <w:tc>
                <w:tcPr>
                  <w:tcW w:w="438" w:type="pct"/>
                  <w:vAlign w:val="center"/>
                </w:tcPr>
                <w:p>
                  <w:pPr>
                    <w:jc w:val="center"/>
                    <w:rPr>
                      <w:color w:val="auto"/>
                    </w:rPr>
                  </w:pPr>
                  <w:r>
                    <w:rPr>
                      <w:rFonts w:hint="eastAsia"/>
                      <w:color w:val="auto"/>
                    </w:rPr>
                    <w:t>0.3</w:t>
                  </w:r>
                </w:p>
              </w:tc>
              <w:tc>
                <w:tcPr>
                  <w:tcW w:w="511" w:type="pct"/>
                  <w:vAlign w:val="center"/>
                </w:tcPr>
                <w:p>
                  <w:pPr>
                    <w:jc w:val="center"/>
                    <w:rPr>
                      <w:color w:val="auto"/>
                    </w:rPr>
                  </w:pPr>
                  <w:r>
                    <w:rPr>
                      <w:rFonts w:hint="eastAsia"/>
                      <w:color w:val="auto"/>
                    </w:rPr>
                    <w:t>12.57</w:t>
                  </w:r>
                </w:p>
              </w:tc>
              <w:tc>
                <w:tcPr>
                  <w:tcW w:w="464" w:type="pct"/>
                  <w:vAlign w:val="center"/>
                </w:tcPr>
                <w:p>
                  <w:pPr>
                    <w:jc w:val="center"/>
                    <w:rPr>
                      <w:color w:val="auto"/>
                    </w:rPr>
                  </w:pPr>
                  <w:r>
                    <w:rPr>
                      <w:color w:val="auto"/>
                    </w:rPr>
                    <w:t>常温</w:t>
                  </w:r>
                </w:p>
              </w:tc>
              <w:tc>
                <w:tcPr>
                  <w:tcW w:w="826" w:type="pct"/>
                  <w:vAlign w:val="center"/>
                </w:tcPr>
                <w:p>
                  <w:pPr>
                    <w:jc w:val="center"/>
                    <w:rPr>
                      <w:rFonts w:hint="default"/>
                      <w:color w:val="auto"/>
                      <w:highlight w:val="none"/>
                      <w:lang w:val="en-US" w:eastAsia="zh-CN"/>
                    </w:rPr>
                  </w:pPr>
                  <w:r>
                    <w:rPr>
                      <w:rFonts w:hint="eastAsia"/>
                      <w:color w:val="auto"/>
                      <w:highlight w:val="none"/>
                      <w:lang w:val="en-US" w:eastAsia="zh-CN"/>
                    </w:rPr>
                    <w:t>114.48798</w:t>
                  </w:r>
                  <w:r>
                    <w:rPr>
                      <w:color w:val="auto"/>
                      <w:highlight w:val="none"/>
                    </w:rPr>
                    <w:t>°</w:t>
                  </w:r>
                </w:p>
              </w:tc>
              <w:tc>
                <w:tcPr>
                  <w:tcW w:w="773" w:type="pct"/>
                  <w:vAlign w:val="center"/>
                </w:tcPr>
                <w:p>
                  <w:pPr>
                    <w:jc w:val="center"/>
                    <w:rPr>
                      <w:rFonts w:hint="default"/>
                      <w:color w:val="auto"/>
                      <w:highlight w:val="none"/>
                      <w:lang w:val="en-US" w:eastAsia="zh-CN"/>
                    </w:rPr>
                  </w:pPr>
                  <w:r>
                    <w:rPr>
                      <w:rFonts w:hint="eastAsia"/>
                      <w:color w:val="auto"/>
                      <w:highlight w:val="none"/>
                      <w:lang w:val="en-US" w:eastAsia="zh-CN"/>
                    </w:rPr>
                    <w:t>23.44167</w:t>
                  </w:r>
                  <w:r>
                    <w:rPr>
                      <w:color w:val="auto"/>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jc w:val="center"/>
              </w:trPr>
              <w:tc>
                <w:tcPr>
                  <w:tcW w:w="448" w:type="pct"/>
                  <w:vAlign w:val="center"/>
                </w:tcPr>
                <w:p>
                  <w:pPr>
                    <w:jc w:val="center"/>
                    <w:rPr>
                      <w:color w:val="auto"/>
                    </w:rPr>
                  </w:pPr>
                  <w:r>
                    <w:rPr>
                      <w:color w:val="auto"/>
                    </w:rPr>
                    <w:t>DA002</w:t>
                  </w:r>
                </w:p>
              </w:tc>
              <w:tc>
                <w:tcPr>
                  <w:tcW w:w="495" w:type="pct"/>
                  <w:vAlign w:val="center"/>
                </w:tcPr>
                <w:p>
                  <w:pPr>
                    <w:widowControl/>
                    <w:jc w:val="center"/>
                    <w:textAlignment w:val="center"/>
                    <w:rPr>
                      <w:color w:val="auto"/>
                    </w:rPr>
                  </w:pPr>
                  <w:r>
                    <w:rPr>
                      <w:rFonts w:hint="eastAsia"/>
                      <w:color w:val="auto"/>
                    </w:rPr>
                    <w:t>混炼</w:t>
                  </w:r>
                  <w:r>
                    <w:rPr>
                      <w:color w:val="auto"/>
                    </w:rPr>
                    <w:t>废气排放口</w:t>
                  </w:r>
                </w:p>
              </w:tc>
              <w:tc>
                <w:tcPr>
                  <w:tcW w:w="605" w:type="pct"/>
                  <w:vAlign w:val="center"/>
                </w:tcPr>
                <w:p>
                  <w:pPr>
                    <w:jc w:val="center"/>
                    <w:rPr>
                      <w:color w:val="auto"/>
                    </w:rPr>
                  </w:pPr>
                  <w:r>
                    <w:rPr>
                      <w:rFonts w:hint="eastAsia"/>
                      <w:color w:val="auto"/>
                    </w:rPr>
                    <w:t>非甲烷总烃、</w:t>
                  </w:r>
                  <w:r>
                    <w:rPr>
                      <w:color w:val="auto"/>
                    </w:rPr>
                    <w:t>颗粒物</w:t>
                  </w:r>
                </w:p>
              </w:tc>
              <w:tc>
                <w:tcPr>
                  <w:tcW w:w="436" w:type="pct"/>
                  <w:vAlign w:val="center"/>
                </w:tcPr>
                <w:p>
                  <w:pPr>
                    <w:jc w:val="center"/>
                    <w:rPr>
                      <w:color w:val="auto"/>
                    </w:rPr>
                  </w:pPr>
                  <w:r>
                    <w:rPr>
                      <w:color w:val="auto"/>
                    </w:rPr>
                    <w:t>15</w:t>
                  </w:r>
                </w:p>
              </w:tc>
              <w:tc>
                <w:tcPr>
                  <w:tcW w:w="438" w:type="pct"/>
                  <w:vAlign w:val="center"/>
                </w:tcPr>
                <w:p>
                  <w:pPr>
                    <w:jc w:val="center"/>
                    <w:rPr>
                      <w:rFonts w:hint="default" w:eastAsia="宋体"/>
                      <w:color w:val="FF0000"/>
                      <w:lang w:val="en-US" w:eastAsia="zh-CN"/>
                    </w:rPr>
                  </w:pPr>
                  <w:r>
                    <w:rPr>
                      <w:rFonts w:hint="eastAsia"/>
                      <w:color w:val="FF0000"/>
                      <w:lang w:val="en-US" w:eastAsia="zh-CN"/>
                    </w:rPr>
                    <w:t>1.0</w:t>
                  </w:r>
                </w:p>
              </w:tc>
              <w:tc>
                <w:tcPr>
                  <w:tcW w:w="511" w:type="pct"/>
                  <w:vAlign w:val="center"/>
                </w:tcPr>
                <w:p>
                  <w:pPr>
                    <w:jc w:val="center"/>
                    <w:rPr>
                      <w:rFonts w:hint="default" w:eastAsia="宋体"/>
                      <w:color w:val="FF0000"/>
                      <w:lang w:val="en-US" w:eastAsia="zh-CN"/>
                    </w:rPr>
                  </w:pPr>
                  <w:r>
                    <w:rPr>
                      <w:rFonts w:hint="eastAsia"/>
                      <w:color w:val="FF0000"/>
                      <w:lang w:val="en-US" w:eastAsia="zh-CN"/>
                    </w:rPr>
                    <w:t>15.92</w:t>
                  </w:r>
                </w:p>
              </w:tc>
              <w:tc>
                <w:tcPr>
                  <w:tcW w:w="464" w:type="pct"/>
                  <w:vAlign w:val="center"/>
                </w:tcPr>
                <w:p>
                  <w:pPr>
                    <w:jc w:val="center"/>
                    <w:rPr>
                      <w:color w:val="auto"/>
                    </w:rPr>
                  </w:pPr>
                  <w:r>
                    <w:rPr>
                      <w:rFonts w:hint="eastAsia"/>
                      <w:color w:val="auto"/>
                    </w:rPr>
                    <w:t>30</w:t>
                  </w:r>
                  <w:r>
                    <w:rPr>
                      <w:color w:val="auto"/>
                    </w:rPr>
                    <w:t>℃</w:t>
                  </w:r>
                </w:p>
              </w:tc>
              <w:tc>
                <w:tcPr>
                  <w:tcW w:w="826" w:type="pct"/>
                  <w:vAlign w:val="center"/>
                </w:tcPr>
                <w:p>
                  <w:pPr>
                    <w:jc w:val="center"/>
                    <w:rPr>
                      <w:rFonts w:hint="default" w:eastAsia="宋体"/>
                      <w:color w:val="auto"/>
                      <w:highlight w:val="none"/>
                      <w:lang w:val="en-US" w:eastAsia="zh-CN"/>
                    </w:rPr>
                  </w:pPr>
                  <w:r>
                    <w:rPr>
                      <w:rFonts w:hint="eastAsia"/>
                      <w:color w:val="auto"/>
                      <w:highlight w:val="none"/>
                      <w:lang w:val="en-US" w:eastAsia="zh-CN"/>
                    </w:rPr>
                    <w:t>114.48804</w:t>
                  </w:r>
                  <w:r>
                    <w:rPr>
                      <w:color w:val="auto"/>
                      <w:highlight w:val="none"/>
                    </w:rPr>
                    <w:t>°</w:t>
                  </w:r>
                </w:p>
              </w:tc>
              <w:tc>
                <w:tcPr>
                  <w:tcW w:w="773" w:type="pct"/>
                  <w:vAlign w:val="center"/>
                </w:tcPr>
                <w:p>
                  <w:pPr>
                    <w:jc w:val="center"/>
                    <w:rPr>
                      <w:rFonts w:hint="default" w:eastAsia="宋体"/>
                      <w:color w:val="auto"/>
                      <w:highlight w:val="none"/>
                      <w:lang w:val="en-US" w:eastAsia="zh-CN"/>
                    </w:rPr>
                  </w:pPr>
                  <w:r>
                    <w:rPr>
                      <w:rFonts w:hint="eastAsia"/>
                      <w:color w:val="auto"/>
                      <w:highlight w:val="none"/>
                      <w:lang w:val="en-US" w:eastAsia="zh-CN"/>
                    </w:rPr>
                    <w:t>23.44160</w:t>
                  </w:r>
                  <w:r>
                    <w:rPr>
                      <w:color w:val="auto"/>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7" w:hRule="atLeast"/>
                <w:jc w:val="center"/>
              </w:trPr>
              <w:tc>
                <w:tcPr>
                  <w:tcW w:w="448" w:type="pct"/>
                  <w:vAlign w:val="center"/>
                </w:tcPr>
                <w:p>
                  <w:pPr>
                    <w:jc w:val="center"/>
                    <w:rPr>
                      <w:color w:val="auto"/>
                    </w:rPr>
                  </w:pPr>
                  <w:r>
                    <w:rPr>
                      <w:color w:val="auto"/>
                    </w:rPr>
                    <w:t>DA003</w:t>
                  </w:r>
                </w:p>
              </w:tc>
              <w:tc>
                <w:tcPr>
                  <w:tcW w:w="495" w:type="pct"/>
                  <w:vAlign w:val="center"/>
                </w:tcPr>
                <w:p>
                  <w:pPr>
                    <w:widowControl/>
                    <w:jc w:val="center"/>
                    <w:textAlignment w:val="center"/>
                    <w:rPr>
                      <w:color w:val="auto"/>
                    </w:rPr>
                  </w:pPr>
                  <w:r>
                    <w:rPr>
                      <w:rFonts w:hint="eastAsia"/>
                      <w:color w:val="auto"/>
                    </w:rPr>
                    <w:t>模压</w:t>
                  </w:r>
                  <w:r>
                    <w:rPr>
                      <w:color w:val="auto"/>
                    </w:rPr>
                    <w:t>废气排放口</w:t>
                  </w:r>
                </w:p>
              </w:tc>
              <w:tc>
                <w:tcPr>
                  <w:tcW w:w="605" w:type="pct"/>
                  <w:vAlign w:val="center"/>
                </w:tcPr>
                <w:p>
                  <w:pPr>
                    <w:jc w:val="center"/>
                    <w:rPr>
                      <w:color w:val="auto"/>
                    </w:rPr>
                  </w:pPr>
                  <w:r>
                    <w:rPr>
                      <w:rFonts w:hint="eastAsia"/>
                      <w:color w:val="auto"/>
                    </w:rPr>
                    <w:t>非甲烷总烃</w:t>
                  </w:r>
                </w:p>
              </w:tc>
              <w:tc>
                <w:tcPr>
                  <w:tcW w:w="436" w:type="pct"/>
                  <w:vAlign w:val="center"/>
                </w:tcPr>
                <w:p>
                  <w:pPr>
                    <w:jc w:val="center"/>
                    <w:rPr>
                      <w:color w:val="auto"/>
                    </w:rPr>
                  </w:pPr>
                  <w:r>
                    <w:rPr>
                      <w:color w:val="auto"/>
                    </w:rPr>
                    <w:t>15</w:t>
                  </w:r>
                </w:p>
              </w:tc>
              <w:tc>
                <w:tcPr>
                  <w:tcW w:w="438" w:type="pct"/>
                  <w:vAlign w:val="center"/>
                </w:tcPr>
                <w:p>
                  <w:pPr>
                    <w:jc w:val="center"/>
                    <w:rPr>
                      <w:color w:val="auto"/>
                    </w:rPr>
                  </w:pPr>
                  <w:r>
                    <w:rPr>
                      <w:rFonts w:hint="eastAsia"/>
                      <w:color w:val="auto"/>
                    </w:rPr>
                    <w:t>0.8</w:t>
                  </w:r>
                </w:p>
              </w:tc>
              <w:tc>
                <w:tcPr>
                  <w:tcW w:w="511" w:type="pct"/>
                  <w:vAlign w:val="center"/>
                </w:tcPr>
                <w:p>
                  <w:pPr>
                    <w:jc w:val="center"/>
                    <w:rPr>
                      <w:color w:val="auto"/>
                    </w:rPr>
                  </w:pPr>
                  <w:r>
                    <w:rPr>
                      <w:rFonts w:hint="eastAsia"/>
                      <w:color w:val="auto"/>
                    </w:rPr>
                    <w:t>14.37</w:t>
                  </w:r>
                </w:p>
              </w:tc>
              <w:tc>
                <w:tcPr>
                  <w:tcW w:w="464" w:type="pct"/>
                  <w:vAlign w:val="center"/>
                </w:tcPr>
                <w:p>
                  <w:pPr>
                    <w:jc w:val="center"/>
                    <w:rPr>
                      <w:color w:val="auto"/>
                    </w:rPr>
                  </w:pPr>
                  <w:r>
                    <w:rPr>
                      <w:rFonts w:hint="eastAsia"/>
                      <w:color w:val="auto"/>
                    </w:rPr>
                    <w:t>常温</w:t>
                  </w:r>
                </w:p>
              </w:tc>
              <w:tc>
                <w:tcPr>
                  <w:tcW w:w="826" w:type="pct"/>
                  <w:vAlign w:val="center"/>
                </w:tcPr>
                <w:p>
                  <w:pPr>
                    <w:jc w:val="center"/>
                    <w:rPr>
                      <w:rFonts w:hint="default" w:eastAsia="宋体"/>
                      <w:color w:val="auto"/>
                      <w:highlight w:val="none"/>
                      <w:lang w:val="en-US" w:eastAsia="zh-CN"/>
                    </w:rPr>
                  </w:pPr>
                  <w:r>
                    <w:rPr>
                      <w:rFonts w:hint="eastAsia"/>
                      <w:color w:val="auto"/>
                      <w:highlight w:val="none"/>
                      <w:lang w:val="en-US" w:eastAsia="zh-CN"/>
                    </w:rPr>
                    <w:t>114.48839</w:t>
                  </w:r>
                  <w:r>
                    <w:rPr>
                      <w:color w:val="auto"/>
                      <w:highlight w:val="none"/>
                    </w:rPr>
                    <w:t>°</w:t>
                  </w:r>
                </w:p>
              </w:tc>
              <w:tc>
                <w:tcPr>
                  <w:tcW w:w="773" w:type="pct"/>
                  <w:vAlign w:val="center"/>
                </w:tcPr>
                <w:p>
                  <w:pPr>
                    <w:jc w:val="center"/>
                    <w:rPr>
                      <w:rFonts w:hint="default" w:eastAsia="宋体"/>
                      <w:color w:val="auto"/>
                      <w:highlight w:val="none"/>
                      <w:lang w:val="en-US" w:eastAsia="zh-CN"/>
                    </w:rPr>
                  </w:pPr>
                  <w:r>
                    <w:rPr>
                      <w:rFonts w:hint="eastAsia"/>
                      <w:color w:val="auto"/>
                      <w:highlight w:val="none"/>
                      <w:lang w:val="en-US" w:eastAsia="zh-CN"/>
                    </w:rPr>
                    <w:t>23.44185</w:t>
                  </w:r>
                  <w:r>
                    <w:rPr>
                      <w:color w:val="auto"/>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7" w:hRule="atLeast"/>
                <w:jc w:val="center"/>
              </w:trPr>
              <w:tc>
                <w:tcPr>
                  <w:tcW w:w="448" w:type="pct"/>
                  <w:vAlign w:val="center"/>
                </w:tcPr>
                <w:p>
                  <w:pPr>
                    <w:jc w:val="center"/>
                    <w:rPr>
                      <w:color w:val="auto"/>
                    </w:rPr>
                  </w:pPr>
                  <w:r>
                    <w:rPr>
                      <w:rFonts w:hint="eastAsia"/>
                      <w:color w:val="auto"/>
                    </w:rPr>
                    <w:t>DA004</w:t>
                  </w:r>
                </w:p>
              </w:tc>
              <w:tc>
                <w:tcPr>
                  <w:tcW w:w="495" w:type="pct"/>
                  <w:vAlign w:val="center"/>
                </w:tcPr>
                <w:p>
                  <w:pPr>
                    <w:widowControl/>
                    <w:jc w:val="center"/>
                    <w:textAlignment w:val="center"/>
                    <w:rPr>
                      <w:color w:val="auto"/>
                    </w:rPr>
                  </w:pPr>
                  <w:r>
                    <w:rPr>
                      <w:rFonts w:hint="eastAsia"/>
                      <w:color w:val="auto"/>
                    </w:rPr>
                    <w:t>食堂油烟排放口</w:t>
                  </w:r>
                </w:p>
              </w:tc>
              <w:tc>
                <w:tcPr>
                  <w:tcW w:w="605" w:type="pct"/>
                  <w:vAlign w:val="center"/>
                </w:tcPr>
                <w:p>
                  <w:pPr>
                    <w:jc w:val="center"/>
                    <w:rPr>
                      <w:color w:val="auto"/>
                    </w:rPr>
                  </w:pPr>
                  <w:r>
                    <w:rPr>
                      <w:rFonts w:hint="eastAsia"/>
                      <w:color w:val="auto"/>
                      <w:szCs w:val="21"/>
                    </w:rPr>
                    <w:t>油</w:t>
                  </w:r>
                  <w:r>
                    <w:rPr>
                      <w:color w:val="auto"/>
                      <w:szCs w:val="21"/>
                    </w:rPr>
                    <w:t>烟</w:t>
                  </w:r>
                </w:p>
              </w:tc>
              <w:tc>
                <w:tcPr>
                  <w:tcW w:w="436" w:type="pct"/>
                  <w:vAlign w:val="center"/>
                </w:tcPr>
                <w:p>
                  <w:pPr>
                    <w:jc w:val="center"/>
                    <w:rPr>
                      <w:color w:val="auto"/>
                    </w:rPr>
                  </w:pPr>
                  <w:r>
                    <w:rPr>
                      <w:rFonts w:hint="eastAsia"/>
                      <w:color w:val="auto"/>
                    </w:rPr>
                    <w:t>15</w:t>
                  </w:r>
                </w:p>
              </w:tc>
              <w:tc>
                <w:tcPr>
                  <w:tcW w:w="438" w:type="pct"/>
                  <w:vAlign w:val="center"/>
                </w:tcPr>
                <w:p>
                  <w:pPr>
                    <w:jc w:val="center"/>
                    <w:rPr>
                      <w:color w:val="auto"/>
                    </w:rPr>
                  </w:pPr>
                  <w:r>
                    <w:rPr>
                      <w:rFonts w:hint="eastAsia"/>
                      <w:color w:val="auto"/>
                    </w:rPr>
                    <w:t>0.5</w:t>
                  </w:r>
                </w:p>
              </w:tc>
              <w:tc>
                <w:tcPr>
                  <w:tcW w:w="511" w:type="pct"/>
                  <w:vAlign w:val="center"/>
                </w:tcPr>
                <w:p>
                  <w:pPr>
                    <w:jc w:val="center"/>
                    <w:rPr>
                      <w:color w:val="auto"/>
                    </w:rPr>
                  </w:pPr>
                  <w:r>
                    <w:rPr>
                      <w:rFonts w:hint="eastAsia"/>
                      <w:color w:val="auto"/>
                    </w:rPr>
                    <w:t>11.32</w:t>
                  </w:r>
                </w:p>
              </w:tc>
              <w:tc>
                <w:tcPr>
                  <w:tcW w:w="464" w:type="pct"/>
                  <w:vAlign w:val="center"/>
                </w:tcPr>
                <w:p>
                  <w:pPr>
                    <w:jc w:val="center"/>
                    <w:rPr>
                      <w:color w:val="auto"/>
                    </w:rPr>
                  </w:pPr>
                  <w:r>
                    <w:rPr>
                      <w:rFonts w:hint="eastAsia"/>
                      <w:color w:val="auto"/>
                    </w:rPr>
                    <w:t>40</w:t>
                  </w:r>
                  <w:r>
                    <w:rPr>
                      <w:color w:val="auto"/>
                    </w:rPr>
                    <w:t>℃</w:t>
                  </w:r>
                </w:p>
              </w:tc>
              <w:tc>
                <w:tcPr>
                  <w:tcW w:w="826" w:type="pct"/>
                  <w:vAlign w:val="center"/>
                </w:tcPr>
                <w:p>
                  <w:pPr>
                    <w:jc w:val="center"/>
                    <w:rPr>
                      <w:rFonts w:hint="default" w:eastAsia="宋体"/>
                      <w:color w:val="auto"/>
                      <w:highlight w:val="none"/>
                      <w:lang w:val="en-US" w:eastAsia="zh-CN"/>
                    </w:rPr>
                  </w:pPr>
                  <w:r>
                    <w:rPr>
                      <w:color w:val="auto"/>
                      <w:highlight w:val="none"/>
                    </w:rPr>
                    <w:t>11</w:t>
                  </w:r>
                  <w:r>
                    <w:rPr>
                      <w:rFonts w:hint="eastAsia"/>
                      <w:color w:val="auto"/>
                      <w:highlight w:val="none"/>
                      <w:lang w:val="en-US" w:eastAsia="zh-CN"/>
                    </w:rPr>
                    <w:t>4.48880</w:t>
                  </w:r>
                  <w:r>
                    <w:rPr>
                      <w:color w:val="auto"/>
                      <w:highlight w:val="none"/>
                    </w:rPr>
                    <w:t>°</w:t>
                  </w:r>
                </w:p>
              </w:tc>
              <w:tc>
                <w:tcPr>
                  <w:tcW w:w="773" w:type="pct"/>
                  <w:vAlign w:val="center"/>
                </w:tcPr>
                <w:p>
                  <w:pPr>
                    <w:jc w:val="center"/>
                    <w:rPr>
                      <w:rFonts w:hint="default" w:eastAsia="宋体"/>
                      <w:color w:val="auto"/>
                      <w:highlight w:val="none"/>
                      <w:lang w:val="en-US" w:eastAsia="zh-CN"/>
                    </w:rPr>
                  </w:pPr>
                  <w:r>
                    <w:rPr>
                      <w:rFonts w:hint="eastAsia"/>
                      <w:color w:val="auto"/>
                      <w:highlight w:val="none"/>
                      <w:lang w:val="en-US" w:eastAsia="zh-CN"/>
                    </w:rPr>
                    <w:t>23.44145</w:t>
                  </w:r>
                  <w:r>
                    <w:rPr>
                      <w:color w:val="auto"/>
                      <w:highlight w:val="none"/>
                    </w:rPr>
                    <w:t>°</w:t>
                  </w:r>
                </w:p>
              </w:tc>
            </w:tr>
          </w:tbl>
          <w:p>
            <w:pPr>
              <w:adjustRightInd w:val="0"/>
              <w:spacing w:before="120" w:beforeLines="50" w:line="360" w:lineRule="auto"/>
              <w:ind w:firstLine="415" w:firstLineChars="197"/>
              <w:textAlignment w:val="baseline"/>
              <w:rPr>
                <w:b/>
                <w:color w:val="auto"/>
              </w:rPr>
            </w:pPr>
            <w:r>
              <w:rPr>
                <w:rFonts w:hint="eastAsia"/>
                <w:b/>
                <w:color w:val="auto"/>
              </w:rPr>
              <w:t>3.</w:t>
            </w:r>
            <w:r>
              <w:rPr>
                <w:b/>
                <w:color w:val="auto"/>
              </w:rPr>
              <w:t>监测要求</w:t>
            </w:r>
          </w:p>
          <w:p>
            <w:pPr>
              <w:widowControl/>
              <w:adjustRightInd w:val="0"/>
              <w:snapToGrid w:val="0"/>
              <w:spacing w:line="360" w:lineRule="auto"/>
              <w:ind w:firstLine="420" w:firstLineChars="200"/>
              <w:rPr>
                <w:color w:val="auto"/>
              </w:rPr>
            </w:pPr>
            <w:r>
              <w:rPr>
                <w:color w:val="auto"/>
              </w:rPr>
              <w:t>参照《</w:t>
            </w:r>
            <w:r>
              <w:rPr>
                <w:rFonts w:hint="eastAsia"/>
                <w:color w:val="auto"/>
              </w:rPr>
              <w:t>排</w:t>
            </w:r>
            <w:r>
              <w:rPr>
                <w:color w:val="auto"/>
              </w:rPr>
              <w:t xml:space="preserve">污单位自行监测技术指南 </w:t>
            </w:r>
            <w:r>
              <w:rPr>
                <w:rFonts w:hint="eastAsia"/>
                <w:color w:val="auto"/>
              </w:rPr>
              <w:t>橡胶和塑料制品</w:t>
            </w:r>
            <w:r>
              <w:rPr>
                <w:color w:val="auto"/>
              </w:rPr>
              <w:t>》（HJ1</w:t>
            </w:r>
            <w:r>
              <w:rPr>
                <w:rFonts w:hint="eastAsia"/>
                <w:color w:val="auto"/>
              </w:rPr>
              <w:t>207</w:t>
            </w:r>
            <w:r>
              <w:rPr>
                <w:color w:val="auto"/>
              </w:rPr>
              <w:t>-202</w:t>
            </w:r>
            <w:r>
              <w:rPr>
                <w:rFonts w:hint="eastAsia"/>
                <w:color w:val="auto"/>
              </w:rPr>
              <w:t>1</w:t>
            </w:r>
            <w:r>
              <w:rPr>
                <w:color w:val="auto"/>
              </w:rPr>
              <w:t>）、《排污单位自行监测技术指南 总则》（HJ 819-2017），项目运营期废气监测要求如下。</w:t>
            </w:r>
          </w:p>
          <w:p>
            <w:pPr>
              <w:widowControl/>
              <w:spacing w:line="360" w:lineRule="auto"/>
              <w:jc w:val="center"/>
              <w:rPr>
                <w:b/>
                <w:color w:val="auto"/>
              </w:rPr>
            </w:pPr>
            <w:r>
              <w:rPr>
                <w:b/>
                <w:color w:val="auto"/>
              </w:rPr>
              <w:t>表4-</w:t>
            </w:r>
            <w:r>
              <w:rPr>
                <w:rFonts w:hint="eastAsia"/>
                <w:b/>
                <w:color w:val="auto"/>
              </w:rPr>
              <w:t>13</w:t>
            </w:r>
            <w:r>
              <w:rPr>
                <w:b/>
                <w:color w:val="auto"/>
              </w:rPr>
              <w:t xml:space="preserve"> 项目废气监测一览表</w:t>
            </w:r>
          </w:p>
          <w:tbl>
            <w:tblPr>
              <w:tblStyle w:val="92"/>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67"/>
              <w:gridCol w:w="1411"/>
              <w:gridCol w:w="901"/>
              <w:gridCol w:w="769"/>
              <w:gridCol w:w="3804"/>
              <w:gridCol w:w="17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6" w:hRule="atLeast"/>
                <w:jc w:val="center"/>
              </w:trPr>
              <w:tc>
                <w:tcPr>
                  <w:tcW w:w="358" w:type="pct"/>
                  <w:vAlign w:val="center"/>
                </w:tcPr>
                <w:p>
                  <w:pPr>
                    <w:jc w:val="center"/>
                    <w:rPr>
                      <w:b/>
                      <w:color w:val="auto"/>
                    </w:rPr>
                  </w:pPr>
                  <w:r>
                    <w:rPr>
                      <w:b/>
                      <w:color w:val="auto"/>
                    </w:rPr>
                    <w:t>产排污环节</w:t>
                  </w:r>
                </w:p>
              </w:tc>
              <w:tc>
                <w:tcPr>
                  <w:tcW w:w="758" w:type="pct"/>
                  <w:vAlign w:val="center"/>
                </w:tcPr>
                <w:p>
                  <w:pPr>
                    <w:jc w:val="center"/>
                    <w:rPr>
                      <w:b/>
                      <w:bCs/>
                      <w:color w:val="auto"/>
                    </w:rPr>
                  </w:pPr>
                  <w:r>
                    <w:rPr>
                      <w:b/>
                      <w:bCs/>
                      <w:color w:val="auto"/>
                    </w:rPr>
                    <w:t>监测点位</w:t>
                  </w:r>
                </w:p>
              </w:tc>
              <w:tc>
                <w:tcPr>
                  <w:tcW w:w="484" w:type="pct"/>
                  <w:vAlign w:val="center"/>
                </w:tcPr>
                <w:p>
                  <w:pPr>
                    <w:jc w:val="center"/>
                    <w:rPr>
                      <w:b/>
                      <w:bCs/>
                      <w:color w:val="auto"/>
                    </w:rPr>
                  </w:pPr>
                  <w:r>
                    <w:rPr>
                      <w:b/>
                      <w:bCs/>
                      <w:color w:val="auto"/>
                    </w:rPr>
                    <w:t>监测因子</w:t>
                  </w:r>
                </w:p>
              </w:tc>
              <w:tc>
                <w:tcPr>
                  <w:tcW w:w="413" w:type="pct"/>
                  <w:vAlign w:val="center"/>
                </w:tcPr>
                <w:p>
                  <w:pPr>
                    <w:jc w:val="center"/>
                    <w:rPr>
                      <w:b/>
                      <w:bCs/>
                      <w:color w:val="auto"/>
                    </w:rPr>
                  </w:pPr>
                  <w:r>
                    <w:rPr>
                      <w:b/>
                      <w:bCs/>
                      <w:color w:val="auto"/>
                    </w:rPr>
                    <w:t>监测频次</w:t>
                  </w:r>
                </w:p>
              </w:tc>
              <w:tc>
                <w:tcPr>
                  <w:tcW w:w="2043" w:type="pct"/>
                  <w:vAlign w:val="center"/>
                </w:tcPr>
                <w:p>
                  <w:pPr>
                    <w:jc w:val="center"/>
                    <w:rPr>
                      <w:b/>
                      <w:bCs/>
                      <w:color w:val="auto"/>
                    </w:rPr>
                  </w:pPr>
                  <w:r>
                    <w:rPr>
                      <w:b/>
                      <w:bCs/>
                      <w:color w:val="auto"/>
                    </w:rPr>
                    <w:t>执行排放标准</w:t>
                  </w:r>
                </w:p>
              </w:tc>
              <w:tc>
                <w:tcPr>
                  <w:tcW w:w="942" w:type="pct"/>
                  <w:vAlign w:val="center"/>
                </w:tcPr>
                <w:p>
                  <w:pPr>
                    <w:pStyle w:val="780"/>
                    <w:snapToGrid w:val="0"/>
                    <w:spacing w:line="240" w:lineRule="auto"/>
                    <w:ind w:firstLine="0"/>
                    <w:jc w:val="center"/>
                    <w:rPr>
                      <w:rFonts w:eastAsia="宋体"/>
                      <w:b/>
                      <w:bCs/>
                      <w:color w:val="auto"/>
                      <w:sz w:val="21"/>
                      <w:szCs w:val="21"/>
                    </w:rPr>
                  </w:pPr>
                  <w:r>
                    <w:rPr>
                      <w:rFonts w:eastAsia="宋体"/>
                      <w:b/>
                      <w:color w:val="auto"/>
                      <w:sz w:val="21"/>
                      <w:szCs w:val="21"/>
                    </w:rPr>
                    <w:t>排放限值（mg/m</w:t>
                  </w:r>
                  <w:r>
                    <w:rPr>
                      <w:rFonts w:eastAsia="宋体"/>
                      <w:b/>
                      <w:color w:val="auto"/>
                      <w:sz w:val="21"/>
                      <w:szCs w:val="21"/>
                      <w:vertAlign w:val="superscript"/>
                    </w:rPr>
                    <w:t>3</w:t>
                  </w:r>
                  <w:r>
                    <w:rPr>
                      <w:rFonts w:eastAsia="宋体"/>
                      <w:b/>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6" w:hRule="atLeast"/>
                <w:jc w:val="center"/>
              </w:trPr>
              <w:tc>
                <w:tcPr>
                  <w:tcW w:w="358" w:type="pct"/>
                  <w:vMerge w:val="restart"/>
                  <w:vAlign w:val="center"/>
                </w:tcPr>
                <w:p>
                  <w:pPr>
                    <w:jc w:val="center"/>
                    <w:rPr>
                      <w:color w:val="auto"/>
                    </w:rPr>
                  </w:pPr>
                  <w:r>
                    <w:rPr>
                      <w:color w:val="auto"/>
                    </w:rPr>
                    <w:t>有组织</w:t>
                  </w:r>
                </w:p>
              </w:tc>
              <w:tc>
                <w:tcPr>
                  <w:tcW w:w="758" w:type="pct"/>
                  <w:vAlign w:val="center"/>
                </w:tcPr>
                <w:p>
                  <w:pPr>
                    <w:jc w:val="center"/>
                    <w:rPr>
                      <w:color w:val="auto"/>
                    </w:rPr>
                  </w:pPr>
                  <w:r>
                    <w:rPr>
                      <w:color w:val="auto"/>
                    </w:rPr>
                    <w:t>DA001</w:t>
                  </w:r>
                  <w:r>
                    <w:rPr>
                      <w:rFonts w:hint="eastAsia"/>
                      <w:color w:val="auto"/>
                    </w:rPr>
                    <w:t>配料粉尘</w:t>
                  </w:r>
                  <w:r>
                    <w:rPr>
                      <w:color w:val="auto"/>
                    </w:rPr>
                    <w:t>排放口</w:t>
                  </w:r>
                </w:p>
              </w:tc>
              <w:tc>
                <w:tcPr>
                  <w:tcW w:w="484" w:type="pct"/>
                  <w:vAlign w:val="center"/>
                </w:tcPr>
                <w:p>
                  <w:pPr>
                    <w:jc w:val="center"/>
                    <w:rPr>
                      <w:color w:val="auto"/>
                    </w:rPr>
                  </w:pPr>
                  <w:r>
                    <w:rPr>
                      <w:rFonts w:hint="eastAsia"/>
                      <w:color w:val="auto"/>
                    </w:rPr>
                    <w:t>颗粒物</w:t>
                  </w:r>
                </w:p>
              </w:tc>
              <w:tc>
                <w:tcPr>
                  <w:tcW w:w="413" w:type="pct"/>
                  <w:vAlign w:val="center"/>
                </w:tcPr>
                <w:p>
                  <w:pPr>
                    <w:jc w:val="center"/>
                    <w:rPr>
                      <w:color w:val="auto"/>
                    </w:rPr>
                  </w:pPr>
                  <w:r>
                    <w:rPr>
                      <w:color w:val="auto"/>
                    </w:rPr>
                    <w:t>1次/年</w:t>
                  </w:r>
                </w:p>
              </w:tc>
              <w:tc>
                <w:tcPr>
                  <w:tcW w:w="2043" w:type="pct"/>
                  <w:vAlign w:val="center"/>
                </w:tcPr>
                <w:p>
                  <w:pPr>
                    <w:jc w:val="center"/>
                    <w:rPr>
                      <w:color w:val="auto"/>
                    </w:rPr>
                  </w:pPr>
                  <w:r>
                    <w:rPr>
                      <w:rFonts w:hint="eastAsia"/>
                      <w:color w:val="auto"/>
                      <w:szCs w:val="21"/>
                    </w:rPr>
                    <w:t>《橡胶制品工业污染物排放标准》（GB27632-2011）表5轮胎企业及其他制品企业炼胶、硫化装置排放限值</w:t>
                  </w:r>
                </w:p>
              </w:tc>
              <w:tc>
                <w:tcPr>
                  <w:tcW w:w="942" w:type="pct"/>
                  <w:vAlign w:val="center"/>
                </w:tcPr>
                <w:p>
                  <w:pPr>
                    <w:jc w:val="center"/>
                    <w:rPr>
                      <w:color w:val="auto"/>
                    </w:rPr>
                  </w:pPr>
                  <w:r>
                    <w:rPr>
                      <w:rFonts w:hint="eastAsia"/>
                      <w:color w:val="auto"/>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7" w:hRule="atLeast"/>
                <w:jc w:val="center"/>
              </w:trPr>
              <w:tc>
                <w:tcPr>
                  <w:tcW w:w="358" w:type="pct"/>
                  <w:vMerge w:val="continue"/>
                  <w:vAlign w:val="center"/>
                </w:tcPr>
                <w:p>
                  <w:pPr>
                    <w:jc w:val="center"/>
                    <w:rPr>
                      <w:color w:val="auto"/>
                    </w:rPr>
                  </w:pPr>
                </w:p>
              </w:tc>
              <w:tc>
                <w:tcPr>
                  <w:tcW w:w="758" w:type="pct"/>
                  <w:vMerge w:val="restart"/>
                  <w:vAlign w:val="center"/>
                </w:tcPr>
                <w:p>
                  <w:pPr>
                    <w:jc w:val="center"/>
                    <w:rPr>
                      <w:color w:val="auto"/>
                    </w:rPr>
                  </w:pPr>
                  <w:r>
                    <w:rPr>
                      <w:color w:val="auto"/>
                    </w:rPr>
                    <w:t>DA002</w:t>
                  </w:r>
                  <w:r>
                    <w:rPr>
                      <w:rFonts w:hint="eastAsia"/>
                      <w:color w:val="auto"/>
                    </w:rPr>
                    <w:t>混炼</w:t>
                  </w:r>
                  <w:r>
                    <w:rPr>
                      <w:color w:val="auto"/>
                    </w:rPr>
                    <w:t>废气排放口</w:t>
                  </w:r>
                </w:p>
              </w:tc>
              <w:tc>
                <w:tcPr>
                  <w:tcW w:w="484" w:type="pct"/>
                  <w:vAlign w:val="center"/>
                </w:tcPr>
                <w:p>
                  <w:pPr>
                    <w:jc w:val="center"/>
                    <w:rPr>
                      <w:color w:val="auto"/>
                    </w:rPr>
                  </w:pPr>
                  <w:r>
                    <w:rPr>
                      <w:color w:val="auto"/>
                    </w:rPr>
                    <w:t>非甲烷总烃</w:t>
                  </w:r>
                </w:p>
              </w:tc>
              <w:tc>
                <w:tcPr>
                  <w:tcW w:w="413" w:type="pct"/>
                  <w:vAlign w:val="center"/>
                </w:tcPr>
                <w:p>
                  <w:pPr>
                    <w:jc w:val="center"/>
                    <w:rPr>
                      <w:color w:val="auto"/>
                    </w:rPr>
                  </w:pPr>
                  <w:r>
                    <w:rPr>
                      <w:color w:val="auto"/>
                    </w:rPr>
                    <w:t>1次/</w:t>
                  </w:r>
                  <w:r>
                    <w:rPr>
                      <w:rFonts w:hint="eastAsia"/>
                      <w:color w:val="auto"/>
                    </w:rPr>
                    <w:t>半</w:t>
                  </w:r>
                  <w:r>
                    <w:rPr>
                      <w:color w:val="auto"/>
                    </w:rPr>
                    <w:t>年</w:t>
                  </w:r>
                </w:p>
              </w:tc>
              <w:tc>
                <w:tcPr>
                  <w:tcW w:w="2043" w:type="pct"/>
                  <w:vAlign w:val="center"/>
                </w:tcPr>
                <w:p>
                  <w:pPr>
                    <w:widowControl/>
                    <w:jc w:val="center"/>
                    <w:rPr>
                      <w:color w:val="auto"/>
                    </w:rPr>
                  </w:pPr>
                  <w:r>
                    <w:rPr>
                      <w:rFonts w:hint="eastAsia"/>
                      <w:color w:val="auto"/>
                      <w:szCs w:val="21"/>
                    </w:rPr>
                    <w:t>《橡胶制品工业污染物排放标准》（GB27632-2011）表5轮胎企业及其他制品企业炼胶、硫化装置排放限值</w:t>
                  </w:r>
                </w:p>
              </w:tc>
              <w:tc>
                <w:tcPr>
                  <w:tcW w:w="942" w:type="pct"/>
                  <w:vAlign w:val="center"/>
                </w:tcPr>
                <w:p>
                  <w:pPr>
                    <w:jc w:val="center"/>
                    <w:rPr>
                      <w:color w:val="auto"/>
                    </w:rPr>
                  </w:pPr>
                  <w:r>
                    <w:rPr>
                      <w:rFonts w:hint="eastAsia"/>
                      <w:color w:val="auto"/>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7" w:hRule="atLeast"/>
                <w:jc w:val="center"/>
              </w:trPr>
              <w:tc>
                <w:tcPr>
                  <w:tcW w:w="358" w:type="pct"/>
                  <w:vMerge w:val="continue"/>
                  <w:vAlign w:val="center"/>
                </w:tcPr>
                <w:p>
                  <w:pPr>
                    <w:jc w:val="center"/>
                    <w:rPr>
                      <w:color w:val="auto"/>
                    </w:rPr>
                  </w:pPr>
                </w:p>
              </w:tc>
              <w:tc>
                <w:tcPr>
                  <w:tcW w:w="758" w:type="pct"/>
                  <w:vMerge w:val="continue"/>
                  <w:vAlign w:val="center"/>
                </w:tcPr>
                <w:p>
                  <w:pPr>
                    <w:jc w:val="center"/>
                    <w:rPr>
                      <w:color w:val="auto"/>
                    </w:rPr>
                  </w:pPr>
                </w:p>
              </w:tc>
              <w:tc>
                <w:tcPr>
                  <w:tcW w:w="484" w:type="pct"/>
                  <w:vAlign w:val="center"/>
                </w:tcPr>
                <w:p>
                  <w:pPr>
                    <w:jc w:val="center"/>
                    <w:rPr>
                      <w:color w:val="auto"/>
                    </w:rPr>
                  </w:pPr>
                  <w:r>
                    <w:rPr>
                      <w:color w:val="auto"/>
                    </w:rPr>
                    <w:t>颗粒物</w:t>
                  </w:r>
                </w:p>
              </w:tc>
              <w:tc>
                <w:tcPr>
                  <w:tcW w:w="413" w:type="pct"/>
                  <w:vAlign w:val="center"/>
                </w:tcPr>
                <w:p>
                  <w:pPr>
                    <w:jc w:val="center"/>
                    <w:rPr>
                      <w:color w:val="auto"/>
                    </w:rPr>
                  </w:pPr>
                  <w:r>
                    <w:rPr>
                      <w:color w:val="auto"/>
                    </w:rPr>
                    <w:t>1次/年</w:t>
                  </w:r>
                </w:p>
              </w:tc>
              <w:tc>
                <w:tcPr>
                  <w:tcW w:w="2043" w:type="pct"/>
                  <w:vAlign w:val="center"/>
                </w:tcPr>
                <w:p>
                  <w:pPr>
                    <w:jc w:val="center"/>
                    <w:rPr>
                      <w:color w:val="auto"/>
                    </w:rPr>
                  </w:pPr>
                  <w:r>
                    <w:rPr>
                      <w:rFonts w:hint="eastAsia"/>
                      <w:color w:val="auto"/>
                      <w:szCs w:val="21"/>
                    </w:rPr>
                    <w:t>《橡胶制品工业污染物排放标准》（GB27632-2011）表5轮胎企业及其他制品企业炼胶、硫化装置排放限值</w:t>
                  </w:r>
                </w:p>
              </w:tc>
              <w:tc>
                <w:tcPr>
                  <w:tcW w:w="942" w:type="pct"/>
                  <w:vAlign w:val="center"/>
                </w:tcPr>
                <w:p>
                  <w:pPr>
                    <w:jc w:val="center"/>
                    <w:rPr>
                      <w:bCs/>
                      <w:color w:val="auto"/>
                    </w:rPr>
                  </w:pPr>
                  <w:r>
                    <w:rPr>
                      <w:rFonts w:hint="eastAsia"/>
                      <w:color w:val="auto"/>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7" w:hRule="atLeast"/>
                <w:jc w:val="center"/>
              </w:trPr>
              <w:tc>
                <w:tcPr>
                  <w:tcW w:w="358" w:type="pct"/>
                  <w:vMerge w:val="continue"/>
                  <w:vAlign w:val="center"/>
                </w:tcPr>
                <w:p>
                  <w:pPr>
                    <w:jc w:val="center"/>
                    <w:rPr>
                      <w:color w:val="auto"/>
                    </w:rPr>
                  </w:pPr>
                </w:p>
              </w:tc>
              <w:tc>
                <w:tcPr>
                  <w:tcW w:w="758" w:type="pct"/>
                  <w:vAlign w:val="center"/>
                </w:tcPr>
                <w:p>
                  <w:pPr>
                    <w:jc w:val="center"/>
                    <w:rPr>
                      <w:color w:val="auto"/>
                    </w:rPr>
                  </w:pPr>
                  <w:r>
                    <w:rPr>
                      <w:color w:val="auto"/>
                    </w:rPr>
                    <w:t>DA003</w:t>
                  </w:r>
                  <w:r>
                    <w:rPr>
                      <w:rFonts w:hint="eastAsia"/>
                      <w:color w:val="auto"/>
                    </w:rPr>
                    <w:t>模压</w:t>
                  </w:r>
                  <w:r>
                    <w:rPr>
                      <w:color w:val="auto"/>
                    </w:rPr>
                    <w:t>废气排放口</w:t>
                  </w:r>
                </w:p>
              </w:tc>
              <w:tc>
                <w:tcPr>
                  <w:tcW w:w="484" w:type="pct"/>
                  <w:vAlign w:val="center"/>
                </w:tcPr>
                <w:p>
                  <w:pPr>
                    <w:jc w:val="center"/>
                    <w:rPr>
                      <w:color w:val="auto"/>
                    </w:rPr>
                  </w:pPr>
                  <w:r>
                    <w:rPr>
                      <w:color w:val="auto"/>
                    </w:rPr>
                    <w:t>非甲烷总烃</w:t>
                  </w:r>
                </w:p>
              </w:tc>
              <w:tc>
                <w:tcPr>
                  <w:tcW w:w="413" w:type="pct"/>
                  <w:vAlign w:val="center"/>
                </w:tcPr>
                <w:p>
                  <w:pPr>
                    <w:jc w:val="center"/>
                    <w:rPr>
                      <w:color w:val="auto"/>
                    </w:rPr>
                  </w:pPr>
                  <w:r>
                    <w:rPr>
                      <w:color w:val="auto"/>
                    </w:rPr>
                    <w:t>1次/</w:t>
                  </w:r>
                  <w:r>
                    <w:rPr>
                      <w:rFonts w:hint="eastAsia"/>
                      <w:color w:val="auto"/>
                    </w:rPr>
                    <w:t>半</w:t>
                  </w:r>
                  <w:r>
                    <w:rPr>
                      <w:color w:val="auto"/>
                    </w:rPr>
                    <w:t>年</w:t>
                  </w:r>
                </w:p>
              </w:tc>
              <w:tc>
                <w:tcPr>
                  <w:tcW w:w="2043" w:type="pct"/>
                  <w:vAlign w:val="center"/>
                </w:tcPr>
                <w:p>
                  <w:pPr>
                    <w:jc w:val="center"/>
                    <w:rPr>
                      <w:bCs/>
                      <w:color w:val="auto"/>
                    </w:rPr>
                  </w:pPr>
                  <w:r>
                    <w:rPr>
                      <w:rFonts w:hint="eastAsia"/>
                      <w:color w:val="auto"/>
                      <w:szCs w:val="21"/>
                    </w:rPr>
                    <w:t>《橡胶制品工业污染物排放标准》（GB27632-2011）表5轮胎企业及其他制品企业炼胶、硫化装置排放限值</w:t>
                  </w:r>
                </w:p>
              </w:tc>
              <w:tc>
                <w:tcPr>
                  <w:tcW w:w="942" w:type="pct"/>
                  <w:vAlign w:val="center"/>
                </w:tcPr>
                <w:p>
                  <w:pPr>
                    <w:jc w:val="center"/>
                    <w:rPr>
                      <w:bCs/>
                      <w:color w:val="auto"/>
                    </w:rPr>
                  </w:pPr>
                  <w:r>
                    <w:rPr>
                      <w:rFonts w:hint="eastAsia"/>
                      <w:bCs/>
                      <w:color w:val="auto"/>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7" w:hRule="atLeast"/>
                <w:jc w:val="center"/>
              </w:trPr>
              <w:tc>
                <w:tcPr>
                  <w:tcW w:w="358" w:type="pct"/>
                  <w:vMerge w:val="restart"/>
                  <w:vAlign w:val="center"/>
                </w:tcPr>
                <w:p>
                  <w:pPr>
                    <w:jc w:val="center"/>
                    <w:rPr>
                      <w:color w:val="auto"/>
                    </w:rPr>
                  </w:pPr>
                  <w:r>
                    <w:rPr>
                      <w:color w:val="auto"/>
                    </w:rPr>
                    <w:t>无组织</w:t>
                  </w:r>
                </w:p>
              </w:tc>
              <w:tc>
                <w:tcPr>
                  <w:tcW w:w="758" w:type="pct"/>
                  <w:vMerge w:val="restart"/>
                  <w:vAlign w:val="center"/>
                </w:tcPr>
                <w:p>
                  <w:pPr>
                    <w:jc w:val="center"/>
                    <w:rPr>
                      <w:color w:val="auto"/>
                    </w:rPr>
                  </w:pPr>
                  <w:r>
                    <w:rPr>
                      <w:color w:val="auto"/>
                    </w:rPr>
                    <w:t>在厂房外设置监测点</w:t>
                  </w:r>
                </w:p>
              </w:tc>
              <w:tc>
                <w:tcPr>
                  <w:tcW w:w="484" w:type="pct"/>
                  <w:vMerge w:val="restart"/>
                  <w:vAlign w:val="center"/>
                </w:tcPr>
                <w:p>
                  <w:pPr>
                    <w:jc w:val="center"/>
                    <w:textAlignment w:val="center"/>
                    <w:rPr>
                      <w:color w:val="auto"/>
                    </w:rPr>
                  </w:pPr>
                  <w:r>
                    <w:rPr>
                      <w:color w:val="auto"/>
                    </w:rPr>
                    <w:t>NMHC</w:t>
                  </w:r>
                </w:p>
              </w:tc>
              <w:tc>
                <w:tcPr>
                  <w:tcW w:w="413" w:type="pct"/>
                  <w:vMerge w:val="restart"/>
                  <w:vAlign w:val="center"/>
                </w:tcPr>
                <w:p>
                  <w:pPr>
                    <w:jc w:val="center"/>
                    <w:rPr>
                      <w:color w:val="auto"/>
                    </w:rPr>
                  </w:pPr>
                  <w:r>
                    <w:rPr>
                      <w:color w:val="auto"/>
                    </w:rPr>
                    <w:t>1次/年</w:t>
                  </w:r>
                </w:p>
              </w:tc>
              <w:tc>
                <w:tcPr>
                  <w:tcW w:w="2043" w:type="pct"/>
                  <w:vMerge w:val="restart"/>
                  <w:vAlign w:val="center"/>
                </w:tcPr>
                <w:p>
                  <w:pPr>
                    <w:widowControl/>
                    <w:jc w:val="left"/>
                    <w:rPr>
                      <w:color w:val="auto"/>
                    </w:rPr>
                  </w:pPr>
                  <w:r>
                    <w:rPr>
                      <w:color w:val="auto"/>
                    </w:rPr>
                    <w:t>《固定污染源挥发性有机物综合排放标准》（DB44/2367-2022）</w:t>
                  </w:r>
                  <w:r>
                    <w:rPr>
                      <w:rFonts w:hint="eastAsia"/>
                      <w:color w:val="auto"/>
                    </w:rPr>
                    <w:t>表3</w:t>
                  </w:r>
                  <w:r>
                    <w:rPr>
                      <w:color w:val="auto"/>
                    </w:rPr>
                    <w:t>厂区内</w:t>
                  </w:r>
                  <w:r>
                    <w:rPr>
                      <w:rFonts w:hint="eastAsia"/>
                      <w:color w:val="auto"/>
                    </w:rPr>
                    <w:t>污染物</w:t>
                  </w:r>
                  <w:r>
                    <w:rPr>
                      <w:color w:val="auto"/>
                    </w:rPr>
                    <w:t>无组织排放限值</w:t>
                  </w:r>
                </w:p>
              </w:tc>
              <w:tc>
                <w:tcPr>
                  <w:tcW w:w="942" w:type="pct"/>
                  <w:vAlign w:val="center"/>
                </w:tcPr>
                <w:p>
                  <w:pPr>
                    <w:jc w:val="center"/>
                    <w:rPr>
                      <w:bCs/>
                      <w:color w:val="auto"/>
                    </w:rPr>
                  </w:pPr>
                  <w:r>
                    <w:rPr>
                      <w:rFonts w:hint="eastAsia"/>
                      <w:color w:val="auto"/>
                    </w:rPr>
                    <w:t>6</w:t>
                  </w:r>
                  <w:r>
                    <w:rPr>
                      <w:color w:val="auto"/>
                    </w:rPr>
                    <w:t>（</w:t>
                  </w:r>
                  <w:r>
                    <w:rPr>
                      <w:bCs/>
                      <w:color w:val="auto"/>
                    </w:rPr>
                    <w:t>监控点处1h平均浓度值</w:t>
                  </w:r>
                  <w:r>
                    <w:rPr>
                      <w:color w:val="auto"/>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7" w:hRule="atLeast"/>
                <w:jc w:val="center"/>
              </w:trPr>
              <w:tc>
                <w:tcPr>
                  <w:tcW w:w="358" w:type="pct"/>
                  <w:vMerge w:val="continue"/>
                  <w:vAlign w:val="center"/>
                </w:tcPr>
                <w:p>
                  <w:pPr>
                    <w:jc w:val="center"/>
                    <w:rPr>
                      <w:color w:val="auto"/>
                    </w:rPr>
                  </w:pPr>
                </w:p>
              </w:tc>
              <w:tc>
                <w:tcPr>
                  <w:tcW w:w="758" w:type="pct"/>
                  <w:vMerge w:val="continue"/>
                  <w:vAlign w:val="center"/>
                </w:tcPr>
                <w:p>
                  <w:pPr>
                    <w:jc w:val="center"/>
                    <w:rPr>
                      <w:color w:val="auto"/>
                    </w:rPr>
                  </w:pPr>
                </w:p>
              </w:tc>
              <w:tc>
                <w:tcPr>
                  <w:tcW w:w="484" w:type="pct"/>
                  <w:vMerge w:val="continue"/>
                  <w:vAlign w:val="center"/>
                </w:tcPr>
                <w:p>
                  <w:pPr>
                    <w:jc w:val="center"/>
                    <w:rPr>
                      <w:color w:val="auto"/>
                    </w:rPr>
                  </w:pPr>
                </w:p>
              </w:tc>
              <w:tc>
                <w:tcPr>
                  <w:tcW w:w="413" w:type="pct"/>
                  <w:vMerge w:val="continue"/>
                  <w:vAlign w:val="center"/>
                </w:tcPr>
                <w:p>
                  <w:pPr>
                    <w:jc w:val="center"/>
                    <w:rPr>
                      <w:color w:val="auto"/>
                    </w:rPr>
                  </w:pPr>
                </w:p>
              </w:tc>
              <w:tc>
                <w:tcPr>
                  <w:tcW w:w="2043" w:type="pct"/>
                  <w:vMerge w:val="continue"/>
                  <w:vAlign w:val="center"/>
                </w:tcPr>
                <w:p>
                  <w:pPr>
                    <w:jc w:val="center"/>
                    <w:rPr>
                      <w:color w:val="auto"/>
                    </w:rPr>
                  </w:pPr>
                </w:p>
              </w:tc>
              <w:tc>
                <w:tcPr>
                  <w:tcW w:w="942" w:type="pct"/>
                  <w:vAlign w:val="center"/>
                </w:tcPr>
                <w:p>
                  <w:pPr>
                    <w:jc w:val="center"/>
                    <w:rPr>
                      <w:bCs/>
                      <w:color w:val="auto"/>
                    </w:rPr>
                  </w:pPr>
                  <w:r>
                    <w:rPr>
                      <w:rFonts w:hint="eastAsia"/>
                      <w:color w:val="auto"/>
                    </w:rPr>
                    <w:t>20</w:t>
                  </w:r>
                  <w:r>
                    <w:rPr>
                      <w:color w:val="auto"/>
                    </w:rPr>
                    <w:t>（</w:t>
                  </w:r>
                  <w:r>
                    <w:rPr>
                      <w:bCs/>
                      <w:color w:val="auto"/>
                    </w:rPr>
                    <w:t>监控点处任意一次浓度值</w:t>
                  </w:r>
                  <w:r>
                    <w:rPr>
                      <w:color w:val="auto"/>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7" w:hRule="atLeast"/>
                <w:jc w:val="center"/>
              </w:trPr>
              <w:tc>
                <w:tcPr>
                  <w:tcW w:w="358" w:type="pct"/>
                  <w:vMerge w:val="continue"/>
                  <w:vAlign w:val="center"/>
                </w:tcPr>
                <w:p>
                  <w:pPr>
                    <w:jc w:val="center"/>
                    <w:rPr>
                      <w:color w:val="auto"/>
                    </w:rPr>
                  </w:pPr>
                </w:p>
              </w:tc>
              <w:tc>
                <w:tcPr>
                  <w:tcW w:w="758" w:type="pct"/>
                  <w:vMerge w:val="restart"/>
                  <w:vAlign w:val="center"/>
                </w:tcPr>
                <w:p>
                  <w:pPr>
                    <w:jc w:val="center"/>
                    <w:rPr>
                      <w:color w:val="auto"/>
                    </w:rPr>
                  </w:pPr>
                  <w:r>
                    <w:rPr>
                      <w:color w:val="auto"/>
                    </w:rPr>
                    <w:t>厂界，监测点位根据监测时气象条件确定</w:t>
                  </w:r>
                </w:p>
              </w:tc>
              <w:tc>
                <w:tcPr>
                  <w:tcW w:w="484" w:type="pct"/>
                  <w:vAlign w:val="center"/>
                </w:tcPr>
                <w:p>
                  <w:pPr>
                    <w:jc w:val="center"/>
                    <w:rPr>
                      <w:color w:val="auto"/>
                    </w:rPr>
                  </w:pPr>
                  <w:r>
                    <w:rPr>
                      <w:rFonts w:hint="eastAsia"/>
                      <w:color w:val="auto"/>
                    </w:rPr>
                    <w:t>非甲烷总烃</w:t>
                  </w:r>
                </w:p>
              </w:tc>
              <w:tc>
                <w:tcPr>
                  <w:tcW w:w="413" w:type="pct"/>
                  <w:vAlign w:val="center"/>
                </w:tcPr>
                <w:p>
                  <w:pPr>
                    <w:jc w:val="center"/>
                    <w:rPr>
                      <w:color w:val="auto"/>
                    </w:rPr>
                  </w:pPr>
                  <w:r>
                    <w:rPr>
                      <w:color w:val="auto"/>
                    </w:rPr>
                    <w:t>1次/年</w:t>
                  </w:r>
                </w:p>
              </w:tc>
              <w:tc>
                <w:tcPr>
                  <w:tcW w:w="2043" w:type="pct"/>
                  <w:vMerge w:val="restart"/>
                  <w:vAlign w:val="center"/>
                </w:tcPr>
                <w:p>
                  <w:pPr>
                    <w:jc w:val="center"/>
                    <w:rPr>
                      <w:color w:val="auto"/>
                    </w:rPr>
                  </w:pPr>
                  <w:r>
                    <w:rPr>
                      <w:rFonts w:hint="eastAsia"/>
                      <w:color w:val="auto"/>
                    </w:rPr>
                    <w:t>《橡胶制品工业污染物排放标准》（GB27632-2011）表6新建企业厂界无组织排放限值</w:t>
                  </w:r>
                </w:p>
              </w:tc>
              <w:tc>
                <w:tcPr>
                  <w:tcW w:w="942" w:type="pct"/>
                  <w:vAlign w:val="center"/>
                </w:tcPr>
                <w:p>
                  <w:pPr>
                    <w:jc w:val="center"/>
                    <w:rPr>
                      <w:bCs/>
                      <w:color w:val="auto"/>
                    </w:rPr>
                  </w:pPr>
                  <w:r>
                    <w:rPr>
                      <w:rFonts w:hint="eastAsia"/>
                      <w:bCs/>
                      <w:color w:val="auto"/>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7" w:hRule="atLeast"/>
                <w:jc w:val="center"/>
              </w:trPr>
              <w:tc>
                <w:tcPr>
                  <w:tcW w:w="358" w:type="pct"/>
                  <w:vMerge w:val="continue"/>
                  <w:vAlign w:val="center"/>
                </w:tcPr>
                <w:p>
                  <w:pPr>
                    <w:jc w:val="center"/>
                    <w:rPr>
                      <w:color w:val="auto"/>
                    </w:rPr>
                  </w:pPr>
                </w:p>
              </w:tc>
              <w:tc>
                <w:tcPr>
                  <w:tcW w:w="758" w:type="pct"/>
                  <w:vMerge w:val="continue"/>
                  <w:vAlign w:val="center"/>
                </w:tcPr>
                <w:p>
                  <w:pPr>
                    <w:jc w:val="center"/>
                    <w:rPr>
                      <w:color w:val="auto"/>
                    </w:rPr>
                  </w:pPr>
                </w:p>
              </w:tc>
              <w:tc>
                <w:tcPr>
                  <w:tcW w:w="484" w:type="pct"/>
                  <w:vAlign w:val="center"/>
                </w:tcPr>
                <w:p>
                  <w:pPr>
                    <w:jc w:val="center"/>
                    <w:rPr>
                      <w:color w:val="auto"/>
                    </w:rPr>
                  </w:pPr>
                  <w:r>
                    <w:rPr>
                      <w:color w:val="auto"/>
                    </w:rPr>
                    <w:t>颗粒物</w:t>
                  </w:r>
                </w:p>
              </w:tc>
              <w:tc>
                <w:tcPr>
                  <w:tcW w:w="413" w:type="pct"/>
                  <w:vAlign w:val="center"/>
                </w:tcPr>
                <w:p>
                  <w:pPr>
                    <w:jc w:val="center"/>
                    <w:rPr>
                      <w:color w:val="auto"/>
                    </w:rPr>
                  </w:pPr>
                  <w:r>
                    <w:rPr>
                      <w:color w:val="auto"/>
                    </w:rPr>
                    <w:t>1次/年</w:t>
                  </w:r>
                </w:p>
              </w:tc>
              <w:tc>
                <w:tcPr>
                  <w:tcW w:w="2043" w:type="pct"/>
                  <w:vMerge w:val="continue"/>
                  <w:vAlign w:val="center"/>
                </w:tcPr>
                <w:p>
                  <w:pPr>
                    <w:jc w:val="center"/>
                    <w:rPr>
                      <w:color w:val="auto"/>
                    </w:rPr>
                  </w:pPr>
                </w:p>
              </w:tc>
              <w:tc>
                <w:tcPr>
                  <w:tcW w:w="942" w:type="pct"/>
                  <w:vAlign w:val="center"/>
                </w:tcPr>
                <w:p>
                  <w:pPr>
                    <w:jc w:val="center"/>
                    <w:rPr>
                      <w:color w:val="auto"/>
                    </w:rPr>
                  </w:pPr>
                  <w:r>
                    <w:rPr>
                      <w:color w:val="auto"/>
                    </w:rPr>
                    <w:t>1</w:t>
                  </w:r>
                  <w:r>
                    <w:rPr>
                      <w:rFonts w:hint="eastAsia"/>
                      <w:color w:val="auto"/>
                    </w:rPr>
                    <w:t>.0</w:t>
                  </w:r>
                </w:p>
              </w:tc>
            </w:tr>
          </w:tbl>
          <w:p>
            <w:pPr>
              <w:adjustRightInd w:val="0"/>
              <w:spacing w:before="120" w:beforeLines="50" w:line="360" w:lineRule="auto"/>
              <w:ind w:firstLine="415" w:firstLineChars="197"/>
              <w:textAlignment w:val="baseline"/>
              <w:rPr>
                <w:b/>
                <w:color w:val="auto"/>
              </w:rPr>
            </w:pPr>
            <w:bookmarkStart w:id="8" w:name="_Toc515316307"/>
            <w:bookmarkStart w:id="9" w:name="_Toc23368"/>
            <w:r>
              <w:rPr>
                <w:rFonts w:hint="eastAsia"/>
                <w:b/>
                <w:color w:val="auto"/>
              </w:rPr>
              <w:t>4.</w:t>
            </w:r>
            <w:r>
              <w:rPr>
                <w:b/>
                <w:color w:val="auto"/>
              </w:rPr>
              <w:t>非正常工况源强分析</w:t>
            </w:r>
          </w:p>
          <w:p>
            <w:pPr>
              <w:widowControl/>
              <w:spacing w:line="360" w:lineRule="auto"/>
              <w:jc w:val="center"/>
              <w:rPr>
                <w:b/>
                <w:color w:val="auto"/>
              </w:rPr>
            </w:pPr>
            <w:r>
              <w:rPr>
                <w:b/>
                <w:color w:val="auto"/>
              </w:rPr>
              <w:t>表4-</w:t>
            </w:r>
            <w:r>
              <w:rPr>
                <w:rFonts w:hint="eastAsia"/>
                <w:b/>
                <w:color w:val="auto"/>
              </w:rPr>
              <w:t>14</w:t>
            </w:r>
            <w:r>
              <w:rPr>
                <w:b/>
                <w:color w:val="auto"/>
              </w:rPr>
              <w:t xml:space="preserve"> 大气污染物非正常工况排放量核算表</w:t>
            </w:r>
          </w:p>
          <w:tbl>
            <w:tblPr>
              <w:tblStyle w:val="9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09"/>
              <w:gridCol w:w="1391"/>
              <w:gridCol w:w="876"/>
              <w:gridCol w:w="1332"/>
              <w:gridCol w:w="1373"/>
              <w:gridCol w:w="780"/>
              <w:gridCol w:w="711"/>
              <w:gridCol w:w="18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2" w:hRule="atLeast"/>
                <w:tblHeader/>
                <w:jc w:val="center"/>
              </w:trPr>
              <w:tc>
                <w:tcPr>
                  <w:tcW w:w="1009" w:type="dxa"/>
                  <w:vAlign w:val="center"/>
                </w:tcPr>
                <w:p>
                  <w:pPr>
                    <w:widowControl/>
                    <w:jc w:val="center"/>
                    <w:rPr>
                      <w:b/>
                      <w:color w:val="auto"/>
                      <w:lang w:eastAsia="zh-TW"/>
                    </w:rPr>
                  </w:pPr>
                  <w:r>
                    <w:rPr>
                      <w:b/>
                      <w:color w:val="auto"/>
                      <w:lang w:eastAsia="zh-TW"/>
                    </w:rPr>
                    <w:t>污染源</w:t>
                  </w:r>
                </w:p>
              </w:tc>
              <w:tc>
                <w:tcPr>
                  <w:tcW w:w="1391" w:type="dxa"/>
                  <w:vAlign w:val="center"/>
                </w:tcPr>
                <w:p>
                  <w:pPr>
                    <w:widowControl/>
                    <w:jc w:val="center"/>
                    <w:rPr>
                      <w:b/>
                      <w:color w:val="auto"/>
                      <w:lang w:eastAsia="zh-TW"/>
                    </w:rPr>
                  </w:pPr>
                  <w:r>
                    <w:rPr>
                      <w:b/>
                      <w:color w:val="auto"/>
                      <w:lang w:eastAsia="zh-TW"/>
                    </w:rPr>
                    <w:t>非正常排放原因</w:t>
                  </w:r>
                </w:p>
              </w:tc>
              <w:tc>
                <w:tcPr>
                  <w:tcW w:w="876" w:type="dxa"/>
                  <w:vAlign w:val="center"/>
                </w:tcPr>
                <w:p>
                  <w:pPr>
                    <w:widowControl/>
                    <w:jc w:val="center"/>
                    <w:rPr>
                      <w:b/>
                      <w:color w:val="auto"/>
                    </w:rPr>
                  </w:pPr>
                  <w:r>
                    <w:rPr>
                      <w:b/>
                      <w:color w:val="auto"/>
                      <w:lang w:eastAsia="zh-TW"/>
                    </w:rPr>
                    <w:t>污染</w:t>
                  </w:r>
                  <w:r>
                    <w:rPr>
                      <w:b/>
                      <w:color w:val="auto"/>
                    </w:rPr>
                    <w:t>因子</w:t>
                  </w:r>
                </w:p>
              </w:tc>
              <w:tc>
                <w:tcPr>
                  <w:tcW w:w="1332" w:type="dxa"/>
                  <w:vAlign w:val="center"/>
                </w:tcPr>
                <w:p>
                  <w:pPr>
                    <w:widowControl/>
                    <w:jc w:val="center"/>
                    <w:rPr>
                      <w:b/>
                      <w:color w:val="auto"/>
                      <w:lang w:eastAsia="zh-TW"/>
                    </w:rPr>
                  </w:pPr>
                  <w:r>
                    <w:rPr>
                      <w:b/>
                      <w:color w:val="auto"/>
                      <w:lang w:eastAsia="zh-TW"/>
                    </w:rPr>
                    <w:t>非正常排放速率/(kg/h)</w:t>
                  </w:r>
                </w:p>
              </w:tc>
              <w:tc>
                <w:tcPr>
                  <w:tcW w:w="1373" w:type="dxa"/>
                  <w:vAlign w:val="center"/>
                </w:tcPr>
                <w:p>
                  <w:pPr>
                    <w:widowControl/>
                    <w:jc w:val="center"/>
                    <w:rPr>
                      <w:b/>
                      <w:color w:val="auto"/>
                      <w:lang w:eastAsia="zh-TW"/>
                    </w:rPr>
                  </w:pPr>
                  <w:r>
                    <w:rPr>
                      <w:b/>
                      <w:color w:val="auto"/>
                      <w:lang w:eastAsia="zh-TW"/>
                    </w:rPr>
                    <w:t>非正常排放浓度/(</w:t>
                  </w:r>
                  <w:r>
                    <w:rPr>
                      <w:b/>
                      <w:color w:val="auto"/>
                    </w:rPr>
                    <w:t>m</w:t>
                  </w:r>
                  <w:r>
                    <w:rPr>
                      <w:b/>
                      <w:color w:val="auto"/>
                      <w:lang w:eastAsia="zh-TW"/>
                    </w:rPr>
                    <w:t>g/m</w:t>
                  </w:r>
                  <w:r>
                    <w:rPr>
                      <w:b/>
                      <w:color w:val="auto"/>
                      <w:vertAlign w:val="superscript"/>
                      <w:lang w:eastAsia="zh-TW"/>
                    </w:rPr>
                    <w:t>3</w:t>
                  </w:r>
                  <w:r>
                    <w:rPr>
                      <w:b/>
                      <w:color w:val="auto"/>
                      <w:lang w:eastAsia="zh-TW"/>
                    </w:rPr>
                    <w:t>)</w:t>
                  </w:r>
                </w:p>
              </w:tc>
              <w:tc>
                <w:tcPr>
                  <w:tcW w:w="780" w:type="dxa"/>
                  <w:vAlign w:val="center"/>
                </w:tcPr>
                <w:p>
                  <w:pPr>
                    <w:widowControl/>
                    <w:jc w:val="center"/>
                    <w:rPr>
                      <w:b/>
                      <w:color w:val="auto"/>
                      <w:lang w:eastAsia="zh-TW"/>
                    </w:rPr>
                  </w:pPr>
                  <w:r>
                    <w:rPr>
                      <w:b/>
                      <w:color w:val="auto"/>
                      <w:lang w:eastAsia="zh-TW"/>
                    </w:rPr>
                    <w:t>单次持续时间/h</w:t>
                  </w:r>
                </w:p>
              </w:tc>
              <w:tc>
                <w:tcPr>
                  <w:tcW w:w="711" w:type="dxa"/>
                  <w:vAlign w:val="center"/>
                </w:tcPr>
                <w:p>
                  <w:pPr>
                    <w:widowControl/>
                    <w:jc w:val="center"/>
                    <w:rPr>
                      <w:b/>
                      <w:color w:val="auto"/>
                      <w:lang w:eastAsia="zh-TW"/>
                    </w:rPr>
                  </w:pPr>
                  <w:r>
                    <w:rPr>
                      <w:b/>
                      <w:color w:val="auto"/>
                      <w:lang w:eastAsia="zh-TW"/>
                    </w:rPr>
                    <w:t>年发生频次/次</w:t>
                  </w:r>
                </w:p>
              </w:tc>
              <w:tc>
                <w:tcPr>
                  <w:tcW w:w="1816" w:type="dxa"/>
                  <w:vAlign w:val="center"/>
                </w:tcPr>
                <w:p>
                  <w:pPr>
                    <w:widowControl/>
                    <w:jc w:val="center"/>
                    <w:rPr>
                      <w:b/>
                      <w:color w:val="auto"/>
                      <w:lang w:eastAsia="zh-TW"/>
                    </w:rPr>
                  </w:pPr>
                  <w:r>
                    <w:rPr>
                      <w:b/>
                      <w:color w:val="auto"/>
                      <w:lang w:eastAsia="zh-TW"/>
                    </w:rPr>
                    <w:t>应对措施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1009" w:type="dxa"/>
                  <w:vAlign w:val="center"/>
                </w:tcPr>
                <w:p>
                  <w:pPr>
                    <w:widowControl/>
                    <w:jc w:val="center"/>
                    <w:rPr>
                      <w:color w:val="auto"/>
                    </w:rPr>
                  </w:pPr>
                  <w:r>
                    <w:rPr>
                      <w:color w:val="auto"/>
                    </w:rPr>
                    <w:t>排气筒DA001</w:t>
                  </w:r>
                </w:p>
              </w:tc>
              <w:tc>
                <w:tcPr>
                  <w:tcW w:w="1391" w:type="dxa"/>
                  <w:vMerge w:val="restart"/>
                  <w:vAlign w:val="center"/>
                </w:tcPr>
                <w:p>
                  <w:pPr>
                    <w:widowControl/>
                    <w:jc w:val="center"/>
                    <w:rPr>
                      <w:color w:val="auto"/>
                    </w:rPr>
                  </w:pPr>
                  <w:r>
                    <w:rPr>
                      <w:color w:val="auto"/>
                    </w:rPr>
                    <w:t>处理设施故障</w:t>
                  </w:r>
                  <w:r>
                    <w:rPr>
                      <w:rFonts w:hint="eastAsia"/>
                      <w:color w:val="auto"/>
                    </w:rPr>
                    <w:t>，处理效率下降为20%</w:t>
                  </w:r>
                </w:p>
              </w:tc>
              <w:tc>
                <w:tcPr>
                  <w:tcW w:w="876" w:type="dxa"/>
                  <w:vAlign w:val="center"/>
                </w:tcPr>
                <w:p>
                  <w:pPr>
                    <w:widowControl/>
                    <w:jc w:val="center"/>
                    <w:rPr>
                      <w:color w:val="auto"/>
                    </w:rPr>
                  </w:pPr>
                  <w:r>
                    <w:rPr>
                      <w:color w:val="auto"/>
                    </w:rPr>
                    <w:t>颗粒物</w:t>
                  </w:r>
                </w:p>
              </w:tc>
              <w:tc>
                <w:tcPr>
                  <w:tcW w:w="1332" w:type="dxa"/>
                  <w:vAlign w:val="center"/>
                </w:tcPr>
                <w:p>
                  <w:pPr>
                    <w:adjustRightInd w:val="0"/>
                    <w:snapToGrid w:val="0"/>
                    <w:jc w:val="center"/>
                    <w:textAlignment w:val="center"/>
                    <w:rPr>
                      <w:color w:val="auto"/>
                    </w:rPr>
                  </w:pPr>
                  <w:r>
                    <w:rPr>
                      <w:rFonts w:hint="eastAsia"/>
                      <w:color w:val="auto"/>
                    </w:rPr>
                    <w:t>0.55417</w:t>
                  </w:r>
                </w:p>
              </w:tc>
              <w:tc>
                <w:tcPr>
                  <w:tcW w:w="1373" w:type="dxa"/>
                  <w:vAlign w:val="center"/>
                </w:tcPr>
                <w:p>
                  <w:pPr>
                    <w:adjustRightInd w:val="0"/>
                    <w:snapToGrid w:val="0"/>
                    <w:jc w:val="center"/>
                    <w:textAlignment w:val="center"/>
                    <w:rPr>
                      <w:color w:val="auto"/>
                    </w:rPr>
                  </w:pPr>
                  <w:r>
                    <w:rPr>
                      <w:rFonts w:hint="eastAsia"/>
                      <w:color w:val="auto"/>
                    </w:rPr>
                    <w:t>173.18</w:t>
                  </w:r>
                </w:p>
              </w:tc>
              <w:tc>
                <w:tcPr>
                  <w:tcW w:w="780" w:type="dxa"/>
                  <w:vAlign w:val="center"/>
                </w:tcPr>
                <w:p>
                  <w:pPr>
                    <w:widowControl/>
                    <w:jc w:val="center"/>
                    <w:rPr>
                      <w:color w:val="auto"/>
                    </w:rPr>
                  </w:pPr>
                  <w:r>
                    <w:rPr>
                      <w:color w:val="auto"/>
                    </w:rPr>
                    <w:t>0.5</w:t>
                  </w:r>
                </w:p>
              </w:tc>
              <w:tc>
                <w:tcPr>
                  <w:tcW w:w="711" w:type="dxa"/>
                  <w:vAlign w:val="center"/>
                </w:tcPr>
                <w:p>
                  <w:pPr>
                    <w:widowControl/>
                    <w:jc w:val="center"/>
                    <w:rPr>
                      <w:color w:val="auto"/>
                    </w:rPr>
                  </w:pPr>
                  <w:r>
                    <w:rPr>
                      <w:color w:val="auto"/>
                    </w:rPr>
                    <w:t>2</w:t>
                  </w:r>
                </w:p>
              </w:tc>
              <w:tc>
                <w:tcPr>
                  <w:tcW w:w="1816" w:type="dxa"/>
                  <w:vMerge w:val="restart"/>
                  <w:vAlign w:val="center"/>
                </w:tcPr>
                <w:p>
                  <w:pPr>
                    <w:widowControl/>
                    <w:jc w:val="center"/>
                    <w:rPr>
                      <w:color w:val="auto"/>
                      <w:lang w:eastAsia="zh-TW"/>
                    </w:rPr>
                  </w:pPr>
                  <w:r>
                    <w:rPr>
                      <w:color w:val="auto"/>
                      <w:lang w:eastAsia="zh-TW"/>
                    </w:rPr>
                    <w:t>立即停止</w:t>
                  </w:r>
                  <w:r>
                    <w:rPr>
                      <w:color w:val="auto"/>
                    </w:rPr>
                    <w:t>生产</w:t>
                  </w:r>
                  <w:r>
                    <w:rPr>
                      <w:color w:val="auto"/>
                      <w:lang w:eastAsia="zh-TW"/>
                    </w:rPr>
                    <w:t>，并定期加强环保设施检查，台账记录等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jc w:val="center"/>
              </w:trPr>
              <w:tc>
                <w:tcPr>
                  <w:tcW w:w="1009" w:type="dxa"/>
                  <w:vMerge w:val="restart"/>
                  <w:vAlign w:val="center"/>
                </w:tcPr>
                <w:p>
                  <w:pPr>
                    <w:jc w:val="center"/>
                    <w:rPr>
                      <w:color w:val="auto"/>
                    </w:rPr>
                  </w:pPr>
                  <w:r>
                    <w:rPr>
                      <w:color w:val="auto"/>
                    </w:rPr>
                    <w:t>排气筒DA002</w:t>
                  </w:r>
                </w:p>
              </w:tc>
              <w:tc>
                <w:tcPr>
                  <w:tcW w:w="1391" w:type="dxa"/>
                  <w:vMerge w:val="continue"/>
                  <w:vAlign w:val="center"/>
                </w:tcPr>
                <w:p>
                  <w:pPr>
                    <w:widowControl/>
                    <w:jc w:val="center"/>
                    <w:rPr>
                      <w:color w:val="auto"/>
                    </w:rPr>
                  </w:pPr>
                </w:p>
              </w:tc>
              <w:tc>
                <w:tcPr>
                  <w:tcW w:w="876" w:type="dxa"/>
                  <w:vAlign w:val="center"/>
                </w:tcPr>
                <w:p>
                  <w:pPr>
                    <w:widowControl/>
                    <w:jc w:val="center"/>
                    <w:rPr>
                      <w:color w:val="auto"/>
                    </w:rPr>
                  </w:pPr>
                  <w:r>
                    <w:rPr>
                      <w:color w:val="auto"/>
                    </w:rPr>
                    <w:t>非甲烷总烃</w:t>
                  </w:r>
                </w:p>
              </w:tc>
              <w:tc>
                <w:tcPr>
                  <w:tcW w:w="1332" w:type="dxa"/>
                  <w:vAlign w:val="center"/>
                </w:tcPr>
                <w:p>
                  <w:pPr>
                    <w:adjustRightInd w:val="0"/>
                    <w:snapToGrid w:val="0"/>
                    <w:jc w:val="center"/>
                    <w:textAlignment w:val="center"/>
                    <w:rPr>
                      <w:rFonts w:hint="default" w:eastAsia="宋体"/>
                      <w:color w:val="FF0000"/>
                      <w:lang w:val="en-US" w:eastAsia="zh-CN"/>
                    </w:rPr>
                  </w:pPr>
                  <w:r>
                    <w:rPr>
                      <w:color w:val="FF0000"/>
                    </w:rPr>
                    <w:t>0.</w:t>
                  </w:r>
                  <w:r>
                    <w:rPr>
                      <w:rFonts w:hint="eastAsia"/>
                      <w:color w:val="FF0000"/>
                      <w:lang w:val="en-US" w:eastAsia="zh-CN"/>
                    </w:rPr>
                    <w:t>78651</w:t>
                  </w:r>
                </w:p>
              </w:tc>
              <w:tc>
                <w:tcPr>
                  <w:tcW w:w="1373" w:type="dxa"/>
                  <w:vAlign w:val="center"/>
                </w:tcPr>
                <w:p>
                  <w:pPr>
                    <w:adjustRightInd w:val="0"/>
                    <w:snapToGrid w:val="0"/>
                    <w:jc w:val="center"/>
                    <w:textAlignment w:val="center"/>
                    <w:rPr>
                      <w:rFonts w:hint="default" w:eastAsia="宋体"/>
                      <w:color w:val="FF0000"/>
                      <w:lang w:val="en-US" w:eastAsia="zh-CN"/>
                    </w:rPr>
                  </w:pPr>
                  <w:r>
                    <w:rPr>
                      <w:rFonts w:hint="eastAsia"/>
                      <w:color w:val="FF0000"/>
                      <w:lang w:val="en-US" w:eastAsia="zh-CN"/>
                    </w:rPr>
                    <w:t>17.48</w:t>
                  </w:r>
                </w:p>
              </w:tc>
              <w:tc>
                <w:tcPr>
                  <w:tcW w:w="780" w:type="dxa"/>
                  <w:vAlign w:val="center"/>
                </w:tcPr>
                <w:p>
                  <w:pPr>
                    <w:widowControl/>
                    <w:jc w:val="center"/>
                    <w:rPr>
                      <w:color w:val="auto"/>
                    </w:rPr>
                  </w:pPr>
                  <w:r>
                    <w:rPr>
                      <w:color w:val="auto"/>
                    </w:rPr>
                    <w:t>0.5</w:t>
                  </w:r>
                </w:p>
              </w:tc>
              <w:tc>
                <w:tcPr>
                  <w:tcW w:w="711" w:type="dxa"/>
                  <w:vAlign w:val="center"/>
                </w:tcPr>
                <w:p>
                  <w:pPr>
                    <w:widowControl/>
                    <w:jc w:val="center"/>
                    <w:rPr>
                      <w:color w:val="auto"/>
                    </w:rPr>
                  </w:pPr>
                  <w:r>
                    <w:rPr>
                      <w:color w:val="auto"/>
                    </w:rPr>
                    <w:t>2</w:t>
                  </w:r>
                </w:p>
              </w:tc>
              <w:tc>
                <w:tcPr>
                  <w:tcW w:w="1816" w:type="dxa"/>
                  <w:vMerge w:val="continue"/>
                  <w:vAlign w:val="center"/>
                </w:tcPr>
                <w:p>
                  <w:pPr>
                    <w:widowControl/>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09" w:type="dxa"/>
                  <w:vMerge w:val="continue"/>
                  <w:vAlign w:val="center"/>
                </w:tcPr>
                <w:p>
                  <w:pPr>
                    <w:jc w:val="center"/>
                    <w:rPr>
                      <w:color w:val="auto"/>
                    </w:rPr>
                  </w:pPr>
                </w:p>
              </w:tc>
              <w:tc>
                <w:tcPr>
                  <w:tcW w:w="1391" w:type="dxa"/>
                  <w:vMerge w:val="continue"/>
                  <w:vAlign w:val="center"/>
                </w:tcPr>
                <w:p>
                  <w:pPr>
                    <w:jc w:val="center"/>
                    <w:rPr>
                      <w:color w:val="auto"/>
                    </w:rPr>
                  </w:pPr>
                </w:p>
              </w:tc>
              <w:tc>
                <w:tcPr>
                  <w:tcW w:w="876" w:type="dxa"/>
                  <w:vAlign w:val="center"/>
                </w:tcPr>
                <w:p>
                  <w:pPr>
                    <w:adjustRightInd w:val="0"/>
                    <w:snapToGrid w:val="0"/>
                    <w:jc w:val="center"/>
                    <w:rPr>
                      <w:color w:val="auto"/>
                    </w:rPr>
                  </w:pPr>
                  <w:r>
                    <w:rPr>
                      <w:color w:val="auto"/>
                    </w:rPr>
                    <w:t>颗粒物</w:t>
                  </w:r>
                </w:p>
              </w:tc>
              <w:tc>
                <w:tcPr>
                  <w:tcW w:w="1332" w:type="dxa"/>
                  <w:vAlign w:val="center"/>
                </w:tcPr>
                <w:p>
                  <w:pPr>
                    <w:adjustRightInd w:val="0"/>
                    <w:snapToGrid w:val="0"/>
                    <w:jc w:val="center"/>
                    <w:textAlignment w:val="center"/>
                    <w:rPr>
                      <w:rFonts w:hint="default" w:eastAsia="宋体"/>
                      <w:color w:val="FF0000"/>
                      <w:lang w:val="en-US" w:eastAsia="zh-CN"/>
                    </w:rPr>
                  </w:pPr>
                  <w:r>
                    <w:rPr>
                      <w:color w:val="FF0000"/>
                    </w:rPr>
                    <w:t>0.</w:t>
                  </w:r>
                  <w:r>
                    <w:rPr>
                      <w:rFonts w:hint="eastAsia"/>
                      <w:color w:val="FF0000"/>
                      <w:lang w:val="en-US" w:eastAsia="zh-CN"/>
                    </w:rPr>
                    <w:t>81159</w:t>
                  </w:r>
                </w:p>
              </w:tc>
              <w:tc>
                <w:tcPr>
                  <w:tcW w:w="1373" w:type="dxa"/>
                  <w:vAlign w:val="center"/>
                </w:tcPr>
                <w:p>
                  <w:pPr>
                    <w:adjustRightInd w:val="0"/>
                    <w:snapToGrid w:val="0"/>
                    <w:jc w:val="center"/>
                    <w:textAlignment w:val="center"/>
                    <w:rPr>
                      <w:rFonts w:hint="default" w:eastAsia="宋体"/>
                      <w:color w:val="FF0000"/>
                      <w:lang w:val="en-US" w:eastAsia="zh-CN"/>
                    </w:rPr>
                  </w:pPr>
                  <w:r>
                    <w:rPr>
                      <w:rFonts w:hint="eastAsia"/>
                      <w:color w:val="FF0000"/>
                      <w:lang w:val="en-US" w:eastAsia="zh-CN"/>
                    </w:rPr>
                    <w:t>18.04</w:t>
                  </w:r>
                </w:p>
              </w:tc>
              <w:tc>
                <w:tcPr>
                  <w:tcW w:w="780" w:type="dxa"/>
                  <w:vAlign w:val="center"/>
                </w:tcPr>
                <w:p>
                  <w:pPr>
                    <w:widowControl/>
                    <w:jc w:val="center"/>
                    <w:rPr>
                      <w:color w:val="auto"/>
                    </w:rPr>
                  </w:pPr>
                  <w:r>
                    <w:rPr>
                      <w:color w:val="auto"/>
                    </w:rPr>
                    <w:t>0.5</w:t>
                  </w:r>
                </w:p>
              </w:tc>
              <w:tc>
                <w:tcPr>
                  <w:tcW w:w="711" w:type="dxa"/>
                  <w:vAlign w:val="center"/>
                </w:tcPr>
                <w:p>
                  <w:pPr>
                    <w:widowControl/>
                    <w:jc w:val="center"/>
                    <w:rPr>
                      <w:color w:val="auto"/>
                    </w:rPr>
                  </w:pPr>
                  <w:r>
                    <w:rPr>
                      <w:color w:val="auto"/>
                    </w:rPr>
                    <w:t>2</w:t>
                  </w:r>
                </w:p>
              </w:tc>
              <w:tc>
                <w:tcPr>
                  <w:tcW w:w="1816" w:type="dxa"/>
                  <w:vMerge w:val="continue"/>
                  <w:vAlign w:val="center"/>
                </w:tcPr>
                <w:p>
                  <w:pPr>
                    <w:jc w:val="center"/>
                    <w:rPr>
                      <w:color w:val="auto"/>
                      <w:lang w:eastAsia="zh-T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1009" w:type="dxa"/>
                  <w:vAlign w:val="center"/>
                </w:tcPr>
                <w:p>
                  <w:pPr>
                    <w:widowControl/>
                    <w:jc w:val="center"/>
                    <w:rPr>
                      <w:color w:val="auto"/>
                    </w:rPr>
                  </w:pPr>
                  <w:r>
                    <w:rPr>
                      <w:color w:val="auto"/>
                    </w:rPr>
                    <w:t>排气筒DA003</w:t>
                  </w:r>
                </w:p>
              </w:tc>
              <w:tc>
                <w:tcPr>
                  <w:tcW w:w="1391" w:type="dxa"/>
                  <w:vMerge w:val="continue"/>
                  <w:vAlign w:val="center"/>
                </w:tcPr>
                <w:p>
                  <w:pPr>
                    <w:widowControl/>
                    <w:jc w:val="center"/>
                    <w:rPr>
                      <w:color w:val="auto"/>
                    </w:rPr>
                  </w:pPr>
                </w:p>
              </w:tc>
              <w:tc>
                <w:tcPr>
                  <w:tcW w:w="876" w:type="dxa"/>
                  <w:vAlign w:val="center"/>
                </w:tcPr>
                <w:p>
                  <w:pPr>
                    <w:widowControl/>
                    <w:jc w:val="center"/>
                    <w:rPr>
                      <w:color w:val="auto"/>
                    </w:rPr>
                  </w:pPr>
                  <w:r>
                    <w:rPr>
                      <w:color w:val="auto"/>
                    </w:rPr>
                    <w:t>非甲烷总烃</w:t>
                  </w:r>
                </w:p>
              </w:tc>
              <w:tc>
                <w:tcPr>
                  <w:tcW w:w="1332" w:type="dxa"/>
                  <w:vAlign w:val="center"/>
                </w:tcPr>
                <w:p>
                  <w:pPr>
                    <w:adjustRightInd w:val="0"/>
                    <w:snapToGrid w:val="0"/>
                    <w:jc w:val="center"/>
                    <w:textAlignment w:val="center"/>
                    <w:rPr>
                      <w:rFonts w:hint="default" w:eastAsia="宋体"/>
                      <w:color w:val="FF0000"/>
                      <w:highlight w:val="none"/>
                      <w:lang w:val="en-US" w:eastAsia="zh-CN"/>
                    </w:rPr>
                  </w:pPr>
                  <w:r>
                    <w:rPr>
                      <w:rFonts w:hint="eastAsia"/>
                      <w:color w:val="FF0000"/>
                      <w:highlight w:val="none"/>
                      <w:lang w:val="en-US" w:eastAsia="zh-CN"/>
                    </w:rPr>
                    <w:t>0.005542</w:t>
                  </w:r>
                </w:p>
              </w:tc>
              <w:tc>
                <w:tcPr>
                  <w:tcW w:w="1373" w:type="dxa"/>
                  <w:vAlign w:val="center"/>
                </w:tcPr>
                <w:p>
                  <w:pPr>
                    <w:adjustRightInd w:val="0"/>
                    <w:snapToGrid w:val="0"/>
                    <w:jc w:val="center"/>
                    <w:textAlignment w:val="center"/>
                    <w:rPr>
                      <w:rFonts w:hint="default" w:eastAsia="宋体"/>
                      <w:color w:val="FF0000"/>
                      <w:highlight w:val="none"/>
                      <w:lang w:val="en-US" w:eastAsia="zh-CN"/>
                    </w:rPr>
                  </w:pPr>
                  <w:r>
                    <w:rPr>
                      <w:rFonts w:hint="eastAsia"/>
                      <w:color w:val="FF0000"/>
                      <w:highlight w:val="none"/>
                      <w:lang w:val="en-US" w:eastAsia="zh-CN"/>
                    </w:rPr>
                    <w:t>0.213</w:t>
                  </w:r>
                </w:p>
              </w:tc>
              <w:tc>
                <w:tcPr>
                  <w:tcW w:w="780" w:type="dxa"/>
                  <w:vAlign w:val="center"/>
                </w:tcPr>
                <w:p>
                  <w:pPr>
                    <w:widowControl/>
                    <w:jc w:val="center"/>
                    <w:rPr>
                      <w:color w:val="auto"/>
                    </w:rPr>
                  </w:pPr>
                  <w:r>
                    <w:rPr>
                      <w:color w:val="auto"/>
                    </w:rPr>
                    <w:t>0.5</w:t>
                  </w:r>
                </w:p>
              </w:tc>
              <w:tc>
                <w:tcPr>
                  <w:tcW w:w="711" w:type="dxa"/>
                  <w:vAlign w:val="center"/>
                </w:tcPr>
                <w:p>
                  <w:pPr>
                    <w:widowControl/>
                    <w:jc w:val="center"/>
                    <w:rPr>
                      <w:color w:val="auto"/>
                    </w:rPr>
                  </w:pPr>
                  <w:r>
                    <w:rPr>
                      <w:color w:val="auto"/>
                    </w:rPr>
                    <w:t>2</w:t>
                  </w:r>
                </w:p>
              </w:tc>
              <w:tc>
                <w:tcPr>
                  <w:tcW w:w="1816" w:type="dxa"/>
                  <w:vMerge w:val="continue"/>
                  <w:vAlign w:val="center"/>
                </w:tcPr>
                <w:p>
                  <w:pPr>
                    <w:widowControl/>
                    <w:jc w:val="center"/>
                    <w:rPr>
                      <w:color w:val="auto"/>
                      <w:lang w:eastAsia="zh-TW"/>
                    </w:rPr>
                  </w:pPr>
                </w:p>
              </w:tc>
            </w:tr>
          </w:tbl>
          <w:p>
            <w:pPr>
              <w:widowControl/>
              <w:adjustRightInd w:val="0"/>
              <w:snapToGrid w:val="0"/>
              <w:spacing w:before="120" w:beforeLines="50" w:line="360" w:lineRule="auto"/>
              <w:ind w:firstLine="422" w:firstLineChars="200"/>
              <w:jc w:val="left"/>
              <w:rPr>
                <w:b/>
                <w:color w:val="auto"/>
              </w:rPr>
            </w:pPr>
            <w:r>
              <w:rPr>
                <w:rFonts w:hint="eastAsia"/>
                <w:b/>
                <w:color w:val="auto"/>
              </w:rPr>
              <w:t>5.</w:t>
            </w:r>
            <w:r>
              <w:rPr>
                <w:b/>
                <w:color w:val="auto"/>
              </w:rPr>
              <w:t>废气污染防治技术可行性分析</w:t>
            </w:r>
          </w:p>
          <w:p>
            <w:pPr>
              <w:pStyle w:val="878"/>
              <w:spacing w:line="360" w:lineRule="auto"/>
              <w:ind w:firstLine="420"/>
              <w:rPr>
                <w:color w:val="auto"/>
                <w:sz w:val="21"/>
              </w:rPr>
            </w:pPr>
            <w:r>
              <w:rPr>
                <w:color w:val="auto"/>
                <w:sz w:val="21"/>
              </w:rPr>
              <w:t xml:space="preserve">根据《排污许可证申请与核发技术规范 </w:t>
            </w:r>
            <w:r>
              <w:rPr>
                <w:rFonts w:hint="eastAsia"/>
                <w:color w:val="auto"/>
                <w:sz w:val="21"/>
              </w:rPr>
              <w:t>橡胶和塑料制品工业</w:t>
            </w:r>
            <w:r>
              <w:rPr>
                <w:color w:val="auto"/>
                <w:sz w:val="21"/>
              </w:rPr>
              <w:t>》（HJ11</w:t>
            </w:r>
            <w:r>
              <w:rPr>
                <w:rFonts w:hint="eastAsia"/>
                <w:color w:val="auto"/>
                <w:sz w:val="21"/>
              </w:rPr>
              <w:t>22</w:t>
            </w:r>
            <w:r>
              <w:rPr>
                <w:color w:val="auto"/>
                <w:sz w:val="21"/>
              </w:rPr>
              <w:t>—2020）</w:t>
            </w:r>
            <w:r>
              <w:rPr>
                <w:rFonts w:hint="eastAsia"/>
                <w:color w:val="auto"/>
                <w:sz w:val="21"/>
              </w:rPr>
              <w:t>附</w:t>
            </w:r>
            <w:r>
              <w:rPr>
                <w:color w:val="auto"/>
                <w:sz w:val="21"/>
              </w:rPr>
              <w:t>表A.1</w:t>
            </w:r>
            <w:r>
              <w:rPr>
                <w:rFonts w:hint="eastAsia"/>
                <w:color w:val="auto"/>
                <w:sz w:val="21"/>
              </w:rPr>
              <w:t>橡胶制品工业排污单位废气污染防治可行技术参考表</w:t>
            </w:r>
            <w:r>
              <w:rPr>
                <w:color w:val="auto"/>
                <w:sz w:val="21"/>
              </w:rPr>
              <w:t>，</w:t>
            </w:r>
            <w:r>
              <w:rPr>
                <w:rFonts w:hint="eastAsia"/>
                <w:color w:val="auto"/>
                <w:sz w:val="21"/>
              </w:rPr>
              <w:t>炼胶</w:t>
            </w:r>
            <w:r>
              <w:rPr>
                <w:color w:val="auto"/>
                <w:sz w:val="21"/>
              </w:rPr>
              <w:t>工序中</w:t>
            </w:r>
            <w:r>
              <w:rPr>
                <w:rFonts w:hint="eastAsia"/>
                <w:color w:val="auto"/>
                <w:sz w:val="21"/>
              </w:rPr>
              <w:t>产生的颗粒物防治</w:t>
            </w:r>
            <w:r>
              <w:rPr>
                <w:color w:val="auto"/>
                <w:sz w:val="21"/>
              </w:rPr>
              <w:t>可行技术为</w:t>
            </w:r>
            <w:r>
              <w:rPr>
                <w:rFonts w:hint="eastAsia"/>
                <w:color w:val="auto"/>
                <w:sz w:val="21"/>
              </w:rPr>
              <w:t>“袋式除尘”，非甲烷总烃未列明可行技术，参考附表A.2塑料制品产生的非甲烷总统防治</w:t>
            </w:r>
            <w:r>
              <w:rPr>
                <w:color w:val="auto"/>
                <w:sz w:val="21"/>
              </w:rPr>
              <w:t>可行技术为</w:t>
            </w:r>
            <w:r>
              <w:rPr>
                <w:rFonts w:hint="eastAsia"/>
                <w:color w:val="auto"/>
                <w:sz w:val="21"/>
              </w:rPr>
              <w:t>“喷淋；吸附；吸附浓缩+热力燃烧/催化燃烧</w:t>
            </w:r>
            <w:r>
              <w:rPr>
                <w:color w:val="auto"/>
                <w:sz w:val="21"/>
              </w:rPr>
              <w:t>”，</w:t>
            </w:r>
            <w:r>
              <w:rPr>
                <w:rFonts w:hint="eastAsia"/>
                <w:color w:val="auto"/>
                <w:sz w:val="21"/>
              </w:rPr>
              <w:t>项目配料粉尘采用“脉冲式布袋除尘”技术，混炼废气采用“袋式除尘+</w:t>
            </w:r>
            <w:r>
              <w:rPr>
                <w:rFonts w:hint="eastAsia"/>
                <w:color w:val="auto"/>
                <w:sz w:val="21"/>
                <w:lang w:val="en-US" w:eastAsia="zh-CN"/>
              </w:rPr>
              <w:t>两</w:t>
            </w:r>
            <w:r>
              <w:rPr>
                <w:rFonts w:hint="eastAsia"/>
                <w:color w:val="auto"/>
                <w:sz w:val="21"/>
              </w:rPr>
              <w:t>级活性炭吸附”技术，模压废气采用“</w:t>
            </w:r>
            <w:r>
              <w:rPr>
                <w:rFonts w:hint="eastAsia"/>
                <w:color w:val="auto"/>
                <w:sz w:val="21"/>
                <w:lang w:val="en-US" w:eastAsia="zh-CN"/>
              </w:rPr>
              <w:t>两</w:t>
            </w:r>
            <w:r>
              <w:rPr>
                <w:rFonts w:hint="eastAsia"/>
                <w:color w:val="auto"/>
                <w:sz w:val="21"/>
              </w:rPr>
              <w:t>级活性炭吸附”，以上均</w:t>
            </w:r>
            <w:r>
              <w:rPr>
                <w:color w:val="auto"/>
                <w:sz w:val="21"/>
              </w:rPr>
              <w:t>属于</w:t>
            </w:r>
            <w:r>
              <w:rPr>
                <w:rFonts w:hint="eastAsia"/>
                <w:color w:val="auto"/>
                <w:sz w:val="21"/>
              </w:rPr>
              <w:t>污染防治</w:t>
            </w:r>
            <w:r>
              <w:rPr>
                <w:color w:val="auto"/>
                <w:sz w:val="21"/>
              </w:rPr>
              <w:t>可行性技术。</w:t>
            </w:r>
          </w:p>
          <w:p>
            <w:pPr>
              <w:autoSpaceDE w:val="0"/>
              <w:autoSpaceDN w:val="0"/>
              <w:snapToGrid w:val="0"/>
              <w:spacing w:line="360" w:lineRule="auto"/>
              <w:ind w:firstLine="422" w:firstLineChars="200"/>
              <w:rPr>
                <w:b/>
                <w:bCs/>
                <w:color w:val="auto"/>
              </w:rPr>
            </w:pPr>
            <w:r>
              <w:rPr>
                <w:b/>
                <w:bCs/>
                <w:color w:val="auto"/>
              </w:rPr>
              <w:t>6.大气环境影响分析</w:t>
            </w:r>
          </w:p>
          <w:p>
            <w:pPr>
              <w:pStyle w:val="878"/>
              <w:spacing w:line="360" w:lineRule="auto"/>
              <w:ind w:firstLine="420"/>
              <w:rPr>
                <w:color w:val="auto"/>
              </w:rPr>
            </w:pPr>
            <w:r>
              <w:rPr>
                <w:color w:val="auto"/>
                <w:sz w:val="21"/>
              </w:rPr>
              <w:t>本项目评价区域环境质量现状良好，各因子可达到《环境空气质量标准》（GB3095-2012）及其修改单二级标准，特征因子TVOC监测结果满足《环境影响评价技术导则 大气环境》（HJ2.2-2018）附录D.1其他污染物空气质量浓度参考限值，TSP符合国家《环境空气质量标准》（GB3095-2012）及其修改单中的二级标准，区域内的大气环境质量较好。项目各产污环节产生的废气均做到了有效收集，选取的污染防治设施属于排污许可技术规范认可的可行性技术，可以做到达标排放，项目外排废气的区域环境影响较小。</w:t>
            </w:r>
          </w:p>
          <w:p>
            <w:pPr>
              <w:autoSpaceDE w:val="0"/>
              <w:autoSpaceDN w:val="0"/>
              <w:snapToGrid w:val="0"/>
              <w:spacing w:line="360" w:lineRule="auto"/>
              <w:ind w:firstLine="422" w:firstLineChars="200"/>
              <w:rPr>
                <w:b/>
                <w:bCs/>
                <w:color w:val="auto"/>
              </w:rPr>
            </w:pPr>
            <w:r>
              <w:rPr>
                <w:b/>
                <w:bCs/>
                <w:color w:val="auto"/>
              </w:rPr>
              <w:t>7.卫生防护距离</w:t>
            </w:r>
          </w:p>
          <w:p>
            <w:pPr>
              <w:autoSpaceDE w:val="0"/>
              <w:autoSpaceDN w:val="0"/>
              <w:snapToGrid w:val="0"/>
              <w:spacing w:line="360" w:lineRule="auto"/>
              <w:ind w:firstLine="422" w:firstLineChars="200"/>
              <w:rPr>
                <w:b/>
                <w:bCs/>
                <w:color w:val="auto"/>
              </w:rPr>
            </w:pPr>
            <w:r>
              <w:rPr>
                <w:b/>
                <w:bCs/>
                <w:color w:val="auto"/>
              </w:rPr>
              <w:t>（1）主要特征大气有害物质</w:t>
            </w:r>
          </w:p>
          <w:p>
            <w:pPr>
              <w:adjustRightInd w:val="0"/>
              <w:snapToGrid w:val="0"/>
              <w:spacing w:line="360" w:lineRule="auto"/>
              <w:ind w:firstLine="420" w:firstLineChars="200"/>
              <w:textAlignment w:val="baseline"/>
              <w:rPr>
                <w:color w:val="auto"/>
              </w:rPr>
            </w:pPr>
            <w:r>
              <w:rPr>
                <w:color w:val="auto"/>
              </w:rPr>
              <w:t>项目产生的废气主要为</w:t>
            </w:r>
            <w:r>
              <w:rPr>
                <w:rFonts w:hint="eastAsia"/>
                <w:color w:val="auto"/>
              </w:rPr>
              <w:t>密炼、开炼</w:t>
            </w:r>
            <w:r>
              <w:rPr>
                <w:color w:val="auto"/>
              </w:rPr>
              <w:t>工序产生的非甲烷总烃</w:t>
            </w:r>
            <w:r>
              <w:rPr>
                <w:rFonts w:hint="eastAsia"/>
                <w:color w:val="auto"/>
              </w:rPr>
              <w:t>、颗粒物</w:t>
            </w:r>
            <w:r>
              <w:rPr>
                <w:color w:val="auto"/>
              </w:rPr>
              <w:t>，</w:t>
            </w:r>
            <w:r>
              <w:rPr>
                <w:rFonts w:hint="eastAsia"/>
                <w:color w:val="auto"/>
              </w:rPr>
              <w:t>模压工序产生的</w:t>
            </w:r>
            <w:r>
              <w:rPr>
                <w:color w:val="auto"/>
              </w:rPr>
              <w:t>非甲烷总烃</w:t>
            </w:r>
            <w:r>
              <w:rPr>
                <w:rFonts w:hint="eastAsia"/>
                <w:color w:val="auto"/>
              </w:rPr>
              <w:t>，配料</w:t>
            </w:r>
            <w:r>
              <w:rPr>
                <w:color w:val="auto"/>
              </w:rPr>
              <w:t>工序产生的颗粒物。根据《大气有害物质无组织排放卫生防护距离推导技术导则》（GB/T39499-2020），当目标企业无组织排放存在多种有毒有害污染物时，基于单个污染物的等标排放量计算结果，优先选择等标排放量最大的污染物为企业无组织排放的主要特征大气有害物质。</w:t>
            </w:r>
          </w:p>
          <w:p>
            <w:pPr>
              <w:adjustRightInd w:val="0"/>
              <w:snapToGrid w:val="0"/>
              <w:spacing w:line="360" w:lineRule="auto"/>
              <w:ind w:firstLine="420" w:firstLineChars="200"/>
              <w:textAlignment w:val="baseline"/>
              <w:rPr>
                <w:bCs/>
                <w:color w:val="auto"/>
              </w:rPr>
            </w:pPr>
            <w:r>
              <w:rPr>
                <w:color w:val="auto"/>
              </w:rPr>
              <w:t>根据《大气有害物质无组织排放卫生防护距离推导技术导则》（GB/T 39499-2020），根据目标行业企业的产品产量及其原辅材料、工艺特征、中间产物、产排污特点等具体情况，考虑对人体健康损害的毒性特点，选取特征大气有害物质，本项目无组织排放的</w:t>
            </w:r>
            <w:r>
              <w:rPr>
                <w:rFonts w:hint="eastAsia"/>
                <w:color w:val="auto"/>
              </w:rPr>
              <w:t>污染物</w:t>
            </w:r>
            <w:r>
              <w:rPr>
                <w:color w:val="auto"/>
              </w:rPr>
              <w:t>主要有</w:t>
            </w:r>
            <w:r>
              <w:rPr>
                <w:rFonts w:hint="eastAsia"/>
                <w:color w:val="auto"/>
              </w:rPr>
              <w:t>非甲烷总烃、TSP</w:t>
            </w:r>
            <w:r>
              <w:rPr>
                <w:bCs/>
                <w:color w:val="auto"/>
              </w:rPr>
              <w:t>，TSP的环境标准限值取《环境空气质量标准》（GB3095-2012）及其2018年修改单的二级标准中TSP24小时均值的3倍，非甲烷总烃的环境标准限值参照执行《大气污染物综合排放标准详解》P244页的推荐值：2mg/m</w:t>
            </w:r>
            <w:r>
              <w:rPr>
                <w:bCs/>
                <w:color w:val="auto"/>
                <w:vertAlign w:val="superscript"/>
              </w:rPr>
              <w:t>3</w:t>
            </w:r>
            <w:r>
              <w:rPr>
                <w:rFonts w:hint="eastAsia"/>
                <w:bCs/>
                <w:color w:val="auto"/>
              </w:rPr>
              <w:t>，</w:t>
            </w:r>
            <w:r>
              <w:rPr>
                <w:bCs/>
                <w:color w:val="auto"/>
              </w:rPr>
              <w:t>本项目各污染物等标排放量如下表所示。</w:t>
            </w:r>
          </w:p>
          <w:p>
            <w:pPr>
              <w:adjustRightInd w:val="0"/>
              <w:snapToGrid w:val="0"/>
              <w:spacing w:line="360" w:lineRule="auto"/>
              <w:jc w:val="center"/>
              <w:rPr>
                <w:b/>
                <w:bCs/>
                <w:color w:val="auto"/>
              </w:rPr>
            </w:pPr>
            <w:r>
              <w:rPr>
                <w:b/>
                <w:bCs/>
                <w:color w:val="auto"/>
              </w:rPr>
              <w:t>表4-</w:t>
            </w:r>
            <w:r>
              <w:rPr>
                <w:rFonts w:hint="eastAsia"/>
                <w:b/>
                <w:bCs/>
                <w:color w:val="auto"/>
              </w:rPr>
              <w:t>15</w:t>
            </w:r>
            <w:r>
              <w:rPr>
                <w:b/>
                <w:bCs/>
                <w:color w:val="auto"/>
              </w:rPr>
              <w:t xml:space="preserve"> 项目主要污染物等标排放量计算表</w:t>
            </w:r>
          </w:p>
          <w:tbl>
            <w:tblPr>
              <w:tblStyle w:val="92"/>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94"/>
              <w:gridCol w:w="1394"/>
              <w:gridCol w:w="2318"/>
              <w:gridCol w:w="2091"/>
              <w:gridCol w:w="21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3" w:hRule="atLeast"/>
                <w:jc w:val="center"/>
              </w:trPr>
              <w:tc>
                <w:tcPr>
                  <w:tcW w:w="749" w:type="pct"/>
                  <w:vAlign w:val="center"/>
                </w:tcPr>
                <w:p>
                  <w:pPr>
                    <w:adjustRightInd w:val="0"/>
                    <w:snapToGrid w:val="0"/>
                    <w:jc w:val="center"/>
                    <w:rPr>
                      <w:b/>
                      <w:bCs/>
                      <w:color w:val="auto"/>
                      <w:lang w:bidi="zh-CN"/>
                    </w:rPr>
                  </w:pPr>
                  <w:r>
                    <w:rPr>
                      <w:rFonts w:hint="eastAsia"/>
                      <w:b/>
                      <w:bCs/>
                      <w:color w:val="auto"/>
                      <w:lang w:bidi="zh-CN"/>
                    </w:rPr>
                    <w:t>面源所在地</w:t>
                  </w:r>
                </w:p>
              </w:tc>
              <w:tc>
                <w:tcPr>
                  <w:tcW w:w="749" w:type="pct"/>
                  <w:vAlign w:val="center"/>
                </w:tcPr>
                <w:p>
                  <w:pPr>
                    <w:adjustRightInd w:val="0"/>
                    <w:snapToGrid w:val="0"/>
                    <w:jc w:val="center"/>
                    <w:rPr>
                      <w:b/>
                      <w:bCs/>
                      <w:color w:val="auto"/>
                      <w:lang w:bidi="zh-CN"/>
                    </w:rPr>
                  </w:pPr>
                  <w:r>
                    <w:rPr>
                      <w:b/>
                      <w:bCs/>
                      <w:color w:val="auto"/>
                      <w:lang w:bidi="zh-CN"/>
                    </w:rPr>
                    <w:t>污染物</w:t>
                  </w:r>
                </w:p>
              </w:tc>
              <w:tc>
                <w:tcPr>
                  <w:tcW w:w="1245" w:type="pct"/>
                  <w:vAlign w:val="center"/>
                </w:tcPr>
                <w:p>
                  <w:pPr>
                    <w:adjustRightInd w:val="0"/>
                    <w:snapToGrid w:val="0"/>
                    <w:jc w:val="center"/>
                    <w:rPr>
                      <w:b/>
                      <w:bCs/>
                      <w:color w:val="auto"/>
                      <w:lang w:val="zh-CN" w:bidi="zh-CN"/>
                    </w:rPr>
                  </w:pPr>
                  <w:r>
                    <w:rPr>
                      <w:b/>
                      <w:bCs/>
                      <w:color w:val="auto"/>
                      <w:lang w:bidi="zh-CN"/>
                    </w:rPr>
                    <w:t>无组织排放量</w:t>
                  </w:r>
                  <w:r>
                    <w:rPr>
                      <w:b/>
                      <w:bCs/>
                      <w:color w:val="auto"/>
                      <w:lang w:val="zh-CN" w:bidi="zh-CN"/>
                    </w:rPr>
                    <w:t>Qc（kg/h）</w:t>
                  </w:r>
                </w:p>
              </w:tc>
              <w:tc>
                <w:tcPr>
                  <w:tcW w:w="1123" w:type="pct"/>
                  <w:vAlign w:val="center"/>
                </w:tcPr>
                <w:p>
                  <w:pPr>
                    <w:adjustRightInd w:val="0"/>
                    <w:snapToGrid w:val="0"/>
                    <w:jc w:val="center"/>
                    <w:rPr>
                      <w:b/>
                      <w:bCs/>
                      <w:color w:val="auto"/>
                      <w:lang w:bidi="zh-CN"/>
                    </w:rPr>
                  </w:pPr>
                  <w:r>
                    <w:rPr>
                      <w:b/>
                      <w:bCs/>
                      <w:color w:val="auto"/>
                      <w:lang w:bidi="zh-CN"/>
                    </w:rPr>
                    <w:t>标准限值</w:t>
                  </w:r>
                  <w:r>
                    <w:rPr>
                      <w:b/>
                      <w:bCs/>
                      <w:color w:val="auto"/>
                      <w:lang w:val="zh-CN" w:bidi="zh-CN"/>
                    </w:rPr>
                    <w:t>C</w:t>
                  </w:r>
                  <w:r>
                    <w:rPr>
                      <w:b/>
                      <w:bCs/>
                      <w:color w:val="auto"/>
                      <w:vertAlign w:val="subscript"/>
                      <w:lang w:val="zh-CN" w:bidi="zh-CN"/>
                    </w:rPr>
                    <w:t>m</w:t>
                  </w:r>
                  <w:r>
                    <w:rPr>
                      <w:b/>
                      <w:bCs/>
                      <w:color w:val="auto"/>
                      <w:lang w:val="zh-CN" w:bidi="zh-CN"/>
                    </w:rPr>
                    <w:t>（mg/m³）</w:t>
                  </w:r>
                </w:p>
              </w:tc>
              <w:tc>
                <w:tcPr>
                  <w:tcW w:w="1131" w:type="pct"/>
                  <w:vAlign w:val="center"/>
                </w:tcPr>
                <w:p>
                  <w:pPr>
                    <w:adjustRightInd w:val="0"/>
                    <w:snapToGrid w:val="0"/>
                    <w:jc w:val="center"/>
                    <w:rPr>
                      <w:b/>
                      <w:bCs/>
                      <w:color w:val="auto"/>
                      <w:lang w:val="zh-CN" w:bidi="zh-CN"/>
                    </w:rPr>
                  </w:pPr>
                  <w:r>
                    <w:rPr>
                      <w:b/>
                      <w:bCs/>
                      <w:color w:val="auto"/>
                      <w:lang w:bidi="zh-CN"/>
                    </w:rPr>
                    <w:t>等标排放量</w:t>
                  </w:r>
                  <w:r>
                    <w:rPr>
                      <w:b/>
                      <w:bCs/>
                      <w:color w:val="auto"/>
                      <w:lang w:val="zh-CN" w:bidi="zh-CN"/>
                    </w:rPr>
                    <w:t>Qc</w:t>
                  </w:r>
                  <w:r>
                    <w:rPr>
                      <w:b/>
                      <w:bCs/>
                      <w:color w:val="auto"/>
                      <w:lang w:bidi="zh-CN"/>
                    </w:rPr>
                    <w:t>/</w:t>
                  </w:r>
                  <w:r>
                    <w:rPr>
                      <w:b/>
                      <w:bCs/>
                      <w:color w:val="auto"/>
                      <w:lang w:val="zh-CN" w:bidi="zh-CN"/>
                    </w:rPr>
                    <w:t>C</w:t>
                  </w:r>
                  <w:r>
                    <w:rPr>
                      <w:b/>
                      <w:bCs/>
                      <w:color w:val="auto"/>
                      <w:vertAlign w:val="subscript"/>
                      <w:lang w:val="zh-CN" w:bidi="zh-CN"/>
                    </w:rPr>
                    <w:t>m</w:t>
                  </w:r>
                </w:p>
                <w:p>
                  <w:pPr>
                    <w:adjustRightInd w:val="0"/>
                    <w:snapToGrid w:val="0"/>
                    <w:rPr>
                      <w:b/>
                      <w:bCs/>
                      <w:color w:val="auto"/>
                      <w:lang w:val="zh-CN" w:bidi="zh-CN"/>
                    </w:rPr>
                  </w:pPr>
                  <w:r>
                    <w:rPr>
                      <w:b/>
                      <w:bCs/>
                      <w:color w:val="auto"/>
                      <w:lang w:val="zh-CN" w:bidi="zh-CN"/>
                    </w:rPr>
                    <w:t>（m³/h）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jc w:val="center"/>
              </w:trPr>
              <w:tc>
                <w:tcPr>
                  <w:tcW w:w="749" w:type="pct"/>
                  <w:vAlign w:val="center"/>
                </w:tcPr>
                <w:p>
                  <w:pPr>
                    <w:adjustRightInd w:val="0"/>
                    <w:snapToGrid w:val="0"/>
                    <w:jc w:val="center"/>
                    <w:rPr>
                      <w:color w:val="auto"/>
                      <w:lang w:bidi="zh-CN"/>
                    </w:rPr>
                  </w:pPr>
                  <w:r>
                    <w:rPr>
                      <w:rFonts w:hint="eastAsia"/>
                      <w:color w:val="auto"/>
                      <w:lang w:bidi="zh-CN"/>
                    </w:rPr>
                    <w:t>1#厂房</w:t>
                  </w:r>
                </w:p>
              </w:tc>
              <w:tc>
                <w:tcPr>
                  <w:tcW w:w="749" w:type="pct"/>
                  <w:vAlign w:val="center"/>
                </w:tcPr>
                <w:p>
                  <w:pPr>
                    <w:adjustRightInd w:val="0"/>
                    <w:snapToGrid w:val="0"/>
                    <w:jc w:val="center"/>
                    <w:rPr>
                      <w:color w:val="auto"/>
                      <w:lang w:bidi="zh-CN"/>
                    </w:rPr>
                  </w:pPr>
                  <w:r>
                    <w:rPr>
                      <w:color w:val="auto"/>
                      <w:lang w:bidi="zh-CN"/>
                    </w:rPr>
                    <w:t>非甲烷总烃</w:t>
                  </w:r>
                </w:p>
              </w:tc>
              <w:tc>
                <w:tcPr>
                  <w:tcW w:w="1245" w:type="pct"/>
                  <w:vAlign w:val="center"/>
                </w:tcPr>
                <w:p>
                  <w:pPr>
                    <w:adjustRightInd w:val="0"/>
                    <w:snapToGrid w:val="0"/>
                    <w:jc w:val="center"/>
                    <w:rPr>
                      <w:rFonts w:hint="default" w:eastAsia="宋体"/>
                      <w:color w:val="auto"/>
                      <w:highlight w:val="yellow"/>
                      <w:lang w:val="en-US" w:eastAsia="zh-CN" w:bidi="zh-CN"/>
                    </w:rPr>
                  </w:pPr>
                  <w:r>
                    <w:rPr>
                      <w:rFonts w:hint="eastAsia"/>
                      <w:color w:val="FF0000"/>
                      <w:highlight w:val="none"/>
                      <w:lang w:val="en-US" w:eastAsia="zh-CN" w:bidi="zh-CN"/>
                    </w:rPr>
                    <w:t>0.0003646</w:t>
                  </w:r>
                </w:p>
              </w:tc>
              <w:tc>
                <w:tcPr>
                  <w:tcW w:w="1123" w:type="pct"/>
                  <w:vAlign w:val="center"/>
                </w:tcPr>
                <w:p>
                  <w:pPr>
                    <w:adjustRightInd w:val="0"/>
                    <w:snapToGrid w:val="0"/>
                    <w:jc w:val="center"/>
                    <w:rPr>
                      <w:color w:val="auto"/>
                      <w:lang w:bidi="zh-CN"/>
                    </w:rPr>
                  </w:pPr>
                  <w:r>
                    <w:rPr>
                      <w:rFonts w:hint="eastAsia"/>
                      <w:color w:val="auto"/>
                      <w:lang w:bidi="zh-CN"/>
                    </w:rPr>
                    <w:t>2.0</w:t>
                  </w:r>
                </w:p>
              </w:tc>
              <w:tc>
                <w:tcPr>
                  <w:tcW w:w="1131" w:type="pct"/>
                  <w:vAlign w:val="center"/>
                </w:tcPr>
                <w:p>
                  <w:pPr>
                    <w:adjustRightInd w:val="0"/>
                    <w:snapToGrid w:val="0"/>
                    <w:jc w:val="center"/>
                    <w:rPr>
                      <w:rFonts w:hint="default"/>
                      <w:color w:val="auto"/>
                      <w:lang w:val="en-US" w:bidi="zh-CN"/>
                    </w:rPr>
                  </w:pPr>
                  <w:r>
                    <w:rPr>
                      <w:rFonts w:hint="eastAsia" w:cs="Times New Roman"/>
                      <w:color w:val="FF0000"/>
                      <w:lang w:val="en-US" w:bidi="zh-CN"/>
                    </w:rPr>
                    <w:t>1.823</w:t>
                  </w:r>
                  <w:r>
                    <w:rPr>
                      <w:rFonts w:hint="default" w:ascii="Times New Roman" w:hAnsi="Times New Roman" w:cs="Times New Roman"/>
                      <w:color w:val="FF0000"/>
                      <w:lang w:val="en-US" w:bidi="zh-CN"/>
                    </w:rPr>
                    <w:t>×10</w:t>
                  </w:r>
                  <w:r>
                    <w:rPr>
                      <w:rFonts w:hint="default" w:ascii="Times New Roman" w:hAnsi="Times New Roman" w:cs="Times New Roman"/>
                      <w:color w:val="FF0000"/>
                      <w:vertAlign w:val="superscript"/>
                      <w:lang w:val="en-US" w:bidi="zh-CN"/>
                    </w:rPr>
                    <w:t>-</w:t>
                  </w:r>
                  <w:r>
                    <w:rPr>
                      <w:rFonts w:hint="eastAsia" w:cs="Times New Roman"/>
                      <w:color w:val="FF0000"/>
                      <w:vertAlign w:val="superscript"/>
                      <w:lang w:val="en-US" w:bidi="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jc w:val="center"/>
              </w:trPr>
              <w:tc>
                <w:tcPr>
                  <w:tcW w:w="749" w:type="pct"/>
                  <w:vMerge w:val="restart"/>
                  <w:vAlign w:val="center"/>
                </w:tcPr>
                <w:p>
                  <w:pPr>
                    <w:adjustRightInd w:val="0"/>
                    <w:snapToGrid w:val="0"/>
                    <w:jc w:val="center"/>
                    <w:rPr>
                      <w:color w:val="auto"/>
                      <w:lang w:bidi="zh-CN"/>
                    </w:rPr>
                  </w:pPr>
                  <w:r>
                    <w:rPr>
                      <w:rFonts w:hint="eastAsia"/>
                      <w:color w:val="auto"/>
                      <w:lang w:bidi="zh-CN"/>
                    </w:rPr>
                    <w:t>2#厂房</w:t>
                  </w:r>
                </w:p>
              </w:tc>
              <w:tc>
                <w:tcPr>
                  <w:tcW w:w="749" w:type="pct"/>
                  <w:vAlign w:val="center"/>
                </w:tcPr>
                <w:p>
                  <w:pPr>
                    <w:adjustRightInd w:val="0"/>
                    <w:snapToGrid w:val="0"/>
                    <w:jc w:val="center"/>
                    <w:rPr>
                      <w:color w:val="auto"/>
                      <w:lang w:bidi="zh-CN"/>
                    </w:rPr>
                  </w:pPr>
                  <w:r>
                    <w:rPr>
                      <w:color w:val="auto"/>
                      <w:lang w:bidi="zh-CN"/>
                    </w:rPr>
                    <w:t>非甲烷总烃</w:t>
                  </w:r>
                </w:p>
              </w:tc>
              <w:tc>
                <w:tcPr>
                  <w:tcW w:w="1245" w:type="pct"/>
                  <w:vAlign w:val="center"/>
                </w:tcPr>
                <w:p>
                  <w:pPr>
                    <w:adjustRightInd w:val="0"/>
                    <w:snapToGrid w:val="0"/>
                    <w:jc w:val="center"/>
                    <w:rPr>
                      <w:rFonts w:hint="default" w:eastAsia="宋体"/>
                      <w:color w:val="FF0000"/>
                      <w:highlight w:val="none"/>
                      <w:lang w:val="en-US" w:eastAsia="zh-CN" w:bidi="zh-CN"/>
                    </w:rPr>
                  </w:pPr>
                  <w:r>
                    <w:rPr>
                      <w:rFonts w:hint="eastAsia"/>
                      <w:color w:val="FF0000"/>
                      <w:highlight w:val="none"/>
                      <w:lang w:val="en-US" w:eastAsia="zh-CN" w:bidi="zh-CN"/>
                    </w:rPr>
                    <w:t>0.14045</w:t>
                  </w:r>
                </w:p>
              </w:tc>
              <w:tc>
                <w:tcPr>
                  <w:tcW w:w="1123" w:type="pct"/>
                  <w:vAlign w:val="center"/>
                </w:tcPr>
                <w:p>
                  <w:pPr>
                    <w:adjustRightInd w:val="0"/>
                    <w:snapToGrid w:val="0"/>
                    <w:jc w:val="center"/>
                    <w:rPr>
                      <w:color w:val="auto"/>
                      <w:lang w:bidi="zh-CN"/>
                    </w:rPr>
                  </w:pPr>
                  <w:r>
                    <w:rPr>
                      <w:color w:val="auto"/>
                      <w:lang w:bidi="zh-CN"/>
                    </w:rPr>
                    <w:t>2</w:t>
                  </w:r>
                  <w:r>
                    <w:rPr>
                      <w:rFonts w:hint="eastAsia"/>
                      <w:color w:val="auto"/>
                      <w:lang w:bidi="zh-CN"/>
                    </w:rPr>
                    <w:t>.0</w:t>
                  </w:r>
                </w:p>
              </w:tc>
              <w:tc>
                <w:tcPr>
                  <w:tcW w:w="1131" w:type="pct"/>
                  <w:vAlign w:val="center"/>
                </w:tcPr>
                <w:p>
                  <w:pPr>
                    <w:adjustRightInd w:val="0"/>
                    <w:snapToGrid w:val="0"/>
                    <w:jc w:val="center"/>
                    <w:rPr>
                      <w:rFonts w:hint="default"/>
                      <w:color w:val="FF0000"/>
                      <w:lang w:val="en-US" w:bidi="zh-CN"/>
                    </w:rPr>
                  </w:pPr>
                  <w:r>
                    <w:rPr>
                      <w:rFonts w:hint="eastAsia"/>
                      <w:color w:val="FF0000"/>
                      <w:lang w:val="en-US" w:bidi="zh-CN"/>
                    </w:rPr>
                    <w:t>0.070225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jc w:val="center"/>
              </w:trPr>
              <w:tc>
                <w:tcPr>
                  <w:tcW w:w="749" w:type="pct"/>
                  <w:vMerge w:val="continue"/>
                  <w:vAlign w:val="center"/>
                </w:tcPr>
                <w:p>
                  <w:pPr>
                    <w:adjustRightInd w:val="0"/>
                    <w:snapToGrid w:val="0"/>
                    <w:jc w:val="center"/>
                    <w:rPr>
                      <w:color w:val="auto"/>
                      <w:lang w:bidi="zh-CN"/>
                    </w:rPr>
                  </w:pPr>
                </w:p>
              </w:tc>
              <w:tc>
                <w:tcPr>
                  <w:tcW w:w="749" w:type="pct"/>
                  <w:vAlign w:val="center"/>
                </w:tcPr>
                <w:p>
                  <w:pPr>
                    <w:adjustRightInd w:val="0"/>
                    <w:snapToGrid w:val="0"/>
                    <w:jc w:val="center"/>
                    <w:rPr>
                      <w:color w:val="auto"/>
                      <w:lang w:bidi="zh-CN"/>
                    </w:rPr>
                  </w:pPr>
                  <w:r>
                    <w:rPr>
                      <w:rFonts w:hint="eastAsia"/>
                      <w:color w:val="auto"/>
                      <w:lang w:bidi="zh-CN"/>
                    </w:rPr>
                    <w:t>TSP</w:t>
                  </w:r>
                </w:p>
              </w:tc>
              <w:tc>
                <w:tcPr>
                  <w:tcW w:w="1245" w:type="pct"/>
                  <w:vAlign w:val="center"/>
                </w:tcPr>
                <w:p>
                  <w:pPr>
                    <w:adjustRightInd w:val="0"/>
                    <w:snapToGrid w:val="0"/>
                    <w:jc w:val="center"/>
                    <w:rPr>
                      <w:rFonts w:hint="default" w:eastAsia="宋体"/>
                      <w:color w:val="FF0000"/>
                      <w:highlight w:val="none"/>
                      <w:lang w:val="en-US" w:eastAsia="zh-CN" w:bidi="zh-CN"/>
                    </w:rPr>
                  </w:pPr>
                  <w:r>
                    <w:rPr>
                      <w:rFonts w:hint="eastAsia"/>
                      <w:color w:val="FF0000"/>
                      <w:highlight w:val="none"/>
                      <w:lang w:val="en-US" w:eastAsia="zh-CN" w:bidi="zh-CN"/>
                    </w:rPr>
                    <w:t>0.16888542</w:t>
                  </w:r>
                </w:p>
              </w:tc>
              <w:tc>
                <w:tcPr>
                  <w:tcW w:w="1123" w:type="pct"/>
                  <w:vAlign w:val="center"/>
                </w:tcPr>
                <w:p>
                  <w:pPr>
                    <w:adjustRightInd w:val="0"/>
                    <w:snapToGrid w:val="0"/>
                    <w:jc w:val="center"/>
                    <w:rPr>
                      <w:color w:val="auto"/>
                      <w:lang w:bidi="zh-CN"/>
                    </w:rPr>
                  </w:pPr>
                  <w:r>
                    <w:rPr>
                      <w:color w:val="auto"/>
                      <w:lang w:bidi="zh-CN"/>
                    </w:rPr>
                    <w:t>0.9</w:t>
                  </w:r>
                </w:p>
              </w:tc>
              <w:tc>
                <w:tcPr>
                  <w:tcW w:w="1131" w:type="pct"/>
                  <w:vAlign w:val="center"/>
                </w:tcPr>
                <w:p>
                  <w:pPr>
                    <w:adjustRightInd w:val="0"/>
                    <w:snapToGrid w:val="0"/>
                    <w:jc w:val="center"/>
                    <w:rPr>
                      <w:rFonts w:hint="default"/>
                      <w:color w:val="FF0000"/>
                      <w:lang w:val="en-US" w:bidi="zh-CN"/>
                    </w:rPr>
                  </w:pPr>
                  <w:r>
                    <w:rPr>
                      <w:rFonts w:hint="eastAsia"/>
                      <w:color w:val="FF0000"/>
                      <w:lang w:val="en-US" w:bidi="zh-CN"/>
                    </w:rPr>
                    <w:t>0.18765</w:t>
                  </w:r>
                </w:p>
              </w:tc>
            </w:tr>
          </w:tbl>
          <w:p>
            <w:pPr>
              <w:adjustRightInd w:val="0"/>
              <w:snapToGrid w:val="0"/>
              <w:spacing w:before="120" w:beforeLines="50" w:line="360" w:lineRule="auto"/>
              <w:ind w:firstLine="420" w:firstLineChars="200"/>
              <w:textAlignment w:val="baseline"/>
              <w:rPr>
                <w:rFonts w:hint="eastAsia" w:eastAsia="宋体"/>
                <w:color w:val="auto"/>
                <w:lang w:eastAsia="zh-CN"/>
              </w:rPr>
            </w:pPr>
            <w:r>
              <w:rPr>
                <w:rFonts w:hint="eastAsia"/>
                <w:color w:val="auto"/>
              </w:rPr>
              <w:t>本项目2#厂</w:t>
            </w:r>
            <w:r>
              <w:rPr>
                <w:color w:val="auto"/>
              </w:rPr>
              <w:t>房</w:t>
            </w:r>
            <w:r>
              <w:rPr>
                <w:rFonts w:hint="eastAsia"/>
                <w:color w:val="auto"/>
              </w:rPr>
              <w:t>无组织排放存在两种污染物（</w:t>
            </w:r>
            <w:r>
              <w:rPr>
                <w:rFonts w:hint="eastAsia"/>
                <w:color w:val="auto"/>
                <w:lang w:val="en-US" w:eastAsia="zh-CN"/>
              </w:rPr>
              <w:t>非甲烷总烃</w:t>
            </w:r>
            <w:r>
              <w:rPr>
                <w:rFonts w:hint="eastAsia"/>
                <w:color w:val="auto"/>
              </w:rPr>
              <w:t>、TSP），基于单个污染物的等标排放量计算结果，项目有毒有害污染物的等标排放量相差</w:t>
            </w:r>
            <w:r>
              <w:rPr>
                <w:rFonts w:hint="eastAsia"/>
                <w:color w:val="FF0000"/>
                <w:lang w:val="en-US" w:eastAsia="zh-CN"/>
              </w:rPr>
              <w:t>62.57</w:t>
            </w:r>
            <w:r>
              <w:rPr>
                <w:color w:val="FF0000"/>
              </w:rPr>
              <w:t>%</w:t>
            </w:r>
            <w:r>
              <w:rPr>
                <w:color w:val="auto"/>
              </w:rPr>
              <w:t>，</w:t>
            </w:r>
            <w:r>
              <w:rPr>
                <w:rFonts w:hint="eastAsia"/>
                <w:color w:val="auto"/>
                <w:lang w:val="en-US" w:eastAsia="zh-CN"/>
              </w:rPr>
              <w:t>大</w:t>
            </w:r>
            <w:r>
              <w:rPr>
                <w:rFonts w:hint="eastAsia"/>
                <w:color w:val="auto"/>
              </w:rPr>
              <w:t>于10%，优先选择等标排放量最大的污染物作为企业无组织排放的主要特征大气有害物质。2#厂</w:t>
            </w:r>
            <w:r>
              <w:rPr>
                <w:color w:val="auto"/>
              </w:rPr>
              <w:t>房</w:t>
            </w:r>
            <w:r>
              <w:rPr>
                <w:rFonts w:hint="eastAsia"/>
                <w:color w:val="auto"/>
              </w:rPr>
              <w:t>主要特征大气有害物质为TSP</w:t>
            </w:r>
            <w:r>
              <w:rPr>
                <w:rFonts w:hint="eastAsia"/>
                <w:color w:val="auto"/>
                <w:lang w:eastAsia="zh-CN"/>
              </w:rPr>
              <w:t>。</w:t>
            </w:r>
          </w:p>
          <w:p>
            <w:pPr>
              <w:adjustRightInd w:val="0"/>
              <w:snapToGrid w:val="0"/>
              <w:spacing w:line="360" w:lineRule="auto"/>
              <w:ind w:firstLine="422" w:firstLineChars="200"/>
              <w:textAlignment w:val="baseline"/>
              <w:rPr>
                <w:b/>
                <w:color w:val="auto"/>
              </w:rPr>
            </w:pPr>
            <w:r>
              <w:rPr>
                <w:b/>
                <w:color w:val="auto"/>
              </w:rPr>
              <w:t>（2）卫生防护距离初值计算</w:t>
            </w:r>
          </w:p>
          <w:p>
            <w:pPr>
              <w:autoSpaceDE w:val="0"/>
              <w:autoSpaceDN w:val="0"/>
              <w:adjustRightInd w:val="0"/>
              <w:spacing w:line="360" w:lineRule="auto"/>
              <w:ind w:firstLine="420" w:firstLineChars="200"/>
              <w:rPr>
                <w:color w:val="auto"/>
              </w:rPr>
            </w:pPr>
            <w:r>
              <w:rPr>
                <w:color w:val="auto"/>
              </w:rPr>
              <w:t>采用GB/T39499-2020推荐的估算方法进行计算，具体计算公式如下：</w:t>
            </w:r>
          </w:p>
          <w:p>
            <w:pPr>
              <w:spacing w:line="360" w:lineRule="auto"/>
              <w:ind w:firstLine="200"/>
              <w:jc w:val="center"/>
              <w:rPr>
                <w:color w:val="auto"/>
              </w:rPr>
            </w:pPr>
            <w:r>
              <w:rPr>
                <w:color w:val="auto"/>
              </w:rPr>
              <w:drawing>
                <wp:inline distT="0" distB="0" distL="114300" distR="114300">
                  <wp:extent cx="1828800" cy="549275"/>
                  <wp:effectExtent l="0" t="0" r="0" b="0"/>
                  <wp:docPr id="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pic:cNvPicPr>
                            <a:picLocks noChangeAspect="1"/>
                          </pic:cNvPicPr>
                        </pic:nvPicPr>
                        <pic:blipFill>
                          <a:blip r:embed="rId17"/>
                          <a:stretch>
                            <a:fillRect/>
                          </a:stretch>
                        </pic:blipFill>
                        <pic:spPr>
                          <a:xfrm>
                            <a:off x="0" y="0"/>
                            <a:ext cx="1828800" cy="549275"/>
                          </a:xfrm>
                          <a:prstGeom prst="rect">
                            <a:avLst/>
                          </a:prstGeom>
                          <a:noFill/>
                          <a:ln>
                            <a:noFill/>
                          </a:ln>
                        </pic:spPr>
                      </pic:pic>
                    </a:graphicData>
                  </a:graphic>
                </wp:inline>
              </w:drawing>
            </w:r>
          </w:p>
          <w:p>
            <w:pPr>
              <w:adjustRightInd w:val="0"/>
              <w:snapToGrid w:val="0"/>
              <w:spacing w:line="360" w:lineRule="auto"/>
              <w:ind w:firstLine="200"/>
              <w:rPr>
                <w:color w:val="auto"/>
              </w:rPr>
            </w:pPr>
            <w:r>
              <w:rPr>
                <w:color w:val="auto"/>
              </w:rPr>
              <w:t xml:space="preserve">   式中：</w:t>
            </w:r>
          </w:p>
          <w:p>
            <w:pPr>
              <w:adjustRightInd w:val="0"/>
              <w:snapToGrid w:val="0"/>
              <w:spacing w:line="360" w:lineRule="auto"/>
              <w:ind w:firstLine="420" w:firstLineChars="200"/>
              <w:rPr>
                <w:color w:val="auto"/>
              </w:rPr>
            </w:pPr>
            <w:r>
              <w:rPr>
                <w:color w:val="auto"/>
              </w:rPr>
              <w:t>Q</w:t>
            </w:r>
            <w:r>
              <w:rPr>
                <w:color w:val="auto"/>
                <w:vertAlign w:val="subscript"/>
              </w:rPr>
              <w:t>c</w:t>
            </w:r>
            <w:r>
              <w:rPr>
                <w:color w:val="auto"/>
              </w:rPr>
              <w:sym w:font="Symbol" w:char="F0BE"/>
            </w:r>
            <w:r>
              <w:rPr>
                <w:color w:val="auto"/>
              </w:rPr>
              <w:sym w:font="Symbol" w:char="F0BE"/>
            </w:r>
            <w:r>
              <w:rPr>
                <w:color w:val="auto"/>
              </w:rPr>
              <w:t>大气有害物质的无组织排放量，单位为千克每小时(kg/h)；</w:t>
            </w:r>
          </w:p>
          <w:p>
            <w:pPr>
              <w:adjustRightInd w:val="0"/>
              <w:snapToGrid w:val="0"/>
              <w:spacing w:line="360" w:lineRule="auto"/>
              <w:ind w:firstLine="420" w:firstLineChars="200"/>
              <w:rPr>
                <w:color w:val="auto"/>
              </w:rPr>
            </w:pPr>
            <w:r>
              <w:rPr>
                <w:color w:val="auto"/>
              </w:rPr>
              <w:t>C</w:t>
            </w:r>
            <w:r>
              <w:rPr>
                <w:color w:val="auto"/>
                <w:vertAlign w:val="subscript"/>
              </w:rPr>
              <w:t>m</w:t>
            </w:r>
            <w:r>
              <w:rPr>
                <w:color w:val="auto"/>
              </w:rPr>
              <w:sym w:font="Symbol" w:char="F0BE"/>
            </w:r>
            <w:r>
              <w:rPr>
                <w:color w:val="auto"/>
              </w:rPr>
              <w:sym w:font="Symbol" w:char="F0BE"/>
            </w:r>
            <w:r>
              <w:rPr>
                <w:color w:val="auto"/>
              </w:rPr>
              <w:t>大气有害物质环境空气质量的标准限值，单位为毫克每立方米(mg/m</w:t>
            </w:r>
            <w:r>
              <w:rPr>
                <w:color w:val="auto"/>
                <w:vertAlign w:val="superscript"/>
              </w:rPr>
              <w:t>3</w:t>
            </w:r>
            <w:r>
              <w:rPr>
                <w:color w:val="auto"/>
              </w:rPr>
              <w:t>)；</w:t>
            </w:r>
          </w:p>
          <w:p>
            <w:pPr>
              <w:adjustRightInd w:val="0"/>
              <w:snapToGrid w:val="0"/>
              <w:spacing w:line="360" w:lineRule="auto"/>
              <w:ind w:firstLine="420" w:firstLineChars="200"/>
              <w:rPr>
                <w:color w:val="auto"/>
              </w:rPr>
            </w:pPr>
            <w:r>
              <w:rPr>
                <w:color w:val="auto"/>
              </w:rPr>
              <w:t>L</w:t>
            </w:r>
            <w:r>
              <w:rPr>
                <w:color w:val="auto"/>
              </w:rPr>
              <w:sym w:font="Symbol" w:char="F0BE"/>
            </w:r>
            <w:r>
              <w:rPr>
                <w:color w:val="auto"/>
              </w:rPr>
              <w:sym w:font="Symbol" w:char="F0BE"/>
            </w:r>
            <w:r>
              <w:rPr>
                <w:color w:val="auto"/>
              </w:rPr>
              <w:t>大气有害物质卫生防护距离初值，单位为米(m)；</w:t>
            </w:r>
          </w:p>
          <w:p>
            <w:pPr>
              <w:adjustRightInd w:val="0"/>
              <w:snapToGrid w:val="0"/>
              <w:spacing w:line="360" w:lineRule="auto"/>
              <w:ind w:firstLine="420" w:firstLineChars="200"/>
              <w:rPr>
                <w:color w:val="auto"/>
              </w:rPr>
            </w:pPr>
            <w:r>
              <w:rPr>
                <w:color w:val="auto"/>
              </w:rPr>
              <w:t>r</w:t>
            </w:r>
            <w:r>
              <w:rPr>
                <w:color w:val="auto"/>
              </w:rPr>
              <w:sym w:font="Symbol" w:char="F0BE"/>
            </w:r>
            <w:r>
              <w:rPr>
                <w:color w:val="auto"/>
              </w:rPr>
              <w:sym w:font="Symbol" w:char="F0BE"/>
            </w:r>
            <w:r>
              <w:rPr>
                <w:color w:val="auto"/>
              </w:rPr>
              <w:t>大气有害物质无组织排放源所在生产单元的等效半径，单位为米(m)；</w:t>
            </w:r>
          </w:p>
          <w:p>
            <w:pPr>
              <w:adjustRightInd w:val="0"/>
              <w:snapToGrid w:val="0"/>
              <w:spacing w:line="360" w:lineRule="auto"/>
              <w:ind w:firstLine="420" w:firstLineChars="200"/>
              <w:rPr>
                <w:color w:val="auto"/>
              </w:rPr>
            </w:pPr>
            <w:r>
              <w:rPr>
                <w:color w:val="auto"/>
              </w:rPr>
              <w:t>A、B、C、D</w:t>
            </w:r>
            <w:r>
              <w:rPr>
                <w:color w:val="auto"/>
              </w:rPr>
              <w:sym w:font="Symbol" w:char="F0BE"/>
            </w:r>
            <w:r>
              <w:rPr>
                <w:color w:val="auto"/>
              </w:rPr>
              <w:sym w:font="Symbol" w:char="F0BE"/>
            </w:r>
            <w:r>
              <w:rPr>
                <w:color w:val="auto"/>
              </w:rPr>
              <w:t>卫生防护距离初值计算系数，无因次，根据工业企业所在地区近5年平均风速及大气污染源构成类别从下表查取。</w:t>
            </w:r>
          </w:p>
          <w:p>
            <w:pPr>
              <w:adjustRightInd w:val="0"/>
              <w:snapToGrid w:val="0"/>
              <w:spacing w:line="360" w:lineRule="auto"/>
              <w:jc w:val="center"/>
              <w:rPr>
                <w:b/>
                <w:color w:val="auto"/>
              </w:rPr>
            </w:pPr>
            <w:r>
              <w:rPr>
                <w:b/>
                <w:color w:val="auto"/>
              </w:rPr>
              <w:t>表4-1</w:t>
            </w:r>
            <w:r>
              <w:rPr>
                <w:rFonts w:hint="eastAsia"/>
                <w:b/>
                <w:color w:val="auto"/>
              </w:rPr>
              <w:t>6</w:t>
            </w:r>
            <w:r>
              <w:rPr>
                <w:b/>
                <w:color w:val="auto"/>
              </w:rPr>
              <w:t xml:space="preserve"> 卫生防护距离初值计算系数</w:t>
            </w:r>
          </w:p>
          <w:tbl>
            <w:tblPr>
              <w:tblStyle w:val="92"/>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1"/>
              <w:gridCol w:w="1271"/>
              <w:gridCol w:w="800"/>
              <w:gridCol w:w="800"/>
              <w:gridCol w:w="811"/>
              <w:gridCol w:w="800"/>
              <w:gridCol w:w="800"/>
              <w:gridCol w:w="811"/>
              <w:gridCol w:w="801"/>
              <w:gridCol w:w="803"/>
              <w:gridCol w:w="8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25" w:type="pct"/>
                  <w:vMerge w:val="restart"/>
                  <w:vAlign w:val="center"/>
                </w:tcPr>
                <w:p>
                  <w:pPr>
                    <w:jc w:val="center"/>
                    <w:rPr>
                      <w:b/>
                      <w:bCs/>
                      <w:color w:val="auto"/>
                    </w:rPr>
                  </w:pPr>
                  <w:r>
                    <w:rPr>
                      <w:b/>
                      <w:bCs/>
                      <w:color w:val="auto"/>
                    </w:rPr>
                    <w:t>卫生防护距离初值计算系数</w:t>
                  </w:r>
                </w:p>
              </w:tc>
              <w:tc>
                <w:tcPr>
                  <w:tcW w:w="683" w:type="pct"/>
                  <w:vMerge w:val="restart"/>
                  <w:vAlign w:val="center"/>
                </w:tcPr>
                <w:p>
                  <w:pPr>
                    <w:jc w:val="center"/>
                    <w:rPr>
                      <w:b/>
                      <w:bCs/>
                      <w:color w:val="auto"/>
                    </w:rPr>
                  </w:pPr>
                  <w:r>
                    <w:rPr>
                      <w:b/>
                      <w:bCs/>
                      <w:color w:val="auto"/>
                    </w:rPr>
                    <w:t>工业企业</w:t>
                  </w:r>
                </w:p>
                <w:p>
                  <w:pPr>
                    <w:jc w:val="center"/>
                    <w:rPr>
                      <w:b/>
                      <w:bCs/>
                      <w:color w:val="auto"/>
                    </w:rPr>
                  </w:pPr>
                  <w:r>
                    <w:rPr>
                      <w:b/>
                      <w:bCs/>
                      <w:color w:val="auto"/>
                    </w:rPr>
                    <w:t>所在地区</w:t>
                  </w:r>
                </w:p>
                <w:p>
                  <w:pPr>
                    <w:jc w:val="center"/>
                    <w:rPr>
                      <w:b/>
                      <w:bCs/>
                      <w:color w:val="auto"/>
                    </w:rPr>
                  </w:pPr>
                  <w:r>
                    <w:rPr>
                      <w:b/>
                      <w:bCs/>
                      <w:color w:val="auto"/>
                    </w:rPr>
                    <w:t>近5年平</w:t>
                  </w:r>
                </w:p>
                <w:p>
                  <w:pPr>
                    <w:jc w:val="center"/>
                    <w:rPr>
                      <w:b/>
                      <w:bCs/>
                      <w:color w:val="auto"/>
                    </w:rPr>
                  </w:pPr>
                  <w:r>
                    <w:rPr>
                      <w:b/>
                      <w:bCs/>
                      <w:color w:val="auto"/>
                    </w:rPr>
                    <w:t>均风速m/s</w:t>
                  </w:r>
                </w:p>
              </w:tc>
              <w:tc>
                <w:tcPr>
                  <w:tcW w:w="3891" w:type="pct"/>
                  <w:gridSpan w:val="9"/>
                  <w:vAlign w:val="center"/>
                </w:tcPr>
                <w:p>
                  <w:pPr>
                    <w:jc w:val="center"/>
                    <w:rPr>
                      <w:b/>
                      <w:bCs/>
                      <w:color w:val="auto"/>
                    </w:rPr>
                  </w:pPr>
                  <w:r>
                    <w:rPr>
                      <w:b/>
                      <w:bCs/>
                      <w:color w:val="auto"/>
                    </w:rPr>
                    <w:t>卫生防护距离L,m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25" w:type="pct"/>
                  <w:vMerge w:val="continue"/>
                  <w:vAlign w:val="center"/>
                </w:tcPr>
                <w:p>
                  <w:pPr>
                    <w:jc w:val="center"/>
                    <w:rPr>
                      <w:color w:val="auto"/>
                    </w:rPr>
                  </w:pPr>
                </w:p>
              </w:tc>
              <w:tc>
                <w:tcPr>
                  <w:tcW w:w="683" w:type="pct"/>
                  <w:vMerge w:val="continue"/>
                  <w:vAlign w:val="center"/>
                </w:tcPr>
                <w:p>
                  <w:pPr>
                    <w:jc w:val="center"/>
                    <w:rPr>
                      <w:color w:val="auto"/>
                    </w:rPr>
                  </w:pPr>
                </w:p>
              </w:tc>
              <w:tc>
                <w:tcPr>
                  <w:tcW w:w="1296" w:type="pct"/>
                  <w:gridSpan w:val="3"/>
                  <w:vAlign w:val="center"/>
                </w:tcPr>
                <w:p>
                  <w:pPr>
                    <w:jc w:val="center"/>
                    <w:rPr>
                      <w:color w:val="auto"/>
                    </w:rPr>
                  </w:pPr>
                  <w:r>
                    <w:rPr>
                      <w:color w:val="auto"/>
                    </w:rPr>
                    <w:t>L≤1000</w:t>
                  </w:r>
                </w:p>
              </w:tc>
              <w:tc>
                <w:tcPr>
                  <w:tcW w:w="1296" w:type="pct"/>
                  <w:gridSpan w:val="3"/>
                  <w:vAlign w:val="center"/>
                </w:tcPr>
                <w:p>
                  <w:pPr>
                    <w:jc w:val="center"/>
                    <w:rPr>
                      <w:color w:val="auto"/>
                    </w:rPr>
                  </w:pPr>
                  <w:r>
                    <w:rPr>
                      <w:color w:val="auto"/>
                    </w:rPr>
                    <w:t>1000＜L≤2000</w:t>
                  </w:r>
                </w:p>
              </w:tc>
              <w:tc>
                <w:tcPr>
                  <w:tcW w:w="1297" w:type="pct"/>
                  <w:gridSpan w:val="3"/>
                  <w:vAlign w:val="center"/>
                </w:tcPr>
                <w:p>
                  <w:pPr>
                    <w:jc w:val="center"/>
                    <w:rPr>
                      <w:color w:val="auto"/>
                    </w:rPr>
                  </w:pPr>
                  <w:r>
                    <w:rPr>
                      <w:color w:val="auto"/>
                    </w:rPr>
                    <w:t>L＞2000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25" w:type="pct"/>
                  <w:vMerge w:val="continue"/>
                  <w:vAlign w:val="center"/>
                </w:tcPr>
                <w:p>
                  <w:pPr>
                    <w:jc w:val="center"/>
                    <w:rPr>
                      <w:color w:val="auto"/>
                    </w:rPr>
                  </w:pPr>
                </w:p>
              </w:tc>
              <w:tc>
                <w:tcPr>
                  <w:tcW w:w="683" w:type="pct"/>
                  <w:vMerge w:val="continue"/>
                  <w:vAlign w:val="center"/>
                </w:tcPr>
                <w:p>
                  <w:pPr>
                    <w:jc w:val="center"/>
                    <w:rPr>
                      <w:color w:val="auto"/>
                    </w:rPr>
                  </w:pPr>
                </w:p>
              </w:tc>
              <w:tc>
                <w:tcPr>
                  <w:tcW w:w="3891" w:type="pct"/>
                  <w:gridSpan w:val="9"/>
                  <w:vAlign w:val="center"/>
                </w:tcPr>
                <w:p>
                  <w:pPr>
                    <w:jc w:val="center"/>
                    <w:rPr>
                      <w:color w:val="auto"/>
                    </w:rPr>
                  </w:pPr>
                  <w:r>
                    <w:rPr>
                      <w:color w:val="auto"/>
                    </w:rPr>
                    <w:t>工业企业大气污染源构成类型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25" w:type="pct"/>
                  <w:vMerge w:val="continue"/>
                  <w:vAlign w:val="center"/>
                </w:tcPr>
                <w:p>
                  <w:pPr>
                    <w:jc w:val="center"/>
                    <w:rPr>
                      <w:color w:val="auto"/>
                    </w:rPr>
                  </w:pPr>
                </w:p>
              </w:tc>
              <w:tc>
                <w:tcPr>
                  <w:tcW w:w="683" w:type="pct"/>
                  <w:vMerge w:val="continue"/>
                  <w:vAlign w:val="center"/>
                </w:tcPr>
                <w:p>
                  <w:pPr>
                    <w:jc w:val="center"/>
                    <w:rPr>
                      <w:color w:val="auto"/>
                    </w:rPr>
                  </w:pPr>
                </w:p>
              </w:tc>
              <w:tc>
                <w:tcPr>
                  <w:tcW w:w="430" w:type="pct"/>
                  <w:vAlign w:val="center"/>
                </w:tcPr>
                <w:p>
                  <w:pPr>
                    <w:jc w:val="center"/>
                    <w:rPr>
                      <w:color w:val="auto"/>
                    </w:rPr>
                  </w:pPr>
                  <w:r>
                    <w:rPr>
                      <w:color w:val="auto"/>
                    </w:rPr>
                    <w:t>Ⅰ</w:t>
                  </w:r>
                </w:p>
              </w:tc>
              <w:tc>
                <w:tcPr>
                  <w:tcW w:w="430" w:type="pct"/>
                  <w:vAlign w:val="center"/>
                </w:tcPr>
                <w:p>
                  <w:pPr>
                    <w:jc w:val="center"/>
                    <w:rPr>
                      <w:color w:val="auto"/>
                    </w:rPr>
                  </w:pPr>
                  <w:r>
                    <w:rPr>
                      <w:color w:val="auto"/>
                    </w:rPr>
                    <w:t>Ⅱ</w:t>
                  </w:r>
                </w:p>
              </w:tc>
              <w:tc>
                <w:tcPr>
                  <w:tcW w:w="435" w:type="pct"/>
                  <w:vAlign w:val="center"/>
                </w:tcPr>
                <w:p>
                  <w:pPr>
                    <w:jc w:val="center"/>
                    <w:rPr>
                      <w:color w:val="auto"/>
                    </w:rPr>
                  </w:pPr>
                  <w:r>
                    <w:rPr>
                      <w:color w:val="auto"/>
                    </w:rPr>
                    <w:t>Ⅲ</w:t>
                  </w:r>
                </w:p>
              </w:tc>
              <w:tc>
                <w:tcPr>
                  <w:tcW w:w="430" w:type="pct"/>
                  <w:vAlign w:val="center"/>
                </w:tcPr>
                <w:p>
                  <w:pPr>
                    <w:jc w:val="center"/>
                    <w:rPr>
                      <w:color w:val="auto"/>
                    </w:rPr>
                  </w:pPr>
                  <w:r>
                    <w:rPr>
                      <w:color w:val="auto"/>
                    </w:rPr>
                    <w:t>Ⅰ</w:t>
                  </w:r>
                </w:p>
              </w:tc>
              <w:tc>
                <w:tcPr>
                  <w:tcW w:w="430" w:type="pct"/>
                  <w:vAlign w:val="center"/>
                </w:tcPr>
                <w:p>
                  <w:pPr>
                    <w:jc w:val="center"/>
                    <w:rPr>
                      <w:color w:val="auto"/>
                    </w:rPr>
                  </w:pPr>
                  <w:r>
                    <w:rPr>
                      <w:color w:val="auto"/>
                    </w:rPr>
                    <w:t>Ⅱ</w:t>
                  </w:r>
                </w:p>
              </w:tc>
              <w:tc>
                <w:tcPr>
                  <w:tcW w:w="435" w:type="pct"/>
                  <w:vAlign w:val="center"/>
                </w:tcPr>
                <w:p>
                  <w:pPr>
                    <w:jc w:val="center"/>
                    <w:rPr>
                      <w:color w:val="auto"/>
                    </w:rPr>
                  </w:pPr>
                  <w:r>
                    <w:rPr>
                      <w:color w:val="auto"/>
                    </w:rPr>
                    <w:t>Ⅲ</w:t>
                  </w:r>
                </w:p>
              </w:tc>
              <w:tc>
                <w:tcPr>
                  <w:tcW w:w="430" w:type="pct"/>
                  <w:vAlign w:val="center"/>
                </w:tcPr>
                <w:p>
                  <w:pPr>
                    <w:jc w:val="center"/>
                    <w:rPr>
                      <w:color w:val="auto"/>
                    </w:rPr>
                  </w:pPr>
                  <w:r>
                    <w:rPr>
                      <w:color w:val="auto"/>
                    </w:rPr>
                    <w:t>Ⅰ</w:t>
                  </w:r>
                </w:p>
              </w:tc>
              <w:tc>
                <w:tcPr>
                  <w:tcW w:w="431" w:type="pct"/>
                  <w:vAlign w:val="center"/>
                </w:tcPr>
                <w:p>
                  <w:pPr>
                    <w:jc w:val="center"/>
                    <w:rPr>
                      <w:color w:val="auto"/>
                    </w:rPr>
                  </w:pPr>
                  <w:r>
                    <w:rPr>
                      <w:color w:val="auto"/>
                    </w:rPr>
                    <w:t>Ⅱ</w:t>
                  </w:r>
                </w:p>
              </w:tc>
              <w:tc>
                <w:tcPr>
                  <w:tcW w:w="435" w:type="pct"/>
                  <w:vAlign w:val="center"/>
                </w:tcPr>
                <w:p>
                  <w:pPr>
                    <w:jc w:val="center"/>
                    <w:rPr>
                      <w:color w:val="auto"/>
                    </w:rPr>
                  </w:pPr>
                  <w:r>
                    <w:rPr>
                      <w:color w:val="auto"/>
                    </w:rPr>
                    <w:t>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25" w:type="pct"/>
                  <w:vMerge w:val="restart"/>
                  <w:vAlign w:val="center"/>
                </w:tcPr>
                <w:p>
                  <w:pPr>
                    <w:jc w:val="center"/>
                    <w:rPr>
                      <w:color w:val="auto"/>
                    </w:rPr>
                  </w:pPr>
                  <w:r>
                    <w:rPr>
                      <w:color w:val="auto"/>
                    </w:rPr>
                    <w:t>A</w:t>
                  </w:r>
                </w:p>
              </w:tc>
              <w:tc>
                <w:tcPr>
                  <w:tcW w:w="683" w:type="pct"/>
                  <w:vAlign w:val="center"/>
                </w:tcPr>
                <w:p>
                  <w:pPr>
                    <w:jc w:val="center"/>
                    <w:rPr>
                      <w:color w:val="auto"/>
                    </w:rPr>
                  </w:pPr>
                  <w:r>
                    <w:rPr>
                      <w:color w:val="auto"/>
                    </w:rPr>
                    <w:t>&lt;2</w:t>
                  </w:r>
                </w:p>
              </w:tc>
              <w:tc>
                <w:tcPr>
                  <w:tcW w:w="430" w:type="pct"/>
                  <w:vAlign w:val="center"/>
                </w:tcPr>
                <w:p>
                  <w:pPr>
                    <w:jc w:val="center"/>
                    <w:rPr>
                      <w:color w:val="auto"/>
                    </w:rPr>
                  </w:pPr>
                  <w:r>
                    <w:rPr>
                      <w:color w:val="auto"/>
                    </w:rPr>
                    <w:t>400</w:t>
                  </w:r>
                </w:p>
              </w:tc>
              <w:tc>
                <w:tcPr>
                  <w:tcW w:w="430" w:type="pct"/>
                  <w:vAlign w:val="center"/>
                </w:tcPr>
                <w:p>
                  <w:pPr>
                    <w:jc w:val="center"/>
                    <w:rPr>
                      <w:color w:val="auto"/>
                    </w:rPr>
                  </w:pPr>
                  <w:r>
                    <w:rPr>
                      <w:color w:val="auto"/>
                    </w:rPr>
                    <w:t>400</w:t>
                  </w:r>
                </w:p>
              </w:tc>
              <w:tc>
                <w:tcPr>
                  <w:tcW w:w="435" w:type="pct"/>
                  <w:vAlign w:val="center"/>
                </w:tcPr>
                <w:p>
                  <w:pPr>
                    <w:jc w:val="center"/>
                    <w:rPr>
                      <w:color w:val="auto"/>
                    </w:rPr>
                  </w:pPr>
                  <w:r>
                    <w:rPr>
                      <w:color w:val="auto"/>
                    </w:rPr>
                    <w:t>400</w:t>
                  </w:r>
                </w:p>
              </w:tc>
              <w:tc>
                <w:tcPr>
                  <w:tcW w:w="430" w:type="pct"/>
                  <w:vAlign w:val="center"/>
                </w:tcPr>
                <w:p>
                  <w:pPr>
                    <w:jc w:val="center"/>
                    <w:rPr>
                      <w:color w:val="auto"/>
                    </w:rPr>
                  </w:pPr>
                  <w:r>
                    <w:rPr>
                      <w:color w:val="auto"/>
                    </w:rPr>
                    <w:t>400</w:t>
                  </w:r>
                </w:p>
              </w:tc>
              <w:tc>
                <w:tcPr>
                  <w:tcW w:w="430" w:type="pct"/>
                  <w:vAlign w:val="center"/>
                </w:tcPr>
                <w:p>
                  <w:pPr>
                    <w:jc w:val="center"/>
                    <w:rPr>
                      <w:color w:val="auto"/>
                    </w:rPr>
                  </w:pPr>
                  <w:r>
                    <w:rPr>
                      <w:color w:val="auto"/>
                    </w:rPr>
                    <w:t>400</w:t>
                  </w:r>
                </w:p>
              </w:tc>
              <w:tc>
                <w:tcPr>
                  <w:tcW w:w="435" w:type="pct"/>
                  <w:vAlign w:val="center"/>
                </w:tcPr>
                <w:p>
                  <w:pPr>
                    <w:jc w:val="center"/>
                    <w:rPr>
                      <w:color w:val="auto"/>
                    </w:rPr>
                  </w:pPr>
                  <w:r>
                    <w:rPr>
                      <w:color w:val="auto"/>
                    </w:rPr>
                    <w:t>400</w:t>
                  </w:r>
                </w:p>
              </w:tc>
              <w:tc>
                <w:tcPr>
                  <w:tcW w:w="430" w:type="pct"/>
                  <w:vAlign w:val="center"/>
                </w:tcPr>
                <w:p>
                  <w:pPr>
                    <w:jc w:val="center"/>
                    <w:rPr>
                      <w:color w:val="auto"/>
                    </w:rPr>
                  </w:pPr>
                  <w:r>
                    <w:rPr>
                      <w:color w:val="auto"/>
                    </w:rPr>
                    <w:t>80</w:t>
                  </w:r>
                </w:p>
              </w:tc>
              <w:tc>
                <w:tcPr>
                  <w:tcW w:w="431" w:type="pct"/>
                  <w:vAlign w:val="center"/>
                </w:tcPr>
                <w:p>
                  <w:pPr>
                    <w:jc w:val="center"/>
                    <w:rPr>
                      <w:color w:val="auto"/>
                    </w:rPr>
                  </w:pPr>
                  <w:r>
                    <w:rPr>
                      <w:color w:val="auto"/>
                    </w:rPr>
                    <w:t>80</w:t>
                  </w:r>
                </w:p>
              </w:tc>
              <w:tc>
                <w:tcPr>
                  <w:tcW w:w="435" w:type="pct"/>
                  <w:vAlign w:val="center"/>
                </w:tcPr>
                <w:p>
                  <w:pPr>
                    <w:jc w:val="center"/>
                    <w:rPr>
                      <w:color w:val="auto"/>
                    </w:rPr>
                  </w:pPr>
                  <w:r>
                    <w:rPr>
                      <w:color w:val="auto"/>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25" w:type="pct"/>
                  <w:vMerge w:val="continue"/>
                  <w:vAlign w:val="center"/>
                </w:tcPr>
                <w:p>
                  <w:pPr>
                    <w:jc w:val="center"/>
                    <w:rPr>
                      <w:color w:val="auto"/>
                    </w:rPr>
                  </w:pPr>
                </w:p>
              </w:tc>
              <w:tc>
                <w:tcPr>
                  <w:tcW w:w="683" w:type="pct"/>
                  <w:vAlign w:val="center"/>
                </w:tcPr>
                <w:p>
                  <w:pPr>
                    <w:jc w:val="center"/>
                    <w:rPr>
                      <w:color w:val="auto"/>
                    </w:rPr>
                  </w:pPr>
                  <w:r>
                    <w:rPr>
                      <w:color w:val="auto"/>
                    </w:rPr>
                    <w:t>2～4</w:t>
                  </w:r>
                </w:p>
              </w:tc>
              <w:tc>
                <w:tcPr>
                  <w:tcW w:w="430" w:type="pct"/>
                  <w:vAlign w:val="center"/>
                </w:tcPr>
                <w:p>
                  <w:pPr>
                    <w:jc w:val="center"/>
                    <w:rPr>
                      <w:color w:val="auto"/>
                    </w:rPr>
                  </w:pPr>
                  <w:r>
                    <w:rPr>
                      <w:color w:val="auto"/>
                    </w:rPr>
                    <w:t>700</w:t>
                  </w:r>
                </w:p>
              </w:tc>
              <w:tc>
                <w:tcPr>
                  <w:tcW w:w="430" w:type="pct"/>
                  <w:vAlign w:val="center"/>
                </w:tcPr>
                <w:p>
                  <w:pPr>
                    <w:jc w:val="center"/>
                    <w:rPr>
                      <w:color w:val="auto"/>
                    </w:rPr>
                  </w:pPr>
                  <w:r>
                    <w:rPr>
                      <w:color w:val="auto"/>
                    </w:rPr>
                    <w:t>470</w:t>
                  </w:r>
                </w:p>
              </w:tc>
              <w:tc>
                <w:tcPr>
                  <w:tcW w:w="435" w:type="pct"/>
                  <w:vAlign w:val="center"/>
                </w:tcPr>
                <w:p>
                  <w:pPr>
                    <w:jc w:val="center"/>
                    <w:rPr>
                      <w:color w:val="auto"/>
                    </w:rPr>
                  </w:pPr>
                  <w:r>
                    <w:rPr>
                      <w:color w:val="auto"/>
                    </w:rPr>
                    <w:t>350</w:t>
                  </w:r>
                </w:p>
              </w:tc>
              <w:tc>
                <w:tcPr>
                  <w:tcW w:w="430" w:type="pct"/>
                  <w:vAlign w:val="center"/>
                </w:tcPr>
                <w:p>
                  <w:pPr>
                    <w:jc w:val="center"/>
                    <w:rPr>
                      <w:color w:val="auto"/>
                    </w:rPr>
                  </w:pPr>
                  <w:r>
                    <w:rPr>
                      <w:color w:val="auto"/>
                    </w:rPr>
                    <w:t>700</w:t>
                  </w:r>
                </w:p>
              </w:tc>
              <w:tc>
                <w:tcPr>
                  <w:tcW w:w="430" w:type="pct"/>
                  <w:vAlign w:val="center"/>
                </w:tcPr>
                <w:p>
                  <w:pPr>
                    <w:jc w:val="center"/>
                    <w:rPr>
                      <w:color w:val="auto"/>
                    </w:rPr>
                  </w:pPr>
                  <w:r>
                    <w:rPr>
                      <w:color w:val="auto"/>
                    </w:rPr>
                    <w:t>470</w:t>
                  </w:r>
                </w:p>
              </w:tc>
              <w:tc>
                <w:tcPr>
                  <w:tcW w:w="435" w:type="pct"/>
                  <w:vAlign w:val="center"/>
                </w:tcPr>
                <w:p>
                  <w:pPr>
                    <w:jc w:val="center"/>
                    <w:rPr>
                      <w:color w:val="auto"/>
                    </w:rPr>
                  </w:pPr>
                  <w:r>
                    <w:rPr>
                      <w:color w:val="auto"/>
                    </w:rPr>
                    <w:t>350</w:t>
                  </w:r>
                </w:p>
              </w:tc>
              <w:tc>
                <w:tcPr>
                  <w:tcW w:w="430" w:type="pct"/>
                  <w:vAlign w:val="center"/>
                </w:tcPr>
                <w:p>
                  <w:pPr>
                    <w:jc w:val="center"/>
                    <w:rPr>
                      <w:color w:val="auto"/>
                    </w:rPr>
                  </w:pPr>
                  <w:r>
                    <w:rPr>
                      <w:color w:val="auto"/>
                    </w:rPr>
                    <w:t>380</w:t>
                  </w:r>
                </w:p>
              </w:tc>
              <w:tc>
                <w:tcPr>
                  <w:tcW w:w="431" w:type="pct"/>
                  <w:vAlign w:val="center"/>
                </w:tcPr>
                <w:p>
                  <w:pPr>
                    <w:jc w:val="center"/>
                    <w:rPr>
                      <w:color w:val="auto"/>
                    </w:rPr>
                  </w:pPr>
                  <w:r>
                    <w:rPr>
                      <w:color w:val="auto"/>
                    </w:rPr>
                    <w:t>250</w:t>
                  </w:r>
                </w:p>
              </w:tc>
              <w:tc>
                <w:tcPr>
                  <w:tcW w:w="435" w:type="pct"/>
                  <w:vAlign w:val="center"/>
                </w:tcPr>
                <w:p>
                  <w:pPr>
                    <w:jc w:val="center"/>
                    <w:rPr>
                      <w:color w:val="auto"/>
                    </w:rPr>
                  </w:pPr>
                  <w:r>
                    <w:rPr>
                      <w:color w:val="auto"/>
                    </w:rPr>
                    <w:t>190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25" w:type="pct"/>
                  <w:vMerge w:val="continue"/>
                  <w:vAlign w:val="center"/>
                </w:tcPr>
                <w:p>
                  <w:pPr>
                    <w:jc w:val="center"/>
                    <w:rPr>
                      <w:color w:val="auto"/>
                    </w:rPr>
                  </w:pPr>
                </w:p>
              </w:tc>
              <w:tc>
                <w:tcPr>
                  <w:tcW w:w="683" w:type="pct"/>
                  <w:vAlign w:val="center"/>
                </w:tcPr>
                <w:p>
                  <w:pPr>
                    <w:jc w:val="center"/>
                    <w:rPr>
                      <w:color w:val="auto"/>
                    </w:rPr>
                  </w:pPr>
                  <w:r>
                    <w:rPr>
                      <w:color w:val="auto"/>
                    </w:rPr>
                    <w:t>&gt;4</w:t>
                  </w:r>
                </w:p>
              </w:tc>
              <w:tc>
                <w:tcPr>
                  <w:tcW w:w="430" w:type="pct"/>
                  <w:vAlign w:val="center"/>
                </w:tcPr>
                <w:p>
                  <w:pPr>
                    <w:jc w:val="center"/>
                    <w:rPr>
                      <w:color w:val="auto"/>
                    </w:rPr>
                  </w:pPr>
                  <w:r>
                    <w:rPr>
                      <w:color w:val="auto"/>
                    </w:rPr>
                    <w:t>530</w:t>
                  </w:r>
                </w:p>
              </w:tc>
              <w:tc>
                <w:tcPr>
                  <w:tcW w:w="430" w:type="pct"/>
                  <w:vAlign w:val="center"/>
                </w:tcPr>
                <w:p>
                  <w:pPr>
                    <w:jc w:val="center"/>
                    <w:rPr>
                      <w:color w:val="auto"/>
                    </w:rPr>
                  </w:pPr>
                  <w:r>
                    <w:rPr>
                      <w:color w:val="auto"/>
                    </w:rPr>
                    <w:t>350</w:t>
                  </w:r>
                </w:p>
              </w:tc>
              <w:tc>
                <w:tcPr>
                  <w:tcW w:w="435" w:type="pct"/>
                  <w:vAlign w:val="center"/>
                </w:tcPr>
                <w:p>
                  <w:pPr>
                    <w:jc w:val="center"/>
                    <w:rPr>
                      <w:color w:val="auto"/>
                    </w:rPr>
                  </w:pPr>
                  <w:r>
                    <w:rPr>
                      <w:color w:val="auto"/>
                    </w:rPr>
                    <w:t>260</w:t>
                  </w:r>
                </w:p>
              </w:tc>
              <w:tc>
                <w:tcPr>
                  <w:tcW w:w="430" w:type="pct"/>
                  <w:vAlign w:val="center"/>
                </w:tcPr>
                <w:p>
                  <w:pPr>
                    <w:jc w:val="center"/>
                    <w:rPr>
                      <w:color w:val="auto"/>
                    </w:rPr>
                  </w:pPr>
                  <w:r>
                    <w:rPr>
                      <w:color w:val="auto"/>
                    </w:rPr>
                    <w:t>530</w:t>
                  </w:r>
                </w:p>
              </w:tc>
              <w:tc>
                <w:tcPr>
                  <w:tcW w:w="430" w:type="pct"/>
                  <w:vAlign w:val="center"/>
                </w:tcPr>
                <w:p>
                  <w:pPr>
                    <w:jc w:val="center"/>
                    <w:rPr>
                      <w:color w:val="auto"/>
                    </w:rPr>
                  </w:pPr>
                  <w:r>
                    <w:rPr>
                      <w:color w:val="auto"/>
                    </w:rPr>
                    <w:t>350</w:t>
                  </w:r>
                </w:p>
              </w:tc>
              <w:tc>
                <w:tcPr>
                  <w:tcW w:w="435" w:type="pct"/>
                  <w:vAlign w:val="center"/>
                </w:tcPr>
                <w:p>
                  <w:pPr>
                    <w:jc w:val="center"/>
                    <w:rPr>
                      <w:color w:val="auto"/>
                    </w:rPr>
                  </w:pPr>
                  <w:r>
                    <w:rPr>
                      <w:color w:val="auto"/>
                    </w:rPr>
                    <w:t>260</w:t>
                  </w:r>
                </w:p>
              </w:tc>
              <w:tc>
                <w:tcPr>
                  <w:tcW w:w="430" w:type="pct"/>
                  <w:vAlign w:val="center"/>
                </w:tcPr>
                <w:p>
                  <w:pPr>
                    <w:jc w:val="center"/>
                    <w:rPr>
                      <w:color w:val="auto"/>
                    </w:rPr>
                  </w:pPr>
                  <w:r>
                    <w:rPr>
                      <w:color w:val="auto"/>
                    </w:rPr>
                    <w:t>290</w:t>
                  </w:r>
                </w:p>
              </w:tc>
              <w:tc>
                <w:tcPr>
                  <w:tcW w:w="431" w:type="pct"/>
                  <w:vAlign w:val="center"/>
                </w:tcPr>
                <w:p>
                  <w:pPr>
                    <w:jc w:val="center"/>
                    <w:rPr>
                      <w:color w:val="auto"/>
                    </w:rPr>
                  </w:pPr>
                  <w:r>
                    <w:rPr>
                      <w:color w:val="auto"/>
                    </w:rPr>
                    <w:t>190</w:t>
                  </w:r>
                </w:p>
              </w:tc>
              <w:tc>
                <w:tcPr>
                  <w:tcW w:w="435" w:type="pct"/>
                  <w:vAlign w:val="center"/>
                </w:tcPr>
                <w:p>
                  <w:pPr>
                    <w:jc w:val="center"/>
                    <w:rPr>
                      <w:color w:val="auto"/>
                    </w:rPr>
                  </w:pPr>
                  <w:r>
                    <w:rPr>
                      <w:color w:val="auto"/>
                    </w:rPr>
                    <w:t>140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25" w:type="pct"/>
                  <w:vMerge w:val="restart"/>
                  <w:vAlign w:val="center"/>
                </w:tcPr>
                <w:p>
                  <w:pPr>
                    <w:jc w:val="center"/>
                    <w:rPr>
                      <w:color w:val="auto"/>
                    </w:rPr>
                  </w:pPr>
                  <w:r>
                    <w:rPr>
                      <w:color w:val="auto"/>
                    </w:rPr>
                    <w:t>B</w:t>
                  </w:r>
                </w:p>
              </w:tc>
              <w:tc>
                <w:tcPr>
                  <w:tcW w:w="683" w:type="pct"/>
                  <w:vAlign w:val="center"/>
                </w:tcPr>
                <w:p>
                  <w:pPr>
                    <w:jc w:val="center"/>
                    <w:rPr>
                      <w:color w:val="auto"/>
                    </w:rPr>
                  </w:pPr>
                  <w:r>
                    <w:rPr>
                      <w:color w:val="auto"/>
                    </w:rPr>
                    <w:t>&lt;2</w:t>
                  </w:r>
                </w:p>
              </w:tc>
              <w:tc>
                <w:tcPr>
                  <w:tcW w:w="1296" w:type="pct"/>
                  <w:gridSpan w:val="3"/>
                  <w:vAlign w:val="center"/>
                </w:tcPr>
                <w:p>
                  <w:pPr>
                    <w:jc w:val="center"/>
                    <w:rPr>
                      <w:color w:val="auto"/>
                    </w:rPr>
                  </w:pPr>
                  <w:r>
                    <w:rPr>
                      <w:color w:val="auto"/>
                    </w:rPr>
                    <w:t>0.01</w:t>
                  </w:r>
                </w:p>
              </w:tc>
              <w:tc>
                <w:tcPr>
                  <w:tcW w:w="1296" w:type="pct"/>
                  <w:gridSpan w:val="3"/>
                  <w:vAlign w:val="center"/>
                </w:tcPr>
                <w:p>
                  <w:pPr>
                    <w:jc w:val="center"/>
                    <w:rPr>
                      <w:color w:val="auto"/>
                    </w:rPr>
                  </w:pPr>
                  <w:r>
                    <w:rPr>
                      <w:color w:val="auto"/>
                    </w:rPr>
                    <w:t>0.015</w:t>
                  </w:r>
                </w:p>
              </w:tc>
              <w:tc>
                <w:tcPr>
                  <w:tcW w:w="1297" w:type="pct"/>
                  <w:gridSpan w:val="3"/>
                  <w:vAlign w:val="center"/>
                </w:tcPr>
                <w:p>
                  <w:pPr>
                    <w:jc w:val="center"/>
                    <w:rPr>
                      <w:color w:val="auto"/>
                    </w:rPr>
                  </w:pPr>
                  <w:r>
                    <w:rPr>
                      <w:color w:val="auto"/>
                    </w:rPr>
                    <w:t>0.015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25" w:type="pct"/>
                  <w:vMerge w:val="continue"/>
                  <w:vAlign w:val="center"/>
                </w:tcPr>
                <w:p>
                  <w:pPr>
                    <w:jc w:val="center"/>
                    <w:rPr>
                      <w:color w:val="auto"/>
                    </w:rPr>
                  </w:pPr>
                </w:p>
              </w:tc>
              <w:tc>
                <w:tcPr>
                  <w:tcW w:w="683" w:type="pct"/>
                  <w:vAlign w:val="center"/>
                </w:tcPr>
                <w:p>
                  <w:pPr>
                    <w:jc w:val="center"/>
                    <w:rPr>
                      <w:color w:val="auto"/>
                    </w:rPr>
                  </w:pPr>
                  <w:r>
                    <w:rPr>
                      <w:color w:val="auto"/>
                    </w:rPr>
                    <w:t>&gt;2</w:t>
                  </w:r>
                </w:p>
              </w:tc>
              <w:tc>
                <w:tcPr>
                  <w:tcW w:w="1296" w:type="pct"/>
                  <w:gridSpan w:val="3"/>
                  <w:vAlign w:val="center"/>
                </w:tcPr>
                <w:p>
                  <w:pPr>
                    <w:jc w:val="center"/>
                    <w:rPr>
                      <w:color w:val="auto"/>
                    </w:rPr>
                  </w:pPr>
                  <w:r>
                    <w:rPr>
                      <w:color w:val="auto"/>
                    </w:rPr>
                    <w:t>0.021</w:t>
                  </w:r>
                </w:p>
              </w:tc>
              <w:tc>
                <w:tcPr>
                  <w:tcW w:w="1296" w:type="pct"/>
                  <w:gridSpan w:val="3"/>
                  <w:vAlign w:val="center"/>
                </w:tcPr>
                <w:p>
                  <w:pPr>
                    <w:jc w:val="center"/>
                    <w:rPr>
                      <w:color w:val="auto"/>
                    </w:rPr>
                  </w:pPr>
                  <w:r>
                    <w:rPr>
                      <w:color w:val="auto"/>
                    </w:rPr>
                    <w:t>0.036</w:t>
                  </w:r>
                </w:p>
              </w:tc>
              <w:tc>
                <w:tcPr>
                  <w:tcW w:w="1297" w:type="pct"/>
                  <w:gridSpan w:val="3"/>
                  <w:vAlign w:val="center"/>
                </w:tcPr>
                <w:p>
                  <w:pPr>
                    <w:jc w:val="center"/>
                    <w:rPr>
                      <w:color w:val="auto"/>
                    </w:rPr>
                  </w:pPr>
                  <w:r>
                    <w:rPr>
                      <w:color w:val="auto"/>
                    </w:rPr>
                    <w:t>0.036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25" w:type="pct"/>
                  <w:vMerge w:val="restart"/>
                  <w:vAlign w:val="center"/>
                </w:tcPr>
                <w:p>
                  <w:pPr>
                    <w:jc w:val="center"/>
                    <w:rPr>
                      <w:color w:val="auto"/>
                    </w:rPr>
                  </w:pPr>
                  <w:r>
                    <w:rPr>
                      <w:color w:val="auto"/>
                    </w:rPr>
                    <w:t>C</w:t>
                  </w:r>
                </w:p>
              </w:tc>
              <w:tc>
                <w:tcPr>
                  <w:tcW w:w="683" w:type="pct"/>
                  <w:vAlign w:val="center"/>
                </w:tcPr>
                <w:p>
                  <w:pPr>
                    <w:jc w:val="center"/>
                    <w:rPr>
                      <w:color w:val="auto"/>
                    </w:rPr>
                  </w:pPr>
                  <w:r>
                    <w:rPr>
                      <w:color w:val="auto"/>
                    </w:rPr>
                    <w:t>&lt;2</w:t>
                  </w:r>
                </w:p>
              </w:tc>
              <w:tc>
                <w:tcPr>
                  <w:tcW w:w="1296" w:type="pct"/>
                  <w:gridSpan w:val="3"/>
                  <w:vAlign w:val="center"/>
                </w:tcPr>
                <w:p>
                  <w:pPr>
                    <w:jc w:val="center"/>
                    <w:rPr>
                      <w:color w:val="auto"/>
                    </w:rPr>
                  </w:pPr>
                  <w:r>
                    <w:rPr>
                      <w:color w:val="auto"/>
                    </w:rPr>
                    <w:t>1.85</w:t>
                  </w:r>
                </w:p>
              </w:tc>
              <w:tc>
                <w:tcPr>
                  <w:tcW w:w="1296" w:type="pct"/>
                  <w:gridSpan w:val="3"/>
                  <w:vAlign w:val="center"/>
                </w:tcPr>
                <w:p>
                  <w:pPr>
                    <w:jc w:val="center"/>
                    <w:rPr>
                      <w:color w:val="auto"/>
                    </w:rPr>
                  </w:pPr>
                  <w:r>
                    <w:rPr>
                      <w:color w:val="auto"/>
                    </w:rPr>
                    <w:t>1.79</w:t>
                  </w:r>
                </w:p>
              </w:tc>
              <w:tc>
                <w:tcPr>
                  <w:tcW w:w="1297" w:type="pct"/>
                  <w:gridSpan w:val="3"/>
                  <w:vAlign w:val="center"/>
                </w:tcPr>
                <w:p>
                  <w:pPr>
                    <w:jc w:val="center"/>
                    <w:rPr>
                      <w:color w:val="auto"/>
                    </w:rPr>
                  </w:pPr>
                  <w:r>
                    <w:rPr>
                      <w:color w:val="auto"/>
                    </w:rPr>
                    <w:t>1.79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25" w:type="pct"/>
                  <w:vMerge w:val="continue"/>
                  <w:vAlign w:val="center"/>
                </w:tcPr>
                <w:p>
                  <w:pPr>
                    <w:jc w:val="center"/>
                    <w:rPr>
                      <w:color w:val="auto"/>
                    </w:rPr>
                  </w:pPr>
                </w:p>
              </w:tc>
              <w:tc>
                <w:tcPr>
                  <w:tcW w:w="683" w:type="pct"/>
                  <w:vAlign w:val="center"/>
                </w:tcPr>
                <w:p>
                  <w:pPr>
                    <w:jc w:val="center"/>
                    <w:rPr>
                      <w:color w:val="auto"/>
                    </w:rPr>
                  </w:pPr>
                  <w:r>
                    <w:rPr>
                      <w:color w:val="auto"/>
                    </w:rPr>
                    <w:t>&gt;2</w:t>
                  </w:r>
                </w:p>
              </w:tc>
              <w:tc>
                <w:tcPr>
                  <w:tcW w:w="1296" w:type="pct"/>
                  <w:gridSpan w:val="3"/>
                  <w:vAlign w:val="center"/>
                </w:tcPr>
                <w:p>
                  <w:pPr>
                    <w:jc w:val="center"/>
                    <w:rPr>
                      <w:color w:val="auto"/>
                    </w:rPr>
                  </w:pPr>
                  <w:r>
                    <w:rPr>
                      <w:color w:val="auto"/>
                    </w:rPr>
                    <w:t>1.85</w:t>
                  </w:r>
                </w:p>
              </w:tc>
              <w:tc>
                <w:tcPr>
                  <w:tcW w:w="1296" w:type="pct"/>
                  <w:gridSpan w:val="3"/>
                  <w:vAlign w:val="center"/>
                </w:tcPr>
                <w:p>
                  <w:pPr>
                    <w:jc w:val="center"/>
                    <w:rPr>
                      <w:color w:val="auto"/>
                    </w:rPr>
                  </w:pPr>
                  <w:r>
                    <w:rPr>
                      <w:color w:val="auto"/>
                    </w:rPr>
                    <w:t>1.77</w:t>
                  </w:r>
                </w:p>
              </w:tc>
              <w:tc>
                <w:tcPr>
                  <w:tcW w:w="1297" w:type="pct"/>
                  <w:gridSpan w:val="3"/>
                  <w:vAlign w:val="center"/>
                </w:tcPr>
                <w:p>
                  <w:pPr>
                    <w:jc w:val="center"/>
                    <w:rPr>
                      <w:color w:val="auto"/>
                    </w:rPr>
                  </w:pPr>
                  <w:r>
                    <w:rPr>
                      <w:color w:val="auto"/>
                    </w:rPr>
                    <w:t>1.77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25" w:type="pct"/>
                  <w:vMerge w:val="restart"/>
                  <w:vAlign w:val="center"/>
                </w:tcPr>
                <w:p>
                  <w:pPr>
                    <w:jc w:val="center"/>
                    <w:rPr>
                      <w:color w:val="auto"/>
                    </w:rPr>
                  </w:pPr>
                  <w:r>
                    <w:rPr>
                      <w:color w:val="auto"/>
                    </w:rPr>
                    <w:t>D</w:t>
                  </w:r>
                </w:p>
              </w:tc>
              <w:tc>
                <w:tcPr>
                  <w:tcW w:w="683" w:type="pct"/>
                  <w:vAlign w:val="center"/>
                </w:tcPr>
                <w:p>
                  <w:pPr>
                    <w:jc w:val="center"/>
                    <w:rPr>
                      <w:color w:val="auto"/>
                    </w:rPr>
                  </w:pPr>
                  <w:r>
                    <w:rPr>
                      <w:color w:val="auto"/>
                    </w:rPr>
                    <w:t>&lt;2</w:t>
                  </w:r>
                </w:p>
              </w:tc>
              <w:tc>
                <w:tcPr>
                  <w:tcW w:w="1296" w:type="pct"/>
                  <w:gridSpan w:val="3"/>
                  <w:vAlign w:val="center"/>
                </w:tcPr>
                <w:p>
                  <w:pPr>
                    <w:jc w:val="center"/>
                    <w:rPr>
                      <w:color w:val="auto"/>
                    </w:rPr>
                  </w:pPr>
                  <w:r>
                    <w:rPr>
                      <w:color w:val="auto"/>
                    </w:rPr>
                    <w:t>0.78</w:t>
                  </w:r>
                </w:p>
              </w:tc>
              <w:tc>
                <w:tcPr>
                  <w:tcW w:w="1296" w:type="pct"/>
                  <w:gridSpan w:val="3"/>
                  <w:vAlign w:val="center"/>
                </w:tcPr>
                <w:p>
                  <w:pPr>
                    <w:jc w:val="center"/>
                    <w:rPr>
                      <w:color w:val="auto"/>
                    </w:rPr>
                  </w:pPr>
                  <w:r>
                    <w:rPr>
                      <w:color w:val="auto"/>
                    </w:rPr>
                    <w:t>0.78</w:t>
                  </w:r>
                </w:p>
              </w:tc>
              <w:tc>
                <w:tcPr>
                  <w:tcW w:w="1297" w:type="pct"/>
                  <w:gridSpan w:val="3"/>
                  <w:vAlign w:val="center"/>
                </w:tcPr>
                <w:p>
                  <w:pPr>
                    <w:jc w:val="center"/>
                    <w:rPr>
                      <w:color w:val="auto"/>
                    </w:rPr>
                  </w:pPr>
                  <w:r>
                    <w:rPr>
                      <w:color w:val="auto"/>
                    </w:rPr>
                    <w:t>0.57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25" w:type="pct"/>
                  <w:vMerge w:val="continue"/>
                  <w:vAlign w:val="center"/>
                </w:tcPr>
                <w:p>
                  <w:pPr>
                    <w:jc w:val="center"/>
                    <w:rPr>
                      <w:color w:val="auto"/>
                    </w:rPr>
                  </w:pPr>
                </w:p>
              </w:tc>
              <w:tc>
                <w:tcPr>
                  <w:tcW w:w="683" w:type="pct"/>
                  <w:vAlign w:val="center"/>
                </w:tcPr>
                <w:p>
                  <w:pPr>
                    <w:jc w:val="center"/>
                    <w:rPr>
                      <w:color w:val="auto"/>
                    </w:rPr>
                  </w:pPr>
                  <w:r>
                    <w:rPr>
                      <w:color w:val="auto"/>
                    </w:rPr>
                    <w:t>&gt;2</w:t>
                  </w:r>
                </w:p>
              </w:tc>
              <w:tc>
                <w:tcPr>
                  <w:tcW w:w="1296" w:type="pct"/>
                  <w:gridSpan w:val="3"/>
                  <w:vAlign w:val="center"/>
                </w:tcPr>
                <w:p>
                  <w:pPr>
                    <w:jc w:val="center"/>
                    <w:rPr>
                      <w:color w:val="auto"/>
                    </w:rPr>
                  </w:pPr>
                  <w:r>
                    <w:rPr>
                      <w:color w:val="auto"/>
                    </w:rPr>
                    <w:t>0.84</w:t>
                  </w:r>
                </w:p>
              </w:tc>
              <w:tc>
                <w:tcPr>
                  <w:tcW w:w="1296" w:type="pct"/>
                  <w:gridSpan w:val="3"/>
                  <w:vAlign w:val="center"/>
                </w:tcPr>
                <w:p>
                  <w:pPr>
                    <w:jc w:val="center"/>
                    <w:rPr>
                      <w:color w:val="auto"/>
                    </w:rPr>
                  </w:pPr>
                  <w:r>
                    <w:rPr>
                      <w:color w:val="auto"/>
                    </w:rPr>
                    <w:t>0.84</w:t>
                  </w:r>
                </w:p>
              </w:tc>
              <w:tc>
                <w:tcPr>
                  <w:tcW w:w="1297" w:type="pct"/>
                  <w:gridSpan w:val="3"/>
                  <w:vAlign w:val="center"/>
                </w:tcPr>
                <w:p>
                  <w:pPr>
                    <w:jc w:val="center"/>
                    <w:rPr>
                      <w:color w:val="auto"/>
                    </w:rPr>
                  </w:pPr>
                  <w:r>
                    <w:rPr>
                      <w:color w:val="auto"/>
                    </w:rPr>
                    <w:t>0.76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5000" w:type="pct"/>
                  <w:gridSpan w:val="11"/>
                  <w:vAlign w:val="center"/>
                </w:tcPr>
                <w:p>
                  <w:pPr>
                    <w:autoSpaceDE w:val="0"/>
                    <w:autoSpaceDN w:val="0"/>
                    <w:adjustRightInd w:val="0"/>
                    <w:ind w:firstLine="400" w:firstLineChars="200"/>
                    <w:rPr>
                      <w:color w:val="auto"/>
                      <w:sz w:val="20"/>
                      <w:szCs w:val="18"/>
                    </w:rPr>
                  </w:pPr>
                  <w:r>
                    <w:rPr>
                      <w:color w:val="auto"/>
                      <w:sz w:val="20"/>
                      <w:szCs w:val="18"/>
                    </w:rPr>
                    <w:t>注：Ⅰ类：与无组织排放源共存的排放同种有害气体的排气筒的排放量，大于标准规定的允许排放量的三分之一者。</w:t>
                  </w:r>
                </w:p>
                <w:p>
                  <w:pPr>
                    <w:autoSpaceDE w:val="0"/>
                    <w:autoSpaceDN w:val="0"/>
                    <w:adjustRightInd w:val="0"/>
                    <w:ind w:firstLine="400" w:firstLineChars="200"/>
                    <w:rPr>
                      <w:color w:val="auto"/>
                      <w:sz w:val="20"/>
                      <w:szCs w:val="18"/>
                    </w:rPr>
                  </w:pPr>
                  <w:r>
                    <w:rPr>
                      <w:color w:val="auto"/>
                      <w:sz w:val="20"/>
                      <w:szCs w:val="18"/>
                    </w:rPr>
                    <w:t>Ⅱ类：与无组织排放源共存的排放同种有害气体的排气筒的排放量，小于标准规定的允许排放量的三分之一，或虽无排放同种大气污染物之排气筒共存但无组织排放的有害物质的容许浓度指标是按急性反应指标确定者。</w:t>
                  </w:r>
                </w:p>
                <w:p>
                  <w:pPr>
                    <w:autoSpaceDE w:val="0"/>
                    <w:autoSpaceDN w:val="0"/>
                    <w:adjustRightInd w:val="0"/>
                    <w:ind w:firstLine="400" w:firstLineChars="200"/>
                    <w:rPr>
                      <w:color w:val="auto"/>
                    </w:rPr>
                  </w:pPr>
                  <w:r>
                    <w:rPr>
                      <w:color w:val="auto"/>
                      <w:sz w:val="20"/>
                      <w:szCs w:val="18"/>
                    </w:rPr>
                    <w:t>Ⅲ类：无排放同种有害物质的排气筒与无组织排放源共存，且无组织排放的有害物质的容许浓度是按慢性反应指标确定者。</w:t>
                  </w:r>
                </w:p>
              </w:tc>
            </w:tr>
          </w:tbl>
          <w:p>
            <w:pPr>
              <w:widowControl/>
              <w:adjustRightInd w:val="0"/>
              <w:snapToGrid w:val="0"/>
              <w:spacing w:before="120" w:beforeLines="50" w:line="360" w:lineRule="auto"/>
              <w:ind w:firstLine="420" w:firstLineChars="200"/>
              <w:rPr>
                <w:color w:val="auto"/>
              </w:rPr>
            </w:pPr>
            <w:r>
              <w:rPr>
                <w:color w:val="auto"/>
              </w:rPr>
              <w:t>项目</w:t>
            </w:r>
            <w:r>
              <w:rPr>
                <w:rFonts w:hint="eastAsia"/>
                <w:color w:val="auto"/>
                <w:lang w:bidi="zh-CN"/>
              </w:rPr>
              <w:t>1#厂房</w:t>
            </w:r>
            <w:r>
              <w:rPr>
                <w:rFonts w:hint="eastAsia"/>
                <w:color w:val="auto"/>
              </w:rPr>
              <w:t>占地2760m</w:t>
            </w:r>
            <w:r>
              <w:rPr>
                <w:rFonts w:hint="eastAsia"/>
                <w:color w:val="auto"/>
                <w:vertAlign w:val="superscript"/>
              </w:rPr>
              <w:t>2</w:t>
            </w:r>
            <w:r>
              <w:rPr>
                <w:rFonts w:hint="eastAsia"/>
                <w:color w:val="auto"/>
              </w:rPr>
              <w:t>，</w:t>
            </w:r>
            <w:r>
              <w:rPr>
                <w:rFonts w:hint="eastAsia"/>
                <w:color w:val="auto"/>
                <w:lang w:bidi="zh-CN"/>
              </w:rPr>
              <w:t>2#厂房</w:t>
            </w:r>
            <w:r>
              <w:rPr>
                <w:color w:val="auto"/>
              </w:rPr>
              <w:t>占地面积</w:t>
            </w:r>
            <w:r>
              <w:rPr>
                <w:rFonts w:hint="eastAsia"/>
                <w:color w:val="auto"/>
              </w:rPr>
              <w:t>2250</w:t>
            </w:r>
            <w:r>
              <w:rPr>
                <w:color w:val="auto"/>
              </w:rPr>
              <w:t>m</w:t>
            </w:r>
            <w:r>
              <w:rPr>
                <w:color w:val="auto"/>
                <w:vertAlign w:val="superscript"/>
              </w:rPr>
              <w:t>2</w:t>
            </w:r>
            <w:r>
              <w:rPr>
                <w:color w:val="auto"/>
              </w:rPr>
              <w:t>，经计算得出</w:t>
            </w:r>
            <w:r>
              <w:rPr>
                <w:rFonts w:hint="eastAsia"/>
                <w:color w:val="auto"/>
                <w:lang w:bidi="zh-CN"/>
              </w:rPr>
              <w:t>1#厂房</w:t>
            </w:r>
            <w:r>
              <w:rPr>
                <w:color w:val="auto"/>
              </w:rPr>
              <w:t>等效半径（r）为</w:t>
            </w:r>
            <w:r>
              <w:rPr>
                <w:rFonts w:hint="eastAsia"/>
                <w:color w:val="auto"/>
              </w:rPr>
              <w:t>29.64</w:t>
            </w:r>
            <w:r>
              <w:rPr>
                <w:color w:val="auto"/>
              </w:rPr>
              <w:t>m</w:t>
            </w:r>
            <w:r>
              <w:rPr>
                <w:rStyle w:val="104"/>
                <w:rFonts w:hint="eastAsia"/>
                <w:color w:val="auto"/>
              </w:rPr>
              <w:t>、</w:t>
            </w:r>
            <w:r>
              <w:rPr>
                <w:rFonts w:hint="eastAsia"/>
                <w:color w:val="auto"/>
                <w:lang w:bidi="zh-CN"/>
              </w:rPr>
              <w:t>2#厂房</w:t>
            </w:r>
            <w:r>
              <w:rPr>
                <w:rStyle w:val="104"/>
                <w:rFonts w:hint="eastAsia"/>
                <w:color w:val="auto"/>
              </w:rPr>
              <w:t>等效半径（r）为26.76m</w:t>
            </w:r>
            <w:r>
              <w:rPr>
                <w:rFonts w:hint="eastAsia"/>
                <w:color w:val="auto"/>
              </w:rPr>
              <w:t>，</w:t>
            </w:r>
            <w:r>
              <w:rPr>
                <w:color w:val="auto"/>
              </w:rPr>
              <w:t>所在地区近5年平均风速为2.2m/s，卫生防护距离L≦1000m，且大气污染源构成类型为Ⅱ类，按上述卫生防护距离初值公式对本项目TSP无组织排放的卫生防护距离初值进行计算，项目卫生防护距离初值计算参数取值及具体计算结果见下表。</w:t>
            </w:r>
          </w:p>
          <w:p>
            <w:pPr>
              <w:adjustRightInd w:val="0"/>
              <w:snapToGrid w:val="0"/>
              <w:spacing w:line="360" w:lineRule="auto"/>
              <w:jc w:val="center"/>
              <w:rPr>
                <w:b/>
                <w:color w:val="auto"/>
              </w:rPr>
            </w:pPr>
            <w:r>
              <w:rPr>
                <w:b/>
                <w:color w:val="auto"/>
              </w:rPr>
              <w:t>表4-1</w:t>
            </w:r>
            <w:r>
              <w:rPr>
                <w:rFonts w:hint="eastAsia"/>
                <w:b/>
                <w:color w:val="auto"/>
              </w:rPr>
              <w:t>7</w:t>
            </w:r>
            <w:r>
              <w:rPr>
                <w:b/>
                <w:color w:val="auto"/>
              </w:rPr>
              <w:t xml:space="preserve"> 本项目卫生防护距离计算参数表</w:t>
            </w:r>
          </w:p>
          <w:tbl>
            <w:tblPr>
              <w:tblStyle w:val="9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30"/>
              <w:gridCol w:w="1835"/>
              <w:gridCol w:w="1923"/>
              <w:gridCol w:w="993"/>
              <w:gridCol w:w="1163"/>
              <w:gridCol w:w="994"/>
              <w:gridCol w:w="10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trPr>
              <w:tc>
                <w:tcPr>
                  <w:tcW w:w="714" w:type="pct"/>
                  <w:vMerge w:val="restart"/>
                  <w:vAlign w:val="center"/>
                </w:tcPr>
                <w:p>
                  <w:pPr>
                    <w:tabs>
                      <w:tab w:val="left" w:pos="0"/>
                    </w:tabs>
                    <w:jc w:val="center"/>
                    <w:rPr>
                      <w:b/>
                      <w:bCs/>
                      <w:color w:val="auto"/>
                    </w:rPr>
                  </w:pPr>
                  <w:r>
                    <w:rPr>
                      <w:b/>
                      <w:bCs/>
                      <w:color w:val="auto"/>
                    </w:rPr>
                    <w:t>计算系数</w:t>
                  </w:r>
                </w:p>
              </w:tc>
              <w:tc>
                <w:tcPr>
                  <w:tcW w:w="985" w:type="pct"/>
                  <w:vAlign w:val="center"/>
                </w:tcPr>
                <w:p>
                  <w:pPr>
                    <w:jc w:val="center"/>
                    <w:rPr>
                      <w:b/>
                      <w:color w:val="auto"/>
                    </w:rPr>
                  </w:pPr>
                  <w:r>
                    <w:rPr>
                      <w:b/>
                      <w:color w:val="auto"/>
                    </w:rPr>
                    <w:t>近5年平均风速</w:t>
                  </w:r>
                </w:p>
                <w:p>
                  <w:pPr>
                    <w:tabs>
                      <w:tab w:val="left" w:pos="0"/>
                    </w:tabs>
                    <w:jc w:val="center"/>
                    <w:rPr>
                      <w:b/>
                      <w:bCs/>
                      <w:color w:val="auto"/>
                    </w:rPr>
                  </w:pPr>
                  <w:r>
                    <w:rPr>
                      <w:b/>
                      <w:color w:val="auto"/>
                    </w:rPr>
                    <w:t>（m/s）</w:t>
                  </w:r>
                </w:p>
              </w:tc>
              <w:tc>
                <w:tcPr>
                  <w:tcW w:w="1032" w:type="pct"/>
                  <w:vAlign w:val="center"/>
                </w:tcPr>
                <w:p>
                  <w:pPr>
                    <w:tabs>
                      <w:tab w:val="left" w:pos="0"/>
                    </w:tabs>
                    <w:jc w:val="center"/>
                    <w:rPr>
                      <w:b/>
                      <w:bCs/>
                      <w:color w:val="auto"/>
                    </w:rPr>
                  </w:pPr>
                  <w:r>
                    <w:rPr>
                      <w:b/>
                      <w:color w:val="auto"/>
                    </w:rPr>
                    <w:t>工业企业大气污染源构成类别</w:t>
                  </w:r>
                </w:p>
              </w:tc>
              <w:tc>
                <w:tcPr>
                  <w:tcW w:w="533" w:type="pct"/>
                  <w:vAlign w:val="center"/>
                </w:tcPr>
                <w:p>
                  <w:pPr>
                    <w:tabs>
                      <w:tab w:val="left" w:pos="0"/>
                    </w:tabs>
                    <w:jc w:val="center"/>
                    <w:rPr>
                      <w:b/>
                      <w:bCs/>
                      <w:color w:val="auto"/>
                    </w:rPr>
                  </w:pPr>
                  <w:r>
                    <w:rPr>
                      <w:b/>
                      <w:color w:val="auto"/>
                    </w:rPr>
                    <w:t>A</w:t>
                  </w:r>
                </w:p>
              </w:tc>
              <w:tc>
                <w:tcPr>
                  <w:tcW w:w="624" w:type="pct"/>
                  <w:vAlign w:val="center"/>
                </w:tcPr>
                <w:p>
                  <w:pPr>
                    <w:tabs>
                      <w:tab w:val="left" w:pos="0"/>
                    </w:tabs>
                    <w:jc w:val="center"/>
                    <w:rPr>
                      <w:b/>
                      <w:bCs/>
                      <w:color w:val="auto"/>
                    </w:rPr>
                  </w:pPr>
                  <w:r>
                    <w:rPr>
                      <w:b/>
                      <w:color w:val="auto"/>
                    </w:rPr>
                    <w:t>B</w:t>
                  </w:r>
                </w:p>
              </w:tc>
              <w:tc>
                <w:tcPr>
                  <w:tcW w:w="533" w:type="pct"/>
                  <w:vAlign w:val="center"/>
                </w:tcPr>
                <w:p>
                  <w:pPr>
                    <w:tabs>
                      <w:tab w:val="left" w:pos="0"/>
                    </w:tabs>
                    <w:jc w:val="center"/>
                    <w:rPr>
                      <w:b/>
                      <w:bCs/>
                      <w:color w:val="auto"/>
                    </w:rPr>
                  </w:pPr>
                  <w:r>
                    <w:rPr>
                      <w:b/>
                      <w:color w:val="auto"/>
                    </w:rPr>
                    <w:t>C</w:t>
                  </w:r>
                </w:p>
              </w:tc>
              <w:tc>
                <w:tcPr>
                  <w:tcW w:w="575" w:type="pct"/>
                  <w:vAlign w:val="center"/>
                </w:tcPr>
                <w:p>
                  <w:pPr>
                    <w:tabs>
                      <w:tab w:val="left" w:pos="0"/>
                    </w:tabs>
                    <w:jc w:val="center"/>
                    <w:rPr>
                      <w:b/>
                      <w:bCs/>
                      <w:color w:val="auto"/>
                    </w:rPr>
                  </w:pPr>
                  <w:r>
                    <w:rPr>
                      <w:b/>
                      <w:color w:val="auto"/>
                    </w:rPr>
                    <w: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714" w:type="pct"/>
                  <w:vMerge w:val="continue"/>
                  <w:vAlign w:val="center"/>
                </w:tcPr>
                <w:p>
                  <w:pPr>
                    <w:tabs>
                      <w:tab w:val="left" w:pos="0"/>
                    </w:tabs>
                    <w:jc w:val="center"/>
                    <w:rPr>
                      <w:b/>
                      <w:bCs/>
                      <w:color w:val="auto"/>
                    </w:rPr>
                  </w:pPr>
                </w:p>
              </w:tc>
              <w:tc>
                <w:tcPr>
                  <w:tcW w:w="985" w:type="pct"/>
                  <w:vAlign w:val="center"/>
                </w:tcPr>
                <w:p>
                  <w:pPr>
                    <w:tabs>
                      <w:tab w:val="left" w:pos="0"/>
                    </w:tabs>
                    <w:jc w:val="center"/>
                    <w:rPr>
                      <w:b/>
                      <w:bCs/>
                      <w:color w:val="auto"/>
                    </w:rPr>
                  </w:pPr>
                  <w:r>
                    <w:rPr>
                      <w:color w:val="auto"/>
                    </w:rPr>
                    <w:t>2.2</w:t>
                  </w:r>
                </w:p>
              </w:tc>
              <w:tc>
                <w:tcPr>
                  <w:tcW w:w="1032" w:type="pct"/>
                  <w:vAlign w:val="center"/>
                </w:tcPr>
                <w:p>
                  <w:pPr>
                    <w:tabs>
                      <w:tab w:val="left" w:pos="0"/>
                    </w:tabs>
                    <w:jc w:val="center"/>
                    <w:rPr>
                      <w:b/>
                      <w:bCs/>
                      <w:color w:val="auto"/>
                    </w:rPr>
                  </w:pPr>
                  <w:r>
                    <w:rPr>
                      <w:color w:val="auto"/>
                    </w:rPr>
                    <w:t>Ⅱ</w:t>
                  </w:r>
                </w:p>
              </w:tc>
              <w:tc>
                <w:tcPr>
                  <w:tcW w:w="533" w:type="pct"/>
                  <w:vAlign w:val="center"/>
                </w:tcPr>
                <w:p>
                  <w:pPr>
                    <w:tabs>
                      <w:tab w:val="left" w:pos="0"/>
                    </w:tabs>
                    <w:jc w:val="center"/>
                    <w:rPr>
                      <w:b/>
                      <w:bCs/>
                      <w:color w:val="auto"/>
                    </w:rPr>
                  </w:pPr>
                  <w:r>
                    <w:rPr>
                      <w:color w:val="auto"/>
                    </w:rPr>
                    <w:t>470</w:t>
                  </w:r>
                </w:p>
              </w:tc>
              <w:tc>
                <w:tcPr>
                  <w:tcW w:w="624" w:type="pct"/>
                  <w:vAlign w:val="center"/>
                </w:tcPr>
                <w:p>
                  <w:pPr>
                    <w:tabs>
                      <w:tab w:val="left" w:pos="0"/>
                    </w:tabs>
                    <w:jc w:val="center"/>
                    <w:rPr>
                      <w:b/>
                      <w:bCs/>
                      <w:color w:val="auto"/>
                    </w:rPr>
                  </w:pPr>
                  <w:r>
                    <w:rPr>
                      <w:color w:val="auto"/>
                    </w:rPr>
                    <w:t>0.021</w:t>
                  </w:r>
                </w:p>
              </w:tc>
              <w:tc>
                <w:tcPr>
                  <w:tcW w:w="533" w:type="pct"/>
                  <w:vAlign w:val="center"/>
                </w:tcPr>
                <w:p>
                  <w:pPr>
                    <w:tabs>
                      <w:tab w:val="left" w:pos="0"/>
                    </w:tabs>
                    <w:jc w:val="center"/>
                    <w:rPr>
                      <w:b/>
                      <w:bCs/>
                      <w:color w:val="auto"/>
                    </w:rPr>
                  </w:pPr>
                  <w:r>
                    <w:rPr>
                      <w:color w:val="auto"/>
                    </w:rPr>
                    <w:t>1.85</w:t>
                  </w:r>
                </w:p>
              </w:tc>
              <w:tc>
                <w:tcPr>
                  <w:tcW w:w="575" w:type="pct"/>
                  <w:vAlign w:val="center"/>
                </w:tcPr>
                <w:p>
                  <w:pPr>
                    <w:tabs>
                      <w:tab w:val="left" w:pos="0"/>
                    </w:tabs>
                    <w:jc w:val="center"/>
                    <w:rPr>
                      <w:b/>
                      <w:bCs/>
                      <w:color w:val="auto"/>
                    </w:rPr>
                  </w:pPr>
                  <w:r>
                    <w:rPr>
                      <w:color w:val="auto"/>
                    </w:rPr>
                    <w:t>0.84</w:t>
                  </w:r>
                </w:p>
              </w:tc>
            </w:tr>
          </w:tbl>
          <w:p>
            <w:pPr>
              <w:adjustRightInd w:val="0"/>
              <w:snapToGrid w:val="0"/>
              <w:spacing w:before="120" w:beforeLines="50" w:line="360" w:lineRule="auto"/>
              <w:jc w:val="center"/>
              <w:rPr>
                <w:b/>
                <w:color w:val="auto"/>
              </w:rPr>
            </w:pPr>
            <w:r>
              <w:rPr>
                <w:b/>
                <w:color w:val="auto"/>
              </w:rPr>
              <w:t>表4-1</w:t>
            </w:r>
            <w:r>
              <w:rPr>
                <w:rFonts w:hint="eastAsia"/>
                <w:b/>
                <w:color w:val="auto"/>
              </w:rPr>
              <w:t>8</w:t>
            </w:r>
            <w:r>
              <w:rPr>
                <w:b/>
                <w:color w:val="auto"/>
              </w:rPr>
              <w:t xml:space="preserve"> 本项目卫生防护距离计算初值</w:t>
            </w:r>
          </w:p>
          <w:tbl>
            <w:tblPr>
              <w:tblStyle w:val="9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6"/>
              <w:gridCol w:w="1161"/>
              <w:gridCol w:w="1658"/>
              <w:gridCol w:w="1494"/>
              <w:gridCol w:w="1828"/>
              <w:gridCol w:w="1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85" w:type="pct"/>
                  <w:vAlign w:val="center"/>
                </w:tcPr>
                <w:p>
                  <w:pPr>
                    <w:jc w:val="center"/>
                    <w:rPr>
                      <w:b/>
                      <w:color w:val="auto"/>
                    </w:rPr>
                  </w:pPr>
                  <w:r>
                    <w:rPr>
                      <w:b/>
                      <w:color w:val="auto"/>
                    </w:rPr>
                    <w:t>污染源</w:t>
                  </w:r>
                </w:p>
              </w:tc>
              <w:tc>
                <w:tcPr>
                  <w:tcW w:w="623" w:type="pct"/>
                  <w:vAlign w:val="center"/>
                </w:tcPr>
                <w:p>
                  <w:pPr>
                    <w:jc w:val="center"/>
                    <w:rPr>
                      <w:b/>
                      <w:color w:val="auto"/>
                    </w:rPr>
                  </w:pPr>
                  <w:r>
                    <w:rPr>
                      <w:b/>
                      <w:color w:val="auto"/>
                    </w:rPr>
                    <w:t>污染物</w:t>
                  </w:r>
                </w:p>
              </w:tc>
              <w:tc>
                <w:tcPr>
                  <w:tcW w:w="890" w:type="pct"/>
                  <w:vAlign w:val="center"/>
                </w:tcPr>
                <w:p>
                  <w:pPr>
                    <w:jc w:val="center"/>
                    <w:rPr>
                      <w:b/>
                      <w:color w:val="auto"/>
                    </w:rPr>
                  </w:pPr>
                  <w:r>
                    <w:rPr>
                      <w:b/>
                      <w:color w:val="auto"/>
                    </w:rPr>
                    <w:t>污染物源强（kg/h）</w:t>
                  </w:r>
                </w:p>
              </w:tc>
              <w:tc>
                <w:tcPr>
                  <w:tcW w:w="802" w:type="pct"/>
                  <w:vAlign w:val="center"/>
                </w:tcPr>
                <w:p>
                  <w:pPr>
                    <w:jc w:val="center"/>
                    <w:rPr>
                      <w:b/>
                      <w:color w:val="auto"/>
                    </w:rPr>
                  </w:pPr>
                  <w:r>
                    <w:rPr>
                      <w:b/>
                      <w:color w:val="auto"/>
                    </w:rPr>
                    <w:t>评价标准（mg/m</w:t>
                  </w:r>
                  <w:r>
                    <w:rPr>
                      <w:b/>
                      <w:color w:val="auto"/>
                      <w:vertAlign w:val="superscript"/>
                    </w:rPr>
                    <w:t>3</w:t>
                  </w:r>
                  <w:r>
                    <w:rPr>
                      <w:b/>
                      <w:color w:val="auto"/>
                    </w:rPr>
                    <w:t>）</w:t>
                  </w:r>
                </w:p>
              </w:tc>
              <w:tc>
                <w:tcPr>
                  <w:tcW w:w="981" w:type="pct"/>
                  <w:vAlign w:val="center"/>
                </w:tcPr>
                <w:p>
                  <w:pPr>
                    <w:jc w:val="center"/>
                    <w:rPr>
                      <w:b/>
                      <w:color w:val="auto"/>
                    </w:rPr>
                  </w:pPr>
                  <w:r>
                    <w:rPr>
                      <w:b/>
                      <w:color w:val="auto"/>
                    </w:rPr>
                    <w:t>等效半径（m）</w:t>
                  </w:r>
                </w:p>
              </w:tc>
              <w:tc>
                <w:tcPr>
                  <w:tcW w:w="1016" w:type="pct"/>
                  <w:vAlign w:val="center"/>
                </w:tcPr>
                <w:p>
                  <w:pPr>
                    <w:jc w:val="center"/>
                    <w:rPr>
                      <w:b/>
                      <w:color w:val="auto"/>
                    </w:rPr>
                  </w:pPr>
                  <w:r>
                    <w:rPr>
                      <w:b/>
                      <w:color w:val="auto"/>
                    </w:rPr>
                    <w:t>计算结果（m）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trPr>
              <w:tc>
                <w:tcPr>
                  <w:tcW w:w="685" w:type="pct"/>
                  <w:vAlign w:val="center"/>
                </w:tcPr>
                <w:p>
                  <w:pPr>
                    <w:jc w:val="center"/>
                    <w:rPr>
                      <w:color w:val="auto"/>
                    </w:rPr>
                  </w:pPr>
                  <w:r>
                    <w:rPr>
                      <w:rFonts w:hint="eastAsia"/>
                      <w:color w:val="auto"/>
                      <w:lang w:bidi="zh-CN"/>
                    </w:rPr>
                    <w:t>1#厂房</w:t>
                  </w:r>
                </w:p>
              </w:tc>
              <w:tc>
                <w:tcPr>
                  <w:tcW w:w="623" w:type="pct"/>
                  <w:vAlign w:val="center"/>
                </w:tcPr>
                <w:p>
                  <w:pPr>
                    <w:adjustRightInd w:val="0"/>
                    <w:snapToGrid w:val="0"/>
                    <w:jc w:val="center"/>
                    <w:rPr>
                      <w:color w:val="auto"/>
                    </w:rPr>
                  </w:pPr>
                  <w:r>
                    <w:rPr>
                      <w:color w:val="auto"/>
                      <w:lang w:bidi="zh-CN"/>
                    </w:rPr>
                    <w:t>非甲烷总烃</w:t>
                  </w:r>
                </w:p>
              </w:tc>
              <w:tc>
                <w:tcPr>
                  <w:tcW w:w="890" w:type="pct"/>
                  <w:vAlign w:val="center"/>
                </w:tcPr>
                <w:p>
                  <w:pPr>
                    <w:adjustRightInd w:val="0"/>
                    <w:snapToGrid w:val="0"/>
                    <w:jc w:val="center"/>
                    <w:rPr>
                      <w:color w:val="auto"/>
                      <w:highlight w:val="none"/>
                    </w:rPr>
                  </w:pPr>
                  <w:r>
                    <w:rPr>
                      <w:rFonts w:hint="eastAsia"/>
                      <w:color w:val="FF0000"/>
                      <w:highlight w:val="none"/>
                      <w:lang w:val="en-US" w:eastAsia="zh-CN" w:bidi="zh-CN"/>
                    </w:rPr>
                    <w:t>0.0003646</w:t>
                  </w:r>
                </w:p>
              </w:tc>
              <w:tc>
                <w:tcPr>
                  <w:tcW w:w="802" w:type="pct"/>
                  <w:vAlign w:val="center"/>
                </w:tcPr>
                <w:p>
                  <w:pPr>
                    <w:jc w:val="center"/>
                    <w:rPr>
                      <w:color w:val="auto"/>
                      <w:highlight w:val="none"/>
                    </w:rPr>
                  </w:pPr>
                  <w:r>
                    <w:rPr>
                      <w:rFonts w:hint="eastAsia"/>
                      <w:color w:val="auto"/>
                      <w:highlight w:val="none"/>
                    </w:rPr>
                    <w:t>2.0</w:t>
                  </w:r>
                </w:p>
              </w:tc>
              <w:tc>
                <w:tcPr>
                  <w:tcW w:w="981" w:type="pct"/>
                  <w:vAlign w:val="center"/>
                </w:tcPr>
                <w:p>
                  <w:pPr>
                    <w:jc w:val="center"/>
                    <w:rPr>
                      <w:color w:val="auto"/>
                      <w:highlight w:val="none"/>
                    </w:rPr>
                  </w:pPr>
                  <w:r>
                    <w:rPr>
                      <w:rFonts w:hint="eastAsia"/>
                      <w:color w:val="auto"/>
                      <w:highlight w:val="none"/>
                    </w:rPr>
                    <w:t>29.64</w:t>
                  </w:r>
                </w:p>
              </w:tc>
              <w:tc>
                <w:tcPr>
                  <w:tcW w:w="1016" w:type="pct"/>
                  <w:vAlign w:val="center"/>
                </w:tcPr>
                <w:p>
                  <w:pPr>
                    <w:jc w:val="center"/>
                    <w:rPr>
                      <w:rFonts w:hint="eastAsia" w:eastAsia="宋体"/>
                      <w:color w:val="auto"/>
                      <w:highlight w:val="yellow"/>
                      <w:lang w:val="en-US" w:eastAsia="zh-CN"/>
                    </w:rPr>
                  </w:pPr>
                  <w:r>
                    <w:rPr>
                      <w:rFonts w:hint="eastAsia"/>
                      <w:color w:val="FF0000"/>
                      <w:highlight w:val="none"/>
                    </w:rPr>
                    <w:t>0.00</w:t>
                  </w:r>
                  <w:r>
                    <w:rPr>
                      <w:rFonts w:hint="eastAsia"/>
                      <w:color w:val="FF0000"/>
                      <w:highlight w:val="none"/>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trPr>
              <w:tc>
                <w:tcPr>
                  <w:tcW w:w="685" w:type="pct"/>
                  <w:vAlign w:val="center"/>
                </w:tcPr>
                <w:p>
                  <w:pPr>
                    <w:jc w:val="center"/>
                    <w:rPr>
                      <w:color w:val="auto"/>
                    </w:rPr>
                  </w:pPr>
                  <w:r>
                    <w:rPr>
                      <w:rFonts w:hint="eastAsia"/>
                      <w:color w:val="auto"/>
                      <w:lang w:bidi="zh-CN"/>
                    </w:rPr>
                    <w:t>2#厂房</w:t>
                  </w:r>
                </w:p>
              </w:tc>
              <w:tc>
                <w:tcPr>
                  <w:tcW w:w="623" w:type="pct"/>
                  <w:vAlign w:val="center"/>
                </w:tcPr>
                <w:p>
                  <w:pPr>
                    <w:adjustRightInd w:val="0"/>
                    <w:snapToGrid w:val="0"/>
                    <w:jc w:val="center"/>
                    <w:rPr>
                      <w:color w:val="auto"/>
                    </w:rPr>
                  </w:pPr>
                  <w:r>
                    <w:rPr>
                      <w:rFonts w:hint="eastAsia"/>
                      <w:color w:val="auto"/>
                      <w:lang w:bidi="zh-CN"/>
                    </w:rPr>
                    <w:t>TSP</w:t>
                  </w:r>
                </w:p>
              </w:tc>
              <w:tc>
                <w:tcPr>
                  <w:tcW w:w="890" w:type="pct"/>
                  <w:vAlign w:val="center"/>
                </w:tcPr>
                <w:p>
                  <w:pPr>
                    <w:adjustRightInd w:val="0"/>
                    <w:snapToGrid w:val="0"/>
                    <w:jc w:val="center"/>
                    <w:rPr>
                      <w:color w:val="auto"/>
                      <w:highlight w:val="none"/>
                    </w:rPr>
                  </w:pPr>
                  <w:r>
                    <w:rPr>
                      <w:rFonts w:hint="eastAsia"/>
                      <w:color w:val="FF0000"/>
                      <w:highlight w:val="none"/>
                      <w:lang w:val="en-US" w:eastAsia="zh-CN" w:bidi="zh-CN"/>
                    </w:rPr>
                    <w:t>0.16888542</w:t>
                  </w:r>
                </w:p>
              </w:tc>
              <w:tc>
                <w:tcPr>
                  <w:tcW w:w="802" w:type="pct"/>
                  <w:vAlign w:val="center"/>
                </w:tcPr>
                <w:p>
                  <w:pPr>
                    <w:jc w:val="center"/>
                    <w:rPr>
                      <w:color w:val="auto"/>
                      <w:highlight w:val="none"/>
                    </w:rPr>
                  </w:pPr>
                  <w:r>
                    <w:rPr>
                      <w:rFonts w:hint="eastAsia"/>
                      <w:color w:val="auto"/>
                      <w:highlight w:val="none"/>
                    </w:rPr>
                    <w:t>0.9</w:t>
                  </w:r>
                </w:p>
              </w:tc>
              <w:tc>
                <w:tcPr>
                  <w:tcW w:w="981" w:type="pct"/>
                  <w:vAlign w:val="center"/>
                </w:tcPr>
                <w:p>
                  <w:pPr>
                    <w:jc w:val="center"/>
                    <w:rPr>
                      <w:color w:val="auto"/>
                      <w:highlight w:val="none"/>
                    </w:rPr>
                  </w:pPr>
                  <w:r>
                    <w:rPr>
                      <w:rFonts w:hint="eastAsia"/>
                      <w:color w:val="auto"/>
                      <w:highlight w:val="none"/>
                    </w:rPr>
                    <w:t>26.76</w:t>
                  </w:r>
                </w:p>
              </w:tc>
              <w:tc>
                <w:tcPr>
                  <w:tcW w:w="1016" w:type="pct"/>
                  <w:vAlign w:val="center"/>
                </w:tcPr>
                <w:p>
                  <w:pPr>
                    <w:jc w:val="center"/>
                    <w:rPr>
                      <w:rFonts w:hint="default" w:eastAsia="宋体"/>
                      <w:color w:val="auto"/>
                      <w:highlight w:val="none"/>
                      <w:lang w:val="en-US" w:eastAsia="zh-CN"/>
                    </w:rPr>
                  </w:pPr>
                  <w:r>
                    <w:rPr>
                      <w:rFonts w:hint="eastAsia"/>
                      <w:color w:val="FF0000"/>
                      <w:highlight w:val="none"/>
                      <w:lang w:val="en-US" w:eastAsia="zh-CN"/>
                    </w:rPr>
                    <w:t>9.4</w:t>
                  </w:r>
                </w:p>
              </w:tc>
            </w:tr>
          </w:tbl>
          <w:p>
            <w:pPr>
              <w:adjustRightInd w:val="0"/>
              <w:snapToGrid w:val="0"/>
              <w:spacing w:before="120" w:beforeLines="50" w:line="360" w:lineRule="auto"/>
              <w:ind w:firstLine="422" w:firstLineChars="200"/>
              <w:rPr>
                <w:b/>
                <w:bCs/>
                <w:color w:val="auto"/>
              </w:rPr>
            </w:pPr>
            <w:r>
              <w:rPr>
                <w:b/>
                <w:bCs/>
                <w:color w:val="auto"/>
              </w:rPr>
              <w:t>（3）卫生防护距离终值的确定</w:t>
            </w:r>
          </w:p>
          <w:p>
            <w:pPr>
              <w:spacing w:line="360" w:lineRule="auto"/>
              <w:ind w:firstLine="420" w:firstLineChars="200"/>
              <w:rPr>
                <w:bCs/>
                <w:color w:val="auto"/>
              </w:rPr>
            </w:pPr>
            <w:r>
              <w:rPr>
                <w:color w:val="auto"/>
              </w:rPr>
              <w:t>根据《大气有害物质无组织排放卫生防护距离推导技术导则》（GB/T39499-2020），如计算初值小于50m时，级差为50m。如计算初值小于50m，卫生防护距离终值取50m，</w:t>
            </w:r>
            <w:r>
              <w:rPr>
                <w:color w:val="FF0000"/>
              </w:rPr>
              <w:t>因此项目</w:t>
            </w:r>
            <w:r>
              <w:rPr>
                <w:rFonts w:hint="eastAsia"/>
                <w:color w:val="FF0000"/>
                <w:lang w:bidi="zh-CN"/>
              </w:rPr>
              <w:t>1#厂房、2#厂房</w:t>
            </w:r>
            <w:r>
              <w:rPr>
                <w:bCs/>
                <w:color w:val="FF0000"/>
              </w:rPr>
              <w:t>卫生防护距离</w:t>
            </w:r>
            <w:r>
              <w:rPr>
                <w:rFonts w:hint="eastAsia"/>
                <w:bCs/>
                <w:color w:val="FF0000"/>
              </w:rPr>
              <w:t>均</w:t>
            </w:r>
            <w:r>
              <w:rPr>
                <w:bCs/>
                <w:color w:val="FF0000"/>
              </w:rPr>
              <w:t>为50</w:t>
            </w:r>
            <w:r>
              <w:rPr>
                <w:rFonts w:hint="eastAsia"/>
                <w:bCs/>
                <w:color w:val="FF0000"/>
              </w:rPr>
              <w:t>m。</w:t>
            </w:r>
          </w:p>
          <w:p>
            <w:pPr>
              <w:spacing w:line="360" w:lineRule="auto"/>
              <w:ind w:firstLine="420" w:firstLineChars="200"/>
              <w:rPr>
                <w:bCs/>
                <w:color w:val="auto"/>
              </w:rPr>
            </w:pPr>
            <w:r>
              <w:rPr>
                <w:color w:val="auto"/>
              </w:rPr>
              <w:t>根据现场踏勘，本项目生产车间与最近的敏感点</w:t>
            </w:r>
            <w:r>
              <w:rPr>
                <w:rFonts w:hint="eastAsia"/>
                <w:color w:val="auto"/>
              </w:rPr>
              <w:t>东南</w:t>
            </w:r>
            <w:r>
              <w:rPr>
                <w:color w:val="auto"/>
              </w:rPr>
              <w:t>面的</w:t>
            </w:r>
            <w:r>
              <w:rPr>
                <w:rFonts w:hint="eastAsia"/>
                <w:color w:val="auto"/>
              </w:rPr>
              <w:t>长征村</w:t>
            </w:r>
            <w:r>
              <w:rPr>
                <w:color w:val="auto"/>
              </w:rPr>
              <w:t>，与项目车间边界距离约2</w:t>
            </w:r>
            <w:r>
              <w:rPr>
                <w:rFonts w:hint="eastAsia"/>
                <w:color w:val="auto"/>
              </w:rPr>
              <w:t>43</w:t>
            </w:r>
            <w:r>
              <w:rPr>
                <w:color w:val="auto"/>
              </w:rPr>
              <w:t>米，符合卫生防护距离要求</w:t>
            </w:r>
            <w:r>
              <w:rPr>
                <w:bCs/>
                <w:color w:val="auto"/>
              </w:rPr>
              <w:t>。本项目卫生防护距离示意图见</w:t>
            </w:r>
            <w:r>
              <w:rPr>
                <w:color w:val="auto"/>
              </w:rPr>
              <w:t>附图8</w:t>
            </w:r>
            <w:r>
              <w:rPr>
                <w:bCs/>
                <w:color w:val="auto"/>
              </w:rPr>
              <w:t>。</w:t>
            </w:r>
          </w:p>
          <w:p>
            <w:pPr>
              <w:widowControl/>
              <w:adjustRightInd w:val="0"/>
              <w:snapToGrid w:val="0"/>
              <w:spacing w:before="120" w:beforeLines="50" w:line="360" w:lineRule="auto"/>
              <w:jc w:val="left"/>
              <w:rPr>
                <w:b/>
                <w:color w:val="auto"/>
              </w:rPr>
            </w:pPr>
            <w:r>
              <w:rPr>
                <w:b/>
                <w:color w:val="auto"/>
              </w:rPr>
              <w:t>二、</w:t>
            </w:r>
            <w:bookmarkEnd w:id="8"/>
            <w:bookmarkEnd w:id="9"/>
            <w:r>
              <w:rPr>
                <w:b/>
                <w:color w:val="auto"/>
              </w:rPr>
              <w:t>水污染源及环保措施分析</w:t>
            </w:r>
          </w:p>
          <w:p>
            <w:pPr>
              <w:widowControl/>
              <w:spacing w:line="360" w:lineRule="auto"/>
              <w:ind w:firstLine="422" w:firstLineChars="200"/>
              <w:rPr>
                <w:b/>
                <w:bCs/>
                <w:color w:val="auto"/>
              </w:rPr>
            </w:pPr>
            <w:r>
              <w:rPr>
                <w:b/>
                <w:bCs/>
                <w:color w:val="auto"/>
              </w:rPr>
              <w:t>1.废水源强核算</w:t>
            </w:r>
          </w:p>
          <w:p>
            <w:pPr>
              <w:widowControl/>
              <w:spacing w:line="360" w:lineRule="auto"/>
              <w:ind w:left="420" w:leftChars="200"/>
              <w:rPr>
                <w:b/>
                <w:bCs/>
                <w:color w:val="auto"/>
              </w:rPr>
            </w:pPr>
            <w:r>
              <w:rPr>
                <w:rFonts w:hint="eastAsia"/>
                <w:b/>
                <w:bCs/>
                <w:color w:val="auto"/>
              </w:rPr>
              <w:t>（1）冷却水</w:t>
            </w:r>
          </w:p>
          <w:p>
            <w:pPr>
              <w:pStyle w:val="12"/>
              <w:spacing w:line="360" w:lineRule="auto"/>
              <w:ind w:left="0" w:leftChars="0" w:firstLine="420" w:firstLineChars="200"/>
              <w:rPr>
                <w:rFonts w:ascii="Times New Roman" w:hAnsi="Times New Roman"/>
                <w:color w:val="auto"/>
                <w:lang w:eastAsia="zh-CN"/>
              </w:rPr>
            </w:pPr>
            <w:r>
              <w:rPr>
                <w:rFonts w:hint="eastAsia" w:ascii="Times New Roman" w:hAnsi="Times New Roman"/>
                <w:color w:val="auto"/>
                <w:lang w:eastAsia="zh-CN"/>
              </w:rPr>
              <w:t>橡胶混炼完成后</w:t>
            </w:r>
            <w:r>
              <w:rPr>
                <w:rFonts w:ascii="Times New Roman" w:hAnsi="Times New Roman"/>
                <w:color w:val="auto"/>
                <w:lang w:eastAsia="zh-CN"/>
              </w:rPr>
              <w:t>需要</w:t>
            </w:r>
            <w:r>
              <w:rPr>
                <w:rFonts w:hint="eastAsia" w:ascii="Times New Roman" w:hAnsi="Times New Roman"/>
                <w:color w:val="auto"/>
                <w:lang w:eastAsia="zh-CN"/>
              </w:rPr>
              <w:t>对混炼胶进行</w:t>
            </w:r>
            <w:r>
              <w:rPr>
                <w:rFonts w:ascii="Times New Roman" w:hAnsi="Times New Roman"/>
                <w:color w:val="auto"/>
                <w:lang w:eastAsia="zh-CN"/>
              </w:rPr>
              <w:t>冷却，</w:t>
            </w:r>
            <w:r>
              <w:rPr>
                <w:rFonts w:hint="eastAsia" w:ascii="Times New Roman" w:hAnsi="Times New Roman"/>
                <w:color w:val="auto"/>
                <w:lang w:eastAsia="zh-CN"/>
              </w:rPr>
              <w:t>项目</w:t>
            </w:r>
            <w:r>
              <w:rPr>
                <w:rFonts w:ascii="Times New Roman" w:hAnsi="Times New Roman"/>
                <w:color w:val="auto"/>
                <w:lang w:eastAsia="zh-CN"/>
              </w:rPr>
              <w:t>配</w:t>
            </w:r>
            <w:r>
              <w:rPr>
                <w:rFonts w:hint="eastAsia" w:ascii="Times New Roman" w:hAnsi="Times New Roman"/>
                <w:color w:val="auto"/>
                <w:lang w:eastAsia="zh-CN"/>
              </w:rPr>
              <w:t>制8台冷却机</w:t>
            </w:r>
            <w:r>
              <w:rPr>
                <w:rFonts w:ascii="Times New Roman" w:hAnsi="Times New Roman"/>
                <w:color w:val="auto"/>
                <w:lang w:eastAsia="zh-CN"/>
              </w:rPr>
              <w:t>，</w:t>
            </w:r>
            <w:r>
              <w:rPr>
                <w:rFonts w:hint="eastAsia" w:ascii="Times New Roman" w:hAnsi="Times New Roman"/>
                <w:color w:val="auto"/>
                <w:lang w:eastAsia="zh-CN"/>
              </w:rPr>
              <w:t>使用风机和冷却水进行间接冷却，</w:t>
            </w:r>
            <w:r>
              <w:rPr>
                <w:rFonts w:ascii="Times New Roman" w:hAnsi="Times New Roman"/>
                <w:color w:val="auto"/>
                <w:lang w:eastAsia="zh-CN"/>
              </w:rPr>
              <w:t>冷却水为普通自来水，在循环使用过程中存在少量的损耗，需要</w:t>
            </w:r>
            <w:r>
              <w:rPr>
                <w:rFonts w:hint="eastAsia" w:ascii="Times New Roman" w:hAnsi="Times New Roman"/>
                <w:color w:val="auto"/>
                <w:lang w:eastAsia="zh-CN"/>
              </w:rPr>
              <w:t>定期</w:t>
            </w:r>
            <w:r>
              <w:rPr>
                <w:rFonts w:ascii="Times New Roman" w:hAnsi="Times New Roman"/>
                <w:color w:val="auto"/>
                <w:lang w:eastAsia="zh-CN"/>
              </w:rPr>
              <w:t>补给新鲜水</w:t>
            </w:r>
            <w:r>
              <w:rPr>
                <w:rFonts w:hint="eastAsia" w:ascii="Times New Roman" w:hAnsi="Times New Roman"/>
                <w:color w:val="auto"/>
                <w:lang w:eastAsia="zh-CN"/>
              </w:rPr>
              <w:t>。</w:t>
            </w:r>
            <w:r>
              <w:rPr>
                <w:color w:val="auto"/>
              </w:rPr>
              <w:t>项目</w:t>
            </w:r>
            <w:r>
              <w:rPr>
                <w:rFonts w:hint="eastAsia"/>
                <w:color w:val="auto"/>
                <w:lang w:eastAsia="zh-CN"/>
              </w:rPr>
              <w:t>冷却水循环使用，不外排</w:t>
            </w:r>
            <w:r>
              <w:rPr>
                <w:color w:val="auto"/>
              </w:rPr>
              <w:t>。</w:t>
            </w:r>
          </w:p>
          <w:p>
            <w:pPr>
              <w:widowControl/>
              <w:spacing w:line="360" w:lineRule="auto"/>
              <w:ind w:left="420" w:leftChars="200"/>
              <w:rPr>
                <w:b/>
                <w:bCs/>
                <w:color w:val="auto"/>
              </w:rPr>
            </w:pPr>
            <w:r>
              <w:rPr>
                <w:rFonts w:hint="eastAsia"/>
                <w:b/>
                <w:bCs/>
                <w:color w:val="auto"/>
              </w:rPr>
              <w:t>（2）</w:t>
            </w:r>
            <w:r>
              <w:rPr>
                <w:b/>
                <w:bCs/>
                <w:color w:val="auto"/>
              </w:rPr>
              <w:t>员工生活用水</w:t>
            </w:r>
          </w:p>
          <w:p>
            <w:pPr>
              <w:pStyle w:val="12"/>
              <w:spacing w:line="360" w:lineRule="auto"/>
              <w:ind w:left="0" w:leftChars="0" w:firstLine="420" w:firstLineChars="200"/>
              <w:rPr>
                <w:color w:val="auto"/>
                <w:lang w:eastAsia="zh-CN"/>
              </w:rPr>
            </w:pPr>
            <w:r>
              <w:rPr>
                <w:rFonts w:ascii="Times New Roman" w:hAnsi="Times New Roman"/>
                <w:color w:val="auto"/>
                <w:lang w:eastAsia="zh-CN"/>
              </w:rPr>
              <w:t>员工</w:t>
            </w:r>
            <w:r>
              <w:rPr>
                <w:rFonts w:hint="eastAsia" w:ascii="Times New Roman" w:hAnsi="Times New Roman"/>
                <w:color w:val="auto"/>
                <w:lang w:eastAsia="zh-CN"/>
              </w:rPr>
              <w:t>180</w:t>
            </w:r>
            <w:r>
              <w:rPr>
                <w:rFonts w:ascii="Times New Roman" w:hAnsi="Times New Roman"/>
                <w:color w:val="auto"/>
                <w:lang w:eastAsia="zh-CN"/>
              </w:rPr>
              <w:t>人，</w:t>
            </w:r>
            <w:r>
              <w:rPr>
                <w:rStyle w:val="104"/>
                <w:rFonts w:hint="eastAsia" w:ascii="Times New Roman" w:hAnsi="Times New Roman"/>
                <w:color w:val="auto"/>
                <w:lang w:eastAsia="zh-CN"/>
              </w:rPr>
              <w:t>均在厂内食宿</w:t>
            </w:r>
            <w:r>
              <w:rPr>
                <w:rFonts w:ascii="Times New Roman" w:hAnsi="Times New Roman"/>
                <w:color w:val="auto"/>
                <w:lang w:eastAsia="zh-CN"/>
              </w:rPr>
              <w:t>，项目</w:t>
            </w:r>
            <w:r>
              <w:rPr>
                <w:rFonts w:hint="eastAsia" w:ascii="Times New Roman" w:hAnsi="Times New Roman"/>
                <w:color w:val="auto"/>
                <w:lang w:eastAsia="zh-CN"/>
              </w:rPr>
              <w:t>产生的</w:t>
            </w:r>
            <w:r>
              <w:rPr>
                <w:rFonts w:ascii="Times New Roman" w:hAnsi="Times New Roman"/>
                <w:color w:val="auto"/>
                <w:lang w:eastAsia="zh-CN"/>
              </w:rPr>
              <w:t>生活</w:t>
            </w:r>
            <w:r>
              <w:rPr>
                <w:rFonts w:hint="eastAsia" w:ascii="Times New Roman" w:hAnsi="Times New Roman"/>
                <w:color w:val="auto"/>
                <w:lang w:eastAsia="zh-CN"/>
              </w:rPr>
              <w:t>污水</w:t>
            </w:r>
            <w:r>
              <w:rPr>
                <w:rFonts w:ascii="Times New Roman" w:hAnsi="Times New Roman"/>
                <w:color w:val="auto"/>
                <w:lang w:eastAsia="zh-CN"/>
              </w:rPr>
              <w:t>为</w:t>
            </w:r>
            <w:r>
              <w:rPr>
                <w:rFonts w:hint="eastAsia" w:ascii="Times New Roman" w:hAnsi="Times New Roman"/>
                <w:color w:val="auto"/>
                <w:lang w:eastAsia="zh-CN"/>
              </w:rPr>
              <w:t>2430</w:t>
            </w:r>
            <w:r>
              <w:rPr>
                <w:rFonts w:ascii="Times New Roman" w:hAnsi="Times New Roman"/>
                <w:color w:val="auto"/>
                <w:lang w:eastAsia="zh-CN"/>
              </w:rPr>
              <w:t>m</w:t>
            </w:r>
            <w:r>
              <w:rPr>
                <w:rFonts w:ascii="Times New Roman" w:hAnsi="Times New Roman"/>
                <w:color w:val="auto"/>
                <w:vertAlign w:val="superscript"/>
                <w:lang w:eastAsia="zh-CN"/>
              </w:rPr>
              <w:t>3</w:t>
            </w:r>
            <w:r>
              <w:rPr>
                <w:rFonts w:ascii="Times New Roman" w:hAnsi="Times New Roman"/>
                <w:color w:val="auto"/>
                <w:lang w:eastAsia="zh-CN"/>
              </w:rPr>
              <w:t>/a，</w:t>
            </w:r>
            <w:r>
              <w:rPr>
                <w:rFonts w:hint="eastAsia" w:ascii="Times New Roman" w:hAnsi="Times New Roman"/>
                <w:color w:val="auto"/>
                <w:lang w:eastAsia="zh-CN"/>
              </w:rPr>
              <w:t>8.1</w:t>
            </w:r>
            <w:r>
              <w:rPr>
                <w:rFonts w:ascii="Times New Roman" w:hAnsi="Times New Roman"/>
                <w:color w:val="auto"/>
                <w:lang w:eastAsia="zh-CN"/>
              </w:rPr>
              <w:t>m</w:t>
            </w:r>
            <w:r>
              <w:rPr>
                <w:rFonts w:ascii="Times New Roman" w:hAnsi="Times New Roman"/>
                <w:color w:val="auto"/>
                <w:vertAlign w:val="superscript"/>
                <w:lang w:eastAsia="zh-CN"/>
              </w:rPr>
              <w:t>3</w:t>
            </w:r>
            <w:r>
              <w:rPr>
                <w:rFonts w:ascii="Times New Roman" w:hAnsi="Times New Roman"/>
                <w:color w:val="auto"/>
                <w:lang w:eastAsia="zh-CN"/>
              </w:rPr>
              <w:t>/d（以300天计算）</w:t>
            </w:r>
            <w:r>
              <w:rPr>
                <w:rFonts w:hint="eastAsia" w:ascii="Times New Roman" w:hAnsi="Times New Roman"/>
                <w:color w:val="auto"/>
                <w:lang w:eastAsia="zh-CN"/>
              </w:rPr>
              <w:t>，生活污水主要污染物为</w:t>
            </w:r>
            <w:r>
              <w:rPr>
                <w:rFonts w:ascii="Times New Roman" w:hAnsi="Times New Roman"/>
                <w:color w:val="auto"/>
              </w:rPr>
              <w:t>COD</w:t>
            </w:r>
            <w:r>
              <w:rPr>
                <w:rFonts w:ascii="Times New Roman" w:hAnsi="Times New Roman"/>
                <w:color w:val="auto"/>
                <w:vertAlign w:val="subscript"/>
              </w:rPr>
              <w:t>Cr</w:t>
            </w:r>
            <w:r>
              <w:rPr>
                <w:rFonts w:hint="eastAsia" w:ascii="Times New Roman" w:hAnsi="Times New Roman"/>
                <w:color w:val="auto"/>
                <w:lang w:eastAsia="zh-CN"/>
              </w:rPr>
              <w:t>、</w:t>
            </w:r>
            <w:r>
              <w:rPr>
                <w:rFonts w:ascii="Times New Roman" w:hAnsi="Times New Roman"/>
                <w:color w:val="auto"/>
              </w:rPr>
              <w:t>BOD</w:t>
            </w:r>
            <w:r>
              <w:rPr>
                <w:rFonts w:ascii="Times New Roman" w:hAnsi="Times New Roman"/>
                <w:color w:val="auto"/>
                <w:vertAlign w:val="subscript"/>
              </w:rPr>
              <w:t>5</w:t>
            </w:r>
            <w:r>
              <w:rPr>
                <w:rFonts w:hint="eastAsia" w:ascii="Times New Roman" w:hAnsi="Times New Roman"/>
                <w:color w:val="auto"/>
                <w:lang w:eastAsia="zh-CN"/>
              </w:rPr>
              <w:t>、</w:t>
            </w:r>
            <w:r>
              <w:rPr>
                <w:rFonts w:ascii="Times New Roman" w:hAnsi="Times New Roman"/>
                <w:color w:val="auto"/>
              </w:rPr>
              <w:t>NH</w:t>
            </w:r>
            <w:r>
              <w:rPr>
                <w:rFonts w:ascii="Times New Roman" w:hAnsi="Times New Roman"/>
                <w:color w:val="auto"/>
                <w:vertAlign w:val="subscript"/>
              </w:rPr>
              <w:t>3</w:t>
            </w:r>
            <w:r>
              <w:rPr>
                <w:rFonts w:ascii="Times New Roman" w:hAnsi="Times New Roman"/>
                <w:color w:val="auto"/>
              </w:rPr>
              <w:t>-N</w:t>
            </w:r>
            <w:r>
              <w:rPr>
                <w:rFonts w:hint="eastAsia" w:ascii="Times New Roman" w:hAnsi="Times New Roman"/>
                <w:color w:val="auto"/>
                <w:lang w:eastAsia="zh-CN"/>
              </w:rPr>
              <w:t>、</w:t>
            </w:r>
            <w:r>
              <w:rPr>
                <w:rFonts w:ascii="Times New Roman" w:hAnsi="Times New Roman"/>
                <w:color w:val="auto"/>
              </w:rPr>
              <w:t>TP</w:t>
            </w:r>
            <w:r>
              <w:rPr>
                <w:rStyle w:val="104"/>
                <w:rFonts w:hint="eastAsia" w:ascii="Times New Roman" w:hAnsi="Times New Roman"/>
                <w:color w:val="auto"/>
                <w:lang w:eastAsia="zh-CN"/>
              </w:rPr>
              <w:t>、动植物油</w:t>
            </w:r>
            <w:r>
              <w:rPr>
                <w:rFonts w:hint="eastAsia" w:ascii="Times New Roman" w:hAnsi="Times New Roman"/>
                <w:color w:val="auto"/>
                <w:lang w:eastAsia="zh-CN"/>
              </w:rPr>
              <w:t>，具体产生排放情况见下表所示。</w:t>
            </w:r>
          </w:p>
          <w:p>
            <w:pPr>
              <w:adjustRightInd w:val="0"/>
              <w:snapToGrid w:val="0"/>
              <w:spacing w:line="360" w:lineRule="auto"/>
              <w:jc w:val="center"/>
              <w:rPr>
                <w:b/>
                <w:color w:val="auto"/>
              </w:rPr>
            </w:pPr>
            <w:r>
              <w:rPr>
                <w:b/>
                <w:color w:val="auto"/>
              </w:rPr>
              <w:t>表4-</w:t>
            </w:r>
            <w:r>
              <w:rPr>
                <w:rFonts w:hint="eastAsia"/>
                <w:b/>
                <w:color w:val="auto"/>
              </w:rPr>
              <w:t>19</w:t>
            </w:r>
            <w:r>
              <w:rPr>
                <w:b/>
                <w:color w:val="auto"/>
              </w:rPr>
              <w:t xml:space="preserve"> 废水污染物源强核算结果表</w:t>
            </w:r>
          </w:p>
          <w:tbl>
            <w:tblPr>
              <w:tblStyle w:val="93"/>
              <w:tblW w:w="931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7"/>
              <w:gridCol w:w="809"/>
              <w:gridCol w:w="899"/>
              <w:gridCol w:w="1116"/>
              <w:gridCol w:w="639"/>
              <w:gridCol w:w="485"/>
              <w:gridCol w:w="440"/>
              <w:gridCol w:w="871"/>
              <w:gridCol w:w="1004"/>
              <w:gridCol w:w="1116"/>
              <w:gridCol w:w="427"/>
              <w:gridCol w:w="437"/>
              <w:gridCol w:w="6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426" w:type="dxa"/>
                  <w:vMerge w:val="restart"/>
                  <w:vAlign w:val="center"/>
                </w:tcPr>
                <w:p>
                  <w:pPr>
                    <w:pStyle w:val="106"/>
                    <w:jc w:val="center"/>
                    <w:rPr>
                      <w:rFonts w:ascii="Times New Roman" w:hAnsi="Times New Roman" w:cs="Times New Roman"/>
                      <w:b/>
                      <w:bCs/>
                      <w:color w:val="auto"/>
                      <w:sz w:val="21"/>
                      <w:szCs w:val="21"/>
                    </w:rPr>
                  </w:pPr>
                  <w:r>
                    <w:rPr>
                      <w:rFonts w:ascii="Times New Roman" w:hAnsi="Times New Roman" w:cs="Times New Roman"/>
                      <w:b/>
                      <w:bCs/>
                      <w:color w:val="auto"/>
                      <w:sz w:val="21"/>
                      <w:szCs w:val="21"/>
                    </w:rPr>
                    <w:t>产排污环节</w:t>
                  </w:r>
                </w:p>
              </w:tc>
              <w:tc>
                <w:tcPr>
                  <w:tcW w:w="806" w:type="dxa"/>
                  <w:vMerge w:val="restart"/>
                  <w:vAlign w:val="center"/>
                </w:tcPr>
                <w:p>
                  <w:pPr>
                    <w:pStyle w:val="106"/>
                    <w:jc w:val="center"/>
                    <w:rPr>
                      <w:rFonts w:ascii="Times New Roman" w:hAnsi="Times New Roman" w:cs="Times New Roman"/>
                      <w:b/>
                      <w:bCs/>
                      <w:color w:val="auto"/>
                      <w:sz w:val="21"/>
                      <w:szCs w:val="21"/>
                    </w:rPr>
                  </w:pPr>
                  <w:r>
                    <w:rPr>
                      <w:rFonts w:ascii="Times New Roman" w:hAnsi="Times New Roman" w:cs="Times New Roman"/>
                      <w:b/>
                      <w:bCs/>
                      <w:color w:val="auto"/>
                      <w:sz w:val="21"/>
                      <w:szCs w:val="21"/>
                    </w:rPr>
                    <w:t>污染物种类</w:t>
                  </w:r>
                </w:p>
              </w:tc>
              <w:tc>
                <w:tcPr>
                  <w:tcW w:w="1823" w:type="dxa"/>
                  <w:gridSpan w:val="2"/>
                  <w:vAlign w:val="center"/>
                </w:tcPr>
                <w:p>
                  <w:pPr>
                    <w:pStyle w:val="106"/>
                    <w:jc w:val="center"/>
                    <w:rPr>
                      <w:rFonts w:ascii="Times New Roman" w:hAnsi="Times New Roman" w:cs="Times New Roman"/>
                      <w:b/>
                      <w:bCs/>
                      <w:color w:val="auto"/>
                      <w:sz w:val="21"/>
                      <w:szCs w:val="21"/>
                    </w:rPr>
                  </w:pPr>
                  <w:r>
                    <w:rPr>
                      <w:rFonts w:ascii="Times New Roman" w:hAnsi="Times New Roman" w:cs="Times New Roman"/>
                      <w:b/>
                      <w:bCs/>
                      <w:color w:val="auto"/>
                      <w:sz w:val="21"/>
                      <w:szCs w:val="21"/>
                    </w:rPr>
                    <w:t>污染物产生情况</w:t>
                  </w:r>
                </w:p>
              </w:tc>
              <w:tc>
                <w:tcPr>
                  <w:tcW w:w="720" w:type="dxa"/>
                  <w:vMerge w:val="restart"/>
                  <w:vAlign w:val="center"/>
                </w:tcPr>
                <w:p>
                  <w:pPr>
                    <w:pStyle w:val="106"/>
                    <w:jc w:val="center"/>
                    <w:rPr>
                      <w:rFonts w:ascii="Times New Roman" w:hAnsi="Times New Roman" w:cs="Times New Roman"/>
                      <w:b/>
                      <w:bCs/>
                      <w:color w:val="auto"/>
                      <w:sz w:val="21"/>
                      <w:szCs w:val="21"/>
                    </w:rPr>
                  </w:pPr>
                  <w:r>
                    <w:rPr>
                      <w:rFonts w:ascii="Times New Roman" w:hAnsi="Times New Roman" w:cs="Times New Roman"/>
                      <w:b/>
                      <w:bCs/>
                      <w:color w:val="auto"/>
                      <w:sz w:val="21"/>
                      <w:szCs w:val="21"/>
                    </w:rPr>
                    <w:t>治理工艺</w:t>
                  </w:r>
                </w:p>
              </w:tc>
              <w:tc>
                <w:tcPr>
                  <w:tcW w:w="3675" w:type="dxa"/>
                  <w:gridSpan w:val="5"/>
                  <w:vAlign w:val="center"/>
                </w:tcPr>
                <w:p>
                  <w:pPr>
                    <w:pStyle w:val="106"/>
                    <w:jc w:val="center"/>
                    <w:rPr>
                      <w:rFonts w:ascii="Times New Roman" w:hAnsi="Times New Roman" w:cs="Times New Roman"/>
                      <w:b/>
                      <w:bCs/>
                      <w:color w:val="auto"/>
                      <w:sz w:val="21"/>
                      <w:szCs w:val="21"/>
                    </w:rPr>
                  </w:pPr>
                  <w:r>
                    <w:rPr>
                      <w:rFonts w:ascii="Times New Roman" w:hAnsi="Times New Roman" w:cs="Times New Roman"/>
                      <w:b/>
                      <w:bCs/>
                      <w:color w:val="auto"/>
                      <w:sz w:val="21"/>
                      <w:szCs w:val="21"/>
                    </w:rPr>
                    <w:t>污染物排放情况</w:t>
                  </w:r>
                </w:p>
              </w:tc>
              <w:tc>
                <w:tcPr>
                  <w:tcW w:w="375" w:type="dxa"/>
                  <w:vMerge w:val="restart"/>
                  <w:vAlign w:val="center"/>
                </w:tcPr>
                <w:p>
                  <w:pPr>
                    <w:pStyle w:val="106"/>
                    <w:jc w:val="center"/>
                    <w:rPr>
                      <w:rFonts w:ascii="Times New Roman" w:hAnsi="Times New Roman" w:cs="Times New Roman"/>
                      <w:b/>
                      <w:bCs/>
                      <w:color w:val="auto"/>
                      <w:sz w:val="21"/>
                      <w:szCs w:val="21"/>
                    </w:rPr>
                  </w:pPr>
                  <w:r>
                    <w:rPr>
                      <w:rFonts w:ascii="Times New Roman" w:hAnsi="Times New Roman" w:cs="Times New Roman"/>
                      <w:b/>
                      <w:bCs/>
                      <w:color w:val="auto"/>
                      <w:sz w:val="21"/>
                      <w:szCs w:val="21"/>
                    </w:rPr>
                    <w:t>排放方式</w:t>
                  </w:r>
                </w:p>
              </w:tc>
              <w:tc>
                <w:tcPr>
                  <w:tcW w:w="705" w:type="dxa"/>
                  <w:vMerge w:val="restart"/>
                  <w:vAlign w:val="center"/>
                </w:tcPr>
                <w:p>
                  <w:pPr>
                    <w:pStyle w:val="106"/>
                    <w:jc w:val="center"/>
                    <w:rPr>
                      <w:rFonts w:ascii="Times New Roman" w:hAnsi="Times New Roman" w:cs="Times New Roman"/>
                      <w:b/>
                      <w:bCs/>
                      <w:color w:val="auto"/>
                      <w:sz w:val="21"/>
                      <w:szCs w:val="21"/>
                    </w:rPr>
                  </w:pPr>
                  <w:r>
                    <w:rPr>
                      <w:rFonts w:ascii="Times New Roman" w:hAnsi="Times New Roman" w:cs="Times New Roman"/>
                      <w:b/>
                      <w:bCs/>
                      <w:color w:val="auto"/>
                      <w:sz w:val="21"/>
                      <w:szCs w:val="21"/>
                    </w:rPr>
                    <w:t>排放去向</w:t>
                  </w:r>
                </w:p>
              </w:tc>
              <w:tc>
                <w:tcPr>
                  <w:tcW w:w="781" w:type="dxa"/>
                  <w:vMerge w:val="restart"/>
                  <w:vAlign w:val="center"/>
                </w:tcPr>
                <w:p>
                  <w:pPr>
                    <w:pStyle w:val="106"/>
                    <w:jc w:val="center"/>
                    <w:rPr>
                      <w:rFonts w:ascii="Times New Roman" w:hAnsi="Times New Roman" w:cs="Times New Roman"/>
                      <w:b/>
                      <w:bCs/>
                      <w:color w:val="auto"/>
                      <w:sz w:val="21"/>
                      <w:szCs w:val="21"/>
                    </w:rPr>
                  </w:pPr>
                  <w:r>
                    <w:rPr>
                      <w:rFonts w:ascii="Times New Roman" w:hAnsi="Times New Roman" w:cs="Times New Roman"/>
                      <w:b/>
                      <w:bCs/>
                      <w:color w:val="auto"/>
                      <w:sz w:val="21"/>
                      <w:szCs w:val="21"/>
                    </w:rPr>
                    <w:t>排放规律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 w:type="dxa"/>
                  <w:vMerge w:val="continue"/>
                  <w:vAlign w:val="center"/>
                </w:tcPr>
                <w:p>
                  <w:pPr>
                    <w:pStyle w:val="106"/>
                    <w:jc w:val="center"/>
                    <w:rPr>
                      <w:rFonts w:ascii="Times New Roman" w:hAnsi="Times New Roman" w:cs="Times New Roman"/>
                      <w:b/>
                      <w:bCs/>
                      <w:color w:val="auto"/>
                      <w:sz w:val="21"/>
                      <w:szCs w:val="21"/>
                    </w:rPr>
                  </w:pPr>
                </w:p>
              </w:tc>
              <w:tc>
                <w:tcPr>
                  <w:tcW w:w="806" w:type="dxa"/>
                  <w:vMerge w:val="continue"/>
                  <w:vAlign w:val="center"/>
                </w:tcPr>
                <w:p>
                  <w:pPr>
                    <w:pStyle w:val="106"/>
                    <w:jc w:val="center"/>
                    <w:rPr>
                      <w:rFonts w:ascii="Times New Roman" w:hAnsi="Times New Roman" w:cs="Times New Roman"/>
                      <w:b/>
                      <w:bCs/>
                      <w:color w:val="auto"/>
                      <w:sz w:val="21"/>
                      <w:szCs w:val="21"/>
                    </w:rPr>
                  </w:pPr>
                </w:p>
              </w:tc>
              <w:tc>
                <w:tcPr>
                  <w:tcW w:w="896" w:type="dxa"/>
                  <w:vAlign w:val="center"/>
                </w:tcPr>
                <w:p>
                  <w:pPr>
                    <w:pStyle w:val="106"/>
                    <w:jc w:val="center"/>
                    <w:rPr>
                      <w:rFonts w:ascii="Times New Roman" w:hAnsi="Times New Roman" w:cs="Times New Roman"/>
                      <w:b/>
                      <w:bCs/>
                      <w:color w:val="auto"/>
                      <w:sz w:val="21"/>
                      <w:szCs w:val="21"/>
                    </w:rPr>
                  </w:pPr>
                  <w:r>
                    <w:rPr>
                      <w:rFonts w:ascii="Times New Roman" w:hAnsi="Times New Roman" w:cs="Times New Roman"/>
                      <w:b/>
                      <w:bCs/>
                      <w:color w:val="auto"/>
                      <w:sz w:val="21"/>
                      <w:szCs w:val="21"/>
                    </w:rPr>
                    <w:t>产生量（t/a）</w:t>
                  </w:r>
                </w:p>
              </w:tc>
              <w:tc>
                <w:tcPr>
                  <w:tcW w:w="927" w:type="dxa"/>
                  <w:vAlign w:val="center"/>
                </w:tcPr>
                <w:p>
                  <w:pPr>
                    <w:pStyle w:val="106"/>
                    <w:jc w:val="center"/>
                    <w:rPr>
                      <w:rFonts w:ascii="Times New Roman" w:hAnsi="Times New Roman" w:cs="Times New Roman"/>
                      <w:b/>
                      <w:bCs/>
                      <w:color w:val="auto"/>
                      <w:sz w:val="21"/>
                      <w:szCs w:val="21"/>
                    </w:rPr>
                  </w:pPr>
                  <w:r>
                    <w:rPr>
                      <w:rFonts w:ascii="Times New Roman" w:hAnsi="Times New Roman" w:cs="Times New Roman"/>
                      <w:b/>
                      <w:bCs/>
                      <w:color w:val="auto"/>
                      <w:sz w:val="21"/>
                      <w:szCs w:val="21"/>
                    </w:rPr>
                    <w:t>产生浓度（mg/L）</w:t>
                  </w:r>
                </w:p>
              </w:tc>
              <w:tc>
                <w:tcPr>
                  <w:tcW w:w="720" w:type="dxa"/>
                  <w:vMerge w:val="continue"/>
                  <w:vAlign w:val="center"/>
                </w:tcPr>
                <w:p>
                  <w:pPr>
                    <w:pStyle w:val="106"/>
                    <w:jc w:val="center"/>
                    <w:rPr>
                      <w:rFonts w:ascii="Times New Roman" w:hAnsi="Times New Roman" w:cs="Times New Roman"/>
                      <w:b/>
                      <w:bCs/>
                      <w:color w:val="auto"/>
                      <w:sz w:val="21"/>
                      <w:szCs w:val="21"/>
                    </w:rPr>
                  </w:pPr>
                </w:p>
              </w:tc>
              <w:tc>
                <w:tcPr>
                  <w:tcW w:w="465" w:type="dxa"/>
                  <w:vAlign w:val="center"/>
                </w:tcPr>
                <w:p>
                  <w:pPr>
                    <w:pStyle w:val="106"/>
                    <w:jc w:val="center"/>
                    <w:rPr>
                      <w:rFonts w:ascii="Times New Roman" w:hAnsi="Times New Roman" w:cs="Times New Roman"/>
                      <w:b/>
                      <w:bCs/>
                      <w:color w:val="auto"/>
                      <w:sz w:val="21"/>
                      <w:szCs w:val="21"/>
                    </w:rPr>
                  </w:pPr>
                  <w:r>
                    <w:rPr>
                      <w:rFonts w:ascii="Times New Roman" w:hAnsi="Times New Roman" w:cs="Times New Roman"/>
                      <w:b/>
                      <w:bCs/>
                      <w:color w:val="auto"/>
                      <w:sz w:val="21"/>
                      <w:szCs w:val="21"/>
                    </w:rPr>
                    <w:t>治理效率/%</w:t>
                  </w:r>
                </w:p>
              </w:tc>
              <w:tc>
                <w:tcPr>
                  <w:tcW w:w="795" w:type="dxa"/>
                  <w:vAlign w:val="center"/>
                </w:tcPr>
                <w:p>
                  <w:pPr>
                    <w:pStyle w:val="106"/>
                    <w:jc w:val="center"/>
                    <w:rPr>
                      <w:rFonts w:ascii="Times New Roman" w:hAnsi="Times New Roman" w:cs="Times New Roman"/>
                      <w:b/>
                      <w:bCs/>
                      <w:color w:val="auto"/>
                      <w:sz w:val="21"/>
                      <w:szCs w:val="21"/>
                    </w:rPr>
                  </w:pPr>
                  <w:r>
                    <w:rPr>
                      <w:rFonts w:ascii="Times New Roman" w:hAnsi="Times New Roman" w:cs="Times New Roman"/>
                      <w:b/>
                      <w:bCs/>
                      <w:color w:val="auto"/>
                      <w:sz w:val="21"/>
                      <w:szCs w:val="21"/>
                    </w:rPr>
                    <w:t>是否为可行技术</w:t>
                  </w:r>
                </w:p>
              </w:tc>
              <w:tc>
                <w:tcPr>
                  <w:tcW w:w="677" w:type="dxa"/>
                  <w:vAlign w:val="center"/>
                </w:tcPr>
                <w:p>
                  <w:pPr>
                    <w:pStyle w:val="106"/>
                    <w:jc w:val="center"/>
                    <w:rPr>
                      <w:rFonts w:ascii="Times New Roman" w:hAnsi="Times New Roman" w:cs="Times New Roman"/>
                      <w:b/>
                      <w:bCs/>
                      <w:color w:val="auto"/>
                      <w:sz w:val="21"/>
                      <w:szCs w:val="21"/>
                    </w:rPr>
                  </w:pPr>
                  <w:r>
                    <w:rPr>
                      <w:rFonts w:ascii="Times New Roman" w:hAnsi="Times New Roman" w:cs="Times New Roman"/>
                      <w:b/>
                      <w:bCs/>
                      <w:color w:val="auto"/>
                      <w:sz w:val="21"/>
                      <w:szCs w:val="21"/>
                    </w:rPr>
                    <w:t>废水排放量（t/a）</w:t>
                  </w:r>
                </w:p>
              </w:tc>
              <w:tc>
                <w:tcPr>
                  <w:tcW w:w="1001" w:type="dxa"/>
                  <w:vAlign w:val="center"/>
                </w:tcPr>
                <w:p>
                  <w:pPr>
                    <w:pStyle w:val="106"/>
                    <w:jc w:val="center"/>
                    <w:rPr>
                      <w:rFonts w:ascii="Times New Roman" w:hAnsi="Times New Roman" w:cs="Times New Roman"/>
                      <w:b/>
                      <w:bCs/>
                      <w:color w:val="auto"/>
                      <w:sz w:val="21"/>
                      <w:szCs w:val="21"/>
                    </w:rPr>
                  </w:pPr>
                  <w:r>
                    <w:rPr>
                      <w:rFonts w:ascii="Times New Roman" w:hAnsi="Times New Roman" w:cs="Times New Roman"/>
                      <w:b/>
                      <w:bCs/>
                      <w:color w:val="auto"/>
                      <w:sz w:val="21"/>
                      <w:szCs w:val="21"/>
                    </w:rPr>
                    <w:t>排放量（t/a）</w:t>
                  </w:r>
                </w:p>
              </w:tc>
              <w:tc>
                <w:tcPr>
                  <w:tcW w:w="737" w:type="dxa"/>
                  <w:vAlign w:val="center"/>
                </w:tcPr>
                <w:p>
                  <w:pPr>
                    <w:pStyle w:val="106"/>
                    <w:jc w:val="center"/>
                    <w:rPr>
                      <w:rFonts w:ascii="Times New Roman" w:hAnsi="Times New Roman" w:cs="Times New Roman"/>
                      <w:b/>
                      <w:bCs/>
                      <w:color w:val="auto"/>
                      <w:sz w:val="21"/>
                      <w:szCs w:val="21"/>
                    </w:rPr>
                  </w:pPr>
                  <w:r>
                    <w:rPr>
                      <w:rFonts w:ascii="Times New Roman" w:hAnsi="Times New Roman" w:cs="Times New Roman"/>
                      <w:b/>
                      <w:bCs/>
                      <w:color w:val="auto"/>
                      <w:sz w:val="21"/>
                      <w:szCs w:val="21"/>
                    </w:rPr>
                    <w:t>排放浓度（mg/L）</w:t>
                  </w:r>
                </w:p>
              </w:tc>
              <w:tc>
                <w:tcPr>
                  <w:tcW w:w="375" w:type="dxa"/>
                  <w:vMerge w:val="continue"/>
                  <w:vAlign w:val="center"/>
                </w:tcPr>
                <w:p>
                  <w:pPr>
                    <w:pStyle w:val="106"/>
                    <w:jc w:val="center"/>
                    <w:rPr>
                      <w:rFonts w:ascii="Times New Roman" w:hAnsi="Times New Roman" w:cs="Times New Roman"/>
                      <w:b/>
                      <w:bCs/>
                      <w:color w:val="auto"/>
                      <w:sz w:val="21"/>
                      <w:szCs w:val="21"/>
                    </w:rPr>
                  </w:pPr>
                </w:p>
              </w:tc>
              <w:tc>
                <w:tcPr>
                  <w:tcW w:w="705" w:type="dxa"/>
                  <w:vMerge w:val="continue"/>
                  <w:vAlign w:val="center"/>
                </w:tcPr>
                <w:p>
                  <w:pPr>
                    <w:pStyle w:val="106"/>
                    <w:jc w:val="center"/>
                    <w:rPr>
                      <w:rFonts w:ascii="Times New Roman" w:hAnsi="Times New Roman" w:cs="Times New Roman"/>
                      <w:b/>
                      <w:bCs/>
                      <w:color w:val="auto"/>
                      <w:sz w:val="21"/>
                      <w:szCs w:val="21"/>
                    </w:rPr>
                  </w:pPr>
                </w:p>
              </w:tc>
              <w:tc>
                <w:tcPr>
                  <w:tcW w:w="781" w:type="dxa"/>
                  <w:vMerge w:val="continue"/>
                  <w:vAlign w:val="center"/>
                </w:tcPr>
                <w:p>
                  <w:pPr>
                    <w:pStyle w:val="106"/>
                    <w:jc w:val="center"/>
                    <w:rPr>
                      <w:rFonts w:ascii="Times New Roman" w:hAnsi="Times New Roman" w:cs="Times New Roman"/>
                      <w:b/>
                      <w:bCs/>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6" w:type="dxa"/>
                  <w:vMerge w:val="restart"/>
                  <w:vAlign w:val="center"/>
                </w:tcPr>
                <w:p>
                  <w:pPr>
                    <w:pStyle w:val="106"/>
                    <w:jc w:val="center"/>
                    <w:rPr>
                      <w:rFonts w:ascii="Times New Roman" w:hAnsi="Times New Roman" w:cs="Times New Roman"/>
                      <w:color w:val="auto"/>
                      <w:sz w:val="21"/>
                      <w:szCs w:val="21"/>
                    </w:rPr>
                  </w:pPr>
                  <w:r>
                    <w:rPr>
                      <w:rFonts w:ascii="Times New Roman" w:hAnsi="Times New Roman" w:cs="Times New Roman"/>
                      <w:color w:val="auto"/>
                      <w:sz w:val="21"/>
                      <w:szCs w:val="21"/>
                    </w:rPr>
                    <w:t>生活污水</w:t>
                  </w:r>
                </w:p>
              </w:tc>
              <w:tc>
                <w:tcPr>
                  <w:tcW w:w="806" w:type="dxa"/>
                  <w:vAlign w:val="center"/>
                </w:tcPr>
                <w:p>
                  <w:pPr>
                    <w:pStyle w:val="106"/>
                    <w:jc w:val="center"/>
                    <w:rPr>
                      <w:rFonts w:ascii="Times New Roman" w:hAnsi="Times New Roman" w:cs="Times New Roman"/>
                      <w:color w:val="auto"/>
                      <w:sz w:val="21"/>
                      <w:szCs w:val="21"/>
                    </w:rPr>
                  </w:pPr>
                  <w:r>
                    <w:rPr>
                      <w:rFonts w:ascii="Times New Roman" w:hAnsi="Times New Roman" w:cs="Times New Roman"/>
                      <w:color w:val="auto"/>
                      <w:sz w:val="21"/>
                      <w:szCs w:val="21"/>
                    </w:rPr>
                    <w:t>COD</w:t>
                  </w:r>
                  <w:r>
                    <w:rPr>
                      <w:rFonts w:ascii="Times New Roman" w:hAnsi="Times New Roman" w:cs="Times New Roman"/>
                      <w:color w:val="auto"/>
                      <w:sz w:val="21"/>
                      <w:szCs w:val="21"/>
                      <w:vertAlign w:val="subscript"/>
                    </w:rPr>
                    <w:t>Cr</w:t>
                  </w:r>
                </w:p>
              </w:tc>
              <w:tc>
                <w:tcPr>
                  <w:tcW w:w="896" w:type="dxa"/>
                  <w:vAlign w:val="center"/>
                </w:tcPr>
                <w:p>
                  <w:pPr>
                    <w:pStyle w:val="106"/>
                    <w:jc w:val="center"/>
                    <w:rPr>
                      <w:rFonts w:ascii="Times New Roman" w:hAnsi="Times New Roman" w:cs="Times New Roman"/>
                      <w:color w:val="auto"/>
                      <w:sz w:val="21"/>
                      <w:szCs w:val="21"/>
                    </w:rPr>
                  </w:pPr>
                  <w:r>
                    <w:rPr>
                      <w:rFonts w:hint="eastAsia" w:ascii="Times New Roman" w:hAnsi="Times New Roman" w:cs="Times New Roman"/>
                      <w:color w:val="auto"/>
                      <w:sz w:val="21"/>
                      <w:szCs w:val="21"/>
                    </w:rPr>
                    <w:t>0.6804</w:t>
                  </w:r>
                </w:p>
              </w:tc>
              <w:tc>
                <w:tcPr>
                  <w:tcW w:w="927" w:type="dxa"/>
                  <w:vAlign w:val="center"/>
                </w:tcPr>
                <w:p>
                  <w:pPr>
                    <w:pStyle w:val="106"/>
                    <w:jc w:val="center"/>
                    <w:rPr>
                      <w:rFonts w:ascii="Times New Roman" w:hAnsi="Times New Roman" w:cs="Times New Roman"/>
                      <w:color w:val="auto"/>
                      <w:sz w:val="21"/>
                      <w:szCs w:val="21"/>
                    </w:rPr>
                  </w:pPr>
                  <w:r>
                    <w:rPr>
                      <w:rFonts w:ascii="Times New Roman" w:hAnsi="Times New Roman" w:cs="Times New Roman"/>
                      <w:color w:val="auto"/>
                      <w:sz w:val="21"/>
                      <w:szCs w:val="21"/>
                    </w:rPr>
                    <w:t>280</w:t>
                  </w:r>
                </w:p>
              </w:tc>
              <w:tc>
                <w:tcPr>
                  <w:tcW w:w="720" w:type="dxa"/>
                  <w:vMerge w:val="restart"/>
                  <w:vAlign w:val="center"/>
                </w:tcPr>
                <w:p>
                  <w:pPr>
                    <w:pStyle w:val="106"/>
                    <w:jc w:val="center"/>
                    <w:rPr>
                      <w:rFonts w:ascii="Times New Roman" w:hAnsi="Times New Roman" w:cs="Times New Roman"/>
                      <w:color w:val="auto"/>
                      <w:sz w:val="21"/>
                      <w:szCs w:val="21"/>
                    </w:rPr>
                  </w:pPr>
                  <w:r>
                    <w:rPr>
                      <w:rFonts w:hint="eastAsia" w:ascii="Times New Roman" w:hAnsi="Times New Roman" w:cs="Times New Roman"/>
                      <w:color w:val="auto"/>
                      <w:sz w:val="21"/>
                      <w:szCs w:val="21"/>
                    </w:rPr>
                    <w:t>隔油隔渣池、</w:t>
                  </w:r>
                  <w:r>
                    <w:rPr>
                      <w:rFonts w:ascii="Times New Roman" w:hAnsi="Times New Roman" w:cs="Times New Roman"/>
                      <w:color w:val="auto"/>
                      <w:sz w:val="21"/>
                      <w:szCs w:val="21"/>
                    </w:rPr>
                    <w:t>三级化粪池</w:t>
                  </w:r>
                </w:p>
              </w:tc>
              <w:tc>
                <w:tcPr>
                  <w:tcW w:w="465" w:type="dxa"/>
                  <w:vMerge w:val="restart"/>
                  <w:vAlign w:val="center"/>
                </w:tcPr>
                <w:p>
                  <w:pPr>
                    <w:pStyle w:val="106"/>
                    <w:jc w:val="center"/>
                    <w:rPr>
                      <w:rFonts w:ascii="Times New Roman" w:hAnsi="Times New Roman" w:cs="Times New Roman"/>
                      <w:color w:val="auto"/>
                      <w:sz w:val="21"/>
                      <w:szCs w:val="21"/>
                    </w:rPr>
                  </w:pPr>
                  <w:r>
                    <w:rPr>
                      <w:rFonts w:ascii="Times New Roman" w:hAnsi="Times New Roman" w:cs="Times New Roman"/>
                      <w:color w:val="auto"/>
                      <w:sz w:val="21"/>
                      <w:szCs w:val="21"/>
                    </w:rPr>
                    <w:t>/</w:t>
                  </w:r>
                </w:p>
              </w:tc>
              <w:tc>
                <w:tcPr>
                  <w:tcW w:w="795" w:type="dxa"/>
                  <w:vMerge w:val="restart"/>
                  <w:vAlign w:val="center"/>
                </w:tcPr>
                <w:p>
                  <w:pPr>
                    <w:pStyle w:val="106"/>
                    <w:jc w:val="center"/>
                    <w:rPr>
                      <w:rFonts w:ascii="Times New Roman" w:hAnsi="Times New Roman" w:cs="Times New Roman"/>
                      <w:color w:val="auto"/>
                      <w:sz w:val="21"/>
                      <w:szCs w:val="21"/>
                    </w:rPr>
                  </w:pPr>
                  <w:r>
                    <w:rPr>
                      <w:rFonts w:ascii="Times New Roman" w:hAnsi="Times New Roman" w:cs="Times New Roman"/>
                      <w:color w:val="auto"/>
                      <w:sz w:val="21"/>
                      <w:szCs w:val="21"/>
                    </w:rPr>
                    <w:t>是</w:t>
                  </w:r>
                </w:p>
              </w:tc>
              <w:tc>
                <w:tcPr>
                  <w:tcW w:w="677" w:type="dxa"/>
                  <w:vMerge w:val="restart"/>
                  <w:vAlign w:val="center"/>
                </w:tcPr>
                <w:p>
                  <w:pPr>
                    <w:pStyle w:val="106"/>
                    <w:jc w:val="center"/>
                    <w:rPr>
                      <w:rFonts w:ascii="Times New Roman" w:hAnsi="Times New Roman" w:cs="Times New Roman"/>
                      <w:color w:val="auto"/>
                      <w:sz w:val="21"/>
                      <w:szCs w:val="21"/>
                    </w:rPr>
                  </w:pPr>
                  <w:r>
                    <w:rPr>
                      <w:rFonts w:hint="eastAsia" w:ascii="Times New Roman" w:hAnsi="Times New Roman" w:cs="Times New Roman"/>
                      <w:color w:val="auto"/>
                      <w:sz w:val="21"/>
                      <w:szCs w:val="21"/>
                    </w:rPr>
                    <w:t>2430</w:t>
                  </w:r>
                </w:p>
              </w:tc>
              <w:tc>
                <w:tcPr>
                  <w:tcW w:w="1001" w:type="dxa"/>
                  <w:vAlign w:val="center"/>
                </w:tcPr>
                <w:p>
                  <w:pPr>
                    <w:jc w:val="center"/>
                    <w:rPr>
                      <w:color w:val="auto"/>
                    </w:rPr>
                  </w:pPr>
                  <w:r>
                    <w:rPr>
                      <w:rFonts w:hint="eastAsia"/>
                      <w:color w:val="auto"/>
                    </w:rPr>
                    <w:t>0.0972</w:t>
                  </w:r>
                </w:p>
              </w:tc>
              <w:tc>
                <w:tcPr>
                  <w:tcW w:w="737" w:type="dxa"/>
                  <w:vAlign w:val="center"/>
                </w:tcPr>
                <w:p>
                  <w:pPr>
                    <w:pStyle w:val="106"/>
                    <w:jc w:val="center"/>
                    <w:rPr>
                      <w:rFonts w:ascii="Times New Roman" w:hAnsi="Times New Roman" w:cs="Times New Roman"/>
                      <w:color w:val="auto"/>
                      <w:sz w:val="21"/>
                      <w:szCs w:val="21"/>
                    </w:rPr>
                  </w:pPr>
                  <w:r>
                    <w:rPr>
                      <w:rFonts w:ascii="Times New Roman" w:hAnsi="Times New Roman" w:cs="Times New Roman"/>
                      <w:color w:val="auto"/>
                      <w:sz w:val="21"/>
                      <w:szCs w:val="21"/>
                    </w:rPr>
                    <w:t>40</w:t>
                  </w:r>
                </w:p>
              </w:tc>
              <w:tc>
                <w:tcPr>
                  <w:tcW w:w="375" w:type="dxa"/>
                  <w:vMerge w:val="restart"/>
                  <w:vAlign w:val="center"/>
                </w:tcPr>
                <w:p>
                  <w:pPr>
                    <w:pStyle w:val="106"/>
                    <w:jc w:val="center"/>
                    <w:rPr>
                      <w:rFonts w:ascii="Times New Roman" w:hAnsi="Times New Roman" w:cs="Times New Roman"/>
                      <w:color w:val="auto"/>
                      <w:sz w:val="21"/>
                      <w:szCs w:val="21"/>
                    </w:rPr>
                  </w:pPr>
                  <w:r>
                    <w:rPr>
                      <w:rFonts w:ascii="Times New Roman" w:hAnsi="Times New Roman" w:cs="Times New Roman"/>
                      <w:color w:val="auto"/>
                      <w:sz w:val="21"/>
                      <w:szCs w:val="21"/>
                    </w:rPr>
                    <w:t>间接排放</w:t>
                  </w:r>
                </w:p>
              </w:tc>
              <w:tc>
                <w:tcPr>
                  <w:tcW w:w="705" w:type="dxa"/>
                  <w:vMerge w:val="restart"/>
                  <w:vAlign w:val="center"/>
                </w:tcPr>
                <w:p>
                  <w:pPr>
                    <w:pStyle w:val="106"/>
                    <w:jc w:val="center"/>
                    <w:rPr>
                      <w:rFonts w:ascii="Times New Roman" w:hAnsi="Times New Roman" w:cs="Times New Roman"/>
                      <w:color w:val="auto"/>
                      <w:sz w:val="21"/>
                      <w:szCs w:val="21"/>
                    </w:rPr>
                  </w:pPr>
                  <w:r>
                    <w:rPr>
                      <w:rFonts w:hint="eastAsia" w:ascii="Times New Roman" w:hAnsi="Times New Roman" w:cs="Times New Roman"/>
                      <w:color w:val="auto"/>
                      <w:sz w:val="21"/>
                      <w:szCs w:val="21"/>
                    </w:rPr>
                    <w:t>杨侨镇生活污水处理厂</w:t>
                  </w:r>
                </w:p>
              </w:tc>
              <w:tc>
                <w:tcPr>
                  <w:tcW w:w="781" w:type="dxa"/>
                  <w:vMerge w:val="restart"/>
                  <w:vAlign w:val="center"/>
                </w:tcPr>
                <w:p>
                  <w:pPr>
                    <w:pStyle w:val="106"/>
                    <w:jc w:val="center"/>
                    <w:rPr>
                      <w:rFonts w:ascii="Times New Roman" w:hAnsi="Times New Roman" w:cs="Times New Roman"/>
                      <w:color w:val="auto"/>
                      <w:sz w:val="21"/>
                      <w:szCs w:val="21"/>
                    </w:rPr>
                  </w:pPr>
                  <w:r>
                    <w:rPr>
                      <w:rFonts w:ascii="Times New Roman" w:hAnsi="Times New Roman" w:cs="Times New Roman"/>
                      <w:color w:val="auto"/>
                      <w:sz w:val="21"/>
                      <w:szCs w:val="21"/>
                    </w:rPr>
                    <w:t>间段排放、排放期间流量稳定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6" w:type="dxa"/>
                  <w:vMerge w:val="continue"/>
                  <w:vAlign w:val="center"/>
                </w:tcPr>
                <w:p>
                  <w:pPr>
                    <w:pStyle w:val="106"/>
                    <w:jc w:val="center"/>
                    <w:rPr>
                      <w:rFonts w:ascii="Times New Roman" w:hAnsi="Times New Roman" w:cs="Times New Roman"/>
                      <w:color w:val="auto"/>
                      <w:sz w:val="21"/>
                      <w:szCs w:val="21"/>
                    </w:rPr>
                  </w:pPr>
                </w:p>
              </w:tc>
              <w:tc>
                <w:tcPr>
                  <w:tcW w:w="806" w:type="dxa"/>
                  <w:vAlign w:val="center"/>
                </w:tcPr>
                <w:p>
                  <w:pPr>
                    <w:pStyle w:val="106"/>
                    <w:jc w:val="center"/>
                    <w:rPr>
                      <w:rFonts w:ascii="Times New Roman" w:hAnsi="Times New Roman" w:cs="Times New Roman"/>
                      <w:color w:val="auto"/>
                      <w:sz w:val="21"/>
                      <w:szCs w:val="21"/>
                    </w:rPr>
                  </w:pPr>
                  <w:r>
                    <w:rPr>
                      <w:rFonts w:ascii="Times New Roman" w:hAnsi="Times New Roman" w:cs="Times New Roman"/>
                      <w:color w:val="auto"/>
                      <w:sz w:val="21"/>
                      <w:szCs w:val="21"/>
                    </w:rPr>
                    <w:t>BOD</w:t>
                  </w:r>
                  <w:r>
                    <w:rPr>
                      <w:rFonts w:ascii="Times New Roman" w:hAnsi="Times New Roman" w:cs="Times New Roman"/>
                      <w:color w:val="auto"/>
                      <w:sz w:val="21"/>
                      <w:szCs w:val="21"/>
                      <w:vertAlign w:val="subscript"/>
                    </w:rPr>
                    <w:t>5</w:t>
                  </w:r>
                </w:p>
              </w:tc>
              <w:tc>
                <w:tcPr>
                  <w:tcW w:w="896" w:type="dxa"/>
                  <w:vAlign w:val="center"/>
                </w:tcPr>
                <w:p>
                  <w:pPr>
                    <w:pStyle w:val="106"/>
                    <w:jc w:val="center"/>
                    <w:rPr>
                      <w:rFonts w:ascii="Times New Roman" w:hAnsi="Times New Roman" w:cs="Times New Roman"/>
                      <w:color w:val="auto"/>
                      <w:sz w:val="21"/>
                      <w:szCs w:val="21"/>
                    </w:rPr>
                  </w:pPr>
                  <w:r>
                    <w:rPr>
                      <w:rFonts w:hint="eastAsia" w:ascii="Times New Roman" w:hAnsi="Times New Roman" w:cs="Times New Roman"/>
                      <w:color w:val="auto"/>
                      <w:sz w:val="21"/>
                      <w:szCs w:val="21"/>
                    </w:rPr>
                    <w:t>0.486</w:t>
                  </w:r>
                </w:p>
              </w:tc>
              <w:tc>
                <w:tcPr>
                  <w:tcW w:w="927" w:type="dxa"/>
                  <w:vAlign w:val="center"/>
                </w:tcPr>
                <w:p>
                  <w:pPr>
                    <w:pStyle w:val="106"/>
                    <w:jc w:val="center"/>
                    <w:rPr>
                      <w:rFonts w:ascii="Times New Roman" w:hAnsi="Times New Roman" w:cs="Times New Roman"/>
                      <w:color w:val="auto"/>
                      <w:sz w:val="21"/>
                      <w:szCs w:val="21"/>
                    </w:rPr>
                  </w:pPr>
                  <w:r>
                    <w:rPr>
                      <w:rFonts w:ascii="Times New Roman" w:hAnsi="Times New Roman" w:cs="Times New Roman"/>
                      <w:color w:val="auto"/>
                      <w:sz w:val="21"/>
                      <w:szCs w:val="21"/>
                    </w:rPr>
                    <w:t>200</w:t>
                  </w:r>
                </w:p>
              </w:tc>
              <w:tc>
                <w:tcPr>
                  <w:tcW w:w="720" w:type="dxa"/>
                  <w:vMerge w:val="continue"/>
                  <w:vAlign w:val="center"/>
                </w:tcPr>
                <w:p>
                  <w:pPr>
                    <w:pStyle w:val="106"/>
                    <w:jc w:val="center"/>
                    <w:rPr>
                      <w:rFonts w:ascii="Times New Roman" w:hAnsi="Times New Roman" w:cs="Times New Roman"/>
                      <w:color w:val="auto"/>
                      <w:sz w:val="21"/>
                      <w:szCs w:val="21"/>
                    </w:rPr>
                  </w:pPr>
                </w:p>
              </w:tc>
              <w:tc>
                <w:tcPr>
                  <w:tcW w:w="465" w:type="dxa"/>
                  <w:vMerge w:val="continue"/>
                  <w:vAlign w:val="center"/>
                </w:tcPr>
                <w:p>
                  <w:pPr>
                    <w:pStyle w:val="106"/>
                    <w:jc w:val="center"/>
                    <w:rPr>
                      <w:rFonts w:ascii="Times New Roman" w:hAnsi="Times New Roman" w:cs="Times New Roman"/>
                      <w:color w:val="auto"/>
                      <w:sz w:val="21"/>
                      <w:szCs w:val="21"/>
                    </w:rPr>
                  </w:pPr>
                </w:p>
              </w:tc>
              <w:tc>
                <w:tcPr>
                  <w:tcW w:w="795" w:type="dxa"/>
                  <w:vMerge w:val="continue"/>
                  <w:vAlign w:val="center"/>
                </w:tcPr>
                <w:p>
                  <w:pPr>
                    <w:pStyle w:val="106"/>
                    <w:jc w:val="center"/>
                    <w:rPr>
                      <w:rFonts w:ascii="Times New Roman" w:hAnsi="Times New Roman" w:cs="Times New Roman"/>
                      <w:color w:val="auto"/>
                      <w:sz w:val="21"/>
                      <w:szCs w:val="21"/>
                    </w:rPr>
                  </w:pPr>
                </w:p>
              </w:tc>
              <w:tc>
                <w:tcPr>
                  <w:tcW w:w="677" w:type="dxa"/>
                  <w:vMerge w:val="continue"/>
                  <w:vAlign w:val="center"/>
                </w:tcPr>
                <w:p>
                  <w:pPr>
                    <w:pStyle w:val="106"/>
                    <w:jc w:val="center"/>
                    <w:rPr>
                      <w:rFonts w:ascii="Times New Roman" w:hAnsi="Times New Roman" w:cs="Times New Roman"/>
                      <w:color w:val="auto"/>
                      <w:sz w:val="21"/>
                      <w:szCs w:val="21"/>
                    </w:rPr>
                  </w:pPr>
                </w:p>
              </w:tc>
              <w:tc>
                <w:tcPr>
                  <w:tcW w:w="1001" w:type="dxa"/>
                  <w:vAlign w:val="center"/>
                </w:tcPr>
                <w:p>
                  <w:pPr>
                    <w:jc w:val="center"/>
                    <w:rPr>
                      <w:color w:val="auto"/>
                    </w:rPr>
                  </w:pPr>
                  <w:r>
                    <w:rPr>
                      <w:rFonts w:hint="eastAsia"/>
                      <w:color w:val="auto"/>
                    </w:rPr>
                    <w:t>0.0243</w:t>
                  </w:r>
                </w:p>
              </w:tc>
              <w:tc>
                <w:tcPr>
                  <w:tcW w:w="737" w:type="dxa"/>
                  <w:vAlign w:val="center"/>
                </w:tcPr>
                <w:p>
                  <w:pPr>
                    <w:pStyle w:val="106"/>
                    <w:jc w:val="center"/>
                    <w:rPr>
                      <w:rFonts w:ascii="Times New Roman" w:hAnsi="Times New Roman" w:cs="Times New Roman"/>
                      <w:color w:val="auto"/>
                      <w:sz w:val="21"/>
                      <w:szCs w:val="21"/>
                    </w:rPr>
                  </w:pPr>
                  <w:r>
                    <w:rPr>
                      <w:rFonts w:ascii="Times New Roman" w:hAnsi="Times New Roman" w:cs="Times New Roman"/>
                      <w:color w:val="auto"/>
                      <w:sz w:val="21"/>
                      <w:szCs w:val="21"/>
                    </w:rPr>
                    <w:t>10</w:t>
                  </w:r>
                </w:p>
              </w:tc>
              <w:tc>
                <w:tcPr>
                  <w:tcW w:w="375" w:type="dxa"/>
                  <w:vMerge w:val="continue"/>
                  <w:vAlign w:val="center"/>
                </w:tcPr>
                <w:p>
                  <w:pPr>
                    <w:pStyle w:val="106"/>
                    <w:jc w:val="center"/>
                    <w:rPr>
                      <w:rFonts w:ascii="Times New Roman" w:hAnsi="Times New Roman" w:cs="Times New Roman"/>
                      <w:color w:val="auto"/>
                      <w:sz w:val="21"/>
                      <w:szCs w:val="21"/>
                    </w:rPr>
                  </w:pPr>
                </w:p>
              </w:tc>
              <w:tc>
                <w:tcPr>
                  <w:tcW w:w="705" w:type="dxa"/>
                  <w:vMerge w:val="continue"/>
                  <w:vAlign w:val="center"/>
                </w:tcPr>
                <w:p>
                  <w:pPr>
                    <w:pStyle w:val="106"/>
                    <w:jc w:val="center"/>
                    <w:rPr>
                      <w:rFonts w:ascii="Times New Roman" w:hAnsi="Times New Roman" w:cs="Times New Roman"/>
                      <w:color w:val="auto"/>
                      <w:sz w:val="21"/>
                      <w:szCs w:val="21"/>
                    </w:rPr>
                  </w:pPr>
                </w:p>
              </w:tc>
              <w:tc>
                <w:tcPr>
                  <w:tcW w:w="781" w:type="dxa"/>
                  <w:vMerge w:val="continue"/>
                  <w:vAlign w:val="center"/>
                </w:tcPr>
                <w:p>
                  <w:pPr>
                    <w:pStyle w:val="106"/>
                    <w:jc w:val="center"/>
                    <w:rPr>
                      <w:rFonts w:ascii="Times New Roman" w:hAnsi="Times New Roman"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6" w:type="dxa"/>
                  <w:vMerge w:val="continue"/>
                  <w:vAlign w:val="center"/>
                </w:tcPr>
                <w:p>
                  <w:pPr>
                    <w:pStyle w:val="106"/>
                    <w:jc w:val="center"/>
                    <w:rPr>
                      <w:rFonts w:ascii="Times New Roman" w:hAnsi="Times New Roman" w:cs="Times New Roman"/>
                      <w:color w:val="auto"/>
                      <w:sz w:val="21"/>
                      <w:szCs w:val="21"/>
                    </w:rPr>
                  </w:pPr>
                </w:p>
              </w:tc>
              <w:tc>
                <w:tcPr>
                  <w:tcW w:w="806" w:type="dxa"/>
                  <w:vAlign w:val="center"/>
                </w:tcPr>
                <w:p>
                  <w:pPr>
                    <w:pStyle w:val="106"/>
                    <w:jc w:val="center"/>
                    <w:rPr>
                      <w:rFonts w:ascii="Times New Roman" w:hAnsi="Times New Roman" w:cs="Times New Roman"/>
                      <w:color w:val="auto"/>
                      <w:sz w:val="21"/>
                      <w:szCs w:val="21"/>
                    </w:rPr>
                  </w:pPr>
                  <w:r>
                    <w:rPr>
                      <w:rFonts w:ascii="Times New Roman" w:hAnsi="Times New Roman" w:cs="Times New Roman"/>
                      <w:color w:val="auto"/>
                      <w:sz w:val="21"/>
                      <w:szCs w:val="21"/>
                    </w:rPr>
                    <w:t>SS</w:t>
                  </w:r>
                </w:p>
              </w:tc>
              <w:tc>
                <w:tcPr>
                  <w:tcW w:w="896" w:type="dxa"/>
                  <w:vAlign w:val="center"/>
                </w:tcPr>
                <w:p>
                  <w:pPr>
                    <w:pStyle w:val="106"/>
                    <w:jc w:val="center"/>
                    <w:rPr>
                      <w:rFonts w:ascii="Times New Roman" w:hAnsi="Times New Roman" w:cs="Times New Roman"/>
                      <w:color w:val="auto"/>
                      <w:sz w:val="21"/>
                      <w:szCs w:val="21"/>
                    </w:rPr>
                  </w:pPr>
                  <w:r>
                    <w:rPr>
                      <w:rFonts w:hint="eastAsia" w:ascii="Times New Roman" w:hAnsi="Times New Roman" w:cs="Times New Roman"/>
                      <w:color w:val="auto"/>
                      <w:sz w:val="21"/>
                      <w:szCs w:val="21"/>
                    </w:rPr>
                    <w:t>0.486</w:t>
                  </w:r>
                </w:p>
              </w:tc>
              <w:tc>
                <w:tcPr>
                  <w:tcW w:w="927" w:type="dxa"/>
                  <w:vAlign w:val="center"/>
                </w:tcPr>
                <w:p>
                  <w:pPr>
                    <w:pStyle w:val="106"/>
                    <w:jc w:val="center"/>
                    <w:rPr>
                      <w:rFonts w:ascii="Times New Roman" w:hAnsi="Times New Roman" w:cs="Times New Roman"/>
                      <w:color w:val="auto"/>
                      <w:sz w:val="21"/>
                      <w:szCs w:val="21"/>
                    </w:rPr>
                  </w:pPr>
                  <w:r>
                    <w:rPr>
                      <w:rFonts w:ascii="Times New Roman" w:hAnsi="Times New Roman" w:cs="Times New Roman"/>
                      <w:color w:val="auto"/>
                      <w:sz w:val="21"/>
                      <w:szCs w:val="21"/>
                    </w:rPr>
                    <w:t>200</w:t>
                  </w:r>
                </w:p>
              </w:tc>
              <w:tc>
                <w:tcPr>
                  <w:tcW w:w="720" w:type="dxa"/>
                  <w:vMerge w:val="continue"/>
                  <w:vAlign w:val="center"/>
                </w:tcPr>
                <w:p>
                  <w:pPr>
                    <w:pStyle w:val="106"/>
                    <w:jc w:val="center"/>
                    <w:rPr>
                      <w:rFonts w:ascii="Times New Roman" w:hAnsi="Times New Roman" w:cs="Times New Roman"/>
                      <w:color w:val="auto"/>
                      <w:sz w:val="21"/>
                      <w:szCs w:val="21"/>
                    </w:rPr>
                  </w:pPr>
                </w:p>
              </w:tc>
              <w:tc>
                <w:tcPr>
                  <w:tcW w:w="465" w:type="dxa"/>
                  <w:vMerge w:val="continue"/>
                  <w:vAlign w:val="center"/>
                </w:tcPr>
                <w:p>
                  <w:pPr>
                    <w:pStyle w:val="106"/>
                    <w:jc w:val="center"/>
                    <w:rPr>
                      <w:rFonts w:ascii="Times New Roman" w:hAnsi="Times New Roman" w:cs="Times New Roman"/>
                      <w:color w:val="auto"/>
                      <w:sz w:val="21"/>
                      <w:szCs w:val="21"/>
                    </w:rPr>
                  </w:pPr>
                </w:p>
              </w:tc>
              <w:tc>
                <w:tcPr>
                  <w:tcW w:w="795" w:type="dxa"/>
                  <w:vMerge w:val="continue"/>
                  <w:vAlign w:val="center"/>
                </w:tcPr>
                <w:p>
                  <w:pPr>
                    <w:pStyle w:val="106"/>
                    <w:jc w:val="center"/>
                    <w:rPr>
                      <w:rFonts w:ascii="Times New Roman" w:hAnsi="Times New Roman" w:cs="Times New Roman"/>
                      <w:color w:val="auto"/>
                      <w:sz w:val="21"/>
                      <w:szCs w:val="21"/>
                    </w:rPr>
                  </w:pPr>
                </w:p>
              </w:tc>
              <w:tc>
                <w:tcPr>
                  <w:tcW w:w="677" w:type="dxa"/>
                  <w:vMerge w:val="continue"/>
                  <w:vAlign w:val="center"/>
                </w:tcPr>
                <w:p>
                  <w:pPr>
                    <w:pStyle w:val="106"/>
                    <w:jc w:val="center"/>
                    <w:rPr>
                      <w:rFonts w:ascii="Times New Roman" w:hAnsi="Times New Roman" w:cs="Times New Roman"/>
                      <w:color w:val="auto"/>
                      <w:sz w:val="21"/>
                      <w:szCs w:val="21"/>
                    </w:rPr>
                  </w:pPr>
                </w:p>
              </w:tc>
              <w:tc>
                <w:tcPr>
                  <w:tcW w:w="1001" w:type="dxa"/>
                  <w:vAlign w:val="center"/>
                </w:tcPr>
                <w:p>
                  <w:pPr>
                    <w:jc w:val="center"/>
                    <w:rPr>
                      <w:color w:val="auto"/>
                    </w:rPr>
                  </w:pPr>
                  <w:r>
                    <w:rPr>
                      <w:rFonts w:hint="eastAsia"/>
                      <w:color w:val="auto"/>
                    </w:rPr>
                    <w:t>0.0243</w:t>
                  </w:r>
                </w:p>
              </w:tc>
              <w:tc>
                <w:tcPr>
                  <w:tcW w:w="737" w:type="dxa"/>
                  <w:vAlign w:val="center"/>
                </w:tcPr>
                <w:p>
                  <w:pPr>
                    <w:pStyle w:val="106"/>
                    <w:jc w:val="center"/>
                    <w:rPr>
                      <w:rFonts w:ascii="Times New Roman" w:hAnsi="Times New Roman" w:cs="Times New Roman"/>
                      <w:color w:val="auto"/>
                      <w:sz w:val="21"/>
                      <w:szCs w:val="21"/>
                    </w:rPr>
                  </w:pPr>
                  <w:r>
                    <w:rPr>
                      <w:rFonts w:ascii="Times New Roman" w:hAnsi="Times New Roman" w:cs="Times New Roman"/>
                      <w:color w:val="auto"/>
                      <w:sz w:val="21"/>
                      <w:szCs w:val="21"/>
                    </w:rPr>
                    <w:t>10</w:t>
                  </w:r>
                </w:p>
              </w:tc>
              <w:tc>
                <w:tcPr>
                  <w:tcW w:w="375" w:type="dxa"/>
                  <w:vMerge w:val="continue"/>
                  <w:vAlign w:val="center"/>
                </w:tcPr>
                <w:p>
                  <w:pPr>
                    <w:pStyle w:val="106"/>
                    <w:jc w:val="center"/>
                    <w:rPr>
                      <w:rFonts w:ascii="Times New Roman" w:hAnsi="Times New Roman" w:cs="Times New Roman"/>
                      <w:color w:val="auto"/>
                      <w:sz w:val="21"/>
                      <w:szCs w:val="21"/>
                    </w:rPr>
                  </w:pPr>
                </w:p>
              </w:tc>
              <w:tc>
                <w:tcPr>
                  <w:tcW w:w="705" w:type="dxa"/>
                  <w:vMerge w:val="continue"/>
                  <w:vAlign w:val="center"/>
                </w:tcPr>
                <w:p>
                  <w:pPr>
                    <w:pStyle w:val="106"/>
                    <w:jc w:val="center"/>
                    <w:rPr>
                      <w:rFonts w:ascii="Times New Roman" w:hAnsi="Times New Roman" w:cs="Times New Roman"/>
                      <w:color w:val="auto"/>
                      <w:sz w:val="21"/>
                      <w:szCs w:val="21"/>
                    </w:rPr>
                  </w:pPr>
                </w:p>
              </w:tc>
              <w:tc>
                <w:tcPr>
                  <w:tcW w:w="781" w:type="dxa"/>
                  <w:vMerge w:val="continue"/>
                  <w:vAlign w:val="center"/>
                </w:tcPr>
                <w:p>
                  <w:pPr>
                    <w:pStyle w:val="106"/>
                    <w:jc w:val="center"/>
                    <w:rPr>
                      <w:rFonts w:ascii="Times New Roman" w:hAnsi="Times New Roman"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6" w:type="dxa"/>
                  <w:vMerge w:val="continue"/>
                  <w:vAlign w:val="center"/>
                </w:tcPr>
                <w:p>
                  <w:pPr>
                    <w:pStyle w:val="106"/>
                    <w:jc w:val="center"/>
                    <w:rPr>
                      <w:rFonts w:ascii="Times New Roman" w:hAnsi="Times New Roman" w:cs="Times New Roman"/>
                      <w:color w:val="auto"/>
                      <w:sz w:val="21"/>
                      <w:szCs w:val="21"/>
                    </w:rPr>
                  </w:pPr>
                </w:p>
              </w:tc>
              <w:tc>
                <w:tcPr>
                  <w:tcW w:w="806" w:type="dxa"/>
                  <w:vAlign w:val="center"/>
                </w:tcPr>
                <w:p>
                  <w:pPr>
                    <w:pStyle w:val="106"/>
                    <w:jc w:val="center"/>
                    <w:rPr>
                      <w:rFonts w:ascii="Times New Roman" w:hAnsi="Times New Roman" w:cs="Times New Roman"/>
                      <w:color w:val="auto"/>
                      <w:sz w:val="21"/>
                      <w:szCs w:val="21"/>
                    </w:rPr>
                  </w:pPr>
                  <w:r>
                    <w:rPr>
                      <w:rFonts w:ascii="Times New Roman" w:hAnsi="Times New Roman" w:cs="Times New Roman"/>
                      <w:color w:val="auto"/>
                      <w:sz w:val="21"/>
                      <w:szCs w:val="21"/>
                    </w:rPr>
                    <w:t>NH</w:t>
                  </w:r>
                  <w:r>
                    <w:rPr>
                      <w:rFonts w:ascii="Times New Roman" w:hAnsi="Times New Roman" w:cs="Times New Roman"/>
                      <w:color w:val="auto"/>
                      <w:sz w:val="21"/>
                      <w:szCs w:val="21"/>
                      <w:vertAlign w:val="subscript"/>
                    </w:rPr>
                    <w:t>3</w:t>
                  </w:r>
                  <w:r>
                    <w:rPr>
                      <w:rFonts w:ascii="Times New Roman" w:hAnsi="Times New Roman" w:cs="Times New Roman"/>
                      <w:color w:val="auto"/>
                      <w:sz w:val="21"/>
                      <w:szCs w:val="21"/>
                    </w:rPr>
                    <w:t>-N</w:t>
                  </w:r>
                </w:p>
              </w:tc>
              <w:tc>
                <w:tcPr>
                  <w:tcW w:w="896" w:type="dxa"/>
                  <w:vAlign w:val="center"/>
                </w:tcPr>
                <w:p>
                  <w:pPr>
                    <w:pStyle w:val="106"/>
                    <w:jc w:val="center"/>
                    <w:rPr>
                      <w:rFonts w:ascii="Times New Roman" w:hAnsi="Times New Roman" w:cs="Times New Roman"/>
                      <w:color w:val="auto"/>
                      <w:sz w:val="21"/>
                      <w:szCs w:val="21"/>
                    </w:rPr>
                  </w:pPr>
                  <w:r>
                    <w:rPr>
                      <w:rFonts w:hint="eastAsia" w:ascii="Times New Roman" w:hAnsi="Times New Roman" w:cs="Times New Roman"/>
                      <w:color w:val="auto"/>
                      <w:sz w:val="21"/>
                      <w:szCs w:val="21"/>
                    </w:rPr>
                    <w:t>0.0729</w:t>
                  </w:r>
                </w:p>
              </w:tc>
              <w:tc>
                <w:tcPr>
                  <w:tcW w:w="927" w:type="dxa"/>
                  <w:vAlign w:val="center"/>
                </w:tcPr>
                <w:p>
                  <w:pPr>
                    <w:pStyle w:val="106"/>
                    <w:jc w:val="center"/>
                    <w:rPr>
                      <w:rFonts w:ascii="Times New Roman" w:hAnsi="Times New Roman" w:cs="Times New Roman"/>
                      <w:color w:val="auto"/>
                      <w:sz w:val="21"/>
                      <w:szCs w:val="21"/>
                    </w:rPr>
                  </w:pPr>
                  <w:r>
                    <w:rPr>
                      <w:rFonts w:ascii="Times New Roman" w:hAnsi="Times New Roman" w:cs="Times New Roman"/>
                      <w:color w:val="auto"/>
                      <w:sz w:val="21"/>
                      <w:szCs w:val="21"/>
                    </w:rPr>
                    <w:t>30</w:t>
                  </w:r>
                </w:p>
              </w:tc>
              <w:tc>
                <w:tcPr>
                  <w:tcW w:w="720" w:type="dxa"/>
                  <w:vMerge w:val="continue"/>
                  <w:vAlign w:val="center"/>
                </w:tcPr>
                <w:p>
                  <w:pPr>
                    <w:pStyle w:val="106"/>
                    <w:jc w:val="center"/>
                    <w:rPr>
                      <w:rFonts w:ascii="Times New Roman" w:hAnsi="Times New Roman" w:cs="Times New Roman"/>
                      <w:color w:val="auto"/>
                      <w:sz w:val="21"/>
                      <w:szCs w:val="21"/>
                    </w:rPr>
                  </w:pPr>
                </w:p>
              </w:tc>
              <w:tc>
                <w:tcPr>
                  <w:tcW w:w="465" w:type="dxa"/>
                  <w:vMerge w:val="continue"/>
                  <w:vAlign w:val="center"/>
                </w:tcPr>
                <w:p>
                  <w:pPr>
                    <w:pStyle w:val="106"/>
                    <w:jc w:val="center"/>
                    <w:rPr>
                      <w:rFonts w:ascii="Times New Roman" w:hAnsi="Times New Roman" w:cs="Times New Roman"/>
                      <w:color w:val="auto"/>
                      <w:sz w:val="21"/>
                      <w:szCs w:val="21"/>
                    </w:rPr>
                  </w:pPr>
                </w:p>
              </w:tc>
              <w:tc>
                <w:tcPr>
                  <w:tcW w:w="795" w:type="dxa"/>
                  <w:vMerge w:val="continue"/>
                  <w:vAlign w:val="center"/>
                </w:tcPr>
                <w:p>
                  <w:pPr>
                    <w:pStyle w:val="106"/>
                    <w:jc w:val="center"/>
                    <w:rPr>
                      <w:rFonts w:ascii="Times New Roman" w:hAnsi="Times New Roman" w:cs="Times New Roman"/>
                      <w:color w:val="auto"/>
                      <w:sz w:val="21"/>
                      <w:szCs w:val="21"/>
                    </w:rPr>
                  </w:pPr>
                </w:p>
              </w:tc>
              <w:tc>
                <w:tcPr>
                  <w:tcW w:w="677" w:type="dxa"/>
                  <w:vMerge w:val="continue"/>
                  <w:vAlign w:val="center"/>
                </w:tcPr>
                <w:p>
                  <w:pPr>
                    <w:pStyle w:val="106"/>
                    <w:jc w:val="center"/>
                    <w:rPr>
                      <w:rFonts w:ascii="Times New Roman" w:hAnsi="Times New Roman" w:cs="Times New Roman"/>
                      <w:color w:val="auto"/>
                      <w:sz w:val="21"/>
                      <w:szCs w:val="21"/>
                    </w:rPr>
                  </w:pPr>
                </w:p>
              </w:tc>
              <w:tc>
                <w:tcPr>
                  <w:tcW w:w="1001" w:type="dxa"/>
                  <w:vAlign w:val="center"/>
                </w:tcPr>
                <w:p>
                  <w:pPr>
                    <w:jc w:val="center"/>
                    <w:rPr>
                      <w:color w:val="auto"/>
                    </w:rPr>
                  </w:pPr>
                  <w:r>
                    <w:rPr>
                      <w:rFonts w:hint="eastAsia"/>
                      <w:color w:val="auto"/>
                    </w:rPr>
                    <w:t>0.00486</w:t>
                  </w:r>
                </w:p>
              </w:tc>
              <w:tc>
                <w:tcPr>
                  <w:tcW w:w="737" w:type="dxa"/>
                  <w:vAlign w:val="center"/>
                </w:tcPr>
                <w:p>
                  <w:pPr>
                    <w:pStyle w:val="106"/>
                    <w:jc w:val="center"/>
                    <w:rPr>
                      <w:rFonts w:ascii="Times New Roman" w:hAnsi="Times New Roman" w:cs="Times New Roman"/>
                      <w:color w:val="auto"/>
                      <w:sz w:val="21"/>
                      <w:szCs w:val="21"/>
                    </w:rPr>
                  </w:pPr>
                  <w:r>
                    <w:rPr>
                      <w:rFonts w:ascii="Times New Roman" w:hAnsi="Times New Roman" w:cs="Times New Roman"/>
                      <w:color w:val="auto"/>
                      <w:sz w:val="21"/>
                      <w:szCs w:val="21"/>
                    </w:rPr>
                    <w:t>2</w:t>
                  </w:r>
                </w:p>
              </w:tc>
              <w:tc>
                <w:tcPr>
                  <w:tcW w:w="375" w:type="dxa"/>
                  <w:vMerge w:val="continue"/>
                  <w:vAlign w:val="center"/>
                </w:tcPr>
                <w:p>
                  <w:pPr>
                    <w:pStyle w:val="106"/>
                    <w:jc w:val="center"/>
                    <w:rPr>
                      <w:rFonts w:ascii="Times New Roman" w:hAnsi="Times New Roman" w:cs="Times New Roman"/>
                      <w:color w:val="auto"/>
                      <w:sz w:val="21"/>
                      <w:szCs w:val="21"/>
                    </w:rPr>
                  </w:pPr>
                </w:p>
              </w:tc>
              <w:tc>
                <w:tcPr>
                  <w:tcW w:w="705" w:type="dxa"/>
                  <w:vMerge w:val="continue"/>
                  <w:vAlign w:val="center"/>
                </w:tcPr>
                <w:p>
                  <w:pPr>
                    <w:pStyle w:val="106"/>
                    <w:jc w:val="center"/>
                    <w:rPr>
                      <w:rFonts w:ascii="Times New Roman" w:hAnsi="Times New Roman" w:cs="Times New Roman"/>
                      <w:color w:val="auto"/>
                      <w:sz w:val="21"/>
                      <w:szCs w:val="21"/>
                    </w:rPr>
                  </w:pPr>
                </w:p>
              </w:tc>
              <w:tc>
                <w:tcPr>
                  <w:tcW w:w="781" w:type="dxa"/>
                  <w:vMerge w:val="continue"/>
                  <w:vAlign w:val="center"/>
                </w:tcPr>
                <w:p>
                  <w:pPr>
                    <w:pStyle w:val="106"/>
                    <w:jc w:val="center"/>
                    <w:rPr>
                      <w:rFonts w:ascii="Times New Roman" w:hAnsi="Times New Roman"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6" w:type="dxa"/>
                  <w:vMerge w:val="continue"/>
                  <w:vAlign w:val="center"/>
                </w:tcPr>
                <w:p>
                  <w:pPr>
                    <w:pStyle w:val="106"/>
                    <w:jc w:val="center"/>
                    <w:rPr>
                      <w:rFonts w:ascii="Times New Roman" w:hAnsi="Times New Roman" w:cs="Times New Roman"/>
                      <w:color w:val="auto"/>
                      <w:sz w:val="21"/>
                      <w:szCs w:val="21"/>
                    </w:rPr>
                  </w:pPr>
                </w:p>
              </w:tc>
              <w:tc>
                <w:tcPr>
                  <w:tcW w:w="806" w:type="dxa"/>
                  <w:vAlign w:val="center"/>
                </w:tcPr>
                <w:p>
                  <w:pPr>
                    <w:pStyle w:val="106"/>
                    <w:jc w:val="center"/>
                    <w:rPr>
                      <w:rFonts w:ascii="Times New Roman" w:hAnsi="Times New Roman" w:cs="Times New Roman"/>
                      <w:color w:val="auto"/>
                      <w:sz w:val="21"/>
                      <w:szCs w:val="21"/>
                    </w:rPr>
                  </w:pPr>
                  <w:r>
                    <w:rPr>
                      <w:rFonts w:ascii="Times New Roman" w:hAnsi="Times New Roman" w:cs="Times New Roman"/>
                      <w:color w:val="auto"/>
                      <w:sz w:val="21"/>
                      <w:szCs w:val="21"/>
                    </w:rPr>
                    <w:t>TP</w:t>
                  </w:r>
                </w:p>
              </w:tc>
              <w:tc>
                <w:tcPr>
                  <w:tcW w:w="896" w:type="dxa"/>
                  <w:vAlign w:val="center"/>
                </w:tcPr>
                <w:p>
                  <w:pPr>
                    <w:pStyle w:val="106"/>
                    <w:jc w:val="center"/>
                    <w:rPr>
                      <w:rFonts w:ascii="Times New Roman" w:hAnsi="Times New Roman" w:cs="Times New Roman"/>
                      <w:color w:val="auto"/>
                      <w:sz w:val="21"/>
                      <w:szCs w:val="21"/>
                    </w:rPr>
                  </w:pPr>
                  <w:r>
                    <w:rPr>
                      <w:rFonts w:hint="eastAsia" w:ascii="Times New Roman" w:hAnsi="Times New Roman" w:cs="Times New Roman"/>
                      <w:color w:val="auto"/>
                      <w:sz w:val="21"/>
                      <w:szCs w:val="21"/>
                    </w:rPr>
                    <w:t>0.01215</w:t>
                  </w:r>
                </w:p>
              </w:tc>
              <w:tc>
                <w:tcPr>
                  <w:tcW w:w="927" w:type="dxa"/>
                  <w:vAlign w:val="center"/>
                </w:tcPr>
                <w:p>
                  <w:pPr>
                    <w:pStyle w:val="106"/>
                    <w:jc w:val="center"/>
                    <w:rPr>
                      <w:rFonts w:ascii="Times New Roman" w:hAnsi="Times New Roman" w:cs="Times New Roman"/>
                      <w:color w:val="auto"/>
                      <w:sz w:val="21"/>
                      <w:szCs w:val="21"/>
                    </w:rPr>
                  </w:pPr>
                  <w:r>
                    <w:rPr>
                      <w:rFonts w:ascii="Times New Roman" w:hAnsi="Times New Roman" w:cs="Times New Roman"/>
                      <w:color w:val="auto"/>
                      <w:sz w:val="21"/>
                      <w:szCs w:val="21"/>
                    </w:rPr>
                    <w:t>5</w:t>
                  </w:r>
                </w:p>
              </w:tc>
              <w:tc>
                <w:tcPr>
                  <w:tcW w:w="720" w:type="dxa"/>
                  <w:vMerge w:val="continue"/>
                  <w:vAlign w:val="center"/>
                </w:tcPr>
                <w:p>
                  <w:pPr>
                    <w:pStyle w:val="106"/>
                    <w:jc w:val="center"/>
                    <w:rPr>
                      <w:rFonts w:ascii="Times New Roman" w:hAnsi="Times New Roman" w:cs="Times New Roman"/>
                      <w:color w:val="auto"/>
                      <w:sz w:val="21"/>
                      <w:szCs w:val="21"/>
                    </w:rPr>
                  </w:pPr>
                </w:p>
              </w:tc>
              <w:tc>
                <w:tcPr>
                  <w:tcW w:w="465" w:type="dxa"/>
                  <w:vMerge w:val="continue"/>
                  <w:vAlign w:val="center"/>
                </w:tcPr>
                <w:p>
                  <w:pPr>
                    <w:pStyle w:val="106"/>
                    <w:jc w:val="center"/>
                    <w:rPr>
                      <w:rFonts w:ascii="Times New Roman" w:hAnsi="Times New Roman" w:cs="Times New Roman"/>
                      <w:color w:val="auto"/>
                      <w:sz w:val="21"/>
                      <w:szCs w:val="21"/>
                    </w:rPr>
                  </w:pPr>
                </w:p>
              </w:tc>
              <w:tc>
                <w:tcPr>
                  <w:tcW w:w="795" w:type="dxa"/>
                  <w:vMerge w:val="continue"/>
                  <w:vAlign w:val="center"/>
                </w:tcPr>
                <w:p>
                  <w:pPr>
                    <w:pStyle w:val="106"/>
                    <w:jc w:val="center"/>
                    <w:rPr>
                      <w:rFonts w:ascii="Times New Roman" w:hAnsi="Times New Roman" w:cs="Times New Roman"/>
                      <w:color w:val="auto"/>
                      <w:sz w:val="21"/>
                      <w:szCs w:val="21"/>
                    </w:rPr>
                  </w:pPr>
                </w:p>
              </w:tc>
              <w:tc>
                <w:tcPr>
                  <w:tcW w:w="677" w:type="dxa"/>
                  <w:vMerge w:val="continue"/>
                  <w:vAlign w:val="center"/>
                </w:tcPr>
                <w:p>
                  <w:pPr>
                    <w:pStyle w:val="106"/>
                    <w:jc w:val="center"/>
                    <w:rPr>
                      <w:rFonts w:ascii="Times New Roman" w:hAnsi="Times New Roman" w:cs="Times New Roman"/>
                      <w:color w:val="auto"/>
                      <w:sz w:val="21"/>
                      <w:szCs w:val="21"/>
                    </w:rPr>
                  </w:pPr>
                </w:p>
              </w:tc>
              <w:tc>
                <w:tcPr>
                  <w:tcW w:w="1001" w:type="dxa"/>
                  <w:vAlign w:val="center"/>
                </w:tcPr>
                <w:p>
                  <w:pPr>
                    <w:jc w:val="center"/>
                    <w:rPr>
                      <w:color w:val="auto"/>
                    </w:rPr>
                  </w:pPr>
                  <w:r>
                    <w:rPr>
                      <w:rFonts w:hint="eastAsia"/>
                      <w:color w:val="auto"/>
                    </w:rPr>
                    <w:t>0.000972</w:t>
                  </w:r>
                </w:p>
              </w:tc>
              <w:tc>
                <w:tcPr>
                  <w:tcW w:w="737" w:type="dxa"/>
                  <w:vAlign w:val="center"/>
                </w:tcPr>
                <w:p>
                  <w:pPr>
                    <w:pStyle w:val="106"/>
                    <w:jc w:val="center"/>
                    <w:rPr>
                      <w:rFonts w:ascii="Times New Roman" w:hAnsi="Times New Roman" w:cs="Times New Roman"/>
                      <w:color w:val="auto"/>
                      <w:sz w:val="21"/>
                      <w:szCs w:val="21"/>
                    </w:rPr>
                  </w:pPr>
                  <w:r>
                    <w:rPr>
                      <w:rFonts w:ascii="Times New Roman" w:hAnsi="Times New Roman" w:cs="Times New Roman"/>
                      <w:color w:val="auto"/>
                      <w:sz w:val="21"/>
                      <w:szCs w:val="21"/>
                    </w:rPr>
                    <w:t>0.4</w:t>
                  </w:r>
                </w:p>
              </w:tc>
              <w:tc>
                <w:tcPr>
                  <w:tcW w:w="375" w:type="dxa"/>
                  <w:vMerge w:val="continue"/>
                  <w:vAlign w:val="center"/>
                </w:tcPr>
                <w:p>
                  <w:pPr>
                    <w:pStyle w:val="106"/>
                    <w:jc w:val="center"/>
                    <w:rPr>
                      <w:rFonts w:ascii="Times New Roman" w:hAnsi="Times New Roman" w:cs="Times New Roman"/>
                      <w:color w:val="auto"/>
                      <w:sz w:val="21"/>
                      <w:szCs w:val="21"/>
                    </w:rPr>
                  </w:pPr>
                </w:p>
              </w:tc>
              <w:tc>
                <w:tcPr>
                  <w:tcW w:w="705" w:type="dxa"/>
                  <w:vMerge w:val="continue"/>
                  <w:vAlign w:val="center"/>
                </w:tcPr>
                <w:p>
                  <w:pPr>
                    <w:pStyle w:val="106"/>
                    <w:jc w:val="center"/>
                    <w:rPr>
                      <w:rFonts w:ascii="Times New Roman" w:hAnsi="Times New Roman" w:cs="Times New Roman"/>
                      <w:color w:val="auto"/>
                      <w:sz w:val="21"/>
                      <w:szCs w:val="21"/>
                    </w:rPr>
                  </w:pPr>
                </w:p>
              </w:tc>
              <w:tc>
                <w:tcPr>
                  <w:tcW w:w="781" w:type="dxa"/>
                  <w:vMerge w:val="continue"/>
                  <w:vAlign w:val="center"/>
                </w:tcPr>
                <w:p>
                  <w:pPr>
                    <w:pStyle w:val="106"/>
                    <w:jc w:val="center"/>
                    <w:rPr>
                      <w:rFonts w:ascii="Times New Roman" w:hAnsi="Times New Roman" w:cs="Times New Roman"/>
                      <w:color w:val="auto"/>
                      <w:sz w:val="21"/>
                      <w:szCs w:val="21"/>
                    </w:rPr>
                  </w:pPr>
                </w:p>
              </w:tc>
            </w:tr>
          </w:tbl>
          <w:p>
            <w:pPr>
              <w:adjustRightInd w:val="0"/>
              <w:snapToGrid w:val="0"/>
              <w:spacing w:before="120" w:beforeLines="50" w:line="360" w:lineRule="auto"/>
              <w:ind w:firstLine="420" w:firstLineChars="200"/>
              <w:rPr>
                <w:bCs/>
                <w:color w:val="auto"/>
              </w:rPr>
            </w:pPr>
            <w:r>
              <w:rPr>
                <w:bCs/>
                <w:color w:val="auto"/>
              </w:rPr>
              <w:t>根据前文工程分析，项目生活污水产生量为</w:t>
            </w:r>
            <w:r>
              <w:rPr>
                <w:rFonts w:hint="eastAsia"/>
                <w:bCs/>
                <w:color w:val="auto"/>
              </w:rPr>
              <w:t>2430</w:t>
            </w:r>
            <w:r>
              <w:rPr>
                <w:bCs/>
                <w:color w:val="auto"/>
              </w:rPr>
              <w:t>m</w:t>
            </w:r>
            <w:r>
              <w:rPr>
                <w:bCs/>
                <w:color w:val="auto"/>
                <w:vertAlign w:val="superscript"/>
              </w:rPr>
              <w:t>3</w:t>
            </w:r>
            <w:r>
              <w:rPr>
                <w:bCs/>
                <w:color w:val="auto"/>
              </w:rPr>
              <w:t>/a，生活污水经</w:t>
            </w:r>
            <w:r>
              <w:rPr>
                <w:rFonts w:hint="eastAsia"/>
                <w:color w:val="auto"/>
              </w:rPr>
              <w:t>隔油隔渣池、</w:t>
            </w:r>
            <w:r>
              <w:rPr>
                <w:bCs/>
                <w:color w:val="auto"/>
              </w:rPr>
              <w:t>三级化粪池预处理后，经市政集污管网排入</w:t>
            </w:r>
            <w:r>
              <w:rPr>
                <w:rFonts w:hint="eastAsia"/>
                <w:bCs/>
                <w:color w:val="auto"/>
              </w:rPr>
              <w:t>杨侨镇生活污水处理厂</w:t>
            </w:r>
            <w:r>
              <w:rPr>
                <w:bCs/>
                <w:color w:val="auto"/>
              </w:rPr>
              <w:t>处理，</w:t>
            </w:r>
            <w:r>
              <w:rPr>
                <w:rFonts w:hint="eastAsia"/>
                <w:bCs/>
                <w:color w:val="auto"/>
                <w:szCs w:val="21"/>
              </w:rPr>
              <w:t>处理达标后排入南蛇沥，然后汇入公庄河，最终排入东江</w:t>
            </w:r>
            <w:r>
              <w:rPr>
                <w:bCs/>
                <w:color w:val="auto"/>
              </w:rPr>
              <w:t>。</w:t>
            </w:r>
          </w:p>
          <w:p>
            <w:pPr>
              <w:autoSpaceDE w:val="0"/>
              <w:autoSpaceDN w:val="0"/>
              <w:adjustRightInd w:val="0"/>
              <w:spacing w:line="360" w:lineRule="auto"/>
              <w:ind w:firstLine="422" w:firstLineChars="200"/>
              <w:jc w:val="left"/>
              <w:textAlignment w:val="baseline"/>
              <w:rPr>
                <w:b/>
                <w:color w:val="auto"/>
              </w:rPr>
            </w:pPr>
            <w:r>
              <w:rPr>
                <w:b/>
                <w:color w:val="auto"/>
              </w:rPr>
              <w:t>2.废水排放口信息及监测要求</w:t>
            </w:r>
          </w:p>
          <w:p>
            <w:pPr>
              <w:widowControl/>
              <w:adjustRightInd w:val="0"/>
              <w:snapToGrid w:val="0"/>
              <w:spacing w:line="360" w:lineRule="auto"/>
              <w:ind w:firstLine="420" w:firstLineChars="200"/>
              <w:rPr>
                <w:color w:val="auto"/>
              </w:rPr>
            </w:pPr>
            <w:r>
              <w:rPr>
                <w:color w:val="auto"/>
              </w:rPr>
              <w:t>根据《</w:t>
            </w:r>
            <w:r>
              <w:rPr>
                <w:rFonts w:hint="eastAsia"/>
                <w:color w:val="auto"/>
              </w:rPr>
              <w:t>排</w:t>
            </w:r>
            <w:r>
              <w:rPr>
                <w:color w:val="auto"/>
              </w:rPr>
              <w:t xml:space="preserve">污单位自行监测技术指南 </w:t>
            </w:r>
            <w:r>
              <w:rPr>
                <w:rFonts w:hint="eastAsia"/>
                <w:color w:val="auto"/>
              </w:rPr>
              <w:t>橡胶和塑料制品</w:t>
            </w:r>
            <w:r>
              <w:rPr>
                <w:color w:val="auto"/>
              </w:rPr>
              <w:t>》（HJ1</w:t>
            </w:r>
            <w:r>
              <w:rPr>
                <w:rFonts w:hint="eastAsia"/>
                <w:color w:val="auto"/>
              </w:rPr>
              <w:t>207</w:t>
            </w:r>
            <w:r>
              <w:rPr>
                <w:color w:val="auto"/>
              </w:rPr>
              <w:t>-202</w:t>
            </w:r>
            <w:r>
              <w:rPr>
                <w:rFonts w:hint="eastAsia"/>
                <w:color w:val="auto"/>
              </w:rPr>
              <w:t>1</w:t>
            </w:r>
            <w:r>
              <w:rPr>
                <w:color w:val="auto"/>
              </w:rPr>
              <w:t>）自行监测管理要求中</w:t>
            </w:r>
            <w:r>
              <w:rPr>
                <w:rFonts w:hint="eastAsia"/>
                <w:color w:val="auto"/>
              </w:rPr>
              <w:t>对非重点排污单位</w:t>
            </w:r>
            <w:r>
              <w:rPr>
                <w:color w:val="auto"/>
              </w:rPr>
              <w:t>单独排入城镇污水集中处理设施的生活污水不作监测要求。</w:t>
            </w:r>
          </w:p>
          <w:p>
            <w:pPr>
              <w:widowControl/>
              <w:spacing w:line="360" w:lineRule="auto"/>
              <w:jc w:val="center"/>
              <w:rPr>
                <w:b/>
                <w:color w:val="auto"/>
              </w:rPr>
            </w:pPr>
            <w:r>
              <w:rPr>
                <w:b/>
                <w:color w:val="auto"/>
              </w:rPr>
              <w:t>表4-</w:t>
            </w:r>
            <w:r>
              <w:rPr>
                <w:rFonts w:hint="eastAsia"/>
                <w:b/>
                <w:color w:val="auto"/>
              </w:rPr>
              <w:t>20</w:t>
            </w:r>
            <w:r>
              <w:rPr>
                <w:b/>
                <w:color w:val="auto"/>
              </w:rPr>
              <w:t xml:space="preserve"> 废水间接排放口基本情况表</w:t>
            </w:r>
          </w:p>
          <w:tbl>
            <w:tblPr>
              <w:tblStyle w:val="92"/>
              <w:tblW w:w="4996"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57"/>
              <w:gridCol w:w="881"/>
              <w:gridCol w:w="1518"/>
              <w:gridCol w:w="770"/>
              <w:gridCol w:w="768"/>
              <w:gridCol w:w="1110"/>
              <w:gridCol w:w="636"/>
              <w:gridCol w:w="812"/>
              <w:gridCol w:w="1086"/>
              <w:gridCol w:w="126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1" w:hRule="atLeast"/>
                <w:jc w:val="center"/>
              </w:trPr>
              <w:tc>
                <w:tcPr>
                  <w:tcW w:w="253" w:type="pct"/>
                  <w:vMerge w:val="restart"/>
                  <w:vAlign w:val="center"/>
                </w:tcPr>
                <w:p>
                  <w:pPr>
                    <w:widowControl/>
                    <w:adjustRightInd w:val="0"/>
                    <w:snapToGrid w:val="0"/>
                    <w:jc w:val="center"/>
                    <w:rPr>
                      <w:b/>
                      <w:color w:val="auto"/>
                    </w:rPr>
                  </w:pPr>
                  <w:r>
                    <w:rPr>
                      <w:b/>
                      <w:color w:val="auto"/>
                    </w:rPr>
                    <w:t>序号</w:t>
                  </w:r>
                </w:p>
              </w:tc>
              <w:tc>
                <w:tcPr>
                  <w:tcW w:w="406" w:type="pct"/>
                  <w:vMerge w:val="restart"/>
                  <w:vAlign w:val="center"/>
                </w:tcPr>
                <w:p>
                  <w:pPr>
                    <w:widowControl/>
                    <w:adjustRightInd w:val="0"/>
                    <w:snapToGrid w:val="0"/>
                    <w:jc w:val="center"/>
                    <w:rPr>
                      <w:b/>
                      <w:color w:val="auto"/>
                    </w:rPr>
                  </w:pPr>
                  <w:r>
                    <w:rPr>
                      <w:b/>
                      <w:color w:val="auto"/>
                    </w:rPr>
                    <w:t>排放口编号</w:t>
                  </w:r>
                </w:p>
              </w:tc>
              <w:tc>
                <w:tcPr>
                  <w:tcW w:w="823" w:type="pct"/>
                  <w:vMerge w:val="restart"/>
                  <w:vAlign w:val="center"/>
                </w:tcPr>
                <w:p>
                  <w:pPr>
                    <w:widowControl/>
                    <w:adjustRightInd w:val="0"/>
                    <w:snapToGrid w:val="0"/>
                    <w:jc w:val="center"/>
                    <w:rPr>
                      <w:b/>
                      <w:color w:val="auto"/>
                    </w:rPr>
                  </w:pPr>
                  <w:r>
                    <w:rPr>
                      <w:b/>
                      <w:color w:val="auto"/>
                    </w:rPr>
                    <w:t>排放口</w:t>
                  </w:r>
                </w:p>
                <w:p>
                  <w:pPr>
                    <w:widowControl/>
                    <w:adjustRightInd w:val="0"/>
                    <w:snapToGrid w:val="0"/>
                    <w:jc w:val="center"/>
                    <w:rPr>
                      <w:b/>
                      <w:color w:val="auto"/>
                    </w:rPr>
                  </w:pPr>
                  <w:r>
                    <w:rPr>
                      <w:b/>
                      <w:color w:val="auto"/>
                    </w:rPr>
                    <w:t>地理坐标</w:t>
                  </w:r>
                </w:p>
              </w:tc>
              <w:tc>
                <w:tcPr>
                  <w:tcW w:w="421" w:type="pct"/>
                  <w:vMerge w:val="restart"/>
                  <w:vAlign w:val="center"/>
                </w:tcPr>
                <w:p>
                  <w:pPr>
                    <w:widowControl/>
                    <w:adjustRightInd w:val="0"/>
                    <w:snapToGrid w:val="0"/>
                    <w:jc w:val="center"/>
                    <w:rPr>
                      <w:b/>
                      <w:color w:val="auto"/>
                    </w:rPr>
                  </w:pPr>
                  <w:r>
                    <w:rPr>
                      <w:b/>
                      <w:color w:val="auto"/>
                    </w:rPr>
                    <w:t>废水</w:t>
                  </w:r>
                </w:p>
                <w:p>
                  <w:pPr>
                    <w:widowControl/>
                    <w:adjustRightInd w:val="0"/>
                    <w:snapToGrid w:val="0"/>
                    <w:jc w:val="center"/>
                    <w:rPr>
                      <w:b/>
                      <w:color w:val="auto"/>
                    </w:rPr>
                  </w:pPr>
                  <w:r>
                    <w:rPr>
                      <w:b/>
                      <w:color w:val="auto"/>
                    </w:rPr>
                    <w:t>排放量</w:t>
                  </w:r>
                </w:p>
                <w:p>
                  <w:pPr>
                    <w:widowControl/>
                    <w:adjustRightInd w:val="0"/>
                    <w:snapToGrid w:val="0"/>
                    <w:jc w:val="center"/>
                    <w:rPr>
                      <w:b/>
                      <w:color w:val="auto"/>
                    </w:rPr>
                  </w:pPr>
                  <w:r>
                    <w:rPr>
                      <w:b/>
                      <w:color w:val="auto"/>
                    </w:rPr>
                    <w:t>（万t/a）</w:t>
                  </w:r>
                </w:p>
              </w:tc>
              <w:tc>
                <w:tcPr>
                  <w:tcW w:w="420" w:type="pct"/>
                  <w:vMerge w:val="restart"/>
                  <w:vAlign w:val="center"/>
                </w:tcPr>
                <w:p>
                  <w:pPr>
                    <w:widowControl/>
                    <w:adjustRightInd w:val="0"/>
                    <w:snapToGrid w:val="0"/>
                    <w:jc w:val="center"/>
                    <w:rPr>
                      <w:b/>
                      <w:color w:val="auto"/>
                    </w:rPr>
                  </w:pPr>
                  <w:r>
                    <w:rPr>
                      <w:b/>
                      <w:color w:val="auto"/>
                    </w:rPr>
                    <w:t>排放去向</w:t>
                  </w:r>
                </w:p>
              </w:tc>
              <w:tc>
                <w:tcPr>
                  <w:tcW w:w="604" w:type="pct"/>
                  <w:vMerge w:val="restart"/>
                  <w:vAlign w:val="center"/>
                </w:tcPr>
                <w:p>
                  <w:pPr>
                    <w:widowControl/>
                    <w:adjustRightInd w:val="0"/>
                    <w:snapToGrid w:val="0"/>
                    <w:jc w:val="center"/>
                    <w:rPr>
                      <w:b/>
                      <w:color w:val="auto"/>
                    </w:rPr>
                  </w:pPr>
                  <w:r>
                    <w:rPr>
                      <w:b/>
                      <w:color w:val="auto"/>
                    </w:rPr>
                    <w:t>排放规律</w:t>
                  </w:r>
                </w:p>
              </w:tc>
              <w:tc>
                <w:tcPr>
                  <w:tcW w:w="349" w:type="pct"/>
                  <w:vMerge w:val="restart"/>
                  <w:vAlign w:val="center"/>
                </w:tcPr>
                <w:p>
                  <w:pPr>
                    <w:widowControl/>
                    <w:adjustRightInd w:val="0"/>
                    <w:snapToGrid w:val="0"/>
                    <w:jc w:val="center"/>
                    <w:rPr>
                      <w:b/>
                      <w:color w:val="auto"/>
                    </w:rPr>
                  </w:pPr>
                  <w:r>
                    <w:rPr>
                      <w:b/>
                      <w:color w:val="auto"/>
                    </w:rPr>
                    <w:t>间歇排放时段</w:t>
                  </w:r>
                </w:p>
              </w:tc>
              <w:tc>
                <w:tcPr>
                  <w:tcW w:w="1722" w:type="pct"/>
                  <w:gridSpan w:val="3"/>
                  <w:vAlign w:val="center"/>
                </w:tcPr>
                <w:p>
                  <w:pPr>
                    <w:widowControl/>
                    <w:adjustRightInd w:val="0"/>
                    <w:snapToGrid w:val="0"/>
                    <w:jc w:val="center"/>
                    <w:rPr>
                      <w:b/>
                      <w:color w:val="auto"/>
                    </w:rPr>
                  </w:pPr>
                  <w:r>
                    <w:rPr>
                      <w:b/>
                      <w:color w:val="auto"/>
                    </w:rPr>
                    <w:t>受纳污水处理厂信息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43" w:hRule="atLeast"/>
                <w:jc w:val="center"/>
              </w:trPr>
              <w:tc>
                <w:tcPr>
                  <w:tcW w:w="253" w:type="pct"/>
                  <w:vMerge w:val="continue"/>
                  <w:vAlign w:val="center"/>
                </w:tcPr>
                <w:p>
                  <w:pPr>
                    <w:widowControl/>
                    <w:adjustRightInd w:val="0"/>
                    <w:snapToGrid w:val="0"/>
                    <w:jc w:val="center"/>
                    <w:rPr>
                      <w:b/>
                      <w:color w:val="auto"/>
                    </w:rPr>
                  </w:pPr>
                </w:p>
              </w:tc>
              <w:tc>
                <w:tcPr>
                  <w:tcW w:w="406" w:type="pct"/>
                  <w:vMerge w:val="continue"/>
                  <w:vAlign w:val="center"/>
                </w:tcPr>
                <w:p>
                  <w:pPr>
                    <w:widowControl/>
                    <w:adjustRightInd w:val="0"/>
                    <w:snapToGrid w:val="0"/>
                    <w:jc w:val="center"/>
                    <w:rPr>
                      <w:b/>
                      <w:color w:val="auto"/>
                    </w:rPr>
                  </w:pPr>
                </w:p>
              </w:tc>
              <w:tc>
                <w:tcPr>
                  <w:tcW w:w="823" w:type="pct"/>
                  <w:vMerge w:val="continue"/>
                  <w:vAlign w:val="center"/>
                </w:tcPr>
                <w:p>
                  <w:pPr>
                    <w:widowControl/>
                    <w:adjustRightInd w:val="0"/>
                    <w:snapToGrid w:val="0"/>
                    <w:jc w:val="center"/>
                    <w:rPr>
                      <w:b/>
                      <w:color w:val="auto"/>
                    </w:rPr>
                  </w:pPr>
                </w:p>
              </w:tc>
              <w:tc>
                <w:tcPr>
                  <w:tcW w:w="421" w:type="pct"/>
                  <w:vMerge w:val="continue"/>
                  <w:vAlign w:val="center"/>
                </w:tcPr>
                <w:p>
                  <w:pPr>
                    <w:widowControl/>
                    <w:adjustRightInd w:val="0"/>
                    <w:snapToGrid w:val="0"/>
                    <w:jc w:val="center"/>
                    <w:rPr>
                      <w:b/>
                      <w:color w:val="auto"/>
                    </w:rPr>
                  </w:pPr>
                </w:p>
              </w:tc>
              <w:tc>
                <w:tcPr>
                  <w:tcW w:w="420" w:type="pct"/>
                  <w:vMerge w:val="continue"/>
                  <w:vAlign w:val="center"/>
                </w:tcPr>
                <w:p>
                  <w:pPr>
                    <w:widowControl/>
                    <w:adjustRightInd w:val="0"/>
                    <w:snapToGrid w:val="0"/>
                    <w:jc w:val="center"/>
                    <w:rPr>
                      <w:b/>
                      <w:color w:val="auto"/>
                    </w:rPr>
                  </w:pPr>
                </w:p>
              </w:tc>
              <w:tc>
                <w:tcPr>
                  <w:tcW w:w="604" w:type="pct"/>
                  <w:vMerge w:val="continue"/>
                  <w:vAlign w:val="center"/>
                </w:tcPr>
                <w:p>
                  <w:pPr>
                    <w:widowControl/>
                    <w:adjustRightInd w:val="0"/>
                    <w:snapToGrid w:val="0"/>
                    <w:jc w:val="center"/>
                    <w:rPr>
                      <w:b/>
                      <w:color w:val="auto"/>
                    </w:rPr>
                  </w:pPr>
                </w:p>
              </w:tc>
              <w:tc>
                <w:tcPr>
                  <w:tcW w:w="349" w:type="pct"/>
                  <w:vMerge w:val="continue"/>
                  <w:vAlign w:val="center"/>
                </w:tcPr>
                <w:p>
                  <w:pPr>
                    <w:widowControl/>
                    <w:adjustRightInd w:val="0"/>
                    <w:snapToGrid w:val="0"/>
                    <w:jc w:val="center"/>
                    <w:rPr>
                      <w:b/>
                      <w:color w:val="auto"/>
                    </w:rPr>
                  </w:pPr>
                </w:p>
              </w:tc>
              <w:tc>
                <w:tcPr>
                  <w:tcW w:w="444" w:type="pct"/>
                  <w:vAlign w:val="center"/>
                </w:tcPr>
                <w:p>
                  <w:pPr>
                    <w:widowControl/>
                    <w:adjustRightInd w:val="0"/>
                    <w:snapToGrid w:val="0"/>
                    <w:jc w:val="center"/>
                    <w:rPr>
                      <w:b/>
                      <w:color w:val="auto"/>
                    </w:rPr>
                  </w:pPr>
                  <w:r>
                    <w:rPr>
                      <w:b/>
                      <w:color w:val="auto"/>
                    </w:rPr>
                    <w:t>名称</w:t>
                  </w:r>
                </w:p>
              </w:tc>
              <w:tc>
                <w:tcPr>
                  <w:tcW w:w="591" w:type="pct"/>
                  <w:vAlign w:val="center"/>
                </w:tcPr>
                <w:p>
                  <w:pPr>
                    <w:widowControl/>
                    <w:adjustRightInd w:val="0"/>
                    <w:snapToGrid w:val="0"/>
                    <w:jc w:val="center"/>
                    <w:rPr>
                      <w:b/>
                      <w:color w:val="auto"/>
                    </w:rPr>
                  </w:pPr>
                  <w:r>
                    <w:rPr>
                      <w:b/>
                      <w:color w:val="auto"/>
                    </w:rPr>
                    <w:t>污染物种类</w:t>
                  </w:r>
                </w:p>
              </w:tc>
              <w:tc>
                <w:tcPr>
                  <w:tcW w:w="686" w:type="pct"/>
                  <w:vAlign w:val="center"/>
                </w:tcPr>
                <w:p>
                  <w:pPr>
                    <w:widowControl/>
                    <w:adjustRightInd w:val="0"/>
                    <w:snapToGrid w:val="0"/>
                    <w:jc w:val="center"/>
                    <w:rPr>
                      <w:b/>
                      <w:color w:val="auto"/>
                    </w:rPr>
                  </w:pPr>
                  <w:r>
                    <w:rPr>
                      <w:b/>
                      <w:color w:val="auto"/>
                    </w:rPr>
                    <w:t>排放标准浓度限值（mg/L）</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exact"/>
                <w:jc w:val="center"/>
              </w:trPr>
              <w:tc>
                <w:tcPr>
                  <w:tcW w:w="253" w:type="pct"/>
                  <w:vMerge w:val="restart"/>
                  <w:vAlign w:val="center"/>
                </w:tcPr>
                <w:p>
                  <w:pPr>
                    <w:widowControl/>
                    <w:adjustRightInd w:val="0"/>
                    <w:snapToGrid w:val="0"/>
                    <w:jc w:val="center"/>
                    <w:rPr>
                      <w:color w:val="auto"/>
                    </w:rPr>
                  </w:pPr>
                  <w:r>
                    <w:rPr>
                      <w:color w:val="auto"/>
                    </w:rPr>
                    <w:t>1</w:t>
                  </w:r>
                </w:p>
              </w:tc>
              <w:tc>
                <w:tcPr>
                  <w:tcW w:w="406" w:type="pct"/>
                  <w:vMerge w:val="restart"/>
                  <w:vAlign w:val="center"/>
                </w:tcPr>
                <w:p>
                  <w:pPr>
                    <w:widowControl/>
                    <w:adjustRightInd w:val="0"/>
                    <w:snapToGrid w:val="0"/>
                    <w:jc w:val="center"/>
                    <w:rPr>
                      <w:color w:val="auto"/>
                    </w:rPr>
                  </w:pPr>
                  <w:r>
                    <w:rPr>
                      <w:color w:val="auto"/>
                    </w:rPr>
                    <w:t>DW001</w:t>
                  </w:r>
                </w:p>
              </w:tc>
              <w:tc>
                <w:tcPr>
                  <w:tcW w:w="823" w:type="pct"/>
                  <w:vMerge w:val="restart"/>
                  <w:vAlign w:val="center"/>
                </w:tcPr>
                <w:p>
                  <w:pPr>
                    <w:widowControl/>
                    <w:adjustRightInd w:val="0"/>
                    <w:snapToGrid w:val="0"/>
                    <w:jc w:val="center"/>
                    <w:rPr>
                      <w:color w:val="auto"/>
                      <w:highlight w:val="none"/>
                    </w:rPr>
                  </w:pPr>
                  <w:r>
                    <w:rPr>
                      <w:color w:val="auto"/>
                      <w:highlight w:val="none"/>
                    </w:rPr>
                    <w:t>E11</w:t>
                  </w:r>
                  <w:r>
                    <w:rPr>
                      <w:rFonts w:hint="eastAsia"/>
                      <w:color w:val="auto"/>
                      <w:highlight w:val="none"/>
                      <w:lang w:val="en-US" w:eastAsia="zh-CN"/>
                    </w:rPr>
                    <w:t>4.48893</w:t>
                  </w:r>
                  <w:r>
                    <w:rPr>
                      <w:color w:val="auto"/>
                      <w:highlight w:val="none"/>
                    </w:rPr>
                    <w:t>°</w:t>
                  </w:r>
                </w:p>
                <w:p>
                  <w:pPr>
                    <w:widowControl/>
                    <w:adjustRightInd w:val="0"/>
                    <w:snapToGrid w:val="0"/>
                    <w:jc w:val="center"/>
                    <w:rPr>
                      <w:color w:val="auto"/>
                    </w:rPr>
                  </w:pPr>
                  <w:r>
                    <w:rPr>
                      <w:color w:val="auto"/>
                      <w:highlight w:val="none"/>
                    </w:rPr>
                    <w:t>N 23</w:t>
                  </w:r>
                  <w:r>
                    <w:rPr>
                      <w:rFonts w:hint="eastAsia"/>
                      <w:color w:val="auto"/>
                      <w:highlight w:val="none"/>
                      <w:lang w:val="en-US" w:eastAsia="zh-CN"/>
                    </w:rPr>
                    <w:t>.44221</w:t>
                  </w:r>
                  <w:r>
                    <w:rPr>
                      <w:color w:val="auto"/>
                      <w:highlight w:val="none"/>
                    </w:rPr>
                    <w:t>°</w:t>
                  </w:r>
                </w:p>
              </w:tc>
              <w:tc>
                <w:tcPr>
                  <w:tcW w:w="421" w:type="pct"/>
                  <w:vMerge w:val="restart"/>
                  <w:vAlign w:val="center"/>
                </w:tcPr>
                <w:p>
                  <w:pPr>
                    <w:widowControl/>
                    <w:adjustRightInd w:val="0"/>
                    <w:snapToGrid w:val="0"/>
                    <w:jc w:val="center"/>
                    <w:rPr>
                      <w:color w:val="auto"/>
                    </w:rPr>
                  </w:pPr>
                  <w:r>
                    <w:rPr>
                      <w:color w:val="auto"/>
                    </w:rPr>
                    <w:t>0.</w:t>
                  </w:r>
                  <w:r>
                    <w:rPr>
                      <w:rFonts w:hint="eastAsia"/>
                      <w:color w:val="auto"/>
                    </w:rPr>
                    <w:t>243</w:t>
                  </w:r>
                </w:p>
              </w:tc>
              <w:tc>
                <w:tcPr>
                  <w:tcW w:w="420" w:type="pct"/>
                  <w:vMerge w:val="restart"/>
                  <w:vAlign w:val="center"/>
                </w:tcPr>
                <w:p>
                  <w:pPr>
                    <w:widowControl/>
                    <w:adjustRightInd w:val="0"/>
                    <w:snapToGrid w:val="0"/>
                    <w:jc w:val="center"/>
                    <w:rPr>
                      <w:color w:val="auto"/>
                    </w:rPr>
                  </w:pPr>
                  <w:r>
                    <w:rPr>
                      <w:color w:val="auto"/>
                    </w:rPr>
                    <w:t>进入城市污水处理厂</w:t>
                  </w:r>
                </w:p>
              </w:tc>
              <w:tc>
                <w:tcPr>
                  <w:tcW w:w="604" w:type="pct"/>
                  <w:vMerge w:val="restart"/>
                  <w:vAlign w:val="center"/>
                </w:tcPr>
                <w:p>
                  <w:pPr>
                    <w:widowControl/>
                    <w:adjustRightInd w:val="0"/>
                    <w:snapToGrid w:val="0"/>
                    <w:jc w:val="center"/>
                    <w:rPr>
                      <w:color w:val="auto"/>
                    </w:rPr>
                  </w:pPr>
                  <w:r>
                    <w:rPr>
                      <w:color w:val="auto"/>
                    </w:rPr>
                    <w:t>间段排放、排放期间流量稳定</w:t>
                  </w:r>
                </w:p>
              </w:tc>
              <w:tc>
                <w:tcPr>
                  <w:tcW w:w="349" w:type="pct"/>
                  <w:vMerge w:val="restart"/>
                  <w:vAlign w:val="center"/>
                </w:tcPr>
                <w:p>
                  <w:pPr>
                    <w:widowControl/>
                    <w:adjustRightInd w:val="0"/>
                    <w:snapToGrid w:val="0"/>
                    <w:jc w:val="center"/>
                    <w:rPr>
                      <w:color w:val="auto"/>
                    </w:rPr>
                  </w:pPr>
                  <w:r>
                    <w:rPr>
                      <w:color w:val="auto"/>
                    </w:rPr>
                    <w:t>无固定时段</w:t>
                  </w:r>
                </w:p>
              </w:tc>
              <w:tc>
                <w:tcPr>
                  <w:tcW w:w="444" w:type="pct"/>
                  <w:vMerge w:val="restart"/>
                  <w:vAlign w:val="center"/>
                </w:tcPr>
                <w:p>
                  <w:pPr>
                    <w:widowControl/>
                    <w:adjustRightInd w:val="0"/>
                    <w:snapToGrid w:val="0"/>
                    <w:jc w:val="center"/>
                    <w:rPr>
                      <w:color w:val="auto"/>
                    </w:rPr>
                  </w:pPr>
                  <w:r>
                    <w:rPr>
                      <w:rFonts w:hint="eastAsia"/>
                      <w:color w:val="auto"/>
                    </w:rPr>
                    <w:t>杨侨镇生活污水处理厂</w:t>
                  </w:r>
                </w:p>
              </w:tc>
              <w:tc>
                <w:tcPr>
                  <w:tcW w:w="591" w:type="pct"/>
                  <w:vAlign w:val="center"/>
                </w:tcPr>
                <w:p>
                  <w:pPr>
                    <w:widowControl/>
                    <w:adjustRightInd w:val="0"/>
                    <w:snapToGrid w:val="0"/>
                    <w:jc w:val="center"/>
                    <w:rPr>
                      <w:color w:val="auto"/>
                    </w:rPr>
                  </w:pPr>
                  <w:r>
                    <w:rPr>
                      <w:color w:val="auto"/>
                    </w:rPr>
                    <w:t>SS</w:t>
                  </w:r>
                </w:p>
              </w:tc>
              <w:tc>
                <w:tcPr>
                  <w:tcW w:w="686" w:type="pct"/>
                  <w:vAlign w:val="center"/>
                </w:tcPr>
                <w:p>
                  <w:pPr>
                    <w:widowControl/>
                    <w:adjustRightInd w:val="0"/>
                    <w:snapToGrid w:val="0"/>
                    <w:jc w:val="center"/>
                    <w:rPr>
                      <w:color w:val="auto"/>
                    </w:rPr>
                  </w:pPr>
                  <w:r>
                    <w:rPr>
                      <w:color w:val="auto"/>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exact"/>
                <w:jc w:val="center"/>
              </w:trPr>
              <w:tc>
                <w:tcPr>
                  <w:tcW w:w="253" w:type="pct"/>
                  <w:vMerge w:val="continue"/>
                  <w:vAlign w:val="center"/>
                </w:tcPr>
                <w:p>
                  <w:pPr>
                    <w:widowControl/>
                    <w:adjustRightInd w:val="0"/>
                    <w:snapToGrid w:val="0"/>
                    <w:jc w:val="center"/>
                    <w:rPr>
                      <w:color w:val="auto"/>
                    </w:rPr>
                  </w:pPr>
                </w:p>
              </w:tc>
              <w:tc>
                <w:tcPr>
                  <w:tcW w:w="406" w:type="pct"/>
                  <w:vMerge w:val="continue"/>
                  <w:vAlign w:val="center"/>
                </w:tcPr>
                <w:p>
                  <w:pPr>
                    <w:widowControl/>
                    <w:adjustRightInd w:val="0"/>
                    <w:snapToGrid w:val="0"/>
                    <w:jc w:val="center"/>
                    <w:rPr>
                      <w:color w:val="auto"/>
                    </w:rPr>
                  </w:pPr>
                </w:p>
              </w:tc>
              <w:tc>
                <w:tcPr>
                  <w:tcW w:w="823" w:type="pct"/>
                  <w:vMerge w:val="continue"/>
                  <w:vAlign w:val="center"/>
                </w:tcPr>
                <w:p>
                  <w:pPr>
                    <w:widowControl/>
                    <w:adjustRightInd w:val="0"/>
                    <w:snapToGrid w:val="0"/>
                    <w:jc w:val="center"/>
                    <w:rPr>
                      <w:color w:val="auto"/>
                    </w:rPr>
                  </w:pPr>
                </w:p>
              </w:tc>
              <w:tc>
                <w:tcPr>
                  <w:tcW w:w="421" w:type="pct"/>
                  <w:vMerge w:val="continue"/>
                  <w:vAlign w:val="center"/>
                </w:tcPr>
                <w:p>
                  <w:pPr>
                    <w:widowControl/>
                    <w:adjustRightInd w:val="0"/>
                    <w:snapToGrid w:val="0"/>
                    <w:jc w:val="center"/>
                    <w:rPr>
                      <w:color w:val="auto"/>
                    </w:rPr>
                  </w:pPr>
                </w:p>
              </w:tc>
              <w:tc>
                <w:tcPr>
                  <w:tcW w:w="420" w:type="pct"/>
                  <w:vMerge w:val="continue"/>
                  <w:vAlign w:val="center"/>
                </w:tcPr>
                <w:p>
                  <w:pPr>
                    <w:widowControl/>
                    <w:adjustRightInd w:val="0"/>
                    <w:snapToGrid w:val="0"/>
                    <w:jc w:val="center"/>
                    <w:rPr>
                      <w:color w:val="auto"/>
                    </w:rPr>
                  </w:pPr>
                </w:p>
              </w:tc>
              <w:tc>
                <w:tcPr>
                  <w:tcW w:w="604" w:type="pct"/>
                  <w:vMerge w:val="continue"/>
                  <w:vAlign w:val="center"/>
                </w:tcPr>
                <w:p>
                  <w:pPr>
                    <w:widowControl/>
                    <w:adjustRightInd w:val="0"/>
                    <w:snapToGrid w:val="0"/>
                    <w:jc w:val="center"/>
                    <w:rPr>
                      <w:color w:val="auto"/>
                    </w:rPr>
                  </w:pPr>
                </w:p>
              </w:tc>
              <w:tc>
                <w:tcPr>
                  <w:tcW w:w="349" w:type="pct"/>
                  <w:vMerge w:val="continue"/>
                  <w:vAlign w:val="center"/>
                </w:tcPr>
                <w:p>
                  <w:pPr>
                    <w:widowControl/>
                    <w:adjustRightInd w:val="0"/>
                    <w:snapToGrid w:val="0"/>
                    <w:jc w:val="center"/>
                    <w:rPr>
                      <w:color w:val="auto"/>
                    </w:rPr>
                  </w:pPr>
                </w:p>
              </w:tc>
              <w:tc>
                <w:tcPr>
                  <w:tcW w:w="444" w:type="pct"/>
                  <w:vMerge w:val="continue"/>
                  <w:vAlign w:val="center"/>
                </w:tcPr>
                <w:p>
                  <w:pPr>
                    <w:widowControl/>
                    <w:adjustRightInd w:val="0"/>
                    <w:snapToGrid w:val="0"/>
                    <w:jc w:val="center"/>
                    <w:rPr>
                      <w:color w:val="auto"/>
                    </w:rPr>
                  </w:pPr>
                </w:p>
              </w:tc>
              <w:tc>
                <w:tcPr>
                  <w:tcW w:w="591" w:type="pct"/>
                  <w:vAlign w:val="center"/>
                </w:tcPr>
                <w:p>
                  <w:pPr>
                    <w:widowControl/>
                    <w:adjustRightInd w:val="0"/>
                    <w:snapToGrid w:val="0"/>
                    <w:jc w:val="center"/>
                    <w:rPr>
                      <w:color w:val="auto"/>
                    </w:rPr>
                  </w:pPr>
                  <w:r>
                    <w:rPr>
                      <w:color w:val="auto"/>
                    </w:rPr>
                    <w:t>BOD</w:t>
                  </w:r>
                  <w:r>
                    <w:rPr>
                      <w:color w:val="auto"/>
                      <w:vertAlign w:val="subscript"/>
                    </w:rPr>
                    <w:t>5</w:t>
                  </w:r>
                </w:p>
              </w:tc>
              <w:tc>
                <w:tcPr>
                  <w:tcW w:w="686" w:type="pct"/>
                  <w:vAlign w:val="center"/>
                </w:tcPr>
                <w:p>
                  <w:pPr>
                    <w:widowControl/>
                    <w:adjustRightInd w:val="0"/>
                    <w:snapToGrid w:val="0"/>
                    <w:jc w:val="center"/>
                    <w:rPr>
                      <w:color w:val="auto"/>
                    </w:rPr>
                  </w:pPr>
                  <w:r>
                    <w:rPr>
                      <w:color w:val="auto"/>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exact"/>
                <w:jc w:val="center"/>
              </w:trPr>
              <w:tc>
                <w:tcPr>
                  <w:tcW w:w="253" w:type="pct"/>
                  <w:vMerge w:val="continue"/>
                  <w:vAlign w:val="center"/>
                </w:tcPr>
                <w:p>
                  <w:pPr>
                    <w:widowControl/>
                    <w:adjustRightInd w:val="0"/>
                    <w:snapToGrid w:val="0"/>
                    <w:jc w:val="center"/>
                    <w:rPr>
                      <w:color w:val="auto"/>
                    </w:rPr>
                  </w:pPr>
                </w:p>
              </w:tc>
              <w:tc>
                <w:tcPr>
                  <w:tcW w:w="406" w:type="pct"/>
                  <w:vMerge w:val="continue"/>
                  <w:vAlign w:val="center"/>
                </w:tcPr>
                <w:p>
                  <w:pPr>
                    <w:widowControl/>
                    <w:adjustRightInd w:val="0"/>
                    <w:snapToGrid w:val="0"/>
                    <w:jc w:val="center"/>
                    <w:rPr>
                      <w:color w:val="auto"/>
                    </w:rPr>
                  </w:pPr>
                </w:p>
              </w:tc>
              <w:tc>
                <w:tcPr>
                  <w:tcW w:w="823" w:type="pct"/>
                  <w:vMerge w:val="continue"/>
                  <w:vAlign w:val="center"/>
                </w:tcPr>
                <w:p>
                  <w:pPr>
                    <w:widowControl/>
                    <w:adjustRightInd w:val="0"/>
                    <w:snapToGrid w:val="0"/>
                    <w:jc w:val="center"/>
                    <w:rPr>
                      <w:color w:val="auto"/>
                    </w:rPr>
                  </w:pPr>
                </w:p>
              </w:tc>
              <w:tc>
                <w:tcPr>
                  <w:tcW w:w="421" w:type="pct"/>
                  <w:vMerge w:val="continue"/>
                  <w:vAlign w:val="center"/>
                </w:tcPr>
                <w:p>
                  <w:pPr>
                    <w:widowControl/>
                    <w:adjustRightInd w:val="0"/>
                    <w:snapToGrid w:val="0"/>
                    <w:jc w:val="center"/>
                    <w:rPr>
                      <w:color w:val="auto"/>
                    </w:rPr>
                  </w:pPr>
                </w:p>
              </w:tc>
              <w:tc>
                <w:tcPr>
                  <w:tcW w:w="420" w:type="pct"/>
                  <w:vMerge w:val="continue"/>
                  <w:vAlign w:val="center"/>
                </w:tcPr>
                <w:p>
                  <w:pPr>
                    <w:widowControl/>
                    <w:adjustRightInd w:val="0"/>
                    <w:snapToGrid w:val="0"/>
                    <w:jc w:val="center"/>
                    <w:rPr>
                      <w:color w:val="auto"/>
                    </w:rPr>
                  </w:pPr>
                </w:p>
              </w:tc>
              <w:tc>
                <w:tcPr>
                  <w:tcW w:w="604" w:type="pct"/>
                  <w:vMerge w:val="continue"/>
                  <w:vAlign w:val="center"/>
                </w:tcPr>
                <w:p>
                  <w:pPr>
                    <w:widowControl/>
                    <w:adjustRightInd w:val="0"/>
                    <w:snapToGrid w:val="0"/>
                    <w:jc w:val="center"/>
                    <w:rPr>
                      <w:color w:val="auto"/>
                    </w:rPr>
                  </w:pPr>
                </w:p>
              </w:tc>
              <w:tc>
                <w:tcPr>
                  <w:tcW w:w="349" w:type="pct"/>
                  <w:vMerge w:val="continue"/>
                  <w:vAlign w:val="center"/>
                </w:tcPr>
                <w:p>
                  <w:pPr>
                    <w:widowControl/>
                    <w:adjustRightInd w:val="0"/>
                    <w:snapToGrid w:val="0"/>
                    <w:jc w:val="center"/>
                    <w:rPr>
                      <w:color w:val="auto"/>
                    </w:rPr>
                  </w:pPr>
                </w:p>
              </w:tc>
              <w:tc>
                <w:tcPr>
                  <w:tcW w:w="444" w:type="pct"/>
                  <w:vMerge w:val="continue"/>
                  <w:vAlign w:val="center"/>
                </w:tcPr>
                <w:p>
                  <w:pPr>
                    <w:widowControl/>
                    <w:adjustRightInd w:val="0"/>
                    <w:snapToGrid w:val="0"/>
                    <w:jc w:val="center"/>
                    <w:rPr>
                      <w:color w:val="auto"/>
                    </w:rPr>
                  </w:pPr>
                </w:p>
              </w:tc>
              <w:tc>
                <w:tcPr>
                  <w:tcW w:w="591" w:type="pct"/>
                  <w:vAlign w:val="center"/>
                </w:tcPr>
                <w:p>
                  <w:pPr>
                    <w:widowControl/>
                    <w:adjustRightInd w:val="0"/>
                    <w:snapToGrid w:val="0"/>
                    <w:jc w:val="center"/>
                    <w:rPr>
                      <w:color w:val="auto"/>
                    </w:rPr>
                  </w:pPr>
                  <w:r>
                    <w:rPr>
                      <w:color w:val="auto"/>
                    </w:rPr>
                    <w:t>COD</w:t>
                  </w:r>
                  <w:r>
                    <w:rPr>
                      <w:color w:val="auto"/>
                      <w:vertAlign w:val="subscript"/>
                    </w:rPr>
                    <w:t>Cr</w:t>
                  </w:r>
                </w:p>
              </w:tc>
              <w:tc>
                <w:tcPr>
                  <w:tcW w:w="686" w:type="pct"/>
                  <w:vAlign w:val="center"/>
                </w:tcPr>
                <w:p>
                  <w:pPr>
                    <w:widowControl/>
                    <w:adjustRightInd w:val="0"/>
                    <w:snapToGrid w:val="0"/>
                    <w:jc w:val="center"/>
                    <w:rPr>
                      <w:color w:val="auto"/>
                    </w:rPr>
                  </w:pPr>
                  <w:r>
                    <w:rPr>
                      <w:color w:val="auto"/>
                    </w:rPr>
                    <w:t>40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exact"/>
                <w:jc w:val="center"/>
              </w:trPr>
              <w:tc>
                <w:tcPr>
                  <w:tcW w:w="253" w:type="pct"/>
                  <w:vMerge w:val="continue"/>
                  <w:vAlign w:val="center"/>
                </w:tcPr>
                <w:p>
                  <w:pPr>
                    <w:widowControl/>
                    <w:adjustRightInd w:val="0"/>
                    <w:snapToGrid w:val="0"/>
                    <w:jc w:val="center"/>
                    <w:rPr>
                      <w:color w:val="auto"/>
                    </w:rPr>
                  </w:pPr>
                </w:p>
              </w:tc>
              <w:tc>
                <w:tcPr>
                  <w:tcW w:w="406" w:type="pct"/>
                  <w:vMerge w:val="continue"/>
                  <w:vAlign w:val="center"/>
                </w:tcPr>
                <w:p>
                  <w:pPr>
                    <w:widowControl/>
                    <w:adjustRightInd w:val="0"/>
                    <w:snapToGrid w:val="0"/>
                    <w:jc w:val="center"/>
                    <w:rPr>
                      <w:color w:val="auto"/>
                    </w:rPr>
                  </w:pPr>
                </w:p>
              </w:tc>
              <w:tc>
                <w:tcPr>
                  <w:tcW w:w="823" w:type="pct"/>
                  <w:vMerge w:val="continue"/>
                  <w:vAlign w:val="center"/>
                </w:tcPr>
                <w:p>
                  <w:pPr>
                    <w:widowControl/>
                    <w:adjustRightInd w:val="0"/>
                    <w:snapToGrid w:val="0"/>
                    <w:jc w:val="center"/>
                    <w:rPr>
                      <w:color w:val="auto"/>
                    </w:rPr>
                  </w:pPr>
                </w:p>
              </w:tc>
              <w:tc>
                <w:tcPr>
                  <w:tcW w:w="421" w:type="pct"/>
                  <w:vMerge w:val="continue"/>
                  <w:vAlign w:val="center"/>
                </w:tcPr>
                <w:p>
                  <w:pPr>
                    <w:widowControl/>
                    <w:adjustRightInd w:val="0"/>
                    <w:snapToGrid w:val="0"/>
                    <w:jc w:val="center"/>
                    <w:rPr>
                      <w:color w:val="auto"/>
                    </w:rPr>
                  </w:pPr>
                </w:p>
              </w:tc>
              <w:tc>
                <w:tcPr>
                  <w:tcW w:w="420" w:type="pct"/>
                  <w:vMerge w:val="continue"/>
                  <w:vAlign w:val="center"/>
                </w:tcPr>
                <w:p>
                  <w:pPr>
                    <w:widowControl/>
                    <w:adjustRightInd w:val="0"/>
                    <w:snapToGrid w:val="0"/>
                    <w:jc w:val="center"/>
                    <w:rPr>
                      <w:color w:val="auto"/>
                    </w:rPr>
                  </w:pPr>
                </w:p>
              </w:tc>
              <w:tc>
                <w:tcPr>
                  <w:tcW w:w="604" w:type="pct"/>
                  <w:vMerge w:val="continue"/>
                  <w:vAlign w:val="center"/>
                </w:tcPr>
                <w:p>
                  <w:pPr>
                    <w:widowControl/>
                    <w:adjustRightInd w:val="0"/>
                    <w:snapToGrid w:val="0"/>
                    <w:jc w:val="center"/>
                    <w:rPr>
                      <w:color w:val="auto"/>
                    </w:rPr>
                  </w:pPr>
                </w:p>
              </w:tc>
              <w:tc>
                <w:tcPr>
                  <w:tcW w:w="349" w:type="pct"/>
                  <w:vMerge w:val="continue"/>
                  <w:vAlign w:val="center"/>
                </w:tcPr>
                <w:p>
                  <w:pPr>
                    <w:widowControl/>
                    <w:adjustRightInd w:val="0"/>
                    <w:snapToGrid w:val="0"/>
                    <w:jc w:val="center"/>
                    <w:rPr>
                      <w:color w:val="auto"/>
                    </w:rPr>
                  </w:pPr>
                </w:p>
              </w:tc>
              <w:tc>
                <w:tcPr>
                  <w:tcW w:w="444" w:type="pct"/>
                  <w:vMerge w:val="continue"/>
                  <w:vAlign w:val="center"/>
                </w:tcPr>
                <w:p>
                  <w:pPr>
                    <w:widowControl/>
                    <w:adjustRightInd w:val="0"/>
                    <w:snapToGrid w:val="0"/>
                    <w:jc w:val="center"/>
                    <w:rPr>
                      <w:color w:val="auto"/>
                    </w:rPr>
                  </w:pPr>
                </w:p>
              </w:tc>
              <w:tc>
                <w:tcPr>
                  <w:tcW w:w="591" w:type="pct"/>
                  <w:vAlign w:val="center"/>
                </w:tcPr>
                <w:p>
                  <w:pPr>
                    <w:widowControl/>
                    <w:adjustRightInd w:val="0"/>
                    <w:snapToGrid w:val="0"/>
                    <w:jc w:val="center"/>
                    <w:rPr>
                      <w:color w:val="auto"/>
                    </w:rPr>
                  </w:pPr>
                  <w:r>
                    <w:rPr>
                      <w:color w:val="auto"/>
                    </w:rPr>
                    <w:t>TP</w:t>
                  </w:r>
                </w:p>
              </w:tc>
              <w:tc>
                <w:tcPr>
                  <w:tcW w:w="686" w:type="pct"/>
                  <w:vAlign w:val="center"/>
                </w:tcPr>
                <w:p>
                  <w:pPr>
                    <w:widowControl/>
                    <w:adjustRightInd w:val="0"/>
                    <w:snapToGrid w:val="0"/>
                    <w:jc w:val="center"/>
                    <w:rPr>
                      <w:color w:val="auto"/>
                    </w:rPr>
                  </w:pPr>
                  <w:r>
                    <w:rPr>
                      <w:color w:val="auto"/>
                    </w:rPr>
                    <w:t>0.</w:t>
                  </w:r>
                  <w:r>
                    <w:rPr>
                      <w:rFonts w:hint="eastAsia"/>
                      <w:color w:val="auto"/>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exact"/>
                <w:jc w:val="center"/>
              </w:trPr>
              <w:tc>
                <w:tcPr>
                  <w:tcW w:w="253" w:type="pct"/>
                  <w:vMerge w:val="continue"/>
                  <w:vAlign w:val="center"/>
                </w:tcPr>
                <w:p>
                  <w:pPr>
                    <w:widowControl/>
                    <w:adjustRightInd w:val="0"/>
                    <w:snapToGrid w:val="0"/>
                    <w:jc w:val="center"/>
                    <w:rPr>
                      <w:color w:val="auto"/>
                    </w:rPr>
                  </w:pPr>
                </w:p>
              </w:tc>
              <w:tc>
                <w:tcPr>
                  <w:tcW w:w="406" w:type="pct"/>
                  <w:vMerge w:val="continue"/>
                  <w:vAlign w:val="center"/>
                </w:tcPr>
                <w:p>
                  <w:pPr>
                    <w:widowControl/>
                    <w:adjustRightInd w:val="0"/>
                    <w:snapToGrid w:val="0"/>
                    <w:jc w:val="center"/>
                    <w:rPr>
                      <w:color w:val="auto"/>
                    </w:rPr>
                  </w:pPr>
                </w:p>
              </w:tc>
              <w:tc>
                <w:tcPr>
                  <w:tcW w:w="823" w:type="pct"/>
                  <w:vMerge w:val="continue"/>
                  <w:vAlign w:val="center"/>
                </w:tcPr>
                <w:p>
                  <w:pPr>
                    <w:widowControl/>
                    <w:adjustRightInd w:val="0"/>
                    <w:snapToGrid w:val="0"/>
                    <w:jc w:val="center"/>
                    <w:rPr>
                      <w:color w:val="auto"/>
                    </w:rPr>
                  </w:pPr>
                </w:p>
              </w:tc>
              <w:tc>
                <w:tcPr>
                  <w:tcW w:w="421" w:type="pct"/>
                  <w:vMerge w:val="continue"/>
                  <w:vAlign w:val="center"/>
                </w:tcPr>
                <w:p>
                  <w:pPr>
                    <w:widowControl/>
                    <w:adjustRightInd w:val="0"/>
                    <w:snapToGrid w:val="0"/>
                    <w:jc w:val="center"/>
                    <w:rPr>
                      <w:color w:val="auto"/>
                    </w:rPr>
                  </w:pPr>
                </w:p>
              </w:tc>
              <w:tc>
                <w:tcPr>
                  <w:tcW w:w="420" w:type="pct"/>
                  <w:vMerge w:val="continue"/>
                  <w:vAlign w:val="center"/>
                </w:tcPr>
                <w:p>
                  <w:pPr>
                    <w:widowControl/>
                    <w:adjustRightInd w:val="0"/>
                    <w:snapToGrid w:val="0"/>
                    <w:jc w:val="center"/>
                    <w:rPr>
                      <w:color w:val="auto"/>
                    </w:rPr>
                  </w:pPr>
                </w:p>
              </w:tc>
              <w:tc>
                <w:tcPr>
                  <w:tcW w:w="604" w:type="pct"/>
                  <w:vMerge w:val="continue"/>
                  <w:vAlign w:val="center"/>
                </w:tcPr>
                <w:p>
                  <w:pPr>
                    <w:widowControl/>
                    <w:adjustRightInd w:val="0"/>
                    <w:snapToGrid w:val="0"/>
                    <w:jc w:val="center"/>
                    <w:rPr>
                      <w:color w:val="auto"/>
                    </w:rPr>
                  </w:pPr>
                </w:p>
              </w:tc>
              <w:tc>
                <w:tcPr>
                  <w:tcW w:w="349" w:type="pct"/>
                  <w:vMerge w:val="continue"/>
                  <w:vAlign w:val="center"/>
                </w:tcPr>
                <w:p>
                  <w:pPr>
                    <w:widowControl/>
                    <w:adjustRightInd w:val="0"/>
                    <w:snapToGrid w:val="0"/>
                    <w:jc w:val="center"/>
                    <w:rPr>
                      <w:color w:val="auto"/>
                    </w:rPr>
                  </w:pPr>
                </w:p>
              </w:tc>
              <w:tc>
                <w:tcPr>
                  <w:tcW w:w="444" w:type="pct"/>
                  <w:vMerge w:val="continue"/>
                  <w:vAlign w:val="center"/>
                </w:tcPr>
                <w:p>
                  <w:pPr>
                    <w:widowControl/>
                    <w:adjustRightInd w:val="0"/>
                    <w:snapToGrid w:val="0"/>
                    <w:jc w:val="center"/>
                    <w:rPr>
                      <w:color w:val="auto"/>
                    </w:rPr>
                  </w:pPr>
                </w:p>
              </w:tc>
              <w:tc>
                <w:tcPr>
                  <w:tcW w:w="591" w:type="pct"/>
                  <w:vAlign w:val="center"/>
                </w:tcPr>
                <w:p>
                  <w:pPr>
                    <w:widowControl/>
                    <w:adjustRightInd w:val="0"/>
                    <w:snapToGrid w:val="0"/>
                    <w:jc w:val="center"/>
                    <w:rPr>
                      <w:color w:val="auto"/>
                    </w:rPr>
                  </w:pPr>
                  <w:r>
                    <w:rPr>
                      <w:color w:val="auto"/>
                    </w:rPr>
                    <w:t>动植物油</w:t>
                  </w:r>
                </w:p>
              </w:tc>
              <w:tc>
                <w:tcPr>
                  <w:tcW w:w="686" w:type="pct"/>
                  <w:vAlign w:val="center"/>
                </w:tcPr>
                <w:p>
                  <w:pPr>
                    <w:widowControl/>
                    <w:adjustRightInd w:val="0"/>
                    <w:snapToGrid w:val="0"/>
                    <w:jc w:val="center"/>
                    <w:rPr>
                      <w:color w:val="auto"/>
                    </w:rPr>
                  </w:pPr>
                  <w:r>
                    <w:rPr>
                      <w:color w:val="auto"/>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exact"/>
                <w:jc w:val="center"/>
              </w:trPr>
              <w:tc>
                <w:tcPr>
                  <w:tcW w:w="253" w:type="pct"/>
                  <w:vMerge w:val="continue"/>
                  <w:vAlign w:val="center"/>
                </w:tcPr>
                <w:p>
                  <w:pPr>
                    <w:widowControl/>
                    <w:adjustRightInd w:val="0"/>
                    <w:snapToGrid w:val="0"/>
                    <w:jc w:val="center"/>
                    <w:rPr>
                      <w:color w:val="auto"/>
                    </w:rPr>
                  </w:pPr>
                </w:p>
              </w:tc>
              <w:tc>
                <w:tcPr>
                  <w:tcW w:w="406" w:type="pct"/>
                  <w:vMerge w:val="continue"/>
                  <w:vAlign w:val="center"/>
                </w:tcPr>
                <w:p>
                  <w:pPr>
                    <w:widowControl/>
                    <w:adjustRightInd w:val="0"/>
                    <w:snapToGrid w:val="0"/>
                    <w:jc w:val="center"/>
                    <w:rPr>
                      <w:color w:val="auto"/>
                    </w:rPr>
                  </w:pPr>
                </w:p>
              </w:tc>
              <w:tc>
                <w:tcPr>
                  <w:tcW w:w="823" w:type="pct"/>
                  <w:vMerge w:val="continue"/>
                  <w:vAlign w:val="center"/>
                </w:tcPr>
                <w:p>
                  <w:pPr>
                    <w:widowControl/>
                    <w:adjustRightInd w:val="0"/>
                    <w:snapToGrid w:val="0"/>
                    <w:jc w:val="center"/>
                    <w:rPr>
                      <w:color w:val="auto"/>
                    </w:rPr>
                  </w:pPr>
                </w:p>
              </w:tc>
              <w:tc>
                <w:tcPr>
                  <w:tcW w:w="421" w:type="pct"/>
                  <w:vMerge w:val="continue"/>
                  <w:vAlign w:val="center"/>
                </w:tcPr>
                <w:p>
                  <w:pPr>
                    <w:widowControl/>
                    <w:adjustRightInd w:val="0"/>
                    <w:snapToGrid w:val="0"/>
                    <w:jc w:val="center"/>
                    <w:rPr>
                      <w:color w:val="auto"/>
                    </w:rPr>
                  </w:pPr>
                </w:p>
              </w:tc>
              <w:tc>
                <w:tcPr>
                  <w:tcW w:w="420" w:type="pct"/>
                  <w:vMerge w:val="continue"/>
                  <w:vAlign w:val="center"/>
                </w:tcPr>
                <w:p>
                  <w:pPr>
                    <w:widowControl/>
                    <w:adjustRightInd w:val="0"/>
                    <w:snapToGrid w:val="0"/>
                    <w:jc w:val="center"/>
                    <w:rPr>
                      <w:color w:val="auto"/>
                    </w:rPr>
                  </w:pPr>
                </w:p>
              </w:tc>
              <w:tc>
                <w:tcPr>
                  <w:tcW w:w="604" w:type="pct"/>
                  <w:vMerge w:val="continue"/>
                  <w:vAlign w:val="center"/>
                </w:tcPr>
                <w:p>
                  <w:pPr>
                    <w:widowControl/>
                    <w:adjustRightInd w:val="0"/>
                    <w:snapToGrid w:val="0"/>
                    <w:jc w:val="center"/>
                    <w:rPr>
                      <w:color w:val="auto"/>
                    </w:rPr>
                  </w:pPr>
                </w:p>
              </w:tc>
              <w:tc>
                <w:tcPr>
                  <w:tcW w:w="349" w:type="pct"/>
                  <w:vMerge w:val="continue"/>
                  <w:vAlign w:val="center"/>
                </w:tcPr>
                <w:p>
                  <w:pPr>
                    <w:widowControl/>
                    <w:adjustRightInd w:val="0"/>
                    <w:snapToGrid w:val="0"/>
                    <w:jc w:val="center"/>
                    <w:rPr>
                      <w:color w:val="auto"/>
                    </w:rPr>
                  </w:pPr>
                </w:p>
              </w:tc>
              <w:tc>
                <w:tcPr>
                  <w:tcW w:w="444" w:type="pct"/>
                  <w:vMerge w:val="continue"/>
                  <w:vAlign w:val="center"/>
                </w:tcPr>
                <w:p>
                  <w:pPr>
                    <w:widowControl/>
                    <w:adjustRightInd w:val="0"/>
                    <w:snapToGrid w:val="0"/>
                    <w:jc w:val="center"/>
                    <w:rPr>
                      <w:color w:val="auto"/>
                    </w:rPr>
                  </w:pPr>
                </w:p>
              </w:tc>
              <w:tc>
                <w:tcPr>
                  <w:tcW w:w="591" w:type="pct"/>
                  <w:vAlign w:val="center"/>
                </w:tcPr>
                <w:p>
                  <w:pPr>
                    <w:widowControl/>
                    <w:adjustRightInd w:val="0"/>
                    <w:snapToGrid w:val="0"/>
                    <w:jc w:val="center"/>
                    <w:rPr>
                      <w:color w:val="auto"/>
                    </w:rPr>
                  </w:pPr>
                  <w:r>
                    <w:rPr>
                      <w:color w:val="auto"/>
                    </w:rPr>
                    <w:t>氨氮</w:t>
                  </w:r>
                </w:p>
              </w:tc>
              <w:tc>
                <w:tcPr>
                  <w:tcW w:w="686" w:type="pct"/>
                  <w:vAlign w:val="center"/>
                </w:tcPr>
                <w:p>
                  <w:pPr>
                    <w:widowControl/>
                    <w:adjustRightInd w:val="0"/>
                    <w:snapToGrid w:val="0"/>
                    <w:jc w:val="center"/>
                    <w:rPr>
                      <w:color w:val="auto"/>
                    </w:rPr>
                  </w:pPr>
                  <w:r>
                    <w:rPr>
                      <w:color w:val="auto"/>
                    </w:rPr>
                    <w:t>2</w:t>
                  </w:r>
                </w:p>
              </w:tc>
            </w:tr>
          </w:tbl>
          <w:p>
            <w:pPr>
              <w:autoSpaceDE w:val="0"/>
              <w:autoSpaceDN w:val="0"/>
              <w:adjustRightInd w:val="0"/>
              <w:spacing w:before="120" w:beforeLines="50" w:line="360" w:lineRule="auto"/>
              <w:ind w:firstLine="422" w:firstLineChars="200"/>
              <w:jc w:val="left"/>
              <w:textAlignment w:val="baseline"/>
              <w:rPr>
                <w:b/>
                <w:color w:val="auto"/>
              </w:rPr>
            </w:pPr>
            <w:r>
              <w:rPr>
                <w:b/>
                <w:color w:val="auto"/>
              </w:rPr>
              <w:t>3.废水污染防治技术可行性分析</w:t>
            </w:r>
          </w:p>
          <w:p>
            <w:pPr>
              <w:widowControl/>
              <w:adjustRightInd w:val="0"/>
              <w:snapToGrid w:val="0"/>
              <w:spacing w:line="360" w:lineRule="auto"/>
              <w:ind w:firstLine="420" w:firstLineChars="200"/>
              <w:rPr>
                <w:color w:val="auto"/>
              </w:rPr>
            </w:pPr>
            <w:r>
              <w:rPr>
                <w:color w:val="auto"/>
              </w:rPr>
              <w:t>根据《</w:t>
            </w:r>
            <w:r>
              <w:rPr>
                <w:rFonts w:hint="eastAsia"/>
                <w:color w:val="auto"/>
              </w:rPr>
              <w:t>排</w:t>
            </w:r>
            <w:r>
              <w:rPr>
                <w:color w:val="auto"/>
              </w:rPr>
              <w:t xml:space="preserve">污单位自行监测技术指南 </w:t>
            </w:r>
            <w:r>
              <w:rPr>
                <w:rFonts w:hint="eastAsia"/>
                <w:color w:val="auto"/>
              </w:rPr>
              <w:t>橡胶和塑料制品</w:t>
            </w:r>
            <w:r>
              <w:rPr>
                <w:color w:val="auto"/>
              </w:rPr>
              <w:t>》（HJ1</w:t>
            </w:r>
            <w:r>
              <w:rPr>
                <w:rFonts w:hint="eastAsia"/>
                <w:color w:val="auto"/>
              </w:rPr>
              <w:t>207</w:t>
            </w:r>
            <w:r>
              <w:rPr>
                <w:color w:val="auto"/>
              </w:rPr>
              <w:t>-202</w:t>
            </w:r>
            <w:r>
              <w:rPr>
                <w:rFonts w:hint="eastAsia"/>
                <w:color w:val="auto"/>
              </w:rPr>
              <w:t>1</w:t>
            </w:r>
            <w:r>
              <w:rPr>
                <w:color w:val="auto"/>
              </w:rPr>
              <w:t xml:space="preserve">）和《排污许可证申请与核发技术规范 </w:t>
            </w:r>
            <w:r>
              <w:rPr>
                <w:rFonts w:hint="eastAsia"/>
                <w:color w:val="auto"/>
              </w:rPr>
              <w:t>橡胶和塑料制品工业</w:t>
            </w:r>
            <w:r>
              <w:rPr>
                <w:color w:val="auto"/>
              </w:rPr>
              <w:t>》（HJ11</w:t>
            </w:r>
            <w:r>
              <w:rPr>
                <w:rFonts w:hint="eastAsia"/>
                <w:color w:val="auto"/>
              </w:rPr>
              <w:t>22</w:t>
            </w:r>
            <w:r>
              <w:rPr>
                <w:color w:val="auto"/>
              </w:rPr>
              <w:t>—2020）等相关规定，本项目生活污水污染防治工艺为可行技术。</w:t>
            </w:r>
          </w:p>
          <w:p>
            <w:pPr>
              <w:autoSpaceDE w:val="0"/>
              <w:autoSpaceDN w:val="0"/>
              <w:adjustRightInd w:val="0"/>
              <w:spacing w:line="360" w:lineRule="auto"/>
              <w:ind w:firstLine="422" w:firstLineChars="200"/>
              <w:jc w:val="left"/>
              <w:textAlignment w:val="baseline"/>
              <w:rPr>
                <w:b/>
                <w:color w:val="auto"/>
              </w:rPr>
            </w:pPr>
            <w:r>
              <w:rPr>
                <w:b/>
                <w:color w:val="auto"/>
              </w:rPr>
              <w:t>4.依托可行性分析</w:t>
            </w:r>
          </w:p>
          <w:p>
            <w:pPr>
              <w:pStyle w:val="878"/>
              <w:spacing w:line="360" w:lineRule="auto"/>
              <w:ind w:firstLine="420"/>
              <w:rPr>
                <w:bCs/>
                <w:color w:val="auto"/>
                <w:kern w:val="2"/>
                <w:sz w:val="21"/>
                <w:szCs w:val="21"/>
              </w:rPr>
            </w:pPr>
            <w:r>
              <w:rPr>
                <w:bCs/>
                <w:color w:val="auto"/>
                <w:kern w:val="2"/>
                <w:sz w:val="21"/>
                <w:szCs w:val="21"/>
              </w:rPr>
              <w:t>本项目外排污水主要是员工生活污水，生活污水产生总量为</w:t>
            </w:r>
            <w:r>
              <w:rPr>
                <w:rFonts w:hint="eastAsia"/>
                <w:bCs/>
                <w:color w:val="auto"/>
                <w:kern w:val="2"/>
                <w:sz w:val="21"/>
                <w:szCs w:val="21"/>
              </w:rPr>
              <w:t>2430</w:t>
            </w:r>
            <w:r>
              <w:rPr>
                <w:bCs/>
                <w:color w:val="auto"/>
                <w:kern w:val="2"/>
                <w:sz w:val="21"/>
                <w:szCs w:val="21"/>
              </w:rPr>
              <w:t>t/a。主要污染物为COD</w:t>
            </w:r>
            <w:r>
              <w:rPr>
                <w:bCs/>
                <w:color w:val="auto"/>
                <w:kern w:val="2"/>
                <w:sz w:val="21"/>
                <w:szCs w:val="21"/>
                <w:vertAlign w:val="subscript"/>
              </w:rPr>
              <w:t>Cr</w:t>
            </w:r>
            <w:r>
              <w:rPr>
                <w:bCs/>
                <w:color w:val="auto"/>
                <w:kern w:val="2"/>
                <w:sz w:val="21"/>
                <w:szCs w:val="21"/>
              </w:rPr>
              <w:t>、BOD</w:t>
            </w:r>
            <w:r>
              <w:rPr>
                <w:bCs/>
                <w:color w:val="auto"/>
                <w:kern w:val="2"/>
                <w:sz w:val="21"/>
                <w:szCs w:val="21"/>
                <w:vertAlign w:val="subscript"/>
              </w:rPr>
              <w:t>5</w:t>
            </w:r>
            <w:r>
              <w:rPr>
                <w:bCs/>
                <w:color w:val="auto"/>
                <w:kern w:val="2"/>
                <w:sz w:val="21"/>
                <w:szCs w:val="21"/>
              </w:rPr>
              <w:t>、氨氮、SS、TP</w:t>
            </w:r>
            <w:r>
              <w:rPr>
                <w:rFonts w:hint="eastAsia"/>
                <w:bCs/>
                <w:color w:val="auto"/>
                <w:kern w:val="2"/>
                <w:sz w:val="21"/>
                <w:szCs w:val="21"/>
              </w:rPr>
              <w:t>、动植物油</w:t>
            </w:r>
            <w:r>
              <w:rPr>
                <w:bCs/>
                <w:color w:val="auto"/>
                <w:kern w:val="2"/>
                <w:sz w:val="21"/>
                <w:szCs w:val="21"/>
              </w:rPr>
              <w:t>等。生活污水经化粪池预处理后排入市政污水管网，经市政污水管网排入</w:t>
            </w:r>
            <w:r>
              <w:rPr>
                <w:rFonts w:hint="eastAsia"/>
                <w:bCs/>
                <w:color w:val="auto"/>
                <w:kern w:val="2"/>
                <w:sz w:val="21"/>
                <w:szCs w:val="21"/>
              </w:rPr>
              <w:t>杨侨镇生活污水处理厂</w:t>
            </w:r>
            <w:r>
              <w:rPr>
                <w:bCs/>
                <w:color w:val="auto"/>
                <w:kern w:val="2"/>
                <w:sz w:val="21"/>
                <w:szCs w:val="21"/>
              </w:rPr>
              <w:t>集中处理后可达标排放。</w:t>
            </w:r>
          </w:p>
          <w:p>
            <w:pPr>
              <w:spacing w:line="360" w:lineRule="auto"/>
              <w:ind w:firstLine="420" w:firstLineChars="200"/>
              <w:rPr>
                <w:color w:val="auto"/>
                <w:szCs w:val="21"/>
              </w:rPr>
            </w:pPr>
            <w:r>
              <w:rPr>
                <w:color w:val="auto"/>
                <w:szCs w:val="21"/>
              </w:rPr>
              <w:t>杨侨镇生活污水处理厂位于博罗县杨侨镇石岗岭办事处东风队，占地面积23246平方米，总投资2200万元。设计处理规模为1万吨/日，已通过环保验收投入正式运营，采用A</w:t>
            </w:r>
            <w:r>
              <w:rPr>
                <w:color w:val="auto"/>
                <w:szCs w:val="21"/>
                <w:vertAlign w:val="superscript"/>
              </w:rPr>
              <w:t>2</w:t>
            </w:r>
            <w:r>
              <w:rPr>
                <w:color w:val="auto"/>
                <w:szCs w:val="21"/>
              </w:rPr>
              <w:t>/O处理工艺。设计出水水质达到</w:t>
            </w:r>
            <w:r>
              <w:rPr>
                <w:color w:val="auto"/>
              </w:rPr>
              <w:t>广东省《水污染物排放限值》（DB44/26-2001）第二时段一级标准与《城镇污水处理厂污染物排放标准》（GB18918-2002）中的一级A标准两者较严值后</w:t>
            </w:r>
            <w:r>
              <w:rPr>
                <w:color w:val="auto"/>
                <w:szCs w:val="21"/>
              </w:rPr>
              <w:t>，排入</w:t>
            </w:r>
            <w:r>
              <w:rPr>
                <w:rFonts w:hint="eastAsia"/>
                <w:color w:val="auto"/>
                <w:szCs w:val="21"/>
              </w:rPr>
              <w:t>南蛇沥</w:t>
            </w:r>
            <w:r>
              <w:rPr>
                <w:color w:val="auto"/>
                <w:szCs w:val="21"/>
              </w:rPr>
              <w:t>，汇入</w:t>
            </w:r>
            <w:r>
              <w:rPr>
                <w:rFonts w:hint="eastAsia"/>
                <w:color w:val="auto"/>
                <w:szCs w:val="21"/>
              </w:rPr>
              <w:t>公庄河，最终排入东江</w:t>
            </w:r>
            <w:r>
              <w:rPr>
                <w:color w:val="auto"/>
                <w:szCs w:val="21"/>
              </w:rPr>
              <w:t>。</w:t>
            </w:r>
          </w:p>
          <w:p>
            <w:pPr>
              <w:pStyle w:val="23"/>
              <w:tabs>
                <w:tab w:val="left" w:pos="1260"/>
              </w:tabs>
              <w:adjustRightInd w:val="0"/>
              <w:snapToGrid w:val="0"/>
              <w:spacing w:line="360" w:lineRule="auto"/>
              <w:ind w:firstLineChars="200"/>
              <w:rPr>
                <w:color w:val="auto"/>
                <w:kern w:val="2"/>
                <w:sz w:val="21"/>
                <w:szCs w:val="21"/>
                <w:lang w:eastAsia="zh-CN"/>
              </w:rPr>
            </w:pPr>
            <w:r>
              <w:rPr>
                <w:color w:val="auto"/>
                <w:kern w:val="2"/>
                <w:sz w:val="21"/>
                <w:szCs w:val="21"/>
                <w:lang w:eastAsia="zh-CN"/>
              </w:rPr>
              <w:t>本项目产生的员工生活污水属典型城市生活污水，项目生活污水污染物种类与杨侨镇生活污水处理厂的污染物种类相似，外排废水符合污水厂进水水质要求；杨侨镇生活污水处理厂设计处理量为1万t/d，目前剩余处理量约为3000t/d。本项目生活污水的产生量为</w:t>
            </w:r>
            <w:r>
              <w:rPr>
                <w:rFonts w:hint="eastAsia"/>
                <w:color w:val="auto"/>
                <w:kern w:val="2"/>
                <w:sz w:val="21"/>
                <w:szCs w:val="21"/>
                <w:lang w:eastAsia="zh-CN"/>
              </w:rPr>
              <w:t>8.1t</w:t>
            </w:r>
            <w:r>
              <w:rPr>
                <w:color w:val="auto"/>
                <w:kern w:val="2"/>
                <w:sz w:val="21"/>
                <w:szCs w:val="21"/>
                <w:lang w:eastAsia="zh-CN"/>
              </w:rPr>
              <w:t>/d，仅占杨侨镇生活污水处理厂剩余处理量的0.</w:t>
            </w:r>
            <w:r>
              <w:rPr>
                <w:rFonts w:hint="eastAsia"/>
                <w:color w:val="auto"/>
                <w:kern w:val="2"/>
                <w:sz w:val="21"/>
                <w:szCs w:val="21"/>
                <w:lang w:eastAsia="zh-CN"/>
              </w:rPr>
              <w:t>27</w:t>
            </w:r>
            <w:r>
              <w:rPr>
                <w:color w:val="auto"/>
                <w:kern w:val="2"/>
                <w:sz w:val="21"/>
                <w:szCs w:val="21"/>
                <w:lang w:eastAsia="zh-CN"/>
              </w:rPr>
              <w:t>%，且本项目所在区域属于杨侨镇生活污水处理厂的污水收集范围，市政管网现已铺设到项目所在区域，同时本项目已铺设好管道，做好了与市政污水管网的接驳工作。因此，项目员工生活污水排入</w:t>
            </w:r>
            <w:r>
              <w:rPr>
                <w:rFonts w:hint="eastAsia"/>
                <w:color w:val="auto"/>
                <w:kern w:val="2"/>
                <w:sz w:val="21"/>
                <w:szCs w:val="21"/>
                <w:lang w:eastAsia="zh-CN"/>
              </w:rPr>
              <w:t>杨侨镇生活污水处理厂</w:t>
            </w:r>
            <w:r>
              <w:rPr>
                <w:color w:val="auto"/>
                <w:kern w:val="2"/>
                <w:sz w:val="21"/>
                <w:szCs w:val="21"/>
                <w:lang w:eastAsia="zh-CN"/>
              </w:rPr>
              <w:t>进行处理的方案是可行的。</w:t>
            </w:r>
          </w:p>
          <w:p>
            <w:pPr>
              <w:autoSpaceDE w:val="0"/>
              <w:autoSpaceDN w:val="0"/>
              <w:adjustRightInd w:val="0"/>
              <w:spacing w:line="360" w:lineRule="auto"/>
              <w:ind w:firstLine="422" w:firstLineChars="200"/>
              <w:jc w:val="left"/>
              <w:textAlignment w:val="baseline"/>
              <w:rPr>
                <w:b/>
                <w:color w:val="auto"/>
              </w:rPr>
            </w:pPr>
            <w:r>
              <w:rPr>
                <w:b/>
                <w:color w:val="auto"/>
              </w:rPr>
              <w:t>5.环境影响分析</w:t>
            </w:r>
          </w:p>
          <w:p>
            <w:pPr>
              <w:pStyle w:val="878"/>
              <w:adjustRightInd w:val="0"/>
              <w:snapToGrid w:val="0"/>
              <w:spacing w:line="360" w:lineRule="auto"/>
              <w:ind w:firstLine="420"/>
              <w:rPr>
                <w:bCs/>
                <w:color w:val="auto"/>
                <w:kern w:val="2"/>
                <w:sz w:val="21"/>
                <w:szCs w:val="21"/>
              </w:rPr>
            </w:pPr>
            <w:r>
              <w:rPr>
                <w:rFonts w:hint="eastAsia"/>
                <w:bCs/>
                <w:color w:val="auto"/>
                <w:kern w:val="2"/>
                <w:sz w:val="21"/>
                <w:szCs w:val="21"/>
              </w:rPr>
              <w:t>综上所述，项目无生产废水的产生与排放；项目生活污水经隔油隔渣池、三级化粪池预处理达到《水污染物排放限值》（DB44/26-2001）标准中第二时段三级标准后排入杨侨镇生活污水处理厂处理，杨侨镇生活污水处理厂尾水排放执行广东省《水污染物排放限值》（DB44/26-2001）第二时段一级标准与《城镇污水处理厂污染物排放标准》（GB18918-2002）中的一级A标准两者较严值，项目废水的排放满足相应的废水排放要求，对地表水体造成的环境影响不大，其地表水环境影响是可接受的。</w:t>
            </w:r>
          </w:p>
          <w:p>
            <w:pPr>
              <w:autoSpaceDE w:val="0"/>
              <w:autoSpaceDN w:val="0"/>
              <w:adjustRightInd w:val="0"/>
              <w:spacing w:line="360" w:lineRule="auto"/>
              <w:textAlignment w:val="baseline"/>
              <w:rPr>
                <w:b/>
                <w:color w:val="auto"/>
              </w:rPr>
            </w:pPr>
            <w:r>
              <w:rPr>
                <w:b/>
                <w:color w:val="auto"/>
              </w:rPr>
              <w:t>三、噪声</w:t>
            </w:r>
          </w:p>
          <w:p>
            <w:pPr>
              <w:adjustRightInd w:val="0"/>
              <w:snapToGrid w:val="0"/>
              <w:spacing w:line="360" w:lineRule="auto"/>
              <w:ind w:firstLine="414" w:firstLineChars="200"/>
              <w:rPr>
                <w:b/>
                <w:color w:val="auto"/>
                <w:spacing w:val="-2"/>
              </w:rPr>
            </w:pPr>
            <w:r>
              <w:rPr>
                <w:b/>
                <w:color w:val="auto"/>
                <w:spacing w:val="-2"/>
              </w:rPr>
              <w:t>1.噪声源强分析</w:t>
            </w:r>
          </w:p>
          <w:p>
            <w:pPr>
              <w:adjustRightInd w:val="0"/>
              <w:snapToGrid w:val="0"/>
              <w:spacing w:line="360" w:lineRule="auto"/>
              <w:ind w:firstLine="412" w:firstLineChars="200"/>
              <w:rPr>
                <w:color w:val="auto"/>
                <w:spacing w:val="-2"/>
              </w:rPr>
            </w:pPr>
            <w:r>
              <w:rPr>
                <w:color w:val="auto"/>
                <w:spacing w:val="-2"/>
              </w:rPr>
              <w:t>项目噪声源主要为各种生产设备和辅助设备，噪声声级一般为70~80dB(A)。项目主要噪声源特性及源强见下表。</w:t>
            </w:r>
          </w:p>
          <w:p>
            <w:pPr>
              <w:widowControl/>
              <w:spacing w:line="360" w:lineRule="auto"/>
              <w:jc w:val="center"/>
              <w:rPr>
                <w:b/>
                <w:color w:val="auto"/>
                <w:spacing w:val="-2"/>
              </w:rPr>
            </w:pPr>
            <w:r>
              <w:rPr>
                <w:b/>
                <w:color w:val="auto"/>
                <w:spacing w:val="-2"/>
              </w:rPr>
              <w:t>表4-</w:t>
            </w:r>
            <w:r>
              <w:rPr>
                <w:rFonts w:hint="eastAsia"/>
                <w:b/>
                <w:color w:val="auto"/>
                <w:spacing w:val="-2"/>
              </w:rPr>
              <w:t>21</w:t>
            </w:r>
            <w:r>
              <w:rPr>
                <w:b/>
                <w:color w:val="auto"/>
                <w:spacing w:val="-2"/>
              </w:rPr>
              <w:t xml:space="preserve"> 项目主要噪声源特性及源强一览表</w:t>
            </w:r>
          </w:p>
          <w:tbl>
            <w:tblPr>
              <w:tblStyle w:val="9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2"/>
              <w:gridCol w:w="1748"/>
              <w:gridCol w:w="783"/>
              <w:gridCol w:w="1297"/>
              <w:gridCol w:w="1133"/>
              <w:gridCol w:w="1133"/>
              <w:gridCol w:w="1135"/>
              <w:gridCol w:w="14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 w:hRule="atLeast"/>
                <w:tblHeader/>
                <w:jc w:val="center"/>
              </w:trPr>
              <w:tc>
                <w:tcPr>
                  <w:tcW w:w="361" w:type="pct"/>
                  <w:vAlign w:val="center"/>
                </w:tcPr>
                <w:p>
                  <w:pPr>
                    <w:adjustRightInd w:val="0"/>
                    <w:snapToGrid w:val="0"/>
                    <w:jc w:val="center"/>
                    <w:rPr>
                      <w:b/>
                      <w:color w:val="auto"/>
                    </w:rPr>
                  </w:pPr>
                  <w:r>
                    <w:rPr>
                      <w:b/>
                      <w:color w:val="auto"/>
                    </w:rPr>
                    <w:t>序号</w:t>
                  </w:r>
                </w:p>
              </w:tc>
              <w:tc>
                <w:tcPr>
                  <w:tcW w:w="938" w:type="pct"/>
                  <w:vAlign w:val="center"/>
                </w:tcPr>
                <w:p>
                  <w:pPr>
                    <w:adjustRightInd w:val="0"/>
                    <w:snapToGrid w:val="0"/>
                    <w:jc w:val="center"/>
                    <w:rPr>
                      <w:b/>
                      <w:color w:val="auto"/>
                    </w:rPr>
                  </w:pPr>
                  <w:r>
                    <w:rPr>
                      <w:b/>
                      <w:color w:val="auto"/>
                    </w:rPr>
                    <w:t>设备名称</w:t>
                  </w:r>
                </w:p>
              </w:tc>
              <w:tc>
                <w:tcPr>
                  <w:tcW w:w="420" w:type="pct"/>
                  <w:vAlign w:val="center"/>
                </w:tcPr>
                <w:p>
                  <w:pPr>
                    <w:adjustRightInd w:val="0"/>
                    <w:snapToGrid w:val="0"/>
                    <w:jc w:val="center"/>
                    <w:rPr>
                      <w:b/>
                      <w:color w:val="auto"/>
                    </w:rPr>
                  </w:pPr>
                  <w:r>
                    <w:rPr>
                      <w:b/>
                      <w:color w:val="auto"/>
                    </w:rPr>
                    <w:t>数量</w:t>
                  </w:r>
                </w:p>
              </w:tc>
              <w:tc>
                <w:tcPr>
                  <w:tcW w:w="696" w:type="pct"/>
                  <w:vAlign w:val="center"/>
                </w:tcPr>
                <w:p>
                  <w:pPr>
                    <w:adjustRightInd w:val="0"/>
                    <w:snapToGrid w:val="0"/>
                    <w:jc w:val="center"/>
                    <w:rPr>
                      <w:b/>
                      <w:color w:val="auto"/>
                    </w:rPr>
                  </w:pPr>
                  <w:r>
                    <w:rPr>
                      <w:b/>
                      <w:color w:val="auto"/>
                    </w:rPr>
                    <w:t>声级范围（1m处）</w:t>
                  </w:r>
                </w:p>
              </w:tc>
              <w:tc>
                <w:tcPr>
                  <w:tcW w:w="608" w:type="pct"/>
                  <w:vAlign w:val="center"/>
                </w:tcPr>
                <w:p>
                  <w:pPr>
                    <w:adjustRightInd w:val="0"/>
                    <w:snapToGrid w:val="0"/>
                    <w:jc w:val="center"/>
                    <w:rPr>
                      <w:b/>
                      <w:color w:val="auto"/>
                    </w:rPr>
                  </w:pPr>
                  <w:r>
                    <w:rPr>
                      <w:b/>
                      <w:color w:val="auto"/>
                    </w:rPr>
                    <w:t>叠加设备噪声级dB（A）</w:t>
                  </w:r>
                </w:p>
              </w:tc>
              <w:tc>
                <w:tcPr>
                  <w:tcW w:w="608" w:type="pct"/>
                  <w:vAlign w:val="center"/>
                </w:tcPr>
                <w:p>
                  <w:pPr>
                    <w:adjustRightInd w:val="0"/>
                    <w:snapToGrid w:val="0"/>
                    <w:jc w:val="center"/>
                    <w:rPr>
                      <w:b/>
                      <w:color w:val="auto"/>
                    </w:rPr>
                  </w:pPr>
                  <w:r>
                    <w:rPr>
                      <w:b/>
                      <w:color w:val="auto"/>
                    </w:rPr>
                    <w:t>降噪措施</w:t>
                  </w:r>
                </w:p>
              </w:tc>
              <w:tc>
                <w:tcPr>
                  <w:tcW w:w="609" w:type="pct"/>
                  <w:vAlign w:val="center"/>
                </w:tcPr>
                <w:p>
                  <w:pPr>
                    <w:adjustRightInd w:val="0"/>
                    <w:snapToGrid w:val="0"/>
                    <w:jc w:val="center"/>
                    <w:rPr>
                      <w:b/>
                      <w:color w:val="auto"/>
                    </w:rPr>
                  </w:pPr>
                  <w:r>
                    <w:rPr>
                      <w:b/>
                      <w:color w:val="auto"/>
                    </w:rPr>
                    <w:t>降噪后叠加声压值dB（A）</w:t>
                  </w:r>
                </w:p>
              </w:tc>
              <w:tc>
                <w:tcPr>
                  <w:tcW w:w="756" w:type="pct"/>
                  <w:vAlign w:val="center"/>
                </w:tcPr>
                <w:p>
                  <w:pPr>
                    <w:adjustRightInd w:val="0"/>
                    <w:snapToGrid w:val="0"/>
                    <w:jc w:val="center"/>
                    <w:rPr>
                      <w:b/>
                      <w:color w:val="auto"/>
                    </w:rPr>
                  </w:pPr>
                  <w:r>
                    <w:rPr>
                      <w:b/>
                      <w:bCs/>
                      <w:color w:val="auto"/>
                    </w:rPr>
                    <w:t>工作时段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361" w:type="pct"/>
                  <w:vAlign w:val="center"/>
                </w:tcPr>
                <w:p>
                  <w:pPr>
                    <w:adjustRightInd w:val="0"/>
                    <w:snapToGrid w:val="0"/>
                    <w:jc w:val="center"/>
                    <w:rPr>
                      <w:color w:val="auto"/>
                    </w:rPr>
                  </w:pPr>
                  <w:r>
                    <w:rPr>
                      <w:color w:val="auto"/>
                    </w:rPr>
                    <w:t>1</w:t>
                  </w:r>
                </w:p>
              </w:tc>
              <w:tc>
                <w:tcPr>
                  <w:tcW w:w="938" w:type="pct"/>
                  <w:vAlign w:val="center"/>
                </w:tcPr>
                <w:p>
                  <w:pPr>
                    <w:adjustRightInd w:val="0"/>
                    <w:snapToGrid w:val="0"/>
                    <w:spacing w:before="120" w:beforeLines="50" w:line="360" w:lineRule="auto"/>
                    <w:jc w:val="center"/>
                    <w:rPr>
                      <w:color w:val="auto"/>
                    </w:rPr>
                  </w:pPr>
                  <w:r>
                    <w:rPr>
                      <w:rFonts w:hint="eastAsia"/>
                      <w:color w:val="auto"/>
                    </w:rPr>
                    <w:t>密炼机</w:t>
                  </w:r>
                </w:p>
              </w:tc>
              <w:tc>
                <w:tcPr>
                  <w:tcW w:w="420" w:type="pct"/>
                  <w:vAlign w:val="center"/>
                </w:tcPr>
                <w:p>
                  <w:pPr>
                    <w:widowControl/>
                    <w:adjustRightInd w:val="0"/>
                    <w:snapToGrid w:val="0"/>
                    <w:jc w:val="center"/>
                    <w:rPr>
                      <w:color w:val="auto"/>
                    </w:rPr>
                  </w:pPr>
                  <w:r>
                    <w:rPr>
                      <w:rFonts w:hint="eastAsia"/>
                      <w:color w:val="auto"/>
                    </w:rPr>
                    <w:t>10</w:t>
                  </w:r>
                  <w:r>
                    <w:rPr>
                      <w:color w:val="auto"/>
                    </w:rPr>
                    <w:t>台</w:t>
                  </w:r>
                </w:p>
              </w:tc>
              <w:tc>
                <w:tcPr>
                  <w:tcW w:w="696" w:type="pct"/>
                  <w:vAlign w:val="center"/>
                </w:tcPr>
                <w:p>
                  <w:pPr>
                    <w:adjustRightInd w:val="0"/>
                    <w:snapToGrid w:val="0"/>
                    <w:jc w:val="center"/>
                    <w:rPr>
                      <w:color w:val="auto"/>
                    </w:rPr>
                  </w:pPr>
                  <w:r>
                    <w:rPr>
                      <w:color w:val="auto"/>
                    </w:rPr>
                    <w:t>75</w:t>
                  </w:r>
                </w:p>
              </w:tc>
              <w:tc>
                <w:tcPr>
                  <w:tcW w:w="608" w:type="pct"/>
                  <w:vAlign w:val="center"/>
                </w:tcPr>
                <w:p>
                  <w:pPr>
                    <w:adjustRightInd w:val="0"/>
                    <w:snapToGrid w:val="0"/>
                    <w:jc w:val="center"/>
                    <w:rPr>
                      <w:color w:val="auto"/>
                    </w:rPr>
                  </w:pPr>
                  <w:r>
                    <w:rPr>
                      <w:rFonts w:hint="eastAsia"/>
                      <w:color w:val="auto"/>
                    </w:rPr>
                    <w:t>82</w:t>
                  </w:r>
                </w:p>
              </w:tc>
              <w:tc>
                <w:tcPr>
                  <w:tcW w:w="608" w:type="pct"/>
                  <w:vMerge w:val="restart"/>
                  <w:vAlign w:val="center"/>
                </w:tcPr>
                <w:p>
                  <w:pPr>
                    <w:adjustRightInd w:val="0"/>
                    <w:snapToGrid w:val="0"/>
                    <w:jc w:val="center"/>
                    <w:rPr>
                      <w:color w:val="auto"/>
                    </w:rPr>
                  </w:pPr>
                  <w:r>
                    <w:rPr>
                      <w:color w:val="auto"/>
                    </w:rPr>
                    <w:t>选用低噪声设备、隔声减振，削减量</w:t>
                  </w:r>
                  <w:r>
                    <w:rPr>
                      <w:rFonts w:hint="eastAsia"/>
                      <w:color w:val="auto"/>
                    </w:rPr>
                    <w:t>30</w:t>
                  </w:r>
                  <w:r>
                    <w:rPr>
                      <w:color w:val="auto"/>
                    </w:rPr>
                    <w:t>dB（A）</w:t>
                  </w:r>
                </w:p>
              </w:tc>
              <w:tc>
                <w:tcPr>
                  <w:tcW w:w="609" w:type="pct"/>
                  <w:vAlign w:val="center"/>
                </w:tcPr>
                <w:p>
                  <w:pPr>
                    <w:adjustRightInd w:val="0"/>
                    <w:snapToGrid w:val="0"/>
                    <w:jc w:val="center"/>
                    <w:rPr>
                      <w:color w:val="auto"/>
                    </w:rPr>
                  </w:pPr>
                  <w:r>
                    <w:rPr>
                      <w:rFonts w:hint="eastAsia"/>
                      <w:color w:val="auto"/>
                    </w:rPr>
                    <w:t>52</w:t>
                  </w:r>
                </w:p>
              </w:tc>
              <w:tc>
                <w:tcPr>
                  <w:tcW w:w="756" w:type="pct"/>
                  <w:vMerge w:val="restart"/>
                  <w:vAlign w:val="center"/>
                </w:tcPr>
                <w:p>
                  <w:pPr>
                    <w:adjustRightInd w:val="0"/>
                    <w:snapToGrid w:val="0"/>
                    <w:jc w:val="center"/>
                    <w:rPr>
                      <w:color w:val="auto"/>
                    </w:rPr>
                  </w:pPr>
                  <w:r>
                    <w:rPr>
                      <w:color w:val="auto"/>
                    </w:rPr>
                    <w:t>昼间8时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361" w:type="pct"/>
                  <w:vAlign w:val="center"/>
                </w:tcPr>
                <w:p>
                  <w:pPr>
                    <w:adjustRightInd w:val="0"/>
                    <w:snapToGrid w:val="0"/>
                    <w:jc w:val="center"/>
                    <w:rPr>
                      <w:color w:val="auto"/>
                    </w:rPr>
                  </w:pPr>
                  <w:r>
                    <w:rPr>
                      <w:rFonts w:hint="eastAsia"/>
                      <w:color w:val="auto"/>
                    </w:rPr>
                    <w:t>2</w:t>
                  </w:r>
                </w:p>
              </w:tc>
              <w:tc>
                <w:tcPr>
                  <w:tcW w:w="938" w:type="pct"/>
                  <w:vAlign w:val="center"/>
                </w:tcPr>
                <w:p>
                  <w:pPr>
                    <w:adjustRightInd w:val="0"/>
                    <w:snapToGrid w:val="0"/>
                    <w:spacing w:before="120" w:beforeLines="50" w:line="360" w:lineRule="auto"/>
                    <w:jc w:val="center"/>
                    <w:rPr>
                      <w:bCs/>
                      <w:color w:val="auto"/>
                    </w:rPr>
                  </w:pPr>
                  <w:r>
                    <w:rPr>
                      <w:rFonts w:hint="eastAsia"/>
                      <w:bCs/>
                      <w:color w:val="auto"/>
                    </w:rPr>
                    <w:t>开炼机</w:t>
                  </w:r>
                </w:p>
              </w:tc>
              <w:tc>
                <w:tcPr>
                  <w:tcW w:w="420" w:type="pct"/>
                  <w:vAlign w:val="center"/>
                </w:tcPr>
                <w:p>
                  <w:pPr>
                    <w:widowControl/>
                    <w:adjustRightInd w:val="0"/>
                    <w:snapToGrid w:val="0"/>
                    <w:jc w:val="center"/>
                    <w:rPr>
                      <w:color w:val="auto"/>
                    </w:rPr>
                  </w:pPr>
                  <w:r>
                    <w:rPr>
                      <w:rFonts w:hint="eastAsia"/>
                      <w:color w:val="auto"/>
                    </w:rPr>
                    <w:t>13台</w:t>
                  </w:r>
                </w:p>
              </w:tc>
              <w:tc>
                <w:tcPr>
                  <w:tcW w:w="696" w:type="pct"/>
                  <w:vAlign w:val="center"/>
                </w:tcPr>
                <w:p>
                  <w:pPr>
                    <w:adjustRightInd w:val="0"/>
                    <w:snapToGrid w:val="0"/>
                    <w:jc w:val="center"/>
                    <w:rPr>
                      <w:color w:val="auto"/>
                    </w:rPr>
                  </w:pPr>
                  <w:r>
                    <w:rPr>
                      <w:rFonts w:hint="eastAsia"/>
                      <w:color w:val="auto"/>
                    </w:rPr>
                    <w:t>75</w:t>
                  </w:r>
                </w:p>
              </w:tc>
              <w:tc>
                <w:tcPr>
                  <w:tcW w:w="608" w:type="pct"/>
                  <w:vAlign w:val="center"/>
                </w:tcPr>
                <w:p>
                  <w:pPr>
                    <w:adjustRightInd w:val="0"/>
                    <w:snapToGrid w:val="0"/>
                    <w:jc w:val="center"/>
                    <w:rPr>
                      <w:color w:val="auto"/>
                    </w:rPr>
                  </w:pPr>
                  <w:r>
                    <w:rPr>
                      <w:rFonts w:hint="eastAsia"/>
                      <w:color w:val="auto"/>
                    </w:rPr>
                    <w:t>86.1</w:t>
                  </w:r>
                </w:p>
              </w:tc>
              <w:tc>
                <w:tcPr>
                  <w:tcW w:w="608" w:type="pct"/>
                  <w:vMerge w:val="continue"/>
                  <w:vAlign w:val="center"/>
                </w:tcPr>
                <w:p>
                  <w:pPr>
                    <w:adjustRightInd w:val="0"/>
                    <w:snapToGrid w:val="0"/>
                    <w:jc w:val="center"/>
                    <w:rPr>
                      <w:color w:val="auto"/>
                    </w:rPr>
                  </w:pPr>
                </w:p>
              </w:tc>
              <w:tc>
                <w:tcPr>
                  <w:tcW w:w="609" w:type="pct"/>
                  <w:vAlign w:val="center"/>
                </w:tcPr>
                <w:p>
                  <w:pPr>
                    <w:adjustRightInd w:val="0"/>
                    <w:snapToGrid w:val="0"/>
                    <w:jc w:val="center"/>
                    <w:rPr>
                      <w:color w:val="auto"/>
                    </w:rPr>
                  </w:pPr>
                  <w:r>
                    <w:rPr>
                      <w:rFonts w:hint="eastAsia"/>
                      <w:color w:val="auto"/>
                    </w:rPr>
                    <w:t>56.1</w:t>
                  </w:r>
                </w:p>
              </w:tc>
              <w:tc>
                <w:tcPr>
                  <w:tcW w:w="756" w:type="pct"/>
                  <w:vMerge w:val="continue"/>
                  <w:vAlign w:val="center"/>
                </w:tcPr>
                <w:p>
                  <w:pPr>
                    <w:adjustRightInd w:val="0"/>
                    <w:snapToGrid w:val="0"/>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361" w:type="pct"/>
                  <w:vAlign w:val="center"/>
                </w:tcPr>
                <w:p>
                  <w:pPr>
                    <w:adjustRightInd w:val="0"/>
                    <w:snapToGrid w:val="0"/>
                    <w:jc w:val="center"/>
                    <w:rPr>
                      <w:color w:val="auto"/>
                    </w:rPr>
                  </w:pPr>
                  <w:r>
                    <w:rPr>
                      <w:color w:val="auto"/>
                    </w:rPr>
                    <w:t>2</w:t>
                  </w:r>
                </w:p>
              </w:tc>
              <w:tc>
                <w:tcPr>
                  <w:tcW w:w="938" w:type="pct"/>
                  <w:vAlign w:val="center"/>
                </w:tcPr>
                <w:p>
                  <w:pPr>
                    <w:adjustRightInd w:val="0"/>
                    <w:snapToGrid w:val="0"/>
                    <w:spacing w:before="120" w:beforeLines="50" w:line="360" w:lineRule="auto"/>
                    <w:jc w:val="center"/>
                    <w:rPr>
                      <w:bCs/>
                      <w:color w:val="auto"/>
                    </w:rPr>
                  </w:pPr>
                  <w:r>
                    <w:rPr>
                      <w:rFonts w:hint="eastAsia"/>
                      <w:bCs/>
                      <w:color w:val="auto"/>
                    </w:rPr>
                    <w:t>过滤</w:t>
                  </w:r>
                  <w:r>
                    <w:rPr>
                      <w:bCs/>
                      <w:color w:val="auto"/>
                    </w:rPr>
                    <w:t>机</w:t>
                  </w:r>
                </w:p>
              </w:tc>
              <w:tc>
                <w:tcPr>
                  <w:tcW w:w="420" w:type="pct"/>
                  <w:vAlign w:val="center"/>
                </w:tcPr>
                <w:p>
                  <w:pPr>
                    <w:widowControl/>
                    <w:adjustRightInd w:val="0"/>
                    <w:snapToGrid w:val="0"/>
                    <w:jc w:val="center"/>
                    <w:rPr>
                      <w:color w:val="auto"/>
                    </w:rPr>
                  </w:pPr>
                  <w:r>
                    <w:rPr>
                      <w:rFonts w:hint="eastAsia"/>
                      <w:color w:val="auto"/>
                    </w:rPr>
                    <w:t>6</w:t>
                  </w:r>
                  <w:r>
                    <w:rPr>
                      <w:color w:val="auto"/>
                    </w:rPr>
                    <w:t>台</w:t>
                  </w:r>
                </w:p>
              </w:tc>
              <w:tc>
                <w:tcPr>
                  <w:tcW w:w="696" w:type="pct"/>
                  <w:vAlign w:val="center"/>
                </w:tcPr>
                <w:p>
                  <w:pPr>
                    <w:adjustRightInd w:val="0"/>
                    <w:snapToGrid w:val="0"/>
                    <w:jc w:val="center"/>
                    <w:rPr>
                      <w:color w:val="auto"/>
                    </w:rPr>
                  </w:pPr>
                  <w:r>
                    <w:rPr>
                      <w:rFonts w:hint="eastAsia"/>
                      <w:color w:val="auto"/>
                    </w:rPr>
                    <w:t>75</w:t>
                  </w:r>
                </w:p>
              </w:tc>
              <w:tc>
                <w:tcPr>
                  <w:tcW w:w="608" w:type="pct"/>
                  <w:vAlign w:val="center"/>
                </w:tcPr>
                <w:p>
                  <w:pPr>
                    <w:adjustRightInd w:val="0"/>
                    <w:snapToGrid w:val="0"/>
                    <w:jc w:val="center"/>
                    <w:rPr>
                      <w:color w:val="auto"/>
                    </w:rPr>
                  </w:pPr>
                  <w:r>
                    <w:rPr>
                      <w:rFonts w:hint="eastAsia"/>
                      <w:color w:val="auto"/>
                    </w:rPr>
                    <w:t>84.5</w:t>
                  </w:r>
                </w:p>
              </w:tc>
              <w:tc>
                <w:tcPr>
                  <w:tcW w:w="608" w:type="pct"/>
                  <w:vMerge w:val="continue"/>
                  <w:vAlign w:val="center"/>
                </w:tcPr>
                <w:p>
                  <w:pPr>
                    <w:adjustRightInd w:val="0"/>
                    <w:snapToGrid w:val="0"/>
                    <w:jc w:val="center"/>
                    <w:rPr>
                      <w:color w:val="auto"/>
                    </w:rPr>
                  </w:pPr>
                </w:p>
              </w:tc>
              <w:tc>
                <w:tcPr>
                  <w:tcW w:w="609" w:type="pct"/>
                  <w:vAlign w:val="center"/>
                </w:tcPr>
                <w:p>
                  <w:pPr>
                    <w:adjustRightInd w:val="0"/>
                    <w:snapToGrid w:val="0"/>
                    <w:jc w:val="center"/>
                    <w:rPr>
                      <w:color w:val="auto"/>
                    </w:rPr>
                  </w:pPr>
                  <w:r>
                    <w:rPr>
                      <w:rFonts w:hint="eastAsia"/>
                      <w:color w:val="auto"/>
                    </w:rPr>
                    <w:t>54.5</w:t>
                  </w:r>
                </w:p>
              </w:tc>
              <w:tc>
                <w:tcPr>
                  <w:tcW w:w="756" w:type="pct"/>
                  <w:vMerge w:val="continue"/>
                  <w:vAlign w:val="center"/>
                </w:tcPr>
                <w:p>
                  <w:pPr>
                    <w:adjustRightInd w:val="0"/>
                    <w:snapToGrid w:val="0"/>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361" w:type="pct"/>
                  <w:vAlign w:val="center"/>
                </w:tcPr>
                <w:p>
                  <w:pPr>
                    <w:adjustRightInd w:val="0"/>
                    <w:snapToGrid w:val="0"/>
                    <w:jc w:val="center"/>
                    <w:rPr>
                      <w:color w:val="auto"/>
                    </w:rPr>
                  </w:pPr>
                  <w:r>
                    <w:rPr>
                      <w:color w:val="auto"/>
                    </w:rPr>
                    <w:t>3</w:t>
                  </w:r>
                </w:p>
              </w:tc>
              <w:tc>
                <w:tcPr>
                  <w:tcW w:w="938" w:type="pct"/>
                  <w:vAlign w:val="center"/>
                </w:tcPr>
                <w:p>
                  <w:pPr>
                    <w:adjustRightInd w:val="0"/>
                    <w:snapToGrid w:val="0"/>
                    <w:spacing w:before="120" w:beforeLines="50" w:line="360" w:lineRule="auto"/>
                    <w:jc w:val="center"/>
                    <w:rPr>
                      <w:bCs/>
                      <w:color w:val="auto"/>
                    </w:rPr>
                  </w:pPr>
                  <w:r>
                    <w:rPr>
                      <w:rFonts w:hint="eastAsia"/>
                      <w:bCs/>
                      <w:color w:val="auto"/>
                    </w:rPr>
                    <w:t>胶片冷却机</w:t>
                  </w:r>
                </w:p>
              </w:tc>
              <w:tc>
                <w:tcPr>
                  <w:tcW w:w="420" w:type="pct"/>
                  <w:vAlign w:val="center"/>
                </w:tcPr>
                <w:p>
                  <w:pPr>
                    <w:widowControl/>
                    <w:adjustRightInd w:val="0"/>
                    <w:snapToGrid w:val="0"/>
                    <w:jc w:val="center"/>
                    <w:rPr>
                      <w:color w:val="auto"/>
                    </w:rPr>
                  </w:pPr>
                  <w:r>
                    <w:rPr>
                      <w:rFonts w:hint="eastAsia"/>
                      <w:color w:val="auto"/>
                    </w:rPr>
                    <w:t>8</w:t>
                  </w:r>
                  <w:r>
                    <w:rPr>
                      <w:color w:val="auto"/>
                    </w:rPr>
                    <w:t>台</w:t>
                  </w:r>
                </w:p>
              </w:tc>
              <w:tc>
                <w:tcPr>
                  <w:tcW w:w="696" w:type="pct"/>
                  <w:vAlign w:val="center"/>
                </w:tcPr>
                <w:p>
                  <w:pPr>
                    <w:adjustRightInd w:val="0"/>
                    <w:snapToGrid w:val="0"/>
                    <w:jc w:val="center"/>
                    <w:rPr>
                      <w:color w:val="auto"/>
                    </w:rPr>
                  </w:pPr>
                  <w:r>
                    <w:rPr>
                      <w:rFonts w:hint="eastAsia"/>
                      <w:color w:val="auto"/>
                    </w:rPr>
                    <w:t>70</w:t>
                  </w:r>
                </w:p>
              </w:tc>
              <w:tc>
                <w:tcPr>
                  <w:tcW w:w="608" w:type="pct"/>
                  <w:vAlign w:val="center"/>
                </w:tcPr>
                <w:p>
                  <w:pPr>
                    <w:adjustRightInd w:val="0"/>
                    <w:snapToGrid w:val="0"/>
                    <w:jc w:val="center"/>
                    <w:rPr>
                      <w:color w:val="auto"/>
                    </w:rPr>
                  </w:pPr>
                  <w:r>
                    <w:rPr>
                      <w:rFonts w:hint="eastAsia"/>
                      <w:color w:val="auto"/>
                    </w:rPr>
                    <w:t>79.5</w:t>
                  </w:r>
                </w:p>
              </w:tc>
              <w:tc>
                <w:tcPr>
                  <w:tcW w:w="608" w:type="pct"/>
                  <w:vMerge w:val="continue"/>
                  <w:vAlign w:val="center"/>
                </w:tcPr>
                <w:p>
                  <w:pPr>
                    <w:adjustRightInd w:val="0"/>
                    <w:snapToGrid w:val="0"/>
                    <w:jc w:val="center"/>
                    <w:rPr>
                      <w:color w:val="auto"/>
                    </w:rPr>
                  </w:pPr>
                </w:p>
              </w:tc>
              <w:tc>
                <w:tcPr>
                  <w:tcW w:w="609" w:type="pct"/>
                  <w:vAlign w:val="center"/>
                </w:tcPr>
                <w:p>
                  <w:pPr>
                    <w:adjustRightInd w:val="0"/>
                    <w:snapToGrid w:val="0"/>
                    <w:jc w:val="center"/>
                    <w:rPr>
                      <w:color w:val="auto"/>
                    </w:rPr>
                  </w:pPr>
                  <w:r>
                    <w:rPr>
                      <w:rFonts w:hint="eastAsia"/>
                      <w:color w:val="auto"/>
                    </w:rPr>
                    <w:t>49.5</w:t>
                  </w:r>
                </w:p>
              </w:tc>
              <w:tc>
                <w:tcPr>
                  <w:tcW w:w="756" w:type="pct"/>
                  <w:vMerge w:val="continue"/>
                  <w:vAlign w:val="center"/>
                </w:tcPr>
                <w:p>
                  <w:pPr>
                    <w:spacing w:before="120" w:beforeLines="50"/>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361" w:type="pct"/>
                  <w:vAlign w:val="center"/>
                </w:tcPr>
                <w:p>
                  <w:pPr>
                    <w:adjustRightInd w:val="0"/>
                    <w:snapToGrid w:val="0"/>
                    <w:jc w:val="center"/>
                    <w:rPr>
                      <w:color w:val="auto"/>
                    </w:rPr>
                  </w:pPr>
                  <w:r>
                    <w:rPr>
                      <w:color w:val="auto"/>
                    </w:rPr>
                    <w:t>4</w:t>
                  </w:r>
                </w:p>
              </w:tc>
              <w:tc>
                <w:tcPr>
                  <w:tcW w:w="938" w:type="pct"/>
                  <w:vAlign w:val="center"/>
                </w:tcPr>
                <w:p>
                  <w:pPr>
                    <w:adjustRightInd w:val="0"/>
                    <w:snapToGrid w:val="0"/>
                    <w:spacing w:before="120" w:beforeLines="50" w:line="360" w:lineRule="auto"/>
                    <w:jc w:val="center"/>
                    <w:rPr>
                      <w:bCs/>
                      <w:color w:val="auto"/>
                    </w:rPr>
                  </w:pPr>
                  <w:r>
                    <w:rPr>
                      <w:rFonts w:hint="eastAsia"/>
                      <w:bCs/>
                      <w:color w:val="auto"/>
                    </w:rPr>
                    <w:t>切胶机</w:t>
                  </w:r>
                </w:p>
              </w:tc>
              <w:tc>
                <w:tcPr>
                  <w:tcW w:w="420" w:type="pct"/>
                  <w:vAlign w:val="center"/>
                </w:tcPr>
                <w:p>
                  <w:pPr>
                    <w:widowControl/>
                    <w:adjustRightInd w:val="0"/>
                    <w:snapToGrid w:val="0"/>
                    <w:jc w:val="center"/>
                    <w:rPr>
                      <w:color w:val="auto"/>
                    </w:rPr>
                  </w:pPr>
                  <w:r>
                    <w:rPr>
                      <w:rFonts w:hint="eastAsia"/>
                      <w:color w:val="auto"/>
                    </w:rPr>
                    <w:t>8</w:t>
                  </w:r>
                  <w:r>
                    <w:rPr>
                      <w:color w:val="auto"/>
                    </w:rPr>
                    <w:t>台</w:t>
                  </w:r>
                </w:p>
              </w:tc>
              <w:tc>
                <w:tcPr>
                  <w:tcW w:w="696" w:type="pct"/>
                  <w:vAlign w:val="center"/>
                </w:tcPr>
                <w:p>
                  <w:pPr>
                    <w:adjustRightInd w:val="0"/>
                    <w:snapToGrid w:val="0"/>
                    <w:jc w:val="center"/>
                    <w:rPr>
                      <w:color w:val="auto"/>
                    </w:rPr>
                  </w:pPr>
                  <w:r>
                    <w:rPr>
                      <w:color w:val="auto"/>
                    </w:rPr>
                    <w:t>75</w:t>
                  </w:r>
                </w:p>
              </w:tc>
              <w:tc>
                <w:tcPr>
                  <w:tcW w:w="608" w:type="pct"/>
                  <w:vAlign w:val="center"/>
                </w:tcPr>
                <w:p>
                  <w:pPr>
                    <w:adjustRightInd w:val="0"/>
                    <w:snapToGrid w:val="0"/>
                    <w:jc w:val="center"/>
                    <w:rPr>
                      <w:color w:val="auto"/>
                    </w:rPr>
                  </w:pPr>
                  <w:r>
                    <w:rPr>
                      <w:rFonts w:hint="eastAsia"/>
                      <w:color w:val="auto"/>
                    </w:rPr>
                    <w:t>84.5</w:t>
                  </w:r>
                </w:p>
              </w:tc>
              <w:tc>
                <w:tcPr>
                  <w:tcW w:w="608" w:type="pct"/>
                  <w:vMerge w:val="continue"/>
                  <w:vAlign w:val="center"/>
                </w:tcPr>
                <w:p>
                  <w:pPr>
                    <w:adjustRightInd w:val="0"/>
                    <w:snapToGrid w:val="0"/>
                    <w:jc w:val="center"/>
                    <w:rPr>
                      <w:color w:val="auto"/>
                    </w:rPr>
                  </w:pPr>
                </w:p>
              </w:tc>
              <w:tc>
                <w:tcPr>
                  <w:tcW w:w="609" w:type="pct"/>
                  <w:vAlign w:val="center"/>
                </w:tcPr>
                <w:p>
                  <w:pPr>
                    <w:adjustRightInd w:val="0"/>
                    <w:snapToGrid w:val="0"/>
                    <w:jc w:val="center"/>
                    <w:rPr>
                      <w:color w:val="auto"/>
                    </w:rPr>
                  </w:pPr>
                  <w:r>
                    <w:rPr>
                      <w:rFonts w:hint="eastAsia"/>
                      <w:color w:val="auto"/>
                    </w:rPr>
                    <w:t>54.5</w:t>
                  </w:r>
                </w:p>
              </w:tc>
              <w:tc>
                <w:tcPr>
                  <w:tcW w:w="756" w:type="pct"/>
                  <w:vMerge w:val="continue"/>
                  <w:vAlign w:val="center"/>
                </w:tcPr>
                <w:p>
                  <w:pPr>
                    <w:spacing w:before="120" w:beforeLines="50"/>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361" w:type="pct"/>
                  <w:vAlign w:val="center"/>
                </w:tcPr>
                <w:p>
                  <w:pPr>
                    <w:adjustRightInd w:val="0"/>
                    <w:snapToGrid w:val="0"/>
                    <w:jc w:val="center"/>
                    <w:rPr>
                      <w:color w:val="auto"/>
                    </w:rPr>
                  </w:pPr>
                  <w:r>
                    <w:rPr>
                      <w:color w:val="auto"/>
                    </w:rPr>
                    <w:t>5</w:t>
                  </w:r>
                </w:p>
              </w:tc>
              <w:tc>
                <w:tcPr>
                  <w:tcW w:w="938" w:type="pct"/>
                  <w:vAlign w:val="center"/>
                </w:tcPr>
                <w:p>
                  <w:pPr>
                    <w:adjustRightInd w:val="0"/>
                    <w:snapToGrid w:val="0"/>
                    <w:spacing w:before="120" w:beforeLines="50" w:line="360" w:lineRule="auto"/>
                    <w:jc w:val="center"/>
                    <w:rPr>
                      <w:bCs/>
                      <w:color w:val="auto"/>
                    </w:rPr>
                  </w:pPr>
                  <w:r>
                    <w:rPr>
                      <w:rFonts w:hint="eastAsia"/>
                      <w:bCs/>
                      <w:color w:val="auto"/>
                    </w:rPr>
                    <w:t>提升机</w:t>
                  </w:r>
                </w:p>
              </w:tc>
              <w:tc>
                <w:tcPr>
                  <w:tcW w:w="420" w:type="pct"/>
                  <w:vAlign w:val="center"/>
                </w:tcPr>
                <w:p>
                  <w:pPr>
                    <w:widowControl/>
                    <w:adjustRightInd w:val="0"/>
                    <w:snapToGrid w:val="0"/>
                    <w:jc w:val="center"/>
                    <w:rPr>
                      <w:color w:val="auto"/>
                    </w:rPr>
                  </w:pPr>
                  <w:r>
                    <w:rPr>
                      <w:rFonts w:hint="eastAsia"/>
                      <w:color w:val="auto"/>
                    </w:rPr>
                    <w:t>6</w:t>
                  </w:r>
                  <w:r>
                    <w:rPr>
                      <w:color w:val="auto"/>
                    </w:rPr>
                    <w:t>台</w:t>
                  </w:r>
                </w:p>
              </w:tc>
              <w:tc>
                <w:tcPr>
                  <w:tcW w:w="696" w:type="pct"/>
                  <w:vAlign w:val="center"/>
                </w:tcPr>
                <w:p>
                  <w:pPr>
                    <w:adjustRightInd w:val="0"/>
                    <w:snapToGrid w:val="0"/>
                    <w:jc w:val="center"/>
                    <w:rPr>
                      <w:color w:val="auto"/>
                    </w:rPr>
                  </w:pPr>
                  <w:r>
                    <w:rPr>
                      <w:rFonts w:hint="eastAsia"/>
                      <w:color w:val="auto"/>
                    </w:rPr>
                    <w:t>70</w:t>
                  </w:r>
                </w:p>
              </w:tc>
              <w:tc>
                <w:tcPr>
                  <w:tcW w:w="608" w:type="pct"/>
                  <w:vAlign w:val="center"/>
                </w:tcPr>
                <w:p>
                  <w:pPr>
                    <w:adjustRightInd w:val="0"/>
                    <w:snapToGrid w:val="0"/>
                    <w:jc w:val="center"/>
                    <w:rPr>
                      <w:color w:val="auto"/>
                    </w:rPr>
                  </w:pPr>
                  <w:r>
                    <w:rPr>
                      <w:rFonts w:hint="eastAsia"/>
                      <w:color w:val="auto"/>
                    </w:rPr>
                    <w:t>79.5</w:t>
                  </w:r>
                </w:p>
              </w:tc>
              <w:tc>
                <w:tcPr>
                  <w:tcW w:w="608" w:type="pct"/>
                  <w:vMerge w:val="continue"/>
                  <w:vAlign w:val="center"/>
                </w:tcPr>
                <w:p>
                  <w:pPr>
                    <w:adjustRightInd w:val="0"/>
                    <w:snapToGrid w:val="0"/>
                    <w:jc w:val="center"/>
                    <w:rPr>
                      <w:color w:val="auto"/>
                    </w:rPr>
                  </w:pPr>
                </w:p>
              </w:tc>
              <w:tc>
                <w:tcPr>
                  <w:tcW w:w="609" w:type="pct"/>
                  <w:vAlign w:val="center"/>
                </w:tcPr>
                <w:p>
                  <w:pPr>
                    <w:adjustRightInd w:val="0"/>
                    <w:snapToGrid w:val="0"/>
                    <w:jc w:val="center"/>
                    <w:rPr>
                      <w:color w:val="auto"/>
                    </w:rPr>
                  </w:pPr>
                  <w:r>
                    <w:rPr>
                      <w:rFonts w:hint="eastAsia"/>
                      <w:color w:val="auto"/>
                    </w:rPr>
                    <w:t>49.5</w:t>
                  </w:r>
                </w:p>
              </w:tc>
              <w:tc>
                <w:tcPr>
                  <w:tcW w:w="756" w:type="pct"/>
                  <w:vMerge w:val="continue"/>
                  <w:vAlign w:val="center"/>
                </w:tcPr>
                <w:p>
                  <w:pPr>
                    <w:spacing w:before="120" w:beforeLines="50"/>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361" w:type="pct"/>
                  <w:vAlign w:val="center"/>
                </w:tcPr>
                <w:p>
                  <w:pPr>
                    <w:adjustRightInd w:val="0"/>
                    <w:snapToGrid w:val="0"/>
                    <w:jc w:val="center"/>
                    <w:rPr>
                      <w:color w:val="auto"/>
                    </w:rPr>
                  </w:pPr>
                  <w:r>
                    <w:rPr>
                      <w:color w:val="auto"/>
                    </w:rPr>
                    <w:t>6</w:t>
                  </w:r>
                </w:p>
              </w:tc>
              <w:tc>
                <w:tcPr>
                  <w:tcW w:w="938" w:type="pct"/>
                  <w:vAlign w:val="center"/>
                </w:tcPr>
                <w:p>
                  <w:pPr>
                    <w:adjustRightInd w:val="0"/>
                    <w:snapToGrid w:val="0"/>
                    <w:spacing w:before="120" w:beforeLines="50" w:line="360" w:lineRule="auto"/>
                    <w:jc w:val="center"/>
                    <w:rPr>
                      <w:bCs/>
                      <w:color w:val="auto"/>
                    </w:rPr>
                  </w:pPr>
                  <w:r>
                    <w:rPr>
                      <w:rFonts w:hint="eastAsia"/>
                      <w:bCs/>
                      <w:color w:val="auto"/>
                    </w:rPr>
                    <w:t>打包机</w:t>
                  </w:r>
                </w:p>
              </w:tc>
              <w:tc>
                <w:tcPr>
                  <w:tcW w:w="420" w:type="pct"/>
                  <w:vAlign w:val="center"/>
                </w:tcPr>
                <w:p>
                  <w:pPr>
                    <w:widowControl/>
                    <w:adjustRightInd w:val="0"/>
                    <w:snapToGrid w:val="0"/>
                    <w:jc w:val="center"/>
                    <w:rPr>
                      <w:color w:val="auto"/>
                    </w:rPr>
                  </w:pPr>
                  <w:r>
                    <w:rPr>
                      <w:rFonts w:hint="eastAsia"/>
                      <w:color w:val="auto"/>
                    </w:rPr>
                    <w:t>8</w:t>
                  </w:r>
                  <w:r>
                    <w:rPr>
                      <w:color w:val="auto"/>
                    </w:rPr>
                    <w:t>台</w:t>
                  </w:r>
                </w:p>
              </w:tc>
              <w:tc>
                <w:tcPr>
                  <w:tcW w:w="696" w:type="pct"/>
                  <w:vAlign w:val="center"/>
                </w:tcPr>
                <w:p>
                  <w:pPr>
                    <w:adjustRightInd w:val="0"/>
                    <w:snapToGrid w:val="0"/>
                    <w:jc w:val="center"/>
                    <w:rPr>
                      <w:color w:val="auto"/>
                    </w:rPr>
                  </w:pPr>
                  <w:r>
                    <w:rPr>
                      <w:rFonts w:hint="eastAsia"/>
                      <w:color w:val="auto"/>
                    </w:rPr>
                    <w:t>70</w:t>
                  </w:r>
                </w:p>
              </w:tc>
              <w:tc>
                <w:tcPr>
                  <w:tcW w:w="608" w:type="pct"/>
                  <w:vAlign w:val="center"/>
                </w:tcPr>
                <w:p>
                  <w:pPr>
                    <w:adjustRightInd w:val="0"/>
                    <w:snapToGrid w:val="0"/>
                    <w:jc w:val="center"/>
                    <w:rPr>
                      <w:color w:val="auto"/>
                    </w:rPr>
                  </w:pPr>
                  <w:r>
                    <w:rPr>
                      <w:rFonts w:hint="eastAsia"/>
                      <w:color w:val="auto"/>
                    </w:rPr>
                    <w:t>79.5</w:t>
                  </w:r>
                </w:p>
              </w:tc>
              <w:tc>
                <w:tcPr>
                  <w:tcW w:w="608" w:type="pct"/>
                  <w:vMerge w:val="continue"/>
                  <w:vAlign w:val="center"/>
                </w:tcPr>
                <w:p>
                  <w:pPr>
                    <w:adjustRightInd w:val="0"/>
                    <w:snapToGrid w:val="0"/>
                    <w:jc w:val="center"/>
                    <w:rPr>
                      <w:color w:val="auto"/>
                    </w:rPr>
                  </w:pPr>
                </w:p>
              </w:tc>
              <w:tc>
                <w:tcPr>
                  <w:tcW w:w="609" w:type="pct"/>
                  <w:vAlign w:val="center"/>
                </w:tcPr>
                <w:p>
                  <w:pPr>
                    <w:adjustRightInd w:val="0"/>
                    <w:snapToGrid w:val="0"/>
                    <w:jc w:val="center"/>
                    <w:rPr>
                      <w:color w:val="auto"/>
                    </w:rPr>
                  </w:pPr>
                  <w:r>
                    <w:rPr>
                      <w:rFonts w:hint="eastAsia"/>
                      <w:color w:val="auto"/>
                    </w:rPr>
                    <w:t>49.5</w:t>
                  </w:r>
                </w:p>
              </w:tc>
              <w:tc>
                <w:tcPr>
                  <w:tcW w:w="756" w:type="pct"/>
                  <w:vMerge w:val="continue"/>
                  <w:vAlign w:val="center"/>
                </w:tcPr>
                <w:p>
                  <w:pPr>
                    <w:spacing w:before="120" w:beforeLines="50"/>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361" w:type="pct"/>
                  <w:vAlign w:val="center"/>
                </w:tcPr>
                <w:p>
                  <w:pPr>
                    <w:adjustRightInd w:val="0"/>
                    <w:snapToGrid w:val="0"/>
                    <w:jc w:val="center"/>
                    <w:rPr>
                      <w:color w:val="auto"/>
                    </w:rPr>
                  </w:pPr>
                  <w:r>
                    <w:rPr>
                      <w:color w:val="auto"/>
                    </w:rPr>
                    <w:t>7</w:t>
                  </w:r>
                </w:p>
              </w:tc>
              <w:tc>
                <w:tcPr>
                  <w:tcW w:w="938" w:type="pct"/>
                  <w:vAlign w:val="center"/>
                </w:tcPr>
                <w:p>
                  <w:pPr>
                    <w:adjustRightInd w:val="0"/>
                    <w:snapToGrid w:val="0"/>
                    <w:spacing w:before="120" w:beforeLines="50" w:line="360" w:lineRule="auto"/>
                    <w:jc w:val="center"/>
                    <w:rPr>
                      <w:bCs/>
                      <w:color w:val="auto"/>
                    </w:rPr>
                  </w:pPr>
                  <w:r>
                    <w:rPr>
                      <w:rFonts w:hint="eastAsia"/>
                      <w:bCs/>
                      <w:color w:val="auto"/>
                    </w:rPr>
                    <w:t>空压机</w:t>
                  </w:r>
                </w:p>
              </w:tc>
              <w:tc>
                <w:tcPr>
                  <w:tcW w:w="420" w:type="pct"/>
                  <w:vAlign w:val="center"/>
                </w:tcPr>
                <w:p>
                  <w:pPr>
                    <w:widowControl/>
                    <w:adjustRightInd w:val="0"/>
                    <w:snapToGrid w:val="0"/>
                    <w:jc w:val="center"/>
                    <w:rPr>
                      <w:color w:val="auto"/>
                    </w:rPr>
                  </w:pPr>
                  <w:r>
                    <w:rPr>
                      <w:rFonts w:hint="eastAsia"/>
                      <w:color w:val="auto"/>
                    </w:rPr>
                    <w:t>4</w:t>
                  </w:r>
                  <w:r>
                    <w:rPr>
                      <w:color w:val="auto"/>
                    </w:rPr>
                    <w:t>台</w:t>
                  </w:r>
                </w:p>
              </w:tc>
              <w:tc>
                <w:tcPr>
                  <w:tcW w:w="696" w:type="pct"/>
                  <w:vAlign w:val="center"/>
                </w:tcPr>
                <w:p>
                  <w:pPr>
                    <w:adjustRightInd w:val="0"/>
                    <w:snapToGrid w:val="0"/>
                    <w:jc w:val="center"/>
                    <w:rPr>
                      <w:color w:val="auto"/>
                    </w:rPr>
                  </w:pPr>
                  <w:r>
                    <w:rPr>
                      <w:rFonts w:hint="eastAsia"/>
                      <w:color w:val="auto"/>
                    </w:rPr>
                    <w:t>80</w:t>
                  </w:r>
                </w:p>
              </w:tc>
              <w:tc>
                <w:tcPr>
                  <w:tcW w:w="608" w:type="pct"/>
                  <w:vAlign w:val="center"/>
                </w:tcPr>
                <w:p>
                  <w:pPr>
                    <w:adjustRightInd w:val="0"/>
                    <w:snapToGrid w:val="0"/>
                    <w:jc w:val="center"/>
                    <w:rPr>
                      <w:color w:val="auto"/>
                    </w:rPr>
                  </w:pPr>
                  <w:r>
                    <w:rPr>
                      <w:rFonts w:hint="eastAsia"/>
                      <w:color w:val="auto"/>
                    </w:rPr>
                    <w:t>86.1</w:t>
                  </w:r>
                </w:p>
              </w:tc>
              <w:tc>
                <w:tcPr>
                  <w:tcW w:w="608" w:type="pct"/>
                  <w:vMerge w:val="continue"/>
                  <w:vAlign w:val="center"/>
                </w:tcPr>
                <w:p>
                  <w:pPr>
                    <w:adjustRightInd w:val="0"/>
                    <w:snapToGrid w:val="0"/>
                    <w:jc w:val="center"/>
                    <w:rPr>
                      <w:color w:val="auto"/>
                    </w:rPr>
                  </w:pPr>
                </w:p>
              </w:tc>
              <w:tc>
                <w:tcPr>
                  <w:tcW w:w="609" w:type="pct"/>
                  <w:vAlign w:val="center"/>
                </w:tcPr>
                <w:p>
                  <w:pPr>
                    <w:adjustRightInd w:val="0"/>
                    <w:snapToGrid w:val="0"/>
                    <w:jc w:val="center"/>
                    <w:rPr>
                      <w:color w:val="auto"/>
                    </w:rPr>
                  </w:pPr>
                  <w:r>
                    <w:rPr>
                      <w:rFonts w:hint="eastAsia"/>
                      <w:color w:val="auto"/>
                    </w:rPr>
                    <w:t>56.1</w:t>
                  </w:r>
                </w:p>
              </w:tc>
              <w:tc>
                <w:tcPr>
                  <w:tcW w:w="756" w:type="pct"/>
                  <w:vMerge w:val="continue"/>
                  <w:vAlign w:val="center"/>
                </w:tcPr>
                <w:p>
                  <w:pPr>
                    <w:spacing w:before="120" w:beforeLines="50"/>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361" w:type="pct"/>
                  <w:vAlign w:val="center"/>
                </w:tcPr>
                <w:p>
                  <w:pPr>
                    <w:adjustRightInd w:val="0"/>
                    <w:snapToGrid w:val="0"/>
                    <w:jc w:val="center"/>
                    <w:rPr>
                      <w:color w:val="auto"/>
                    </w:rPr>
                  </w:pPr>
                  <w:r>
                    <w:rPr>
                      <w:color w:val="auto"/>
                    </w:rPr>
                    <w:t>8</w:t>
                  </w:r>
                </w:p>
              </w:tc>
              <w:tc>
                <w:tcPr>
                  <w:tcW w:w="938" w:type="pct"/>
                  <w:vAlign w:val="center"/>
                </w:tcPr>
                <w:p>
                  <w:pPr>
                    <w:adjustRightInd w:val="0"/>
                    <w:snapToGrid w:val="0"/>
                    <w:spacing w:before="120" w:beforeLines="50" w:line="360" w:lineRule="auto"/>
                    <w:jc w:val="center"/>
                    <w:rPr>
                      <w:bCs/>
                      <w:color w:val="auto"/>
                    </w:rPr>
                  </w:pPr>
                  <w:r>
                    <w:rPr>
                      <w:rFonts w:hint="eastAsia"/>
                      <w:bCs/>
                      <w:color w:val="auto"/>
                    </w:rPr>
                    <w:t>吸尘器</w:t>
                  </w:r>
                </w:p>
              </w:tc>
              <w:tc>
                <w:tcPr>
                  <w:tcW w:w="420" w:type="pct"/>
                  <w:vAlign w:val="center"/>
                </w:tcPr>
                <w:p>
                  <w:pPr>
                    <w:widowControl/>
                    <w:adjustRightInd w:val="0"/>
                    <w:snapToGrid w:val="0"/>
                    <w:jc w:val="center"/>
                    <w:rPr>
                      <w:color w:val="auto"/>
                    </w:rPr>
                  </w:pPr>
                  <w:r>
                    <w:rPr>
                      <w:rFonts w:hint="eastAsia"/>
                      <w:color w:val="auto"/>
                    </w:rPr>
                    <w:t>8台</w:t>
                  </w:r>
                </w:p>
              </w:tc>
              <w:tc>
                <w:tcPr>
                  <w:tcW w:w="696" w:type="pct"/>
                  <w:vAlign w:val="center"/>
                </w:tcPr>
                <w:p>
                  <w:pPr>
                    <w:adjustRightInd w:val="0"/>
                    <w:snapToGrid w:val="0"/>
                    <w:jc w:val="center"/>
                    <w:rPr>
                      <w:color w:val="auto"/>
                    </w:rPr>
                  </w:pPr>
                  <w:r>
                    <w:rPr>
                      <w:rFonts w:hint="eastAsia"/>
                      <w:color w:val="auto"/>
                    </w:rPr>
                    <w:t>80</w:t>
                  </w:r>
                </w:p>
              </w:tc>
              <w:tc>
                <w:tcPr>
                  <w:tcW w:w="608" w:type="pct"/>
                  <w:vAlign w:val="center"/>
                </w:tcPr>
                <w:p>
                  <w:pPr>
                    <w:adjustRightInd w:val="0"/>
                    <w:snapToGrid w:val="0"/>
                    <w:jc w:val="center"/>
                    <w:rPr>
                      <w:color w:val="auto"/>
                    </w:rPr>
                  </w:pPr>
                  <w:r>
                    <w:rPr>
                      <w:rFonts w:hint="eastAsia"/>
                      <w:color w:val="auto"/>
                    </w:rPr>
                    <w:t>89.4</w:t>
                  </w:r>
                </w:p>
              </w:tc>
              <w:tc>
                <w:tcPr>
                  <w:tcW w:w="608" w:type="pct"/>
                  <w:vMerge w:val="continue"/>
                  <w:vAlign w:val="center"/>
                </w:tcPr>
                <w:p>
                  <w:pPr>
                    <w:adjustRightInd w:val="0"/>
                    <w:snapToGrid w:val="0"/>
                    <w:jc w:val="center"/>
                    <w:rPr>
                      <w:color w:val="auto"/>
                    </w:rPr>
                  </w:pPr>
                </w:p>
              </w:tc>
              <w:tc>
                <w:tcPr>
                  <w:tcW w:w="609" w:type="pct"/>
                  <w:vAlign w:val="center"/>
                </w:tcPr>
                <w:p>
                  <w:pPr>
                    <w:adjustRightInd w:val="0"/>
                    <w:snapToGrid w:val="0"/>
                    <w:jc w:val="center"/>
                    <w:rPr>
                      <w:color w:val="auto"/>
                    </w:rPr>
                  </w:pPr>
                  <w:r>
                    <w:rPr>
                      <w:rFonts w:hint="eastAsia"/>
                      <w:color w:val="auto"/>
                    </w:rPr>
                    <w:t>59.4</w:t>
                  </w:r>
                </w:p>
              </w:tc>
              <w:tc>
                <w:tcPr>
                  <w:tcW w:w="756" w:type="pct"/>
                  <w:vMerge w:val="continue"/>
                  <w:vAlign w:val="center"/>
                </w:tcPr>
                <w:p>
                  <w:pPr>
                    <w:spacing w:before="120" w:beforeLines="50"/>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361" w:type="pct"/>
                  <w:vAlign w:val="center"/>
                </w:tcPr>
                <w:p>
                  <w:pPr>
                    <w:adjustRightInd w:val="0"/>
                    <w:snapToGrid w:val="0"/>
                    <w:jc w:val="center"/>
                    <w:rPr>
                      <w:color w:val="auto"/>
                    </w:rPr>
                  </w:pPr>
                  <w:r>
                    <w:rPr>
                      <w:color w:val="auto"/>
                    </w:rPr>
                    <w:t>9</w:t>
                  </w:r>
                </w:p>
              </w:tc>
              <w:tc>
                <w:tcPr>
                  <w:tcW w:w="938" w:type="pct"/>
                  <w:vAlign w:val="center"/>
                </w:tcPr>
                <w:p>
                  <w:pPr>
                    <w:adjustRightInd w:val="0"/>
                    <w:snapToGrid w:val="0"/>
                    <w:spacing w:before="120" w:beforeLines="50" w:line="360" w:lineRule="auto"/>
                    <w:jc w:val="center"/>
                    <w:rPr>
                      <w:bCs/>
                      <w:color w:val="auto"/>
                    </w:rPr>
                  </w:pPr>
                  <w:r>
                    <w:rPr>
                      <w:rFonts w:hint="eastAsia"/>
                      <w:bCs/>
                      <w:color w:val="auto"/>
                    </w:rPr>
                    <w:t>模压机</w:t>
                  </w:r>
                </w:p>
              </w:tc>
              <w:tc>
                <w:tcPr>
                  <w:tcW w:w="420" w:type="pct"/>
                  <w:vAlign w:val="center"/>
                </w:tcPr>
                <w:p>
                  <w:pPr>
                    <w:widowControl/>
                    <w:adjustRightInd w:val="0"/>
                    <w:snapToGrid w:val="0"/>
                    <w:jc w:val="center"/>
                    <w:rPr>
                      <w:color w:val="auto"/>
                    </w:rPr>
                  </w:pPr>
                  <w:r>
                    <w:rPr>
                      <w:rFonts w:hint="eastAsia"/>
                      <w:color w:val="auto"/>
                    </w:rPr>
                    <w:t>32台</w:t>
                  </w:r>
                </w:p>
              </w:tc>
              <w:tc>
                <w:tcPr>
                  <w:tcW w:w="696" w:type="pct"/>
                  <w:vAlign w:val="center"/>
                </w:tcPr>
                <w:p>
                  <w:pPr>
                    <w:adjustRightInd w:val="0"/>
                    <w:snapToGrid w:val="0"/>
                    <w:jc w:val="center"/>
                    <w:rPr>
                      <w:color w:val="auto"/>
                    </w:rPr>
                  </w:pPr>
                  <w:r>
                    <w:rPr>
                      <w:color w:val="auto"/>
                    </w:rPr>
                    <w:t>75</w:t>
                  </w:r>
                </w:p>
              </w:tc>
              <w:tc>
                <w:tcPr>
                  <w:tcW w:w="608" w:type="pct"/>
                  <w:vAlign w:val="center"/>
                </w:tcPr>
                <w:p>
                  <w:pPr>
                    <w:adjustRightInd w:val="0"/>
                    <w:snapToGrid w:val="0"/>
                    <w:jc w:val="center"/>
                    <w:rPr>
                      <w:color w:val="auto"/>
                    </w:rPr>
                  </w:pPr>
                  <w:r>
                    <w:rPr>
                      <w:rFonts w:hint="eastAsia"/>
                      <w:color w:val="auto"/>
                    </w:rPr>
                    <w:t>89.2</w:t>
                  </w:r>
                </w:p>
              </w:tc>
              <w:tc>
                <w:tcPr>
                  <w:tcW w:w="608" w:type="pct"/>
                  <w:vMerge w:val="continue"/>
                  <w:vAlign w:val="center"/>
                </w:tcPr>
                <w:p>
                  <w:pPr>
                    <w:adjustRightInd w:val="0"/>
                    <w:snapToGrid w:val="0"/>
                    <w:jc w:val="center"/>
                    <w:rPr>
                      <w:color w:val="auto"/>
                    </w:rPr>
                  </w:pPr>
                </w:p>
              </w:tc>
              <w:tc>
                <w:tcPr>
                  <w:tcW w:w="609" w:type="pct"/>
                  <w:vAlign w:val="center"/>
                </w:tcPr>
                <w:p>
                  <w:pPr>
                    <w:adjustRightInd w:val="0"/>
                    <w:snapToGrid w:val="0"/>
                    <w:jc w:val="center"/>
                    <w:rPr>
                      <w:color w:val="auto"/>
                    </w:rPr>
                  </w:pPr>
                  <w:r>
                    <w:rPr>
                      <w:rFonts w:hint="eastAsia"/>
                      <w:color w:val="auto"/>
                    </w:rPr>
                    <w:t>59.2</w:t>
                  </w:r>
                </w:p>
              </w:tc>
              <w:tc>
                <w:tcPr>
                  <w:tcW w:w="756" w:type="pct"/>
                  <w:vMerge w:val="continue"/>
                  <w:vAlign w:val="center"/>
                </w:tcPr>
                <w:p>
                  <w:pPr>
                    <w:spacing w:before="120" w:beforeLines="50"/>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361" w:type="pct"/>
                  <w:vAlign w:val="center"/>
                </w:tcPr>
                <w:p>
                  <w:pPr>
                    <w:adjustRightInd w:val="0"/>
                    <w:snapToGrid w:val="0"/>
                    <w:jc w:val="center"/>
                    <w:rPr>
                      <w:color w:val="auto"/>
                    </w:rPr>
                  </w:pPr>
                  <w:r>
                    <w:rPr>
                      <w:color w:val="auto"/>
                    </w:rPr>
                    <w:t>10</w:t>
                  </w:r>
                </w:p>
              </w:tc>
              <w:tc>
                <w:tcPr>
                  <w:tcW w:w="938" w:type="pct"/>
                  <w:vAlign w:val="center"/>
                </w:tcPr>
                <w:p>
                  <w:pPr>
                    <w:adjustRightInd w:val="0"/>
                    <w:snapToGrid w:val="0"/>
                    <w:spacing w:before="120" w:beforeLines="50" w:line="360" w:lineRule="auto"/>
                    <w:jc w:val="center"/>
                    <w:rPr>
                      <w:bCs/>
                      <w:color w:val="auto"/>
                    </w:rPr>
                  </w:pPr>
                  <w:r>
                    <w:rPr>
                      <w:rFonts w:hint="eastAsia"/>
                      <w:bCs/>
                      <w:color w:val="auto"/>
                    </w:rPr>
                    <w:t>分料机</w:t>
                  </w:r>
                </w:p>
              </w:tc>
              <w:tc>
                <w:tcPr>
                  <w:tcW w:w="420" w:type="pct"/>
                  <w:vAlign w:val="center"/>
                </w:tcPr>
                <w:p>
                  <w:pPr>
                    <w:widowControl/>
                    <w:adjustRightInd w:val="0"/>
                    <w:snapToGrid w:val="0"/>
                    <w:jc w:val="center"/>
                    <w:rPr>
                      <w:color w:val="auto"/>
                    </w:rPr>
                  </w:pPr>
                  <w:r>
                    <w:rPr>
                      <w:rFonts w:hint="eastAsia"/>
                      <w:color w:val="auto"/>
                    </w:rPr>
                    <w:t>3台</w:t>
                  </w:r>
                </w:p>
              </w:tc>
              <w:tc>
                <w:tcPr>
                  <w:tcW w:w="696" w:type="pct"/>
                  <w:vAlign w:val="center"/>
                </w:tcPr>
                <w:p>
                  <w:pPr>
                    <w:adjustRightInd w:val="0"/>
                    <w:snapToGrid w:val="0"/>
                    <w:jc w:val="center"/>
                    <w:rPr>
                      <w:color w:val="auto"/>
                    </w:rPr>
                  </w:pPr>
                  <w:r>
                    <w:rPr>
                      <w:color w:val="auto"/>
                    </w:rPr>
                    <w:t>75</w:t>
                  </w:r>
                </w:p>
              </w:tc>
              <w:tc>
                <w:tcPr>
                  <w:tcW w:w="608" w:type="pct"/>
                  <w:vAlign w:val="center"/>
                </w:tcPr>
                <w:p>
                  <w:pPr>
                    <w:adjustRightInd w:val="0"/>
                    <w:snapToGrid w:val="0"/>
                    <w:jc w:val="center"/>
                    <w:rPr>
                      <w:color w:val="auto"/>
                    </w:rPr>
                  </w:pPr>
                  <w:r>
                    <w:rPr>
                      <w:rFonts w:hint="eastAsia"/>
                      <w:color w:val="auto"/>
                    </w:rPr>
                    <w:t>86.1</w:t>
                  </w:r>
                </w:p>
              </w:tc>
              <w:tc>
                <w:tcPr>
                  <w:tcW w:w="608" w:type="pct"/>
                  <w:vMerge w:val="continue"/>
                  <w:vAlign w:val="center"/>
                </w:tcPr>
                <w:p>
                  <w:pPr>
                    <w:adjustRightInd w:val="0"/>
                    <w:snapToGrid w:val="0"/>
                    <w:jc w:val="center"/>
                    <w:rPr>
                      <w:color w:val="auto"/>
                    </w:rPr>
                  </w:pPr>
                </w:p>
              </w:tc>
              <w:tc>
                <w:tcPr>
                  <w:tcW w:w="609" w:type="pct"/>
                  <w:vAlign w:val="center"/>
                </w:tcPr>
                <w:p>
                  <w:pPr>
                    <w:adjustRightInd w:val="0"/>
                    <w:snapToGrid w:val="0"/>
                    <w:jc w:val="center"/>
                    <w:rPr>
                      <w:color w:val="auto"/>
                    </w:rPr>
                  </w:pPr>
                  <w:r>
                    <w:rPr>
                      <w:rFonts w:hint="eastAsia"/>
                      <w:color w:val="auto"/>
                    </w:rPr>
                    <w:t>56.1</w:t>
                  </w:r>
                </w:p>
              </w:tc>
              <w:tc>
                <w:tcPr>
                  <w:tcW w:w="756" w:type="pct"/>
                  <w:vMerge w:val="continue"/>
                  <w:vAlign w:val="center"/>
                </w:tcPr>
                <w:p>
                  <w:pPr>
                    <w:spacing w:before="120" w:beforeLines="50"/>
                    <w:jc w:val="center"/>
                    <w:rPr>
                      <w:color w:val="auto"/>
                    </w:rPr>
                  </w:pPr>
                </w:p>
              </w:tc>
            </w:tr>
          </w:tbl>
          <w:p>
            <w:pPr>
              <w:autoSpaceDE w:val="0"/>
              <w:autoSpaceDN w:val="0"/>
              <w:adjustRightInd w:val="0"/>
              <w:spacing w:before="120" w:beforeLines="50" w:line="360" w:lineRule="auto"/>
              <w:ind w:firstLine="422" w:firstLineChars="200"/>
              <w:jc w:val="left"/>
              <w:textAlignment w:val="baseline"/>
              <w:rPr>
                <w:b/>
                <w:color w:val="auto"/>
              </w:rPr>
            </w:pPr>
            <w:r>
              <w:rPr>
                <w:b/>
                <w:color w:val="auto"/>
              </w:rPr>
              <w:t>2.噪声防治措施</w:t>
            </w:r>
          </w:p>
          <w:p>
            <w:pPr>
              <w:adjustRightInd w:val="0"/>
              <w:snapToGrid w:val="0"/>
              <w:spacing w:line="360" w:lineRule="auto"/>
              <w:ind w:firstLine="420" w:firstLineChars="200"/>
              <w:rPr>
                <w:rFonts w:hint="eastAsia" w:eastAsia="宋体"/>
                <w:color w:val="auto"/>
                <w:lang w:eastAsia="zh-CN"/>
              </w:rPr>
            </w:pPr>
            <w:r>
              <w:rPr>
                <w:color w:val="auto"/>
              </w:rPr>
              <w:t>为减少机械噪声对周围环境的影响，确保项目噪声达标排放，建议建设单位对噪声源采取以下措施：</w:t>
            </w:r>
          </w:p>
          <w:p>
            <w:pPr>
              <w:adjustRightInd w:val="0"/>
              <w:snapToGrid w:val="0"/>
              <w:spacing w:line="360" w:lineRule="auto"/>
              <w:ind w:firstLine="420" w:firstLineChars="200"/>
              <w:rPr>
                <w:rFonts w:hint="eastAsia" w:eastAsia="宋体"/>
                <w:color w:val="auto"/>
                <w:lang w:eastAsia="zh-CN"/>
              </w:rPr>
            </w:pPr>
            <w:r>
              <w:rPr>
                <w:color w:val="auto"/>
              </w:rPr>
              <w:t>（1）维持设备处于良好的运转状态，减少因零部件磨损产生的噪声；</w:t>
            </w:r>
          </w:p>
          <w:p>
            <w:pPr>
              <w:adjustRightInd w:val="0"/>
              <w:snapToGrid w:val="0"/>
              <w:spacing w:line="360" w:lineRule="auto"/>
              <w:ind w:firstLine="420" w:firstLineChars="200"/>
              <w:rPr>
                <w:rFonts w:hint="eastAsia" w:eastAsia="宋体"/>
                <w:color w:val="auto"/>
                <w:lang w:eastAsia="zh-CN"/>
              </w:rPr>
            </w:pPr>
            <w:r>
              <w:rPr>
                <w:color w:val="auto"/>
              </w:rPr>
              <w:t>（2）合理布设生产车间，使强噪声设备远离车间边界，这样可通过车间阻挡噪声传播，尽量把车间的噪声影响限制在厂区范围内，降低噪声对外界的影响；</w:t>
            </w:r>
          </w:p>
          <w:p>
            <w:pPr>
              <w:adjustRightInd w:val="0"/>
              <w:snapToGrid w:val="0"/>
              <w:spacing w:line="360" w:lineRule="auto"/>
              <w:ind w:firstLine="420" w:firstLineChars="200"/>
              <w:rPr>
                <w:rFonts w:hint="eastAsia" w:eastAsia="宋体"/>
                <w:color w:val="auto"/>
                <w:lang w:eastAsia="zh-CN"/>
              </w:rPr>
            </w:pPr>
            <w:r>
              <w:rPr>
                <w:color w:val="auto"/>
              </w:rPr>
              <w:t>（3）强噪声设备底座设置防振装置，并设置适当的隔声屏障；</w:t>
            </w:r>
          </w:p>
          <w:p>
            <w:pPr>
              <w:adjustRightInd w:val="0"/>
              <w:snapToGrid w:val="0"/>
              <w:spacing w:line="360" w:lineRule="auto"/>
              <w:ind w:firstLine="420" w:firstLineChars="200"/>
              <w:rPr>
                <w:color w:val="auto"/>
              </w:rPr>
            </w:pPr>
            <w:r>
              <w:rPr>
                <w:color w:val="auto"/>
              </w:rPr>
              <w:t>（4）加强作业管理，减少非正常噪声。生产时门窗紧闭，通过强制机械排风来加强车间通风换气，以减少噪声外传</w:t>
            </w:r>
          </w:p>
          <w:p>
            <w:pPr>
              <w:widowControl/>
              <w:adjustRightInd w:val="0"/>
              <w:snapToGrid w:val="0"/>
              <w:spacing w:before="120" w:beforeLines="50" w:line="360" w:lineRule="auto"/>
              <w:ind w:firstLine="422" w:firstLineChars="200"/>
              <w:rPr>
                <w:b/>
                <w:color w:val="auto"/>
              </w:rPr>
            </w:pPr>
            <w:r>
              <w:rPr>
                <w:b/>
                <w:color w:val="auto"/>
              </w:rPr>
              <w:t>3.达标性分析</w:t>
            </w:r>
          </w:p>
          <w:p>
            <w:pPr>
              <w:widowControl/>
              <w:adjustRightInd w:val="0"/>
              <w:snapToGrid w:val="0"/>
              <w:spacing w:line="360" w:lineRule="auto"/>
              <w:ind w:firstLine="420" w:firstLineChars="200"/>
              <w:rPr>
                <w:color w:val="auto"/>
              </w:rPr>
            </w:pPr>
            <w:r>
              <w:rPr>
                <w:color w:val="auto"/>
              </w:rPr>
              <w:t>固定声源的噪声向周围传播过程中，会发生反射、折射、衍射、吸收等现象。因此，随传播距离的增加而产生的衰减量并不按简单的几何规律计算。根据《环境影响评价技术导则-声环境》（HJ2.4-2021）对室内声源的预测方法，声源位于室内，室内声源可采用等效室外声源声功率级法进行计算。</w:t>
            </w:r>
          </w:p>
          <w:p>
            <w:pPr>
              <w:widowControl/>
              <w:adjustRightInd w:val="0"/>
              <w:snapToGrid w:val="0"/>
              <w:spacing w:line="360" w:lineRule="auto"/>
              <w:ind w:firstLine="525" w:firstLineChars="250"/>
              <w:rPr>
                <w:color w:val="auto"/>
              </w:rPr>
            </w:pPr>
            <w:r>
              <w:rPr>
                <w:color w:val="auto"/>
              </w:rPr>
              <w:t>（1）预测模型</w:t>
            </w:r>
          </w:p>
          <w:p>
            <w:pPr>
              <w:widowControl/>
              <w:adjustRightInd w:val="0"/>
              <w:snapToGrid w:val="0"/>
              <w:spacing w:line="360" w:lineRule="auto"/>
              <w:ind w:firstLine="525" w:firstLineChars="250"/>
              <w:rPr>
                <w:color w:val="auto"/>
              </w:rPr>
            </w:pPr>
            <w:r>
              <w:rPr>
                <w:color w:val="auto"/>
              </w:rPr>
              <w:t>①计算某一室内声源靠近围护结构处产生的倍频带声压级：</w:t>
            </w:r>
          </w:p>
          <w:p>
            <w:pPr>
              <w:widowControl/>
              <w:spacing w:line="360" w:lineRule="auto"/>
              <w:jc w:val="center"/>
              <w:rPr>
                <w:bCs/>
                <w:color w:val="auto"/>
              </w:rPr>
            </w:pPr>
            <w:r>
              <w:rPr>
                <w:bCs/>
                <w:color w:val="auto"/>
                <w:position w:val="-30"/>
              </w:rPr>
              <w:object>
                <v:shape id="_x0000_i1025" o:spt="75" type="#_x0000_t75" style="height:30.75pt;width:141.55pt;" o:ole="t" filled="f" o:preferrelative="t" stroked="f" coordsize="21600,21600">
                  <v:path/>
                  <v:fill on="f" focussize="0,0"/>
                  <v:stroke on="f" joinstyle="miter"/>
                  <v:imagedata r:id="rId19" o:title=""/>
                  <o:lock v:ext="edit" aspectratio="t"/>
                  <w10:wrap type="none"/>
                  <w10:anchorlock/>
                </v:shape>
                <o:OLEObject Type="Embed" ProgID="Equation.3" ShapeID="_x0000_i1025" DrawAspect="Content" ObjectID="_1468075725" r:id="rId18">
                  <o:LockedField>false</o:LockedField>
                </o:OLEObject>
              </w:object>
            </w:r>
          </w:p>
          <w:p>
            <w:pPr>
              <w:widowControl/>
              <w:spacing w:line="360" w:lineRule="auto"/>
              <w:ind w:firstLine="525" w:firstLineChars="250"/>
              <w:rPr>
                <w:color w:val="auto"/>
              </w:rPr>
            </w:pPr>
            <w:r>
              <w:rPr>
                <w:color w:val="auto"/>
              </w:rPr>
              <w:t>式中：</w:t>
            </w:r>
          </w:p>
          <w:p>
            <w:pPr>
              <w:widowControl/>
              <w:spacing w:line="360" w:lineRule="auto"/>
              <w:ind w:firstLine="525" w:firstLineChars="250"/>
              <w:rPr>
                <w:color w:val="auto"/>
              </w:rPr>
            </w:pPr>
            <w:r>
              <w:rPr>
                <w:color w:val="auto"/>
              </w:rPr>
              <w:t>Q——指向性因数：通常对无指向性声源，当声源放在房间中心时，Q=1；当放在一面墙的中心时，Q=2；当放在两面墙夹角时，Q=4；当放在三面墙夹角处时，Q=8。</w:t>
            </w:r>
          </w:p>
          <w:p>
            <w:pPr>
              <w:widowControl/>
              <w:spacing w:line="360" w:lineRule="auto"/>
              <w:ind w:firstLine="525" w:firstLineChars="250"/>
              <w:rPr>
                <w:color w:val="auto"/>
              </w:rPr>
            </w:pPr>
            <w:r>
              <w:rPr>
                <w:color w:val="auto"/>
              </w:rPr>
              <w:t>R——房间常数：R=Sa/(1-a)，S为房间内表面面积，m</w:t>
            </w:r>
            <w:r>
              <w:rPr>
                <w:color w:val="auto"/>
                <w:vertAlign w:val="superscript"/>
              </w:rPr>
              <w:t>2</w:t>
            </w:r>
            <w:r>
              <w:rPr>
                <w:color w:val="auto"/>
              </w:rPr>
              <w:t>；a为平均吸声系数。</w:t>
            </w:r>
          </w:p>
          <w:p>
            <w:pPr>
              <w:widowControl/>
              <w:spacing w:line="360" w:lineRule="auto"/>
              <w:ind w:firstLine="525" w:firstLineChars="250"/>
              <w:rPr>
                <w:color w:val="auto"/>
              </w:rPr>
            </w:pPr>
            <w:r>
              <w:rPr>
                <w:color w:val="auto"/>
              </w:rPr>
              <w:t>r——声源到靠近围护结构某点处的距离，m。</w:t>
            </w:r>
          </w:p>
          <w:p>
            <w:pPr>
              <w:widowControl/>
              <w:spacing w:line="360" w:lineRule="auto"/>
              <w:ind w:firstLine="525" w:firstLineChars="250"/>
              <w:rPr>
                <w:color w:val="auto"/>
              </w:rPr>
            </w:pPr>
            <w:r>
              <w:rPr>
                <w:color w:val="auto"/>
              </w:rPr>
              <w:t>②计算出所有室内声源在围护结构处产生的i倍频带叠加声压级：</w:t>
            </w:r>
          </w:p>
          <w:p>
            <w:pPr>
              <w:widowControl/>
              <w:spacing w:line="360" w:lineRule="auto"/>
              <w:jc w:val="center"/>
              <w:rPr>
                <w:bCs/>
                <w:color w:val="auto"/>
              </w:rPr>
            </w:pPr>
            <w:r>
              <w:rPr>
                <w:bCs/>
                <w:color w:val="auto"/>
              </w:rPr>
              <w:drawing>
                <wp:inline distT="0" distB="0" distL="0" distR="0">
                  <wp:extent cx="1649095" cy="471170"/>
                  <wp:effectExtent l="0" t="0" r="8255" b="508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a:xfrm>
                            <a:off x="0" y="0"/>
                            <a:ext cx="1649095" cy="471170"/>
                          </a:xfrm>
                          <a:prstGeom prst="rect">
                            <a:avLst/>
                          </a:prstGeom>
                          <a:noFill/>
                          <a:ln>
                            <a:noFill/>
                          </a:ln>
                        </pic:spPr>
                      </pic:pic>
                    </a:graphicData>
                  </a:graphic>
                </wp:inline>
              </w:drawing>
            </w:r>
          </w:p>
          <w:p>
            <w:pPr>
              <w:widowControl/>
              <w:spacing w:line="360" w:lineRule="auto"/>
              <w:ind w:firstLine="525" w:firstLineChars="250"/>
              <w:rPr>
                <w:color w:val="auto"/>
              </w:rPr>
            </w:pPr>
            <w:r>
              <w:rPr>
                <w:color w:val="auto"/>
              </w:rPr>
              <w:t>式中：</w:t>
            </w:r>
          </w:p>
          <w:p>
            <w:pPr>
              <w:widowControl/>
              <w:spacing w:line="360" w:lineRule="auto"/>
              <w:ind w:firstLine="525" w:firstLineChars="250"/>
              <w:rPr>
                <w:color w:val="auto"/>
              </w:rPr>
            </w:pPr>
            <w:r>
              <w:rPr>
                <w:color w:val="auto"/>
              </w:rPr>
              <w:t>L</w:t>
            </w:r>
            <w:r>
              <w:rPr>
                <w:color w:val="auto"/>
                <w:vertAlign w:val="subscript"/>
              </w:rPr>
              <w:t>P1i</w:t>
            </w:r>
            <w:r>
              <w:rPr>
                <w:color w:val="auto"/>
              </w:rPr>
              <w:t>(T)——靠近围护结构处室内N个声源i倍频带的叠加声压级，dB；</w:t>
            </w:r>
          </w:p>
          <w:p>
            <w:pPr>
              <w:widowControl/>
              <w:spacing w:line="360" w:lineRule="auto"/>
              <w:ind w:firstLine="525" w:firstLineChars="250"/>
              <w:rPr>
                <w:color w:val="auto"/>
              </w:rPr>
            </w:pPr>
            <w:r>
              <w:rPr>
                <w:color w:val="auto"/>
              </w:rPr>
              <w:t>L</w:t>
            </w:r>
            <w:r>
              <w:rPr>
                <w:color w:val="auto"/>
                <w:vertAlign w:val="subscript"/>
              </w:rPr>
              <w:t>P1ij</w:t>
            </w:r>
            <w:r>
              <w:rPr>
                <w:color w:val="auto"/>
              </w:rPr>
              <w:t>——室内j声源i倍频带的声压级，dB；</w:t>
            </w:r>
          </w:p>
          <w:p>
            <w:pPr>
              <w:widowControl/>
              <w:spacing w:line="360" w:lineRule="auto"/>
              <w:ind w:firstLine="525" w:firstLineChars="250"/>
              <w:rPr>
                <w:color w:val="auto"/>
              </w:rPr>
            </w:pPr>
            <w:r>
              <w:rPr>
                <w:color w:val="auto"/>
              </w:rPr>
              <w:t>③在室内近似为扩散声场地，按下式计算出靠近室外围护结构处的声压级：</w:t>
            </w:r>
          </w:p>
          <w:p>
            <w:pPr>
              <w:widowControl/>
              <w:spacing w:line="360" w:lineRule="auto"/>
              <w:jc w:val="center"/>
              <w:rPr>
                <w:bCs/>
                <w:color w:val="auto"/>
              </w:rPr>
            </w:pPr>
            <w:r>
              <w:rPr>
                <w:bCs/>
                <w:color w:val="auto"/>
                <w:position w:val="-16"/>
              </w:rPr>
              <w:drawing>
                <wp:inline distT="0" distB="0" distL="0" distR="0">
                  <wp:extent cx="1761490" cy="263525"/>
                  <wp:effectExtent l="0" t="0" r="0" b="3175"/>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a:xfrm>
                            <a:off x="0" y="0"/>
                            <a:ext cx="1761490" cy="263525"/>
                          </a:xfrm>
                          <a:prstGeom prst="rect">
                            <a:avLst/>
                          </a:prstGeom>
                          <a:noFill/>
                          <a:ln>
                            <a:noFill/>
                          </a:ln>
                        </pic:spPr>
                      </pic:pic>
                    </a:graphicData>
                  </a:graphic>
                </wp:inline>
              </w:drawing>
            </w:r>
          </w:p>
          <w:p>
            <w:pPr>
              <w:widowControl/>
              <w:spacing w:line="360" w:lineRule="auto"/>
              <w:ind w:firstLine="525" w:firstLineChars="250"/>
              <w:rPr>
                <w:color w:val="auto"/>
              </w:rPr>
            </w:pPr>
            <w:r>
              <w:rPr>
                <w:color w:val="auto"/>
              </w:rPr>
              <w:t>式中：</w:t>
            </w:r>
          </w:p>
          <w:p>
            <w:pPr>
              <w:widowControl/>
              <w:spacing w:line="360" w:lineRule="auto"/>
              <w:ind w:firstLine="525" w:firstLineChars="250"/>
              <w:rPr>
                <w:color w:val="auto"/>
              </w:rPr>
            </w:pPr>
            <w:r>
              <w:rPr>
                <w:color w:val="auto"/>
              </w:rPr>
              <w:t>L</w:t>
            </w:r>
            <w:r>
              <w:rPr>
                <w:color w:val="auto"/>
                <w:vertAlign w:val="subscript"/>
              </w:rPr>
              <w:t>P2i</w:t>
            </w:r>
            <w:r>
              <w:rPr>
                <w:color w:val="auto"/>
              </w:rPr>
              <w:t>(T)——靠近围护结构处室外N个声源i倍频带的叠加声压级，dB；</w:t>
            </w:r>
          </w:p>
          <w:p>
            <w:pPr>
              <w:widowControl/>
              <w:spacing w:line="360" w:lineRule="auto"/>
              <w:ind w:firstLine="525" w:firstLineChars="250"/>
              <w:rPr>
                <w:color w:val="auto"/>
              </w:rPr>
            </w:pPr>
            <w:r>
              <w:rPr>
                <w:color w:val="auto"/>
              </w:rPr>
              <w:t>TL</w:t>
            </w:r>
            <w:r>
              <w:rPr>
                <w:color w:val="auto"/>
                <w:vertAlign w:val="subscript"/>
              </w:rPr>
              <w:t>i</w:t>
            </w:r>
            <w:r>
              <w:rPr>
                <w:color w:val="auto"/>
              </w:rPr>
              <w:t>——围护结构i倍频带的隔声量，dB；</w:t>
            </w:r>
          </w:p>
          <w:p>
            <w:pPr>
              <w:widowControl/>
              <w:spacing w:line="360" w:lineRule="auto"/>
              <w:ind w:firstLine="525" w:firstLineChars="250"/>
              <w:rPr>
                <w:color w:val="auto"/>
              </w:rPr>
            </w:pPr>
            <w:r>
              <w:rPr>
                <w:color w:val="auto"/>
              </w:rPr>
              <w:t>④将室外声源的声压级和透过面积换算成等效的室外声源，计算出中心位置位于透声面积（S）处的等效声源的倍频带声功率级。</w:t>
            </w:r>
          </w:p>
          <w:p>
            <w:pPr>
              <w:widowControl/>
              <w:spacing w:line="360" w:lineRule="auto"/>
              <w:jc w:val="center"/>
              <w:rPr>
                <w:bCs/>
                <w:color w:val="auto"/>
              </w:rPr>
            </w:pPr>
            <w:r>
              <w:rPr>
                <w:bCs/>
                <w:color w:val="auto"/>
                <w:position w:val="-12"/>
              </w:rPr>
              <w:drawing>
                <wp:inline distT="0" distB="0" distL="0" distR="0">
                  <wp:extent cx="1306830" cy="229870"/>
                  <wp:effectExtent l="0" t="0" r="7620"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a:xfrm>
                            <a:off x="0" y="0"/>
                            <a:ext cx="1306830" cy="229870"/>
                          </a:xfrm>
                          <a:prstGeom prst="rect">
                            <a:avLst/>
                          </a:prstGeom>
                          <a:noFill/>
                          <a:ln>
                            <a:noFill/>
                          </a:ln>
                        </pic:spPr>
                      </pic:pic>
                    </a:graphicData>
                  </a:graphic>
                </wp:inline>
              </w:drawing>
            </w:r>
          </w:p>
          <w:p>
            <w:pPr>
              <w:widowControl/>
              <w:spacing w:line="360" w:lineRule="auto"/>
              <w:ind w:firstLine="525" w:firstLineChars="250"/>
              <w:rPr>
                <w:color w:val="auto"/>
              </w:rPr>
            </w:pPr>
            <w:r>
              <w:rPr>
                <w:color w:val="auto"/>
              </w:rPr>
              <w:t>⑤按室外声源预测方法计算预测点处的A声级。</w:t>
            </w:r>
          </w:p>
          <w:p>
            <w:pPr>
              <w:widowControl/>
              <w:spacing w:line="360" w:lineRule="auto"/>
              <w:ind w:firstLine="525" w:firstLineChars="250"/>
              <w:rPr>
                <w:color w:val="auto"/>
              </w:rPr>
            </w:pPr>
            <w:r>
              <w:rPr>
                <w:color w:val="auto"/>
              </w:rPr>
              <w:t>设第i个室外声源在预测点产生的A声级为L</w:t>
            </w:r>
            <w:r>
              <w:rPr>
                <w:color w:val="auto"/>
                <w:vertAlign w:val="subscript"/>
              </w:rPr>
              <w:t>Ai</w:t>
            </w:r>
            <w:r>
              <w:rPr>
                <w:color w:val="auto"/>
              </w:rPr>
              <w:t>，在T时间内该声源工作时间为t</w:t>
            </w:r>
            <w:r>
              <w:rPr>
                <w:color w:val="auto"/>
                <w:vertAlign w:val="subscript"/>
              </w:rPr>
              <w:t>i</w:t>
            </w:r>
            <w:r>
              <w:rPr>
                <w:color w:val="auto"/>
              </w:rPr>
              <w:t>；第j个等效室外声源在预测点产生的A声级为L</w:t>
            </w:r>
            <w:r>
              <w:rPr>
                <w:color w:val="auto"/>
                <w:vertAlign w:val="subscript"/>
              </w:rPr>
              <w:t>Aj</w:t>
            </w:r>
            <w:r>
              <w:rPr>
                <w:color w:val="auto"/>
              </w:rPr>
              <w:t>，在T时间内该声源工作时间为t</w:t>
            </w:r>
            <w:r>
              <w:rPr>
                <w:color w:val="auto"/>
                <w:vertAlign w:val="subscript"/>
              </w:rPr>
              <w:t>j</w:t>
            </w:r>
            <w:r>
              <w:rPr>
                <w:color w:val="auto"/>
              </w:rPr>
              <w:t>，则拟建工程声源对预测点产生的贡献值（L</w:t>
            </w:r>
            <w:r>
              <w:rPr>
                <w:color w:val="auto"/>
                <w:vertAlign w:val="subscript"/>
              </w:rPr>
              <w:t>eqg</w:t>
            </w:r>
            <w:r>
              <w:rPr>
                <w:color w:val="auto"/>
              </w:rPr>
              <w:t>）为：</w:t>
            </w:r>
          </w:p>
          <w:p>
            <w:pPr>
              <w:widowControl/>
              <w:spacing w:line="360" w:lineRule="auto"/>
              <w:jc w:val="center"/>
              <w:rPr>
                <w:bCs/>
                <w:color w:val="auto"/>
              </w:rPr>
            </w:pPr>
            <w:r>
              <w:rPr>
                <w:bCs/>
                <w:color w:val="auto"/>
              </w:rPr>
              <w:drawing>
                <wp:inline distT="0" distB="0" distL="0" distR="0">
                  <wp:extent cx="2675890" cy="521970"/>
                  <wp:effectExtent l="0" t="0" r="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a:xfrm>
                            <a:off x="0" y="0"/>
                            <a:ext cx="2675890" cy="521970"/>
                          </a:xfrm>
                          <a:prstGeom prst="rect">
                            <a:avLst/>
                          </a:prstGeom>
                          <a:noFill/>
                          <a:ln>
                            <a:noFill/>
                          </a:ln>
                        </pic:spPr>
                      </pic:pic>
                    </a:graphicData>
                  </a:graphic>
                </wp:inline>
              </w:drawing>
            </w:r>
          </w:p>
          <w:p>
            <w:pPr>
              <w:widowControl/>
              <w:spacing w:line="360" w:lineRule="auto"/>
              <w:ind w:firstLine="525" w:firstLineChars="250"/>
              <w:rPr>
                <w:color w:val="auto"/>
              </w:rPr>
            </w:pPr>
            <w:r>
              <w:rPr>
                <w:color w:val="auto"/>
              </w:rPr>
              <w:t>式中：</w:t>
            </w:r>
          </w:p>
          <w:p>
            <w:pPr>
              <w:widowControl/>
              <w:spacing w:line="360" w:lineRule="auto"/>
              <w:ind w:firstLine="525" w:firstLineChars="250"/>
              <w:rPr>
                <w:color w:val="auto"/>
              </w:rPr>
            </w:pPr>
            <w:r>
              <w:rPr>
                <w:color w:val="auto"/>
              </w:rPr>
              <w:t>t</w:t>
            </w:r>
            <w:r>
              <w:rPr>
                <w:color w:val="auto"/>
                <w:vertAlign w:val="subscript"/>
              </w:rPr>
              <w:t>j</w:t>
            </w:r>
            <w:r>
              <w:rPr>
                <w:color w:val="auto"/>
              </w:rPr>
              <w:t>——在T时间内j声源工作时间，s；</w:t>
            </w:r>
          </w:p>
          <w:p>
            <w:pPr>
              <w:widowControl/>
              <w:spacing w:line="360" w:lineRule="auto"/>
              <w:ind w:firstLine="525" w:firstLineChars="250"/>
              <w:rPr>
                <w:color w:val="auto"/>
              </w:rPr>
            </w:pPr>
            <w:r>
              <w:rPr>
                <w:color w:val="auto"/>
              </w:rPr>
              <w:t>t</w:t>
            </w:r>
            <w:r>
              <w:rPr>
                <w:color w:val="auto"/>
                <w:vertAlign w:val="subscript"/>
              </w:rPr>
              <w:t>i</w:t>
            </w:r>
            <w:r>
              <w:rPr>
                <w:color w:val="auto"/>
              </w:rPr>
              <w:t>——在T时间内i声源工作时间，s；</w:t>
            </w:r>
          </w:p>
          <w:p>
            <w:pPr>
              <w:widowControl/>
              <w:spacing w:line="360" w:lineRule="auto"/>
              <w:ind w:firstLine="525" w:firstLineChars="250"/>
              <w:rPr>
                <w:color w:val="auto"/>
              </w:rPr>
            </w:pPr>
            <w:r>
              <w:rPr>
                <w:color w:val="auto"/>
              </w:rPr>
              <w:t>T——用于计算等效声级的时间，s；</w:t>
            </w:r>
          </w:p>
          <w:p>
            <w:pPr>
              <w:widowControl/>
              <w:spacing w:line="360" w:lineRule="auto"/>
              <w:ind w:firstLine="525" w:firstLineChars="250"/>
              <w:rPr>
                <w:color w:val="auto"/>
              </w:rPr>
            </w:pPr>
            <w:r>
              <w:rPr>
                <w:color w:val="auto"/>
              </w:rPr>
              <w:t>N——室外声源个数；</w:t>
            </w:r>
          </w:p>
          <w:p>
            <w:pPr>
              <w:widowControl/>
              <w:spacing w:line="360" w:lineRule="auto"/>
              <w:ind w:firstLine="525" w:firstLineChars="250"/>
              <w:rPr>
                <w:color w:val="auto"/>
              </w:rPr>
            </w:pPr>
            <w:r>
              <w:rPr>
                <w:color w:val="auto"/>
              </w:rPr>
              <w:t>M——等效室外声源个数；</w:t>
            </w:r>
          </w:p>
          <w:p>
            <w:pPr>
              <w:widowControl/>
              <w:spacing w:line="360" w:lineRule="auto"/>
              <w:ind w:firstLine="525" w:firstLineChars="250"/>
              <w:rPr>
                <w:color w:val="auto"/>
              </w:rPr>
            </w:pPr>
            <w:r>
              <w:rPr>
                <w:color w:val="auto"/>
              </w:rPr>
              <w:t>⑥预测点的预测等效声级（Leq）计算：</w:t>
            </w:r>
          </w:p>
          <w:p>
            <w:pPr>
              <w:widowControl/>
              <w:spacing w:line="360" w:lineRule="auto"/>
              <w:jc w:val="center"/>
              <w:rPr>
                <w:bCs/>
                <w:color w:val="auto"/>
              </w:rPr>
            </w:pPr>
            <w:r>
              <w:rPr>
                <w:bCs/>
                <w:color w:val="auto"/>
              </w:rPr>
              <w:drawing>
                <wp:inline distT="0" distB="0" distL="0" distR="0">
                  <wp:extent cx="1879600" cy="286385"/>
                  <wp:effectExtent l="0" t="0" r="6350"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a:xfrm>
                            <a:off x="0" y="0"/>
                            <a:ext cx="1879600" cy="286385"/>
                          </a:xfrm>
                          <a:prstGeom prst="rect">
                            <a:avLst/>
                          </a:prstGeom>
                          <a:noFill/>
                          <a:ln>
                            <a:noFill/>
                          </a:ln>
                        </pic:spPr>
                      </pic:pic>
                    </a:graphicData>
                  </a:graphic>
                </wp:inline>
              </w:drawing>
            </w:r>
          </w:p>
          <w:p>
            <w:pPr>
              <w:widowControl/>
              <w:spacing w:line="360" w:lineRule="auto"/>
              <w:ind w:firstLine="525" w:firstLineChars="250"/>
              <w:rPr>
                <w:color w:val="auto"/>
              </w:rPr>
            </w:pPr>
            <w:r>
              <w:rPr>
                <w:color w:val="auto"/>
              </w:rPr>
              <w:t>式中：L</w:t>
            </w:r>
            <w:r>
              <w:rPr>
                <w:color w:val="auto"/>
                <w:vertAlign w:val="subscript"/>
              </w:rPr>
              <w:t>eq</w:t>
            </w:r>
            <w:r>
              <w:rPr>
                <w:color w:val="auto"/>
              </w:rPr>
              <w:t>——建设项目声源在预测点的等效声级贡献量，dB(A)；</w:t>
            </w:r>
          </w:p>
          <w:p>
            <w:pPr>
              <w:widowControl/>
              <w:spacing w:line="360" w:lineRule="auto"/>
              <w:ind w:firstLine="525" w:firstLineChars="250"/>
              <w:rPr>
                <w:color w:val="auto"/>
              </w:rPr>
            </w:pPr>
            <w:r>
              <w:rPr>
                <w:color w:val="auto"/>
              </w:rPr>
              <w:t>L</w:t>
            </w:r>
            <w:r>
              <w:rPr>
                <w:color w:val="auto"/>
                <w:vertAlign w:val="subscript"/>
              </w:rPr>
              <w:t>eqb</w:t>
            </w:r>
            <w:r>
              <w:rPr>
                <w:color w:val="auto"/>
              </w:rPr>
              <w:t>——预测点背景值，dB(A)；</w:t>
            </w:r>
          </w:p>
          <w:p>
            <w:pPr>
              <w:widowControl/>
              <w:spacing w:line="360" w:lineRule="auto"/>
              <w:ind w:firstLine="525" w:firstLineChars="250"/>
              <w:rPr>
                <w:color w:val="auto"/>
              </w:rPr>
            </w:pPr>
            <w:r>
              <w:rPr>
                <w:color w:val="auto"/>
              </w:rPr>
              <w:fldChar w:fldCharType="begin"/>
            </w:r>
            <w:r>
              <w:rPr>
                <w:color w:val="auto"/>
              </w:rPr>
              <w:instrText xml:space="preserve"> = 7 \* GB3 </w:instrText>
            </w:r>
            <w:r>
              <w:rPr>
                <w:color w:val="auto"/>
              </w:rPr>
              <w:fldChar w:fldCharType="separate"/>
            </w:r>
            <w:r>
              <w:rPr>
                <w:color w:val="auto"/>
              </w:rPr>
              <w:t>⑦</w:t>
            </w:r>
            <w:r>
              <w:rPr>
                <w:color w:val="auto"/>
              </w:rPr>
              <w:fldChar w:fldCharType="end"/>
            </w:r>
            <w:r>
              <w:rPr>
                <w:color w:val="auto"/>
              </w:rPr>
              <w:t>预测值计算采用点声源的半自由声场几何发散衰减公式：</w:t>
            </w:r>
          </w:p>
          <w:p>
            <w:pPr>
              <w:widowControl/>
              <w:spacing w:line="360" w:lineRule="auto"/>
              <w:ind w:firstLine="63" w:firstLineChars="30"/>
              <w:jc w:val="center"/>
              <w:rPr>
                <w:color w:val="auto"/>
              </w:rPr>
            </w:pPr>
            <w:r>
              <w:rPr>
                <w:color w:val="auto"/>
                <w:position w:val="-24"/>
              </w:rPr>
              <w:drawing>
                <wp:inline distT="0" distB="0" distL="0" distR="0">
                  <wp:extent cx="2008505" cy="364490"/>
                  <wp:effectExtent l="0" t="0" r="0"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a:xfrm>
                            <a:off x="0" y="0"/>
                            <a:ext cx="2008505" cy="364490"/>
                          </a:xfrm>
                          <a:prstGeom prst="rect">
                            <a:avLst/>
                          </a:prstGeom>
                          <a:noFill/>
                          <a:ln>
                            <a:noFill/>
                          </a:ln>
                        </pic:spPr>
                      </pic:pic>
                    </a:graphicData>
                  </a:graphic>
                </wp:inline>
              </w:drawing>
            </w:r>
          </w:p>
          <w:p>
            <w:pPr>
              <w:widowControl/>
              <w:spacing w:line="360" w:lineRule="auto"/>
              <w:ind w:firstLine="525" w:firstLineChars="250"/>
              <w:rPr>
                <w:color w:val="auto"/>
              </w:rPr>
            </w:pPr>
            <w:r>
              <w:rPr>
                <w:color w:val="auto"/>
              </w:rPr>
              <w:t>式中：L</w:t>
            </w:r>
            <w:r>
              <w:rPr>
                <w:color w:val="auto"/>
                <w:vertAlign w:val="subscript"/>
              </w:rPr>
              <w:t>oct(r)</w:t>
            </w:r>
            <w:r>
              <w:rPr>
                <w:color w:val="auto"/>
              </w:rPr>
              <w:t>—点声源在预测点产生的倍频带声压级；</w:t>
            </w:r>
          </w:p>
          <w:p>
            <w:pPr>
              <w:widowControl/>
              <w:spacing w:line="360" w:lineRule="auto"/>
              <w:ind w:firstLine="525" w:firstLineChars="250"/>
              <w:rPr>
                <w:color w:val="auto"/>
              </w:rPr>
            </w:pPr>
            <w:r>
              <w:rPr>
                <w:color w:val="auto"/>
              </w:rPr>
              <w:t>L</w:t>
            </w:r>
            <w:r>
              <w:rPr>
                <w:color w:val="auto"/>
                <w:vertAlign w:val="subscript"/>
              </w:rPr>
              <w:t>oct(r0)</w:t>
            </w:r>
            <w:r>
              <w:rPr>
                <w:color w:val="auto"/>
              </w:rPr>
              <w:t>—参考位置r</w:t>
            </w:r>
            <w:r>
              <w:rPr>
                <w:color w:val="auto"/>
                <w:vertAlign w:val="subscript"/>
              </w:rPr>
              <w:t>0</w:t>
            </w:r>
            <w:r>
              <w:rPr>
                <w:color w:val="auto"/>
              </w:rPr>
              <w:t>处的倍频带声压级；</w:t>
            </w:r>
          </w:p>
          <w:p>
            <w:pPr>
              <w:widowControl/>
              <w:spacing w:line="360" w:lineRule="auto"/>
              <w:ind w:firstLine="525" w:firstLineChars="250"/>
              <w:rPr>
                <w:color w:val="auto"/>
              </w:rPr>
            </w:pPr>
            <w:r>
              <w:rPr>
                <w:color w:val="auto"/>
              </w:rPr>
              <w:t>r—预测点距声源的距离，m；</w:t>
            </w:r>
          </w:p>
          <w:p>
            <w:pPr>
              <w:widowControl/>
              <w:spacing w:line="360" w:lineRule="auto"/>
              <w:ind w:firstLine="525" w:firstLineChars="250"/>
              <w:rPr>
                <w:color w:val="auto"/>
              </w:rPr>
            </w:pPr>
            <w:r>
              <w:rPr>
                <w:color w:val="auto"/>
              </w:rPr>
              <w:t>r</w:t>
            </w:r>
            <w:r>
              <w:rPr>
                <w:color w:val="auto"/>
                <w:vertAlign w:val="subscript"/>
              </w:rPr>
              <w:t>0</w:t>
            </w:r>
            <w:r>
              <w:rPr>
                <w:color w:val="auto"/>
              </w:rPr>
              <w:t>—参考位置距声源的距离，m；r</w:t>
            </w:r>
            <w:r>
              <w:rPr>
                <w:color w:val="auto"/>
                <w:vertAlign w:val="subscript"/>
              </w:rPr>
              <w:t>0</w:t>
            </w:r>
            <w:r>
              <w:rPr>
                <w:color w:val="auto"/>
              </w:rPr>
              <w:t>=1</w:t>
            </w:r>
          </w:p>
          <w:p>
            <w:pPr>
              <w:widowControl/>
              <w:spacing w:line="360" w:lineRule="auto"/>
              <w:ind w:firstLine="525" w:firstLineChars="250"/>
              <w:rPr>
                <w:color w:val="auto"/>
              </w:rPr>
            </w:pPr>
            <w:r>
              <w:rPr>
                <w:color w:val="auto"/>
              </w:rPr>
              <w:t>综上分析，上式可简化为：</w:t>
            </w:r>
          </w:p>
          <w:p>
            <w:pPr>
              <w:widowControl/>
              <w:spacing w:line="360" w:lineRule="auto"/>
              <w:jc w:val="center"/>
              <w:rPr>
                <w:color w:val="auto"/>
              </w:rPr>
            </w:pPr>
            <w:r>
              <w:rPr>
                <w:color w:val="auto"/>
                <w:position w:val="-14"/>
              </w:rPr>
              <w:drawing>
                <wp:inline distT="0" distB="0" distL="0" distR="0">
                  <wp:extent cx="1873885" cy="257810"/>
                  <wp:effectExtent l="0" t="0" r="0" b="889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a:xfrm>
                            <a:off x="0" y="0"/>
                            <a:ext cx="1873885" cy="257810"/>
                          </a:xfrm>
                          <a:prstGeom prst="rect">
                            <a:avLst/>
                          </a:prstGeom>
                          <a:noFill/>
                          <a:ln>
                            <a:noFill/>
                          </a:ln>
                        </pic:spPr>
                      </pic:pic>
                    </a:graphicData>
                  </a:graphic>
                </wp:inline>
              </w:drawing>
            </w:r>
          </w:p>
          <w:p>
            <w:pPr>
              <w:widowControl/>
              <w:spacing w:line="360" w:lineRule="auto"/>
              <w:ind w:firstLine="420" w:firstLineChars="200"/>
              <w:rPr>
                <w:color w:val="auto"/>
              </w:rPr>
            </w:pPr>
            <w:r>
              <w:rPr>
                <w:color w:val="auto"/>
              </w:rPr>
              <w:t>通过上述预测模式，在采取措施后预测出项目声源在项目边界处的噪声值，计算结果见下表。</w:t>
            </w:r>
          </w:p>
          <w:p>
            <w:pPr>
              <w:widowControl/>
              <w:tabs>
                <w:tab w:val="left" w:pos="0"/>
              </w:tabs>
              <w:adjustRightInd w:val="0"/>
              <w:snapToGrid w:val="0"/>
              <w:spacing w:line="360" w:lineRule="auto"/>
              <w:jc w:val="center"/>
              <w:rPr>
                <w:b/>
                <w:color w:val="auto"/>
              </w:rPr>
            </w:pPr>
            <w:r>
              <w:rPr>
                <w:b/>
                <w:color w:val="auto"/>
              </w:rPr>
              <w:t>表4-</w:t>
            </w:r>
            <w:r>
              <w:rPr>
                <w:rFonts w:hint="eastAsia"/>
                <w:b/>
                <w:color w:val="auto"/>
              </w:rPr>
              <w:t>22</w:t>
            </w:r>
            <w:r>
              <w:rPr>
                <w:b/>
                <w:color w:val="auto"/>
              </w:rPr>
              <w:t xml:space="preserve"> 在采取措施后项目噪声在厂界处贡献值的预测结果</w:t>
            </w:r>
          </w:p>
          <w:tbl>
            <w:tblPr>
              <w:tblStyle w:val="92"/>
              <w:tblW w:w="498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79"/>
              <w:gridCol w:w="2489"/>
              <w:gridCol w:w="2309"/>
              <w:gridCol w:w="23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74" w:type="dxa"/>
                  <w:vMerge w:val="restart"/>
                  <w:vAlign w:val="center"/>
                </w:tcPr>
                <w:p>
                  <w:pPr>
                    <w:widowControl/>
                    <w:adjustRightInd w:val="0"/>
                    <w:snapToGrid w:val="0"/>
                    <w:jc w:val="center"/>
                    <w:rPr>
                      <w:b/>
                      <w:color w:val="auto"/>
                      <w:spacing w:val="-2"/>
                    </w:rPr>
                  </w:pPr>
                  <w:r>
                    <w:rPr>
                      <w:b/>
                      <w:color w:val="auto"/>
                      <w:spacing w:val="-2"/>
                    </w:rPr>
                    <w:t>预测点位</w:t>
                  </w:r>
                </w:p>
              </w:tc>
              <w:tc>
                <w:tcPr>
                  <w:tcW w:w="2483" w:type="dxa"/>
                  <w:vMerge w:val="restart"/>
                  <w:vAlign w:val="center"/>
                </w:tcPr>
                <w:p>
                  <w:pPr>
                    <w:widowControl/>
                    <w:adjustRightInd w:val="0"/>
                    <w:snapToGrid w:val="0"/>
                    <w:jc w:val="center"/>
                    <w:rPr>
                      <w:b/>
                      <w:color w:val="auto"/>
                      <w:spacing w:val="-2"/>
                    </w:rPr>
                  </w:pPr>
                  <w:r>
                    <w:rPr>
                      <w:b/>
                      <w:color w:val="auto"/>
                      <w:spacing w:val="-2"/>
                    </w:rPr>
                    <w:t>噪声贡献/dB(A)</w:t>
                  </w:r>
                </w:p>
              </w:tc>
              <w:tc>
                <w:tcPr>
                  <w:tcW w:w="2304" w:type="dxa"/>
                  <w:vAlign w:val="center"/>
                </w:tcPr>
                <w:p>
                  <w:pPr>
                    <w:widowControl/>
                    <w:adjustRightInd w:val="0"/>
                    <w:snapToGrid w:val="0"/>
                    <w:jc w:val="center"/>
                    <w:rPr>
                      <w:b/>
                      <w:color w:val="auto"/>
                      <w:spacing w:val="-2"/>
                    </w:rPr>
                  </w:pPr>
                  <w:r>
                    <w:rPr>
                      <w:b/>
                      <w:color w:val="auto"/>
                      <w:spacing w:val="-2"/>
                    </w:rPr>
                    <w:t>执行标准/dB(A)</w:t>
                  </w:r>
                </w:p>
              </w:tc>
              <w:tc>
                <w:tcPr>
                  <w:tcW w:w="2305" w:type="dxa"/>
                  <w:vMerge w:val="restart"/>
                  <w:vAlign w:val="center"/>
                </w:tcPr>
                <w:p>
                  <w:pPr>
                    <w:widowControl/>
                    <w:adjustRightInd w:val="0"/>
                    <w:snapToGrid w:val="0"/>
                    <w:jc w:val="center"/>
                    <w:rPr>
                      <w:b/>
                      <w:color w:val="auto"/>
                      <w:spacing w:val="-2"/>
                    </w:rPr>
                  </w:pPr>
                  <w:r>
                    <w:rPr>
                      <w:b/>
                      <w:color w:val="auto"/>
                      <w:spacing w:val="-2"/>
                    </w:rPr>
                    <w:t>是否达标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74" w:type="dxa"/>
                  <w:vMerge w:val="continue"/>
                  <w:vAlign w:val="center"/>
                </w:tcPr>
                <w:p>
                  <w:pPr>
                    <w:widowControl/>
                    <w:adjustRightInd w:val="0"/>
                    <w:snapToGrid w:val="0"/>
                    <w:ind w:firstLine="414" w:firstLineChars="200"/>
                    <w:jc w:val="center"/>
                    <w:rPr>
                      <w:b/>
                      <w:color w:val="auto"/>
                      <w:spacing w:val="-2"/>
                    </w:rPr>
                  </w:pPr>
                </w:p>
              </w:tc>
              <w:tc>
                <w:tcPr>
                  <w:tcW w:w="2483" w:type="dxa"/>
                  <w:vMerge w:val="continue"/>
                  <w:vAlign w:val="center"/>
                </w:tcPr>
                <w:p>
                  <w:pPr>
                    <w:widowControl/>
                    <w:adjustRightInd w:val="0"/>
                    <w:snapToGrid w:val="0"/>
                    <w:ind w:firstLine="414" w:firstLineChars="200"/>
                    <w:jc w:val="center"/>
                    <w:rPr>
                      <w:b/>
                      <w:color w:val="auto"/>
                      <w:spacing w:val="-2"/>
                    </w:rPr>
                  </w:pPr>
                </w:p>
              </w:tc>
              <w:tc>
                <w:tcPr>
                  <w:tcW w:w="2304" w:type="dxa"/>
                  <w:vAlign w:val="center"/>
                </w:tcPr>
                <w:p>
                  <w:pPr>
                    <w:widowControl/>
                    <w:adjustRightInd w:val="0"/>
                    <w:snapToGrid w:val="0"/>
                    <w:jc w:val="center"/>
                    <w:rPr>
                      <w:b/>
                      <w:color w:val="auto"/>
                      <w:spacing w:val="-2"/>
                    </w:rPr>
                  </w:pPr>
                  <w:r>
                    <w:rPr>
                      <w:b/>
                      <w:color w:val="auto"/>
                      <w:spacing w:val="-2"/>
                    </w:rPr>
                    <w:t>昼间</w:t>
                  </w:r>
                </w:p>
              </w:tc>
              <w:tc>
                <w:tcPr>
                  <w:tcW w:w="2305" w:type="dxa"/>
                  <w:vMerge w:val="continue"/>
                  <w:vAlign w:val="center"/>
                </w:tcPr>
                <w:p>
                  <w:pPr>
                    <w:widowControl/>
                    <w:adjustRightInd w:val="0"/>
                    <w:snapToGrid w:val="0"/>
                    <w:jc w:val="center"/>
                    <w:rPr>
                      <w:b/>
                      <w:color w:val="auto"/>
                      <w:spacing w:val="-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74" w:type="dxa"/>
                  <w:vAlign w:val="center"/>
                </w:tcPr>
                <w:p>
                  <w:pPr>
                    <w:widowControl/>
                    <w:tabs>
                      <w:tab w:val="center" w:pos="1039"/>
                      <w:tab w:val="right" w:pos="1959"/>
                    </w:tabs>
                    <w:adjustRightInd w:val="0"/>
                    <w:snapToGrid w:val="0"/>
                    <w:jc w:val="center"/>
                    <w:rPr>
                      <w:color w:val="auto"/>
                      <w:spacing w:val="-2"/>
                    </w:rPr>
                  </w:pPr>
                  <w:r>
                    <w:rPr>
                      <w:color w:val="auto"/>
                      <w:spacing w:val="-2"/>
                    </w:rPr>
                    <w:t>厂界东</w:t>
                  </w:r>
                </w:p>
              </w:tc>
              <w:tc>
                <w:tcPr>
                  <w:tcW w:w="2483" w:type="dxa"/>
                  <w:vAlign w:val="center"/>
                </w:tcPr>
                <w:p>
                  <w:pPr>
                    <w:widowControl/>
                    <w:adjustRightInd w:val="0"/>
                    <w:snapToGrid w:val="0"/>
                    <w:jc w:val="center"/>
                    <w:rPr>
                      <w:color w:val="auto"/>
                      <w:spacing w:val="-2"/>
                    </w:rPr>
                  </w:pPr>
                  <w:r>
                    <w:rPr>
                      <w:color w:val="auto"/>
                      <w:spacing w:val="-2"/>
                    </w:rPr>
                    <w:t>5</w:t>
                  </w:r>
                  <w:r>
                    <w:rPr>
                      <w:rFonts w:hint="eastAsia"/>
                      <w:color w:val="auto"/>
                      <w:spacing w:val="-2"/>
                    </w:rPr>
                    <w:t>5.4</w:t>
                  </w:r>
                </w:p>
              </w:tc>
              <w:tc>
                <w:tcPr>
                  <w:tcW w:w="2304" w:type="dxa"/>
                  <w:vAlign w:val="center"/>
                </w:tcPr>
                <w:p>
                  <w:pPr>
                    <w:widowControl/>
                    <w:adjustRightInd w:val="0"/>
                    <w:snapToGrid w:val="0"/>
                    <w:jc w:val="center"/>
                    <w:rPr>
                      <w:color w:val="auto"/>
                      <w:spacing w:val="-2"/>
                    </w:rPr>
                  </w:pPr>
                  <w:r>
                    <w:rPr>
                      <w:rFonts w:hint="eastAsia"/>
                      <w:color w:val="auto"/>
                      <w:spacing w:val="-2"/>
                    </w:rPr>
                    <w:t>65</w:t>
                  </w:r>
                </w:p>
              </w:tc>
              <w:tc>
                <w:tcPr>
                  <w:tcW w:w="2305" w:type="dxa"/>
                  <w:vAlign w:val="center"/>
                </w:tcPr>
                <w:p>
                  <w:pPr>
                    <w:widowControl/>
                    <w:adjustRightInd w:val="0"/>
                    <w:snapToGrid w:val="0"/>
                    <w:jc w:val="center"/>
                    <w:rPr>
                      <w:color w:val="auto"/>
                      <w:spacing w:val="-2"/>
                    </w:rPr>
                  </w:pPr>
                  <w:r>
                    <w:rPr>
                      <w:color w:val="auto"/>
                      <w:spacing w:val="-2"/>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74" w:type="dxa"/>
                  <w:vAlign w:val="center"/>
                </w:tcPr>
                <w:p>
                  <w:pPr>
                    <w:widowControl/>
                    <w:adjustRightInd w:val="0"/>
                    <w:snapToGrid w:val="0"/>
                    <w:jc w:val="center"/>
                    <w:rPr>
                      <w:color w:val="auto"/>
                      <w:spacing w:val="-2"/>
                    </w:rPr>
                  </w:pPr>
                  <w:r>
                    <w:rPr>
                      <w:color w:val="auto"/>
                      <w:spacing w:val="-2"/>
                    </w:rPr>
                    <w:t>厂界南</w:t>
                  </w:r>
                </w:p>
              </w:tc>
              <w:tc>
                <w:tcPr>
                  <w:tcW w:w="2483" w:type="dxa"/>
                  <w:vAlign w:val="center"/>
                </w:tcPr>
                <w:p>
                  <w:pPr>
                    <w:widowControl/>
                    <w:adjustRightInd w:val="0"/>
                    <w:snapToGrid w:val="0"/>
                    <w:jc w:val="center"/>
                    <w:rPr>
                      <w:color w:val="auto"/>
                    </w:rPr>
                  </w:pPr>
                  <w:r>
                    <w:rPr>
                      <w:rFonts w:hint="eastAsia"/>
                      <w:color w:val="auto"/>
                    </w:rPr>
                    <w:t>54.3</w:t>
                  </w:r>
                </w:p>
              </w:tc>
              <w:tc>
                <w:tcPr>
                  <w:tcW w:w="2304" w:type="dxa"/>
                  <w:vAlign w:val="center"/>
                </w:tcPr>
                <w:p>
                  <w:pPr>
                    <w:widowControl/>
                    <w:adjustRightInd w:val="0"/>
                    <w:snapToGrid w:val="0"/>
                    <w:jc w:val="center"/>
                    <w:rPr>
                      <w:color w:val="auto"/>
                      <w:spacing w:val="-2"/>
                    </w:rPr>
                  </w:pPr>
                  <w:r>
                    <w:rPr>
                      <w:rFonts w:hint="eastAsia"/>
                      <w:color w:val="auto"/>
                      <w:spacing w:val="-2"/>
                    </w:rPr>
                    <w:t>65</w:t>
                  </w:r>
                </w:p>
              </w:tc>
              <w:tc>
                <w:tcPr>
                  <w:tcW w:w="2305" w:type="dxa"/>
                  <w:vAlign w:val="center"/>
                </w:tcPr>
                <w:p>
                  <w:pPr>
                    <w:widowControl/>
                    <w:adjustRightInd w:val="0"/>
                    <w:snapToGrid w:val="0"/>
                    <w:jc w:val="center"/>
                    <w:rPr>
                      <w:color w:val="auto"/>
                      <w:spacing w:val="-2"/>
                    </w:rPr>
                  </w:pPr>
                  <w:r>
                    <w:rPr>
                      <w:color w:val="auto"/>
                      <w:spacing w:val="-2"/>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74" w:type="dxa"/>
                  <w:vAlign w:val="center"/>
                </w:tcPr>
                <w:p>
                  <w:pPr>
                    <w:widowControl/>
                    <w:adjustRightInd w:val="0"/>
                    <w:snapToGrid w:val="0"/>
                    <w:jc w:val="center"/>
                    <w:rPr>
                      <w:color w:val="auto"/>
                      <w:spacing w:val="-2"/>
                    </w:rPr>
                  </w:pPr>
                  <w:r>
                    <w:rPr>
                      <w:color w:val="auto"/>
                      <w:spacing w:val="-2"/>
                    </w:rPr>
                    <w:t>厂界西</w:t>
                  </w:r>
                </w:p>
              </w:tc>
              <w:tc>
                <w:tcPr>
                  <w:tcW w:w="2483" w:type="dxa"/>
                  <w:vAlign w:val="center"/>
                </w:tcPr>
                <w:p>
                  <w:pPr>
                    <w:widowControl/>
                    <w:adjustRightInd w:val="0"/>
                    <w:snapToGrid w:val="0"/>
                    <w:jc w:val="center"/>
                    <w:rPr>
                      <w:color w:val="auto"/>
                      <w:spacing w:val="-2"/>
                    </w:rPr>
                  </w:pPr>
                  <w:r>
                    <w:rPr>
                      <w:color w:val="auto"/>
                      <w:spacing w:val="-2"/>
                    </w:rPr>
                    <w:t>5</w:t>
                  </w:r>
                  <w:r>
                    <w:rPr>
                      <w:rFonts w:hint="eastAsia"/>
                      <w:color w:val="auto"/>
                      <w:spacing w:val="-2"/>
                    </w:rPr>
                    <w:t>6.7</w:t>
                  </w:r>
                </w:p>
              </w:tc>
              <w:tc>
                <w:tcPr>
                  <w:tcW w:w="2304" w:type="dxa"/>
                  <w:vAlign w:val="center"/>
                </w:tcPr>
                <w:p>
                  <w:pPr>
                    <w:widowControl/>
                    <w:adjustRightInd w:val="0"/>
                    <w:snapToGrid w:val="0"/>
                    <w:jc w:val="center"/>
                    <w:rPr>
                      <w:color w:val="auto"/>
                      <w:spacing w:val="-2"/>
                    </w:rPr>
                  </w:pPr>
                  <w:r>
                    <w:rPr>
                      <w:rFonts w:hint="eastAsia"/>
                      <w:color w:val="auto"/>
                      <w:spacing w:val="-2"/>
                    </w:rPr>
                    <w:t>65</w:t>
                  </w:r>
                </w:p>
              </w:tc>
              <w:tc>
                <w:tcPr>
                  <w:tcW w:w="2305" w:type="dxa"/>
                  <w:vAlign w:val="center"/>
                </w:tcPr>
                <w:p>
                  <w:pPr>
                    <w:widowControl/>
                    <w:adjustRightInd w:val="0"/>
                    <w:snapToGrid w:val="0"/>
                    <w:jc w:val="center"/>
                    <w:rPr>
                      <w:color w:val="auto"/>
                      <w:spacing w:val="-2"/>
                    </w:rPr>
                  </w:pPr>
                  <w:r>
                    <w:rPr>
                      <w:color w:val="auto"/>
                      <w:spacing w:val="-2"/>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74" w:type="dxa"/>
                  <w:vAlign w:val="center"/>
                </w:tcPr>
                <w:p>
                  <w:pPr>
                    <w:widowControl/>
                    <w:adjustRightInd w:val="0"/>
                    <w:snapToGrid w:val="0"/>
                    <w:jc w:val="center"/>
                    <w:rPr>
                      <w:color w:val="auto"/>
                      <w:spacing w:val="-2"/>
                    </w:rPr>
                  </w:pPr>
                  <w:r>
                    <w:rPr>
                      <w:color w:val="auto"/>
                      <w:spacing w:val="-2"/>
                    </w:rPr>
                    <w:t>厂界北</w:t>
                  </w:r>
                </w:p>
              </w:tc>
              <w:tc>
                <w:tcPr>
                  <w:tcW w:w="2483" w:type="dxa"/>
                  <w:vAlign w:val="center"/>
                </w:tcPr>
                <w:p>
                  <w:pPr>
                    <w:widowControl/>
                    <w:adjustRightInd w:val="0"/>
                    <w:snapToGrid w:val="0"/>
                    <w:jc w:val="center"/>
                    <w:rPr>
                      <w:color w:val="auto"/>
                      <w:spacing w:val="-2"/>
                    </w:rPr>
                  </w:pPr>
                  <w:r>
                    <w:rPr>
                      <w:color w:val="auto"/>
                      <w:spacing w:val="-2"/>
                    </w:rPr>
                    <w:t>5</w:t>
                  </w:r>
                  <w:r>
                    <w:rPr>
                      <w:rFonts w:hint="eastAsia"/>
                      <w:color w:val="auto"/>
                      <w:spacing w:val="-2"/>
                    </w:rPr>
                    <w:t>6.1</w:t>
                  </w:r>
                </w:p>
              </w:tc>
              <w:tc>
                <w:tcPr>
                  <w:tcW w:w="2304" w:type="dxa"/>
                  <w:vAlign w:val="center"/>
                </w:tcPr>
                <w:p>
                  <w:pPr>
                    <w:widowControl/>
                    <w:adjustRightInd w:val="0"/>
                    <w:snapToGrid w:val="0"/>
                    <w:jc w:val="center"/>
                    <w:rPr>
                      <w:color w:val="auto"/>
                      <w:spacing w:val="-2"/>
                    </w:rPr>
                  </w:pPr>
                  <w:r>
                    <w:rPr>
                      <w:rFonts w:hint="eastAsia"/>
                      <w:color w:val="auto"/>
                      <w:spacing w:val="-2"/>
                    </w:rPr>
                    <w:t>65</w:t>
                  </w:r>
                </w:p>
              </w:tc>
              <w:tc>
                <w:tcPr>
                  <w:tcW w:w="2305" w:type="dxa"/>
                  <w:vAlign w:val="center"/>
                </w:tcPr>
                <w:p>
                  <w:pPr>
                    <w:widowControl/>
                    <w:adjustRightInd w:val="0"/>
                    <w:snapToGrid w:val="0"/>
                    <w:jc w:val="center"/>
                    <w:rPr>
                      <w:color w:val="auto"/>
                      <w:spacing w:val="-2"/>
                    </w:rPr>
                  </w:pPr>
                  <w:r>
                    <w:rPr>
                      <w:color w:val="auto"/>
                      <w:spacing w:val="-2"/>
                    </w:rPr>
                    <w:t>是</w:t>
                  </w:r>
                </w:p>
              </w:tc>
            </w:tr>
          </w:tbl>
          <w:p>
            <w:pPr>
              <w:widowControl/>
              <w:spacing w:before="120" w:beforeLines="50" w:line="360" w:lineRule="auto"/>
              <w:ind w:firstLine="420" w:firstLineChars="200"/>
              <w:rPr>
                <w:bCs/>
                <w:color w:val="auto"/>
              </w:rPr>
            </w:pPr>
            <w:r>
              <w:rPr>
                <w:color w:val="auto"/>
              </w:rPr>
              <w:t>根据上表预测结果可知，项目生产设备在采取噪声防治措施后，项目边界处噪声贡献值低于《工业企业厂界环境噪声排放标准》（GB12348-2008）的</w:t>
            </w:r>
            <w:r>
              <w:rPr>
                <w:rFonts w:hint="eastAsia"/>
                <w:color w:val="auto"/>
              </w:rPr>
              <w:t>3</w:t>
            </w:r>
            <w:r>
              <w:rPr>
                <w:color w:val="auto"/>
              </w:rPr>
              <w:t>类标准</w:t>
            </w:r>
            <w:r>
              <w:rPr>
                <w:bCs/>
                <w:color w:val="auto"/>
              </w:rPr>
              <w:t>，对周围声环境及周边敏感点影响不大。</w:t>
            </w:r>
          </w:p>
          <w:p>
            <w:pPr>
              <w:widowControl/>
              <w:spacing w:line="360" w:lineRule="auto"/>
              <w:ind w:firstLine="422" w:firstLineChars="200"/>
              <w:rPr>
                <w:b/>
                <w:color w:val="auto"/>
              </w:rPr>
            </w:pPr>
            <w:r>
              <w:rPr>
                <w:b/>
                <w:color w:val="auto"/>
              </w:rPr>
              <w:t>4.监测要求</w:t>
            </w:r>
          </w:p>
          <w:p>
            <w:pPr>
              <w:widowControl/>
              <w:spacing w:line="360" w:lineRule="auto"/>
              <w:ind w:firstLine="420" w:firstLineChars="200"/>
              <w:rPr>
                <w:color w:val="auto"/>
              </w:rPr>
            </w:pPr>
            <w:r>
              <w:rPr>
                <w:color w:val="auto"/>
              </w:rPr>
              <w:t>根据《排污单位自行监测技术指南 总则》（HJ 819-2017），项目运营期噪声监测要求如下。</w:t>
            </w:r>
          </w:p>
          <w:p>
            <w:pPr>
              <w:widowControl/>
              <w:tabs>
                <w:tab w:val="left" w:pos="0"/>
              </w:tabs>
              <w:adjustRightInd w:val="0"/>
              <w:snapToGrid w:val="0"/>
              <w:spacing w:line="360" w:lineRule="auto"/>
              <w:jc w:val="center"/>
              <w:rPr>
                <w:b/>
                <w:color w:val="auto"/>
              </w:rPr>
            </w:pPr>
            <w:r>
              <w:rPr>
                <w:b/>
                <w:color w:val="auto"/>
              </w:rPr>
              <w:t>表4-</w:t>
            </w:r>
            <w:r>
              <w:rPr>
                <w:rFonts w:hint="eastAsia"/>
                <w:b/>
                <w:color w:val="auto"/>
              </w:rPr>
              <w:t>23</w:t>
            </w:r>
            <w:r>
              <w:rPr>
                <w:b/>
                <w:color w:val="auto"/>
              </w:rPr>
              <w:t xml:space="preserve"> 噪声监测汇总表</w:t>
            </w:r>
          </w:p>
          <w:tbl>
            <w:tblPr>
              <w:tblStyle w:val="92"/>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3"/>
              <w:gridCol w:w="1566"/>
              <w:gridCol w:w="1573"/>
              <w:gridCol w:w="2184"/>
              <w:gridCol w:w="31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2"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b/>
                      <w:bCs/>
                      <w:color w:val="auto"/>
                    </w:rPr>
                  </w:pPr>
                  <w:r>
                    <w:rPr>
                      <w:b/>
                      <w:bCs/>
                      <w:color w:val="auto"/>
                    </w:rPr>
                    <w:t>类别</w:t>
                  </w:r>
                </w:p>
              </w:tc>
              <w:tc>
                <w:tcPr>
                  <w:tcW w:w="841" w:type="pct"/>
                  <w:tcBorders>
                    <w:top w:val="single" w:color="auto" w:sz="4" w:space="0"/>
                    <w:left w:val="nil"/>
                    <w:bottom w:val="single" w:color="auto" w:sz="4" w:space="0"/>
                    <w:right w:val="single" w:color="auto" w:sz="4" w:space="0"/>
                  </w:tcBorders>
                  <w:vAlign w:val="center"/>
                </w:tcPr>
                <w:p>
                  <w:pPr>
                    <w:adjustRightInd w:val="0"/>
                    <w:snapToGrid w:val="0"/>
                    <w:jc w:val="center"/>
                    <w:rPr>
                      <w:b/>
                      <w:bCs/>
                      <w:color w:val="auto"/>
                    </w:rPr>
                  </w:pPr>
                  <w:r>
                    <w:rPr>
                      <w:b/>
                      <w:bCs/>
                      <w:color w:val="auto"/>
                    </w:rPr>
                    <w:t>监测指标</w:t>
                  </w:r>
                </w:p>
              </w:tc>
              <w:tc>
                <w:tcPr>
                  <w:tcW w:w="845" w:type="pct"/>
                  <w:tcBorders>
                    <w:top w:val="single" w:color="auto" w:sz="4" w:space="0"/>
                    <w:left w:val="nil"/>
                    <w:bottom w:val="single" w:color="auto" w:sz="4" w:space="0"/>
                    <w:right w:val="single" w:color="auto" w:sz="4" w:space="0"/>
                  </w:tcBorders>
                  <w:vAlign w:val="center"/>
                </w:tcPr>
                <w:p>
                  <w:pPr>
                    <w:adjustRightInd w:val="0"/>
                    <w:snapToGrid w:val="0"/>
                    <w:jc w:val="center"/>
                    <w:rPr>
                      <w:b/>
                      <w:bCs/>
                      <w:color w:val="auto"/>
                    </w:rPr>
                  </w:pPr>
                  <w:r>
                    <w:rPr>
                      <w:b/>
                      <w:bCs/>
                      <w:color w:val="auto"/>
                    </w:rPr>
                    <w:t>监测点位</w:t>
                  </w:r>
                </w:p>
              </w:tc>
              <w:tc>
                <w:tcPr>
                  <w:tcW w:w="1173" w:type="pct"/>
                  <w:tcBorders>
                    <w:top w:val="single" w:color="auto" w:sz="4" w:space="0"/>
                    <w:left w:val="nil"/>
                    <w:bottom w:val="single" w:color="auto" w:sz="4" w:space="0"/>
                    <w:right w:val="single" w:color="auto" w:sz="4" w:space="0"/>
                  </w:tcBorders>
                  <w:vAlign w:val="center"/>
                </w:tcPr>
                <w:p>
                  <w:pPr>
                    <w:adjustRightInd w:val="0"/>
                    <w:snapToGrid w:val="0"/>
                    <w:jc w:val="center"/>
                    <w:rPr>
                      <w:b/>
                      <w:bCs/>
                      <w:color w:val="auto"/>
                    </w:rPr>
                  </w:pPr>
                  <w:r>
                    <w:rPr>
                      <w:b/>
                      <w:bCs/>
                      <w:color w:val="auto"/>
                    </w:rPr>
                    <w:t>监测频率</w:t>
                  </w:r>
                </w:p>
              </w:tc>
              <w:tc>
                <w:tcPr>
                  <w:tcW w:w="1697" w:type="pct"/>
                  <w:tcBorders>
                    <w:top w:val="single" w:color="auto" w:sz="4" w:space="0"/>
                    <w:left w:val="nil"/>
                    <w:bottom w:val="single" w:color="auto" w:sz="4" w:space="0"/>
                    <w:right w:val="single" w:color="auto" w:sz="4" w:space="0"/>
                  </w:tcBorders>
                  <w:vAlign w:val="center"/>
                </w:tcPr>
                <w:p>
                  <w:pPr>
                    <w:adjustRightInd w:val="0"/>
                    <w:snapToGrid w:val="0"/>
                    <w:jc w:val="center"/>
                    <w:rPr>
                      <w:b/>
                      <w:bCs/>
                      <w:color w:val="auto"/>
                    </w:rPr>
                  </w:pPr>
                  <w:r>
                    <w:rPr>
                      <w:b/>
                      <w:bCs/>
                      <w:color w:val="auto"/>
                    </w:rPr>
                    <w:t>执行标准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442"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color w:val="auto"/>
                    </w:rPr>
                  </w:pPr>
                  <w:r>
                    <w:rPr>
                      <w:color w:val="auto"/>
                    </w:rPr>
                    <w:t>噪声</w:t>
                  </w:r>
                </w:p>
                <w:p>
                  <w:pPr>
                    <w:adjustRightInd w:val="0"/>
                    <w:snapToGrid w:val="0"/>
                    <w:jc w:val="center"/>
                    <w:rPr>
                      <w:color w:val="auto"/>
                    </w:rPr>
                  </w:pPr>
                  <w:r>
                    <w:rPr>
                      <w:color w:val="auto"/>
                    </w:rPr>
                    <w:t>监测</w:t>
                  </w:r>
                </w:p>
              </w:tc>
              <w:tc>
                <w:tcPr>
                  <w:tcW w:w="841" w:type="pct"/>
                  <w:tcBorders>
                    <w:top w:val="single" w:color="auto" w:sz="4" w:space="0"/>
                    <w:left w:val="nil"/>
                    <w:bottom w:val="single" w:color="auto" w:sz="4" w:space="0"/>
                    <w:right w:val="single" w:color="auto" w:sz="4" w:space="0"/>
                  </w:tcBorders>
                  <w:vAlign w:val="center"/>
                </w:tcPr>
                <w:p>
                  <w:pPr>
                    <w:adjustRightInd w:val="0"/>
                    <w:snapToGrid w:val="0"/>
                    <w:jc w:val="center"/>
                    <w:rPr>
                      <w:color w:val="auto"/>
                    </w:rPr>
                  </w:pPr>
                  <w:r>
                    <w:rPr>
                      <w:color w:val="auto"/>
                    </w:rPr>
                    <w:t>等效连续A声级</w:t>
                  </w:r>
                </w:p>
              </w:tc>
              <w:tc>
                <w:tcPr>
                  <w:tcW w:w="845" w:type="pct"/>
                  <w:tcBorders>
                    <w:top w:val="single" w:color="auto" w:sz="4" w:space="0"/>
                    <w:left w:val="nil"/>
                    <w:bottom w:val="single" w:color="auto" w:sz="4" w:space="0"/>
                    <w:right w:val="single" w:color="auto" w:sz="4" w:space="0"/>
                  </w:tcBorders>
                  <w:vAlign w:val="center"/>
                </w:tcPr>
                <w:p>
                  <w:pPr>
                    <w:adjustRightInd w:val="0"/>
                    <w:snapToGrid w:val="0"/>
                    <w:jc w:val="center"/>
                    <w:rPr>
                      <w:color w:val="auto"/>
                    </w:rPr>
                  </w:pPr>
                  <w:r>
                    <w:rPr>
                      <w:color w:val="auto"/>
                    </w:rPr>
                    <w:t>厂界</w:t>
                  </w:r>
                </w:p>
              </w:tc>
              <w:tc>
                <w:tcPr>
                  <w:tcW w:w="1173" w:type="pct"/>
                  <w:tcBorders>
                    <w:top w:val="single" w:color="auto" w:sz="4" w:space="0"/>
                    <w:left w:val="nil"/>
                    <w:bottom w:val="single" w:color="auto" w:sz="4" w:space="0"/>
                    <w:right w:val="single" w:color="auto" w:sz="4" w:space="0"/>
                  </w:tcBorders>
                  <w:vAlign w:val="center"/>
                </w:tcPr>
                <w:p>
                  <w:pPr>
                    <w:adjustRightInd w:val="0"/>
                    <w:snapToGrid w:val="0"/>
                    <w:jc w:val="center"/>
                    <w:rPr>
                      <w:color w:val="auto"/>
                    </w:rPr>
                  </w:pPr>
                  <w:r>
                    <w:rPr>
                      <w:color w:val="auto"/>
                    </w:rPr>
                    <w:t>1次/季度</w:t>
                  </w:r>
                </w:p>
              </w:tc>
              <w:tc>
                <w:tcPr>
                  <w:tcW w:w="1697" w:type="pct"/>
                  <w:tcBorders>
                    <w:top w:val="single" w:color="auto" w:sz="4" w:space="0"/>
                    <w:left w:val="nil"/>
                    <w:bottom w:val="single" w:color="auto" w:sz="4" w:space="0"/>
                    <w:right w:val="single" w:color="auto" w:sz="4" w:space="0"/>
                  </w:tcBorders>
                  <w:vAlign w:val="center"/>
                </w:tcPr>
                <w:p>
                  <w:pPr>
                    <w:adjustRightInd w:val="0"/>
                    <w:snapToGrid w:val="0"/>
                    <w:jc w:val="left"/>
                    <w:rPr>
                      <w:color w:val="auto"/>
                    </w:rPr>
                  </w:pPr>
                  <w:r>
                    <w:rPr>
                      <w:color w:val="auto"/>
                    </w:rPr>
                    <w:t>《工业企业厂界环境噪声排放标准》（GB12348-2008）</w:t>
                  </w:r>
                  <w:r>
                    <w:rPr>
                      <w:rFonts w:hint="eastAsia"/>
                      <w:color w:val="auto"/>
                    </w:rPr>
                    <w:t>3</w:t>
                  </w:r>
                  <w:r>
                    <w:rPr>
                      <w:color w:val="auto"/>
                    </w:rPr>
                    <w:t>类标准</w:t>
                  </w:r>
                </w:p>
              </w:tc>
            </w:tr>
          </w:tbl>
          <w:p>
            <w:pPr>
              <w:pStyle w:val="246"/>
              <w:adjustRightInd w:val="0"/>
              <w:snapToGrid w:val="0"/>
              <w:spacing w:before="120" w:beforeLines="50" w:line="360" w:lineRule="auto"/>
              <w:rPr>
                <w:b/>
                <w:color w:val="auto"/>
                <w:sz w:val="21"/>
                <w:szCs w:val="21"/>
              </w:rPr>
            </w:pPr>
            <w:r>
              <w:rPr>
                <w:b/>
                <w:color w:val="auto"/>
                <w:sz w:val="21"/>
                <w:szCs w:val="21"/>
              </w:rPr>
              <w:t>四、固体废物</w:t>
            </w:r>
          </w:p>
          <w:p>
            <w:pPr>
              <w:snapToGrid w:val="0"/>
              <w:spacing w:line="360" w:lineRule="auto"/>
              <w:ind w:firstLine="422" w:firstLineChars="200"/>
              <w:rPr>
                <w:b/>
                <w:bCs/>
                <w:color w:val="auto"/>
              </w:rPr>
            </w:pPr>
            <w:r>
              <w:rPr>
                <w:b/>
                <w:bCs/>
                <w:color w:val="auto"/>
              </w:rPr>
              <w:t>1、产生和处置情况</w:t>
            </w:r>
          </w:p>
          <w:p>
            <w:pPr>
              <w:snapToGrid w:val="0"/>
              <w:spacing w:line="360" w:lineRule="auto"/>
              <w:ind w:firstLine="420" w:firstLineChars="200"/>
              <w:rPr>
                <w:bCs/>
                <w:color w:val="auto"/>
              </w:rPr>
            </w:pPr>
            <w:r>
              <w:rPr>
                <w:bCs/>
                <w:color w:val="auto"/>
              </w:rPr>
              <w:t>项目</w:t>
            </w:r>
            <w:r>
              <w:rPr>
                <w:rFonts w:hint="eastAsia"/>
                <w:bCs/>
                <w:color w:val="auto"/>
              </w:rPr>
              <w:t>固体废物主要包括：废包装物、收集粉尘、废机油、废机油桶、</w:t>
            </w:r>
            <w:r>
              <w:rPr>
                <w:bCs/>
                <w:color w:val="auto"/>
                <w:lang w:bidi="en-US"/>
              </w:rPr>
              <w:t>废抹布和废手套</w:t>
            </w:r>
            <w:r>
              <w:rPr>
                <w:rFonts w:hint="eastAsia"/>
                <w:bCs/>
                <w:color w:val="auto"/>
                <w:lang w:bidi="en-US"/>
              </w:rPr>
              <w:t>、</w:t>
            </w:r>
            <w:r>
              <w:rPr>
                <w:rFonts w:hint="eastAsia"/>
                <w:bCs/>
                <w:color w:val="auto"/>
              </w:rPr>
              <w:t>废活性炭和生活垃圾等</w:t>
            </w:r>
            <w:r>
              <w:rPr>
                <w:bCs/>
                <w:color w:val="auto"/>
              </w:rPr>
              <w:t>。</w:t>
            </w:r>
          </w:p>
          <w:p>
            <w:pPr>
              <w:snapToGrid w:val="0"/>
              <w:spacing w:line="360" w:lineRule="auto"/>
              <w:ind w:firstLine="422" w:firstLineChars="200"/>
              <w:rPr>
                <w:b/>
                <w:color w:val="auto"/>
              </w:rPr>
            </w:pPr>
            <w:r>
              <w:rPr>
                <w:b/>
                <w:color w:val="auto"/>
              </w:rPr>
              <w:t>（1）生活垃圾</w:t>
            </w:r>
          </w:p>
          <w:p>
            <w:pPr>
              <w:adjustRightInd w:val="0"/>
              <w:snapToGrid w:val="0"/>
              <w:spacing w:line="360" w:lineRule="auto"/>
              <w:ind w:firstLine="420" w:firstLineChars="200"/>
              <w:rPr>
                <w:color w:val="auto"/>
              </w:rPr>
            </w:pPr>
            <w:r>
              <w:rPr>
                <w:color w:val="auto"/>
              </w:rPr>
              <w:t>项目员工人数</w:t>
            </w:r>
            <w:r>
              <w:rPr>
                <w:rFonts w:hint="eastAsia"/>
                <w:color w:val="auto"/>
              </w:rPr>
              <w:t>180</w:t>
            </w:r>
            <w:r>
              <w:rPr>
                <w:color w:val="auto"/>
              </w:rPr>
              <w:t>人，均在厂内</w:t>
            </w:r>
            <w:r>
              <w:rPr>
                <w:rFonts w:hint="eastAsia"/>
                <w:color w:val="auto"/>
              </w:rPr>
              <w:t>食宿</w:t>
            </w:r>
            <w:r>
              <w:rPr>
                <w:color w:val="auto"/>
              </w:rPr>
              <w:t>，生活垃圾产生系数按</w:t>
            </w:r>
            <w:r>
              <w:rPr>
                <w:rFonts w:hint="eastAsia"/>
                <w:color w:val="auto"/>
              </w:rPr>
              <w:t>1.0</w:t>
            </w:r>
            <w:r>
              <w:rPr>
                <w:color w:val="auto"/>
              </w:rPr>
              <w:t>kg/人•日计，则项目生活垃圾产生量为</w:t>
            </w:r>
            <w:r>
              <w:rPr>
                <w:rFonts w:hint="eastAsia"/>
                <w:color w:val="auto"/>
              </w:rPr>
              <w:t>54</w:t>
            </w:r>
            <w:r>
              <w:rPr>
                <w:color w:val="auto"/>
              </w:rPr>
              <w:t>t/a（以300天计算）。生活垃圾分类收集后交由环卫部门统一清运。</w:t>
            </w:r>
          </w:p>
          <w:p>
            <w:pPr>
              <w:snapToGrid w:val="0"/>
              <w:spacing w:line="360" w:lineRule="auto"/>
              <w:ind w:firstLine="422" w:firstLineChars="200"/>
              <w:rPr>
                <w:b/>
                <w:color w:val="auto"/>
              </w:rPr>
            </w:pPr>
            <w:r>
              <w:rPr>
                <w:b/>
                <w:color w:val="auto"/>
              </w:rPr>
              <w:t>（2）</w:t>
            </w:r>
            <w:r>
              <w:rPr>
                <w:rFonts w:hint="eastAsia"/>
                <w:b/>
                <w:color w:val="auto"/>
                <w:lang w:val="en-US" w:eastAsia="zh-CN"/>
              </w:rPr>
              <w:t>一般</w:t>
            </w:r>
            <w:r>
              <w:rPr>
                <w:b/>
                <w:color w:val="auto"/>
              </w:rPr>
              <w:t>固体废物</w:t>
            </w:r>
          </w:p>
          <w:p>
            <w:pPr>
              <w:adjustRightInd w:val="0"/>
              <w:snapToGrid w:val="0"/>
              <w:spacing w:line="360" w:lineRule="auto"/>
              <w:ind w:firstLine="420" w:firstLineChars="200"/>
              <w:rPr>
                <w:b/>
                <w:color w:val="auto"/>
              </w:rPr>
            </w:pPr>
            <w:r>
              <w:rPr>
                <w:rFonts w:hint="eastAsia"/>
                <w:color w:val="auto"/>
              </w:rPr>
              <w:t>本项目产生的一般工业固体废物主要为废包装物、除尘器集尘，收集外售综合利用。本项目固体废物产生情况见下表。</w:t>
            </w:r>
          </w:p>
          <w:p>
            <w:pPr>
              <w:widowControl/>
              <w:tabs>
                <w:tab w:val="left" w:pos="0"/>
              </w:tabs>
              <w:adjustRightInd w:val="0"/>
              <w:snapToGrid w:val="0"/>
              <w:spacing w:line="360" w:lineRule="auto"/>
              <w:jc w:val="center"/>
              <w:rPr>
                <w:b/>
                <w:color w:val="auto"/>
              </w:rPr>
            </w:pPr>
            <w:r>
              <w:rPr>
                <w:b/>
                <w:color w:val="auto"/>
              </w:rPr>
              <w:t>表4-</w:t>
            </w:r>
            <w:r>
              <w:rPr>
                <w:rFonts w:hint="eastAsia"/>
                <w:b/>
                <w:color w:val="auto"/>
              </w:rPr>
              <w:t xml:space="preserve">24 </w:t>
            </w:r>
            <w:r>
              <w:rPr>
                <w:rFonts w:hint="eastAsia"/>
                <w:b/>
                <w:color w:val="auto"/>
                <w:lang w:val="en-US" w:eastAsia="zh-CN"/>
              </w:rPr>
              <w:t>一般</w:t>
            </w:r>
            <w:r>
              <w:rPr>
                <w:b/>
                <w:color w:val="auto"/>
              </w:rPr>
              <w:t>固体废物产生情况表</w:t>
            </w:r>
          </w:p>
          <w:tbl>
            <w:tblPr>
              <w:tblStyle w:val="9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363"/>
              <w:gridCol w:w="921"/>
              <w:gridCol w:w="944"/>
              <w:gridCol w:w="780"/>
              <w:gridCol w:w="665"/>
              <w:gridCol w:w="375"/>
              <w:gridCol w:w="833"/>
              <w:gridCol w:w="683"/>
              <w:gridCol w:w="375"/>
              <w:gridCol w:w="1139"/>
              <w:gridCol w:w="22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3" w:hRule="atLeast"/>
                <w:jc w:val="center"/>
              </w:trPr>
              <w:tc>
                <w:tcPr>
                  <w:tcW w:w="363" w:type="dxa"/>
                  <w:vAlign w:val="center"/>
                </w:tcPr>
                <w:p>
                  <w:pPr>
                    <w:widowControl/>
                    <w:jc w:val="center"/>
                    <w:rPr>
                      <w:b/>
                      <w:color w:val="auto"/>
                      <w:szCs w:val="21"/>
                    </w:rPr>
                  </w:pPr>
                  <w:r>
                    <w:rPr>
                      <w:b/>
                      <w:color w:val="auto"/>
                      <w:szCs w:val="21"/>
                      <w:lang w:bidi="ar"/>
                    </w:rPr>
                    <w:t>序号</w:t>
                  </w:r>
                </w:p>
              </w:tc>
              <w:tc>
                <w:tcPr>
                  <w:tcW w:w="921" w:type="dxa"/>
                  <w:vAlign w:val="center"/>
                </w:tcPr>
                <w:p>
                  <w:pPr>
                    <w:widowControl/>
                    <w:jc w:val="center"/>
                    <w:rPr>
                      <w:b/>
                      <w:color w:val="auto"/>
                      <w:szCs w:val="21"/>
                    </w:rPr>
                  </w:pPr>
                  <w:r>
                    <w:rPr>
                      <w:b/>
                      <w:color w:val="auto"/>
                      <w:szCs w:val="21"/>
                      <w:lang w:bidi="ar"/>
                    </w:rPr>
                    <w:t>产生环节</w:t>
                  </w:r>
                </w:p>
              </w:tc>
              <w:tc>
                <w:tcPr>
                  <w:tcW w:w="944" w:type="dxa"/>
                  <w:vAlign w:val="center"/>
                </w:tcPr>
                <w:p>
                  <w:pPr>
                    <w:widowControl/>
                    <w:jc w:val="center"/>
                    <w:rPr>
                      <w:b/>
                      <w:color w:val="auto"/>
                      <w:szCs w:val="21"/>
                    </w:rPr>
                  </w:pPr>
                  <w:r>
                    <w:rPr>
                      <w:b/>
                      <w:color w:val="auto"/>
                      <w:szCs w:val="21"/>
                      <w:lang w:bidi="ar"/>
                    </w:rPr>
                    <w:t>废物名称</w:t>
                  </w:r>
                </w:p>
              </w:tc>
              <w:tc>
                <w:tcPr>
                  <w:tcW w:w="780" w:type="dxa"/>
                  <w:vAlign w:val="center"/>
                </w:tcPr>
                <w:p>
                  <w:pPr>
                    <w:widowControl/>
                    <w:jc w:val="center"/>
                    <w:rPr>
                      <w:b/>
                      <w:color w:val="auto"/>
                      <w:szCs w:val="21"/>
                    </w:rPr>
                  </w:pPr>
                  <w:r>
                    <w:rPr>
                      <w:b/>
                      <w:color w:val="auto"/>
                      <w:szCs w:val="21"/>
                      <w:lang w:bidi="ar"/>
                    </w:rPr>
                    <w:t>废物属性</w:t>
                  </w:r>
                </w:p>
              </w:tc>
              <w:tc>
                <w:tcPr>
                  <w:tcW w:w="665" w:type="dxa"/>
                  <w:vAlign w:val="center"/>
                </w:tcPr>
                <w:p>
                  <w:pPr>
                    <w:widowControl/>
                    <w:jc w:val="center"/>
                    <w:rPr>
                      <w:b/>
                      <w:color w:val="auto"/>
                      <w:szCs w:val="21"/>
                    </w:rPr>
                  </w:pPr>
                  <w:r>
                    <w:rPr>
                      <w:b/>
                      <w:color w:val="auto"/>
                      <w:szCs w:val="21"/>
                      <w:lang w:bidi="ar"/>
                    </w:rPr>
                    <w:t>产生量</w:t>
                  </w:r>
                </w:p>
                <w:p>
                  <w:pPr>
                    <w:widowControl/>
                    <w:jc w:val="center"/>
                    <w:rPr>
                      <w:b/>
                      <w:color w:val="auto"/>
                      <w:szCs w:val="21"/>
                    </w:rPr>
                  </w:pPr>
                  <w:r>
                    <w:rPr>
                      <w:b/>
                      <w:color w:val="auto"/>
                      <w:szCs w:val="21"/>
                      <w:lang w:bidi="ar"/>
                    </w:rPr>
                    <w:t>（t/a）</w:t>
                  </w:r>
                </w:p>
              </w:tc>
              <w:tc>
                <w:tcPr>
                  <w:tcW w:w="375" w:type="dxa"/>
                  <w:vAlign w:val="center"/>
                </w:tcPr>
                <w:p>
                  <w:pPr>
                    <w:widowControl/>
                    <w:jc w:val="center"/>
                    <w:rPr>
                      <w:b/>
                      <w:color w:val="auto"/>
                      <w:szCs w:val="21"/>
                    </w:rPr>
                  </w:pPr>
                  <w:r>
                    <w:rPr>
                      <w:b/>
                      <w:color w:val="auto"/>
                      <w:szCs w:val="21"/>
                      <w:lang w:bidi="ar"/>
                    </w:rPr>
                    <w:t>形态</w:t>
                  </w:r>
                </w:p>
              </w:tc>
              <w:tc>
                <w:tcPr>
                  <w:tcW w:w="833" w:type="dxa"/>
                  <w:vAlign w:val="center"/>
                </w:tcPr>
                <w:p>
                  <w:pPr>
                    <w:widowControl/>
                    <w:jc w:val="center"/>
                    <w:rPr>
                      <w:b/>
                      <w:color w:val="auto"/>
                      <w:szCs w:val="21"/>
                    </w:rPr>
                  </w:pPr>
                  <w:r>
                    <w:rPr>
                      <w:b/>
                      <w:color w:val="auto"/>
                      <w:szCs w:val="21"/>
                      <w:lang w:bidi="ar"/>
                    </w:rPr>
                    <w:t>主要成分</w:t>
                  </w:r>
                </w:p>
              </w:tc>
              <w:tc>
                <w:tcPr>
                  <w:tcW w:w="683" w:type="dxa"/>
                  <w:vAlign w:val="center"/>
                </w:tcPr>
                <w:p>
                  <w:pPr>
                    <w:widowControl/>
                    <w:jc w:val="center"/>
                    <w:rPr>
                      <w:b/>
                      <w:color w:val="auto"/>
                      <w:szCs w:val="21"/>
                    </w:rPr>
                  </w:pPr>
                  <w:r>
                    <w:rPr>
                      <w:b/>
                      <w:color w:val="auto"/>
                      <w:szCs w:val="21"/>
                      <w:lang w:bidi="ar"/>
                    </w:rPr>
                    <w:t>有害成分</w:t>
                  </w:r>
                </w:p>
              </w:tc>
              <w:tc>
                <w:tcPr>
                  <w:tcW w:w="375" w:type="dxa"/>
                  <w:vAlign w:val="center"/>
                </w:tcPr>
                <w:p>
                  <w:pPr>
                    <w:widowControl/>
                    <w:jc w:val="center"/>
                    <w:rPr>
                      <w:b/>
                      <w:color w:val="auto"/>
                      <w:szCs w:val="21"/>
                    </w:rPr>
                  </w:pPr>
                  <w:r>
                    <w:rPr>
                      <w:b/>
                      <w:color w:val="auto"/>
                      <w:szCs w:val="21"/>
                      <w:lang w:bidi="ar"/>
                    </w:rPr>
                    <w:t>危险</w:t>
                  </w:r>
                </w:p>
                <w:p>
                  <w:pPr>
                    <w:widowControl/>
                    <w:jc w:val="center"/>
                    <w:rPr>
                      <w:b/>
                      <w:color w:val="auto"/>
                      <w:szCs w:val="21"/>
                    </w:rPr>
                  </w:pPr>
                  <w:r>
                    <w:rPr>
                      <w:b/>
                      <w:color w:val="auto"/>
                      <w:szCs w:val="21"/>
                      <w:lang w:bidi="ar"/>
                    </w:rPr>
                    <w:t>特性</w:t>
                  </w:r>
                </w:p>
              </w:tc>
              <w:tc>
                <w:tcPr>
                  <w:tcW w:w="1139" w:type="dxa"/>
                  <w:vAlign w:val="center"/>
                </w:tcPr>
                <w:p>
                  <w:pPr>
                    <w:widowControl/>
                    <w:jc w:val="center"/>
                    <w:rPr>
                      <w:b/>
                      <w:color w:val="auto"/>
                      <w:szCs w:val="21"/>
                    </w:rPr>
                  </w:pPr>
                  <w:r>
                    <w:rPr>
                      <w:b/>
                      <w:color w:val="auto"/>
                      <w:szCs w:val="21"/>
                      <w:lang w:bidi="ar"/>
                    </w:rPr>
                    <w:t>贮存要求</w:t>
                  </w:r>
                </w:p>
              </w:tc>
              <w:tc>
                <w:tcPr>
                  <w:tcW w:w="2211" w:type="dxa"/>
                  <w:vAlign w:val="center"/>
                </w:tcPr>
                <w:p>
                  <w:pPr>
                    <w:widowControl/>
                    <w:jc w:val="center"/>
                    <w:rPr>
                      <w:b/>
                      <w:color w:val="auto"/>
                      <w:szCs w:val="21"/>
                    </w:rPr>
                  </w:pPr>
                  <w:r>
                    <w:rPr>
                      <w:b/>
                      <w:color w:val="auto"/>
                      <w:szCs w:val="21"/>
                      <w:lang w:bidi="ar"/>
                    </w:rPr>
                    <w:t>处理方式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1" w:hRule="atLeast"/>
                <w:jc w:val="center"/>
              </w:trPr>
              <w:tc>
                <w:tcPr>
                  <w:tcW w:w="363" w:type="dxa"/>
                  <w:vAlign w:val="center"/>
                </w:tcPr>
                <w:p>
                  <w:pPr>
                    <w:widowControl/>
                    <w:jc w:val="center"/>
                    <w:rPr>
                      <w:color w:val="auto"/>
                      <w:szCs w:val="21"/>
                    </w:rPr>
                  </w:pPr>
                  <w:r>
                    <w:rPr>
                      <w:rFonts w:hint="eastAsia"/>
                      <w:color w:val="auto"/>
                      <w:szCs w:val="21"/>
                    </w:rPr>
                    <w:t>1</w:t>
                  </w:r>
                </w:p>
              </w:tc>
              <w:tc>
                <w:tcPr>
                  <w:tcW w:w="921" w:type="dxa"/>
                  <w:vAlign w:val="center"/>
                </w:tcPr>
                <w:p>
                  <w:pPr>
                    <w:pStyle w:val="470"/>
                    <w:widowControl/>
                    <w:snapToGrid w:val="0"/>
                    <w:spacing w:line="240" w:lineRule="auto"/>
                    <w:rPr>
                      <w:rFonts w:ascii="Times New Roman" w:hAnsi="Times New Roman" w:eastAsia="宋体" w:cs="Times New Roman"/>
                      <w:bCs/>
                      <w:color w:val="auto"/>
                      <w:sz w:val="21"/>
                      <w:szCs w:val="21"/>
                    </w:rPr>
                  </w:pPr>
                  <w:r>
                    <w:rPr>
                      <w:rFonts w:ascii="Times New Roman" w:hAnsi="Times New Roman" w:eastAsia="宋体" w:cs="Times New Roman"/>
                      <w:bCs/>
                      <w:color w:val="auto"/>
                      <w:sz w:val="21"/>
                      <w:szCs w:val="21"/>
                    </w:rPr>
                    <w:t>生产</w:t>
                  </w:r>
                </w:p>
              </w:tc>
              <w:tc>
                <w:tcPr>
                  <w:tcW w:w="944" w:type="dxa"/>
                  <w:vAlign w:val="center"/>
                </w:tcPr>
                <w:p>
                  <w:pPr>
                    <w:pStyle w:val="470"/>
                    <w:widowControl/>
                    <w:adjustRightInd/>
                    <w:spacing w:line="240" w:lineRule="auto"/>
                    <w:rPr>
                      <w:rFonts w:ascii="Times New Roman" w:hAnsi="Times New Roman" w:eastAsia="宋体" w:cs="Times New Roman"/>
                      <w:bCs/>
                      <w:color w:val="auto"/>
                      <w:sz w:val="21"/>
                      <w:szCs w:val="21"/>
                    </w:rPr>
                  </w:pPr>
                  <w:r>
                    <w:rPr>
                      <w:rFonts w:ascii="Times New Roman" w:hAnsi="Times New Roman" w:eastAsia="宋体" w:cs="Times New Roman"/>
                      <w:bCs/>
                      <w:color w:val="auto"/>
                      <w:sz w:val="21"/>
                      <w:szCs w:val="21"/>
                    </w:rPr>
                    <w:t>废包装材料</w:t>
                  </w:r>
                </w:p>
              </w:tc>
              <w:tc>
                <w:tcPr>
                  <w:tcW w:w="780" w:type="dxa"/>
                  <w:vMerge w:val="restart"/>
                  <w:vAlign w:val="center"/>
                </w:tcPr>
                <w:p>
                  <w:pPr>
                    <w:jc w:val="center"/>
                    <w:rPr>
                      <w:color w:val="auto"/>
                      <w:szCs w:val="21"/>
                    </w:rPr>
                  </w:pPr>
                  <w:r>
                    <w:rPr>
                      <w:color w:val="auto"/>
                      <w:szCs w:val="21"/>
                    </w:rPr>
                    <w:t>一般工业固体废物</w:t>
                  </w:r>
                </w:p>
              </w:tc>
              <w:tc>
                <w:tcPr>
                  <w:tcW w:w="665" w:type="dxa"/>
                  <w:vAlign w:val="center"/>
                </w:tcPr>
                <w:p>
                  <w:pPr>
                    <w:pStyle w:val="470"/>
                    <w:widowControl/>
                    <w:snapToGrid w:val="0"/>
                    <w:spacing w:line="240" w:lineRule="auto"/>
                    <w:rPr>
                      <w:rFonts w:ascii="Times New Roman" w:hAnsi="Times New Roman" w:eastAsia="宋体" w:cs="Times New Roman"/>
                      <w:bCs/>
                      <w:color w:val="auto"/>
                      <w:sz w:val="21"/>
                      <w:szCs w:val="21"/>
                      <w:lang w:eastAsia="zh-CN"/>
                    </w:rPr>
                  </w:pPr>
                  <w:r>
                    <w:rPr>
                      <w:rFonts w:ascii="Times New Roman" w:hAnsi="Times New Roman" w:eastAsia="宋体" w:cs="Times New Roman"/>
                      <w:bCs/>
                      <w:color w:val="auto"/>
                      <w:sz w:val="21"/>
                      <w:szCs w:val="21"/>
                      <w:lang w:eastAsia="zh-CN"/>
                    </w:rPr>
                    <w:t>3</w:t>
                  </w:r>
                </w:p>
              </w:tc>
              <w:tc>
                <w:tcPr>
                  <w:tcW w:w="375" w:type="dxa"/>
                  <w:vAlign w:val="center"/>
                </w:tcPr>
                <w:p>
                  <w:pPr>
                    <w:jc w:val="center"/>
                    <w:rPr>
                      <w:bCs/>
                      <w:color w:val="auto"/>
                      <w:szCs w:val="21"/>
                    </w:rPr>
                  </w:pPr>
                  <w:r>
                    <w:rPr>
                      <w:bCs/>
                      <w:color w:val="auto"/>
                      <w:szCs w:val="21"/>
                      <w:lang w:bidi="ar"/>
                    </w:rPr>
                    <w:t>固态</w:t>
                  </w:r>
                </w:p>
              </w:tc>
              <w:tc>
                <w:tcPr>
                  <w:tcW w:w="833" w:type="dxa"/>
                  <w:vAlign w:val="center"/>
                </w:tcPr>
                <w:p>
                  <w:pPr>
                    <w:topLinePunct/>
                    <w:snapToGrid w:val="0"/>
                    <w:jc w:val="center"/>
                    <w:rPr>
                      <w:color w:val="auto"/>
                      <w:szCs w:val="21"/>
                    </w:rPr>
                  </w:pPr>
                  <w:r>
                    <w:rPr>
                      <w:bCs/>
                      <w:color w:val="auto"/>
                      <w:szCs w:val="21"/>
                      <w:lang w:bidi="ar"/>
                    </w:rPr>
                    <w:t>废包装材料</w:t>
                  </w:r>
                </w:p>
              </w:tc>
              <w:tc>
                <w:tcPr>
                  <w:tcW w:w="683" w:type="dxa"/>
                  <w:vAlign w:val="center"/>
                </w:tcPr>
                <w:p>
                  <w:pPr>
                    <w:topLinePunct/>
                    <w:snapToGrid w:val="0"/>
                    <w:jc w:val="center"/>
                    <w:rPr>
                      <w:color w:val="auto"/>
                      <w:szCs w:val="21"/>
                    </w:rPr>
                  </w:pPr>
                  <w:r>
                    <w:rPr>
                      <w:color w:val="auto"/>
                      <w:szCs w:val="21"/>
                      <w:lang w:bidi="ar"/>
                    </w:rPr>
                    <w:t>/</w:t>
                  </w:r>
                </w:p>
              </w:tc>
              <w:tc>
                <w:tcPr>
                  <w:tcW w:w="375" w:type="dxa"/>
                  <w:vAlign w:val="center"/>
                </w:tcPr>
                <w:p>
                  <w:pPr>
                    <w:jc w:val="center"/>
                    <w:rPr>
                      <w:color w:val="auto"/>
                      <w:szCs w:val="21"/>
                    </w:rPr>
                  </w:pPr>
                  <w:r>
                    <w:rPr>
                      <w:color w:val="auto"/>
                      <w:szCs w:val="21"/>
                      <w:lang w:bidi="ar"/>
                    </w:rPr>
                    <w:t>/</w:t>
                  </w:r>
                </w:p>
              </w:tc>
              <w:tc>
                <w:tcPr>
                  <w:tcW w:w="1139" w:type="dxa"/>
                  <w:vMerge w:val="restart"/>
                  <w:vAlign w:val="center"/>
                </w:tcPr>
                <w:p>
                  <w:pPr>
                    <w:jc w:val="center"/>
                    <w:rPr>
                      <w:color w:val="auto"/>
                      <w:szCs w:val="21"/>
                    </w:rPr>
                  </w:pPr>
                  <w:r>
                    <w:rPr>
                      <w:color w:val="auto"/>
                      <w:szCs w:val="21"/>
                    </w:rPr>
                    <w:t>一般固废暂存间</w:t>
                  </w:r>
                </w:p>
              </w:tc>
              <w:tc>
                <w:tcPr>
                  <w:tcW w:w="2211" w:type="dxa"/>
                  <w:vAlign w:val="center"/>
                </w:tcPr>
                <w:p>
                  <w:pPr>
                    <w:widowControl/>
                    <w:jc w:val="center"/>
                    <w:rPr>
                      <w:color w:val="auto"/>
                      <w:szCs w:val="21"/>
                    </w:rPr>
                  </w:pPr>
                  <w:r>
                    <w:rPr>
                      <w:color w:val="auto"/>
                      <w:szCs w:val="21"/>
                    </w:rPr>
                    <w:t>收集后交由专门的回收公司处理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3" w:hRule="atLeast"/>
                <w:jc w:val="center"/>
              </w:trPr>
              <w:tc>
                <w:tcPr>
                  <w:tcW w:w="363" w:type="dxa"/>
                  <w:vAlign w:val="center"/>
                </w:tcPr>
                <w:p>
                  <w:pPr>
                    <w:widowControl/>
                    <w:jc w:val="center"/>
                    <w:rPr>
                      <w:color w:val="auto"/>
                      <w:szCs w:val="21"/>
                    </w:rPr>
                  </w:pPr>
                  <w:r>
                    <w:rPr>
                      <w:rFonts w:hint="eastAsia"/>
                      <w:color w:val="auto"/>
                      <w:szCs w:val="21"/>
                    </w:rPr>
                    <w:t>2</w:t>
                  </w:r>
                </w:p>
              </w:tc>
              <w:tc>
                <w:tcPr>
                  <w:tcW w:w="921" w:type="dxa"/>
                  <w:vAlign w:val="center"/>
                </w:tcPr>
                <w:p>
                  <w:pPr>
                    <w:pStyle w:val="470"/>
                    <w:widowControl/>
                    <w:snapToGrid w:val="0"/>
                    <w:spacing w:line="240" w:lineRule="auto"/>
                    <w:rPr>
                      <w:rFonts w:ascii="Times New Roman" w:hAnsi="Times New Roman" w:eastAsia="宋体" w:cs="Times New Roman"/>
                      <w:bCs/>
                      <w:color w:val="auto"/>
                      <w:sz w:val="21"/>
                      <w:szCs w:val="21"/>
                      <w:lang w:eastAsia="zh-CN"/>
                    </w:rPr>
                  </w:pPr>
                  <w:r>
                    <w:rPr>
                      <w:rFonts w:ascii="Times New Roman" w:hAnsi="Times New Roman" w:eastAsia="宋体" w:cs="Times New Roman"/>
                      <w:bCs/>
                      <w:color w:val="auto"/>
                      <w:sz w:val="21"/>
                      <w:szCs w:val="21"/>
                      <w:lang w:eastAsia="zh-CN"/>
                    </w:rPr>
                    <w:t>废气处理</w:t>
                  </w:r>
                </w:p>
              </w:tc>
              <w:tc>
                <w:tcPr>
                  <w:tcW w:w="944" w:type="dxa"/>
                  <w:vAlign w:val="center"/>
                </w:tcPr>
                <w:p>
                  <w:pPr>
                    <w:pStyle w:val="470"/>
                    <w:widowControl/>
                    <w:snapToGrid w:val="0"/>
                    <w:spacing w:line="240" w:lineRule="auto"/>
                    <w:rPr>
                      <w:rFonts w:ascii="Times New Roman" w:hAnsi="Times New Roman" w:eastAsia="宋体" w:cs="Times New Roman"/>
                      <w:bCs/>
                      <w:color w:val="auto"/>
                      <w:sz w:val="21"/>
                      <w:szCs w:val="21"/>
                      <w:lang w:eastAsia="zh-CN"/>
                    </w:rPr>
                  </w:pPr>
                  <w:r>
                    <w:rPr>
                      <w:rFonts w:ascii="Times New Roman" w:hAnsi="Times New Roman" w:eastAsia="宋体" w:cs="Times New Roman"/>
                      <w:bCs/>
                      <w:color w:val="auto"/>
                      <w:sz w:val="21"/>
                      <w:szCs w:val="21"/>
                      <w:lang w:eastAsia="zh-CN"/>
                    </w:rPr>
                    <w:t>收集的粉尘</w:t>
                  </w:r>
                </w:p>
              </w:tc>
              <w:tc>
                <w:tcPr>
                  <w:tcW w:w="780" w:type="dxa"/>
                  <w:vMerge w:val="continue"/>
                  <w:vAlign w:val="center"/>
                </w:tcPr>
                <w:p>
                  <w:pPr>
                    <w:jc w:val="center"/>
                    <w:rPr>
                      <w:color w:val="auto"/>
                      <w:szCs w:val="21"/>
                    </w:rPr>
                  </w:pPr>
                </w:p>
              </w:tc>
              <w:tc>
                <w:tcPr>
                  <w:tcW w:w="665" w:type="dxa"/>
                  <w:vAlign w:val="center"/>
                </w:tcPr>
                <w:p>
                  <w:pPr>
                    <w:pStyle w:val="470"/>
                    <w:widowControl/>
                    <w:snapToGrid w:val="0"/>
                    <w:spacing w:line="240" w:lineRule="auto"/>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FF0000"/>
                      <w:sz w:val="21"/>
                      <w:szCs w:val="21"/>
                      <w:lang w:val="en-US" w:eastAsia="zh-CN"/>
                    </w:rPr>
                    <w:t>2.4104</w:t>
                  </w:r>
                </w:p>
              </w:tc>
              <w:tc>
                <w:tcPr>
                  <w:tcW w:w="375" w:type="dxa"/>
                  <w:vAlign w:val="center"/>
                </w:tcPr>
                <w:p>
                  <w:pPr>
                    <w:jc w:val="center"/>
                    <w:rPr>
                      <w:bCs/>
                      <w:color w:val="auto"/>
                      <w:szCs w:val="21"/>
                    </w:rPr>
                  </w:pPr>
                  <w:r>
                    <w:rPr>
                      <w:bCs/>
                      <w:color w:val="auto"/>
                      <w:szCs w:val="21"/>
                      <w:lang w:bidi="ar"/>
                    </w:rPr>
                    <w:t>固态</w:t>
                  </w:r>
                </w:p>
              </w:tc>
              <w:tc>
                <w:tcPr>
                  <w:tcW w:w="833" w:type="dxa"/>
                  <w:vAlign w:val="center"/>
                </w:tcPr>
                <w:p>
                  <w:pPr>
                    <w:topLinePunct/>
                    <w:snapToGrid w:val="0"/>
                    <w:jc w:val="center"/>
                    <w:rPr>
                      <w:color w:val="auto"/>
                      <w:szCs w:val="21"/>
                    </w:rPr>
                  </w:pPr>
                  <w:r>
                    <w:rPr>
                      <w:rFonts w:hint="eastAsia"/>
                      <w:color w:val="auto"/>
                      <w:szCs w:val="21"/>
                    </w:rPr>
                    <w:t>炭黑</w:t>
                  </w:r>
                </w:p>
              </w:tc>
              <w:tc>
                <w:tcPr>
                  <w:tcW w:w="683" w:type="dxa"/>
                  <w:vAlign w:val="center"/>
                </w:tcPr>
                <w:p>
                  <w:pPr>
                    <w:jc w:val="center"/>
                    <w:rPr>
                      <w:color w:val="auto"/>
                      <w:szCs w:val="21"/>
                    </w:rPr>
                  </w:pPr>
                  <w:r>
                    <w:rPr>
                      <w:color w:val="auto"/>
                      <w:szCs w:val="21"/>
                      <w:lang w:bidi="ar"/>
                    </w:rPr>
                    <w:t>/</w:t>
                  </w:r>
                </w:p>
              </w:tc>
              <w:tc>
                <w:tcPr>
                  <w:tcW w:w="375" w:type="dxa"/>
                  <w:vAlign w:val="center"/>
                </w:tcPr>
                <w:p>
                  <w:pPr>
                    <w:jc w:val="center"/>
                    <w:rPr>
                      <w:color w:val="auto"/>
                      <w:szCs w:val="21"/>
                    </w:rPr>
                  </w:pPr>
                  <w:r>
                    <w:rPr>
                      <w:color w:val="auto"/>
                      <w:szCs w:val="21"/>
                      <w:lang w:bidi="ar"/>
                    </w:rPr>
                    <w:t>/</w:t>
                  </w:r>
                </w:p>
              </w:tc>
              <w:tc>
                <w:tcPr>
                  <w:tcW w:w="1139" w:type="dxa"/>
                  <w:vMerge w:val="continue"/>
                  <w:vAlign w:val="center"/>
                </w:tcPr>
                <w:p>
                  <w:pPr>
                    <w:jc w:val="center"/>
                    <w:rPr>
                      <w:color w:val="auto"/>
                      <w:szCs w:val="21"/>
                    </w:rPr>
                  </w:pPr>
                </w:p>
              </w:tc>
              <w:tc>
                <w:tcPr>
                  <w:tcW w:w="2211" w:type="dxa"/>
                  <w:vAlign w:val="center"/>
                </w:tcPr>
                <w:p>
                  <w:pPr>
                    <w:widowControl/>
                    <w:jc w:val="center"/>
                    <w:rPr>
                      <w:color w:val="auto"/>
                      <w:szCs w:val="21"/>
                    </w:rPr>
                  </w:pPr>
                  <w:r>
                    <w:rPr>
                      <w:bCs/>
                      <w:color w:val="auto"/>
                      <w:szCs w:val="21"/>
                      <w:lang w:bidi="ar"/>
                    </w:rPr>
                    <w:t>回用于生产</w:t>
                  </w:r>
                  <w:r>
                    <w:rPr>
                      <w:rFonts w:hint="eastAsia"/>
                      <w:bCs/>
                      <w:color w:val="auto"/>
                      <w:szCs w:val="21"/>
                      <w:lang w:bidi="ar"/>
                    </w:rPr>
                    <w:t>、</w:t>
                  </w:r>
                  <w:r>
                    <w:rPr>
                      <w:color w:val="auto"/>
                      <w:szCs w:val="21"/>
                    </w:rPr>
                    <w:t>交由专门的回收公司处理</w:t>
                  </w:r>
                </w:p>
              </w:tc>
            </w:tr>
          </w:tbl>
          <w:p>
            <w:pPr>
              <w:pStyle w:val="246"/>
              <w:adjustRightInd w:val="0"/>
              <w:snapToGrid w:val="0"/>
              <w:spacing w:before="120" w:beforeLines="50" w:line="360" w:lineRule="auto"/>
              <w:rPr>
                <w:b/>
                <w:color w:val="auto"/>
                <w:sz w:val="21"/>
                <w:szCs w:val="21"/>
              </w:rPr>
            </w:pPr>
            <w:r>
              <w:rPr>
                <w:b/>
                <w:color w:val="auto"/>
                <w:sz w:val="21"/>
                <w:szCs w:val="21"/>
              </w:rPr>
              <w:t>（3）危险废物</w:t>
            </w:r>
          </w:p>
          <w:p>
            <w:pPr>
              <w:adjustRightInd w:val="0"/>
              <w:snapToGrid w:val="0"/>
              <w:spacing w:line="360" w:lineRule="auto"/>
              <w:ind w:firstLine="422" w:firstLineChars="200"/>
              <w:rPr>
                <w:b/>
                <w:bCs/>
                <w:color w:val="auto"/>
              </w:rPr>
            </w:pPr>
            <w:r>
              <w:rPr>
                <w:b/>
                <w:bCs/>
                <w:color w:val="auto"/>
                <w:lang w:eastAsia="ja-JP"/>
              </w:rPr>
              <w:t>①废</w:t>
            </w:r>
            <w:r>
              <w:rPr>
                <w:rFonts w:hint="eastAsia"/>
                <w:b/>
                <w:bCs/>
                <w:color w:val="auto"/>
              </w:rPr>
              <w:t>机油</w:t>
            </w:r>
          </w:p>
          <w:p>
            <w:pPr>
              <w:adjustRightInd w:val="0"/>
              <w:snapToGrid w:val="0"/>
              <w:spacing w:line="360" w:lineRule="auto"/>
              <w:ind w:firstLine="420" w:firstLineChars="200"/>
              <w:rPr>
                <w:color w:val="auto"/>
              </w:rPr>
            </w:pPr>
            <w:r>
              <w:rPr>
                <w:color w:val="auto"/>
              </w:rPr>
              <w:t>项目生产机械数量较多，需要定期检修、保养，会产生少量更换的废</w:t>
            </w:r>
            <w:r>
              <w:rPr>
                <w:rFonts w:hint="eastAsia"/>
                <w:color w:val="auto"/>
              </w:rPr>
              <w:t>机</w:t>
            </w:r>
            <w:r>
              <w:rPr>
                <w:color w:val="auto"/>
              </w:rPr>
              <w:t>油，根据建设单位提供的资料，其年产生量约0.</w:t>
            </w:r>
            <w:r>
              <w:rPr>
                <w:rFonts w:hint="eastAsia"/>
                <w:color w:val="auto"/>
              </w:rPr>
              <w:t>5</w:t>
            </w:r>
            <w:r>
              <w:rPr>
                <w:color w:val="auto"/>
              </w:rPr>
              <w:t>t。废</w:t>
            </w:r>
            <w:r>
              <w:rPr>
                <w:rFonts w:hint="eastAsia"/>
                <w:color w:val="auto"/>
              </w:rPr>
              <w:t>机油</w:t>
            </w:r>
            <w:r>
              <w:rPr>
                <w:color w:val="auto"/>
              </w:rPr>
              <w:t>属于《国家危险废物名录（2021年版）》（2021年1月1日起施行）中</w:t>
            </w:r>
            <w:r>
              <w:rPr>
                <w:rFonts w:hint="eastAsia"/>
                <w:color w:val="auto"/>
              </w:rPr>
              <w:t>“</w:t>
            </w:r>
            <w:r>
              <w:rPr>
                <w:color w:val="auto"/>
              </w:rPr>
              <w:t>HW08废矿物油与含矿物油废物</w:t>
            </w:r>
            <w:r>
              <w:rPr>
                <w:rFonts w:hint="eastAsia"/>
                <w:color w:val="auto"/>
              </w:rPr>
              <w:t>”</w:t>
            </w:r>
            <w:r>
              <w:rPr>
                <w:color w:val="auto"/>
              </w:rPr>
              <w:t>-</w:t>
            </w:r>
            <w:r>
              <w:rPr>
                <w:rFonts w:hint="eastAsia"/>
                <w:color w:val="auto"/>
              </w:rPr>
              <w:t>“</w:t>
            </w:r>
            <w:r>
              <w:rPr>
                <w:color w:val="auto"/>
              </w:rPr>
              <w:t>非特定行业-900-249-08</w:t>
            </w:r>
            <w:r>
              <w:rPr>
                <w:rFonts w:hint="eastAsia"/>
                <w:color w:val="auto"/>
              </w:rPr>
              <w:t>”</w:t>
            </w:r>
            <w:r>
              <w:rPr>
                <w:color w:val="auto"/>
              </w:rPr>
              <w:t>-</w:t>
            </w:r>
            <w:r>
              <w:rPr>
                <w:rFonts w:hint="eastAsia"/>
                <w:color w:val="auto"/>
              </w:rPr>
              <w:t>“</w:t>
            </w:r>
            <w:r>
              <w:rPr>
                <w:color w:val="auto"/>
              </w:rPr>
              <w:t>其他生产、销售、使用过程中产生的废矿物油及沾染矿物油的废弃包装物</w:t>
            </w:r>
            <w:r>
              <w:rPr>
                <w:rFonts w:hint="eastAsia"/>
                <w:color w:val="auto"/>
              </w:rPr>
              <w:t>”</w:t>
            </w:r>
            <w:r>
              <w:rPr>
                <w:color w:val="auto"/>
              </w:rPr>
              <w:t>，收集后委托有资质单位处置。</w:t>
            </w:r>
          </w:p>
          <w:p>
            <w:pPr>
              <w:adjustRightInd w:val="0"/>
              <w:snapToGrid w:val="0"/>
              <w:spacing w:line="360" w:lineRule="auto"/>
              <w:ind w:firstLine="422" w:firstLineChars="200"/>
              <w:rPr>
                <w:b/>
                <w:bCs/>
                <w:color w:val="auto"/>
              </w:rPr>
            </w:pPr>
            <w:r>
              <w:rPr>
                <w:b/>
                <w:bCs/>
                <w:color w:val="auto"/>
                <w:lang w:eastAsia="ja-JP"/>
              </w:rPr>
              <w:t>②</w:t>
            </w:r>
            <w:r>
              <w:rPr>
                <w:rFonts w:hint="eastAsia"/>
                <w:b/>
                <w:bCs/>
                <w:color w:val="auto"/>
              </w:rPr>
              <w:t>废机油桶</w:t>
            </w:r>
          </w:p>
          <w:p>
            <w:pPr>
              <w:adjustRightInd w:val="0"/>
              <w:snapToGrid w:val="0"/>
              <w:spacing w:line="360" w:lineRule="auto"/>
              <w:ind w:firstLine="420" w:firstLineChars="200"/>
              <w:rPr>
                <w:color w:val="auto"/>
                <w:szCs w:val="21"/>
              </w:rPr>
            </w:pPr>
            <w:r>
              <w:rPr>
                <w:rFonts w:hint="eastAsia"/>
                <w:color w:val="auto"/>
                <w:szCs w:val="21"/>
              </w:rPr>
              <w:t>根</w:t>
            </w:r>
            <w:r>
              <w:rPr>
                <w:color w:val="auto"/>
                <w:szCs w:val="21"/>
              </w:rPr>
              <w:t>据建设单位提供的资料，</w:t>
            </w:r>
            <w:r>
              <w:rPr>
                <w:rFonts w:hint="eastAsia"/>
                <w:color w:val="auto"/>
                <w:szCs w:val="21"/>
              </w:rPr>
              <w:t>本项</w:t>
            </w:r>
            <w:r>
              <w:rPr>
                <w:color w:val="auto"/>
                <w:szCs w:val="21"/>
              </w:rPr>
              <w:t>目生产过程中废</w:t>
            </w:r>
            <w:r>
              <w:rPr>
                <w:rFonts w:hint="eastAsia"/>
                <w:color w:val="auto"/>
                <w:szCs w:val="21"/>
              </w:rPr>
              <w:t>机</w:t>
            </w:r>
            <w:r>
              <w:rPr>
                <w:color w:val="auto"/>
                <w:szCs w:val="21"/>
              </w:rPr>
              <w:t>油桶产生量约0.01</w:t>
            </w:r>
            <w:r>
              <w:rPr>
                <w:rFonts w:hint="eastAsia"/>
                <w:color w:val="auto"/>
                <w:szCs w:val="21"/>
              </w:rPr>
              <w:t>t/a，</w:t>
            </w:r>
            <w:r>
              <w:rPr>
                <w:color w:val="auto"/>
                <w:szCs w:val="21"/>
              </w:rPr>
              <w:t>属于《国家危险废物名录（2021年版）》（2021年1月1日起施行）中危险废物，废物类别为</w:t>
            </w:r>
            <w:r>
              <w:rPr>
                <w:rFonts w:ascii="宋体" w:hAnsi="宋体"/>
                <w:bCs/>
                <w:color w:val="auto"/>
                <w:szCs w:val="21"/>
              </w:rPr>
              <w:t>“</w:t>
            </w:r>
            <w:r>
              <w:rPr>
                <w:bCs/>
                <w:color w:val="auto"/>
                <w:szCs w:val="21"/>
              </w:rPr>
              <w:t>HW49</w:t>
            </w:r>
            <w:r>
              <w:rPr>
                <w:rFonts w:hint="eastAsia"/>
                <w:bCs/>
                <w:color w:val="auto"/>
                <w:szCs w:val="21"/>
              </w:rPr>
              <w:t>其他废物</w:t>
            </w:r>
            <w:r>
              <w:rPr>
                <w:rFonts w:ascii="宋体" w:hAnsi="宋体"/>
                <w:bCs/>
                <w:color w:val="auto"/>
                <w:szCs w:val="21"/>
              </w:rPr>
              <w:t>”</w:t>
            </w:r>
            <w:r>
              <w:rPr>
                <w:bCs/>
                <w:color w:val="auto"/>
                <w:szCs w:val="21"/>
              </w:rPr>
              <w:t>-</w:t>
            </w:r>
            <w:r>
              <w:rPr>
                <w:rFonts w:ascii="宋体" w:hAnsi="宋体"/>
                <w:bCs/>
                <w:color w:val="auto"/>
                <w:szCs w:val="21"/>
              </w:rPr>
              <w:t>“</w:t>
            </w:r>
            <w:r>
              <w:rPr>
                <w:bCs/>
                <w:color w:val="auto"/>
                <w:szCs w:val="21"/>
              </w:rPr>
              <w:t>非特定行业-900-041-49</w:t>
            </w:r>
            <w:r>
              <w:rPr>
                <w:rFonts w:ascii="宋体" w:hAnsi="宋体"/>
                <w:bCs/>
                <w:color w:val="auto"/>
                <w:szCs w:val="21"/>
              </w:rPr>
              <w:t>”</w:t>
            </w:r>
            <w:r>
              <w:rPr>
                <w:bCs/>
                <w:color w:val="auto"/>
                <w:szCs w:val="21"/>
              </w:rPr>
              <w:t>-</w:t>
            </w:r>
            <w:r>
              <w:rPr>
                <w:rFonts w:ascii="宋体" w:hAnsi="宋体"/>
                <w:bCs/>
                <w:color w:val="auto"/>
                <w:szCs w:val="21"/>
              </w:rPr>
              <w:t>“</w:t>
            </w:r>
            <w:r>
              <w:rPr>
                <w:rFonts w:hint="eastAsia"/>
                <w:bCs/>
                <w:color w:val="auto"/>
                <w:szCs w:val="21"/>
              </w:rPr>
              <w:t>含有或沾染毒性、感染性危险废物的废弃包装物、容器、过滤吸附介质</w:t>
            </w:r>
            <w:r>
              <w:rPr>
                <w:rFonts w:ascii="宋体" w:hAnsi="宋体"/>
                <w:bCs/>
                <w:color w:val="auto"/>
                <w:szCs w:val="21"/>
              </w:rPr>
              <w:t>”</w:t>
            </w:r>
            <w:r>
              <w:rPr>
                <w:rFonts w:hint="eastAsia"/>
                <w:bCs/>
                <w:color w:val="auto"/>
                <w:szCs w:val="21"/>
              </w:rPr>
              <w:t>，</w:t>
            </w:r>
            <w:r>
              <w:rPr>
                <w:color w:val="auto"/>
                <w:szCs w:val="21"/>
              </w:rPr>
              <w:t>收集后交有资质单位处理。</w:t>
            </w:r>
          </w:p>
          <w:p>
            <w:pPr>
              <w:adjustRightInd w:val="0"/>
              <w:snapToGrid w:val="0"/>
              <w:spacing w:line="360" w:lineRule="auto"/>
              <w:ind w:firstLine="422" w:firstLineChars="200"/>
              <w:rPr>
                <w:b/>
                <w:bCs/>
                <w:color w:val="auto"/>
                <w:lang w:eastAsia="ja-JP"/>
              </w:rPr>
            </w:pPr>
            <w:r>
              <w:rPr>
                <w:b/>
                <w:bCs/>
                <w:color w:val="auto"/>
                <w:lang w:eastAsia="ja-JP"/>
              </w:rPr>
              <w:t>③废抹布和废手套</w:t>
            </w:r>
          </w:p>
          <w:p>
            <w:pPr>
              <w:adjustRightInd w:val="0"/>
              <w:snapToGrid w:val="0"/>
              <w:spacing w:line="360" w:lineRule="auto"/>
              <w:ind w:firstLine="420" w:firstLineChars="200"/>
              <w:rPr>
                <w:color w:val="auto"/>
              </w:rPr>
            </w:pPr>
            <w:r>
              <w:rPr>
                <w:color w:val="auto"/>
              </w:rPr>
              <w:t>项目在生产和设备保养维修过程中会产生一定量废抹布和废手套，根据建设单位提供资料，年产生量约0.02t/a，废物类别为</w:t>
            </w:r>
            <w:r>
              <w:rPr>
                <w:rFonts w:ascii="宋体" w:hAnsi="宋体"/>
                <w:color w:val="auto"/>
              </w:rPr>
              <w:t>“</w:t>
            </w:r>
            <w:r>
              <w:rPr>
                <w:color w:val="auto"/>
              </w:rPr>
              <w:t>HW49其他废物类别</w:t>
            </w:r>
            <w:r>
              <w:rPr>
                <w:rFonts w:ascii="宋体" w:hAnsi="宋体"/>
                <w:color w:val="auto"/>
              </w:rPr>
              <w:t>”</w:t>
            </w:r>
            <w:r>
              <w:rPr>
                <w:color w:val="auto"/>
              </w:rPr>
              <w:t>-</w:t>
            </w:r>
            <w:r>
              <w:rPr>
                <w:rFonts w:ascii="宋体" w:hAnsi="宋体"/>
                <w:color w:val="auto"/>
              </w:rPr>
              <w:t>“</w:t>
            </w:r>
            <w:r>
              <w:rPr>
                <w:color w:val="auto"/>
              </w:rPr>
              <w:t>非特定行业-900-041-49</w:t>
            </w:r>
            <w:r>
              <w:rPr>
                <w:rFonts w:ascii="宋体" w:hAnsi="宋体"/>
                <w:color w:val="auto"/>
              </w:rPr>
              <w:t>”</w:t>
            </w:r>
            <w:r>
              <w:rPr>
                <w:color w:val="auto"/>
              </w:rPr>
              <w:t>-</w:t>
            </w:r>
            <w:r>
              <w:rPr>
                <w:rFonts w:ascii="宋体" w:hAnsi="宋体"/>
                <w:color w:val="auto"/>
              </w:rPr>
              <w:t>“</w:t>
            </w:r>
            <w:r>
              <w:rPr>
                <w:color w:val="auto"/>
              </w:rPr>
              <w:t>含有或沾染毒性、感染性危险废物的废弃包装物、容器、过滤吸附介质</w:t>
            </w:r>
            <w:r>
              <w:rPr>
                <w:rFonts w:ascii="宋体" w:hAnsi="宋体"/>
                <w:color w:val="auto"/>
              </w:rPr>
              <w:t>”</w:t>
            </w:r>
            <w:r>
              <w:rPr>
                <w:color w:val="auto"/>
              </w:rPr>
              <w:t>，收集后委托有资质单位处置。</w:t>
            </w:r>
          </w:p>
          <w:p>
            <w:pPr>
              <w:adjustRightInd w:val="0"/>
              <w:snapToGrid w:val="0"/>
              <w:spacing w:line="360" w:lineRule="auto"/>
              <w:ind w:firstLine="422" w:firstLineChars="200"/>
              <w:rPr>
                <w:b/>
                <w:bCs/>
                <w:color w:val="auto"/>
                <w:lang w:eastAsia="ja-JP"/>
              </w:rPr>
            </w:pPr>
            <w:r>
              <w:rPr>
                <w:b/>
                <w:bCs/>
                <w:color w:val="auto"/>
                <w:lang w:eastAsia="ja-JP"/>
              </w:rPr>
              <w:fldChar w:fldCharType="begin"/>
            </w:r>
            <w:r>
              <w:rPr>
                <w:b/>
                <w:bCs/>
                <w:color w:val="auto"/>
                <w:lang w:eastAsia="ja-JP"/>
              </w:rPr>
              <w:instrText xml:space="preserve"> = 4 \* GB3 \* MERGEFORMAT </w:instrText>
            </w:r>
            <w:r>
              <w:rPr>
                <w:b/>
                <w:bCs/>
                <w:color w:val="auto"/>
                <w:lang w:eastAsia="ja-JP"/>
              </w:rPr>
              <w:fldChar w:fldCharType="separate"/>
            </w:r>
            <w:r>
              <w:rPr>
                <w:b/>
                <w:bCs/>
                <w:color w:val="auto"/>
                <w:lang w:eastAsia="ja-JP"/>
              </w:rPr>
              <w:t>④</w:t>
            </w:r>
            <w:r>
              <w:rPr>
                <w:b/>
                <w:bCs/>
                <w:color w:val="auto"/>
                <w:lang w:eastAsia="ja-JP"/>
              </w:rPr>
              <w:fldChar w:fldCharType="end"/>
            </w:r>
            <w:r>
              <w:rPr>
                <w:b/>
                <w:bCs/>
                <w:color w:val="auto"/>
                <w:lang w:eastAsia="ja-JP"/>
              </w:rPr>
              <w:t>废活性炭</w:t>
            </w:r>
          </w:p>
          <w:p>
            <w:pPr>
              <w:adjustRightInd w:val="0"/>
              <w:snapToGrid w:val="0"/>
              <w:spacing w:line="360" w:lineRule="auto"/>
              <w:ind w:firstLine="420" w:firstLineChars="200"/>
              <w:rPr>
                <w:color w:val="auto"/>
              </w:rPr>
            </w:pPr>
            <w:r>
              <w:rPr>
                <w:color w:val="auto"/>
              </w:rPr>
              <w:t>项目产生的有机废气拟采用设计风量分别</w:t>
            </w:r>
            <w:r>
              <w:rPr>
                <w:rFonts w:hint="eastAsia"/>
                <w:color w:val="auto"/>
              </w:rPr>
              <w:t>为36000</w:t>
            </w:r>
            <w:r>
              <w:rPr>
                <w:color w:val="auto"/>
              </w:rPr>
              <w:t>m</w:t>
            </w:r>
            <w:r>
              <w:rPr>
                <w:color w:val="auto"/>
                <w:vertAlign w:val="superscript"/>
              </w:rPr>
              <w:t>3</w:t>
            </w:r>
            <w:r>
              <w:rPr>
                <w:color w:val="auto"/>
              </w:rPr>
              <w:t>/h和</w:t>
            </w:r>
            <w:r>
              <w:rPr>
                <w:rFonts w:hint="eastAsia"/>
                <w:color w:val="auto"/>
              </w:rPr>
              <w:t>26000</w:t>
            </w:r>
            <w:r>
              <w:rPr>
                <w:color w:val="auto"/>
              </w:rPr>
              <w:t>m</w:t>
            </w:r>
            <w:r>
              <w:rPr>
                <w:color w:val="auto"/>
                <w:vertAlign w:val="superscript"/>
              </w:rPr>
              <w:t>3</w:t>
            </w:r>
            <w:r>
              <w:rPr>
                <w:color w:val="auto"/>
              </w:rPr>
              <w:t>/h的2套</w:t>
            </w:r>
            <w:r>
              <w:rPr>
                <w:rFonts w:hint="eastAsia"/>
                <w:color w:val="auto"/>
              </w:rPr>
              <w:t>“</w:t>
            </w:r>
            <w:r>
              <w:rPr>
                <w:rFonts w:hint="eastAsia"/>
                <w:color w:val="auto"/>
                <w:lang w:val="en-US" w:eastAsia="zh-CN"/>
              </w:rPr>
              <w:t>两</w:t>
            </w:r>
            <w:r>
              <w:rPr>
                <w:color w:val="auto"/>
              </w:rPr>
              <w:t>级活性炭吸附装置</w:t>
            </w:r>
            <w:r>
              <w:rPr>
                <w:rFonts w:hint="eastAsia"/>
                <w:color w:val="auto"/>
              </w:rPr>
              <w:t>”</w:t>
            </w:r>
            <w:r>
              <w:rPr>
                <w:color w:val="auto"/>
              </w:rPr>
              <w:t>处理达标后由15米的排气筒达标排放，则有机废气治理过程会产生废活性炭。由于活性炭填料量与设施风量、横截面面积等有关，活性炭吸附设备活性炭填料量计算公式为</w:t>
            </w:r>
            <w:r>
              <w:rPr>
                <w:rFonts w:hint="eastAsia"/>
                <w:color w:val="auto"/>
              </w:rPr>
              <w:t>如下：</w:t>
            </w:r>
          </w:p>
          <w:p>
            <w:pPr>
              <w:adjustRightInd w:val="0"/>
              <w:snapToGrid w:val="0"/>
              <w:spacing w:line="360" w:lineRule="auto"/>
              <w:jc w:val="center"/>
              <w:rPr>
                <w:color w:val="auto"/>
              </w:rPr>
            </w:pPr>
            <w:r>
              <w:rPr>
                <w:color w:val="auto"/>
              </w:rPr>
              <w:t>M=LSρ</w:t>
            </w:r>
          </w:p>
          <w:p>
            <w:pPr>
              <w:widowControl/>
              <w:adjustRightInd w:val="0"/>
              <w:snapToGrid w:val="0"/>
              <w:spacing w:line="360" w:lineRule="auto"/>
              <w:ind w:firstLine="420" w:firstLineChars="200"/>
              <w:rPr>
                <w:color w:val="auto"/>
              </w:rPr>
            </w:pPr>
            <w:r>
              <w:rPr>
                <w:color w:val="auto"/>
              </w:rPr>
              <w:t>其中：</w:t>
            </w:r>
            <w:r>
              <w:rPr>
                <w:rFonts w:hint="eastAsia"/>
                <w:color w:val="auto"/>
              </w:rPr>
              <w:t>M</w:t>
            </w:r>
            <w:r>
              <w:rPr>
                <w:color w:val="auto"/>
              </w:rPr>
              <w:t>——</w:t>
            </w:r>
            <w:r>
              <w:rPr>
                <w:rFonts w:hint="eastAsia"/>
                <w:color w:val="auto"/>
              </w:rPr>
              <w:t>活性炭填充量，t；</w:t>
            </w:r>
          </w:p>
          <w:p>
            <w:pPr>
              <w:widowControl/>
              <w:adjustRightInd w:val="0"/>
              <w:snapToGrid w:val="0"/>
              <w:spacing w:line="360" w:lineRule="auto"/>
              <w:ind w:firstLine="420" w:firstLineChars="200"/>
              <w:rPr>
                <w:color w:val="auto"/>
              </w:rPr>
            </w:pPr>
            <w:r>
              <w:rPr>
                <w:rFonts w:hint="eastAsia"/>
                <w:color w:val="auto"/>
              </w:rPr>
              <w:t>L</w:t>
            </w:r>
            <w:r>
              <w:rPr>
                <w:color w:val="auto"/>
              </w:rPr>
              <w:t>——</w:t>
            </w:r>
            <w:r>
              <w:rPr>
                <w:rFonts w:hint="eastAsia"/>
                <w:color w:val="auto"/>
              </w:rPr>
              <w:t>活性炭箱长度</w:t>
            </w:r>
            <w:r>
              <w:rPr>
                <w:color w:val="auto"/>
              </w:rPr>
              <w:t>，m；</w:t>
            </w:r>
          </w:p>
          <w:p>
            <w:pPr>
              <w:widowControl/>
              <w:adjustRightInd w:val="0"/>
              <w:snapToGrid w:val="0"/>
              <w:spacing w:line="360" w:lineRule="auto"/>
              <w:ind w:firstLine="420" w:firstLineChars="200"/>
              <w:rPr>
                <w:color w:val="auto"/>
              </w:rPr>
            </w:pPr>
            <w:r>
              <w:rPr>
                <w:rFonts w:hint="eastAsia"/>
                <w:color w:val="auto"/>
              </w:rPr>
              <w:t>S</w:t>
            </w:r>
            <w:r>
              <w:rPr>
                <w:color w:val="auto"/>
              </w:rPr>
              <w:t>——横截面面积，m</w:t>
            </w:r>
            <w:r>
              <w:rPr>
                <w:color w:val="auto"/>
                <w:vertAlign w:val="superscript"/>
              </w:rPr>
              <w:t>2</w:t>
            </w:r>
            <w:r>
              <w:rPr>
                <w:color w:val="auto"/>
              </w:rPr>
              <w:t>；</w:t>
            </w:r>
          </w:p>
          <w:p>
            <w:pPr>
              <w:widowControl/>
              <w:adjustRightInd w:val="0"/>
              <w:snapToGrid w:val="0"/>
              <w:spacing w:line="360" w:lineRule="auto"/>
              <w:ind w:firstLine="420" w:firstLineChars="200"/>
              <w:rPr>
                <w:color w:val="auto"/>
              </w:rPr>
            </w:pPr>
            <w:r>
              <w:rPr>
                <w:color w:val="auto"/>
              </w:rPr>
              <w:t>ρ——</w:t>
            </w:r>
            <w:r>
              <w:rPr>
                <w:rFonts w:hint="eastAsia"/>
                <w:color w:val="auto"/>
              </w:rPr>
              <w:t>堆积密度</w:t>
            </w:r>
            <w:r>
              <w:rPr>
                <w:color w:val="auto"/>
              </w:rPr>
              <w:t>，g/cm</w:t>
            </w:r>
            <w:r>
              <w:rPr>
                <w:color w:val="auto"/>
                <w:vertAlign w:val="superscript"/>
              </w:rPr>
              <w:t>3</w:t>
            </w:r>
            <w:r>
              <w:rPr>
                <w:color w:val="auto"/>
              </w:rPr>
              <w:t>。</w:t>
            </w:r>
          </w:p>
          <w:p>
            <w:pPr>
              <w:pStyle w:val="108"/>
              <w:ind w:firstLine="420"/>
              <w:rPr>
                <w:color w:val="auto"/>
                <w:lang w:eastAsia="zh-CN"/>
              </w:rPr>
            </w:pPr>
            <w:r>
              <w:rPr>
                <w:rFonts w:hint="eastAsia" w:cs="Times New Roman"/>
                <w:color w:val="auto"/>
                <w:lang w:eastAsia="zh-CN"/>
              </w:rPr>
              <w:t>本项目活性炭设施运行基本参数如下：</w:t>
            </w:r>
          </w:p>
          <w:p>
            <w:pPr>
              <w:widowControl/>
              <w:tabs>
                <w:tab w:val="left" w:pos="0"/>
              </w:tabs>
              <w:adjustRightInd w:val="0"/>
              <w:snapToGrid w:val="0"/>
              <w:spacing w:line="360" w:lineRule="auto"/>
              <w:jc w:val="center"/>
              <w:rPr>
                <w:b/>
                <w:color w:val="auto"/>
              </w:rPr>
            </w:pPr>
            <w:r>
              <w:rPr>
                <w:b/>
                <w:color w:val="auto"/>
              </w:rPr>
              <w:t>表4-</w:t>
            </w:r>
            <w:r>
              <w:rPr>
                <w:rFonts w:hint="eastAsia"/>
                <w:b/>
                <w:color w:val="auto"/>
              </w:rPr>
              <w:t>25</w:t>
            </w:r>
            <w:r>
              <w:rPr>
                <w:b/>
                <w:color w:val="auto"/>
              </w:rPr>
              <w:t xml:space="preserve"> 有机废气处理设施基本技术参数</w:t>
            </w:r>
          </w:p>
          <w:tbl>
            <w:tblPr>
              <w:tblStyle w:val="9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11"/>
              <w:gridCol w:w="1193"/>
              <w:gridCol w:w="62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811" w:type="dxa"/>
                  <w:tcBorders>
                    <w:tl2br w:val="nil"/>
                    <w:tr2bl w:val="nil"/>
                  </w:tcBorders>
                  <w:vAlign w:val="center"/>
                </w:tcPr>
                <w:p>
                  <w:pPr>
                    <w:adjustRightInd w:val="0"/>
                    <w:snapToGrid w:val="0"/>
                    <w:jc w:val="center"/>
                    <w:rPr>
                      <w:b/>
                      <w:bCs/>
                      <w:color w:val="auto"/>
                    </w:rPr>
                  </w:pPr>
                  <w:r>
                    <w:rPr>
                      <w:b/>
                      <w:bCs/>
                      <w:color w:val="auto"/>
                    </w:rPr>
                    <w:t>参数</w:t>
                  </w:r>
                </w:p>
              </w:tc>
              <w:tc>
                <w:tcPr>
                  <w:tcW w:w="1193" w:type="dxa"/>
                  <w:tcBorders>
                    <w:tl2br w:val="nil"/>
                    <w:tr2bl w:val="nil"/>
                  </w:tcBorders>
                  <w:vAlign w:val="center"/>
                </w:tcPr>
                <w:p>
                  <w:pPr>
                    <w:adjustRightInd w:val="0"/>
                    <w:snapToGrid w:val="0"/>
                    <w:jc w:val="center"/>
                    <w:rPr>
                      <w:b/>
                      <w:bCs/>
                      <w:color w:val="auto"/>
                    </w:rPr>
                  </w:pPr>
                  <w:r>
                    <w:rPr>
                      <w:b/>
                      <w:bCs/>
                      <w:color w:val="auto"/>
                    </w:rPr>
                    <w:t>指标</w:t>
                  </w:r>
                </w:p>
              </w:tc>
              <w:tc>
                <w:tcPr>
                  <w:tcW w:w="6282" w:type="dxa"/>
                  <w:tcBorders>
                    <w:tl2br w:val="nil"/>
                    <w:tr2bl w:val="nil"/>
                  </w:tcBorders>
                  <w:vAlign w:val="center"/>
                </w:tcPr>
                <w:p>
                  <w:pPr>
                    <w:adjustRightInd w:val="0"/>
                    <w:snapToGrid w:val="0"/>
                    <w:jc w:val="center"/>
                    <w:rPr>
                      <w:b/>
                      <w:bCs/>
                      <w:color w:val="auto"/>
                    </w:rPr>
                  </w:pPr>
                  <w:r>
                    <w:rPr>
                      <w:b/>
                      <w:bCs/>
                      <w:color w:val="auto"/>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1811" w:type="dxa"/>
                  <w:tcBorders>
                    <w:tl2br w:val="nil"/>
                    <w:tr2bl w:val="nil"/>
                  </w:tcBorders>
                  <w:vAlign w:val="center"/>
                </w:tcPr>
                <w:p>
                  <w:pPr>
                    <w:adjustRightInd w:val="0"/>
                    <w:snapToGrid w:val="0"/>
                    <w:jc w:val="center"/>
                    <w:rPr>
                      <w:color w:val="auto"/>
                    </w:rPr>
                  </w:pPr>
                  <w:r>
                    <w:rPr>
                      <w:color w:val="auto"/>
                    </w:rPr>
                    <w:t>废气流向</w:t>
                  </w:r>
                </w:p>
              </w:tc>
              <w:tc>
                <w:tcPr>
                  <w:tcW w:w="1193" w:type="dxa"/>
                  <w:tcBorders>
                    <w:tl2br w:val="nil"/>
                    <w:tr2bl w:val="nil"/>
                  </w:tcBorders>
                  <w:vAlign w:val="center"/>
                </w:tcPr>
                <w:p>
                  <w:pPr>
                    <w:adjustRightInd w:val="0"/>
                    <w:snapToGrid w:val="0"/>
                    <w:jc w:val="center"/>
                    <w:rPr>
                      <w:color w:val="auto"/>
                    </w:rPr>
                  </w:pPr>
                  <w:r>
                    <w:rPr>
                      <w:color w:val="auto"/>
                    </w:rPr>
                    <w:t>从左往右</w:t>
                  </w:r>
                </w:p>
              </w:tc>
              <w:tc>
                <w:tcPr>
                  <w:tcW w:w="6282" w:type="dxa"/>
                  <w:tcBorders>
                    <w:tl2br w:val="nil"/>
                    <w:tr2bl w:val="nil"/>
                  </w:tcBorders>
                  <w:vAlign w:val="center"/>
                </w:tcPr>
                <w:p>
                  <w:pPr>
                    <w:widowControl/>
                    <w:jc w:val="center"/>
                    <w:rPr>
                      <w:color w:val="auto"/>
                    </w:rPr>
                  </w:pPr>
                  <w:r>
                    <w:rPr>
                      <w:color w:val="auto"/>
                      <w:sz w:val="20"/>
                      <w:lang w:bidi="ar"/>
                    </w:rPr>
                    <w:t>废气从活性炭箱体的左端风管进入活性炭吸附层，再从右端风管流出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1811" w:type="dxa"/>
                  <w:tcBorders>
                    <w:tl2br w:val="nil"/>
                    <w:tr2bl w:val="nil"/>
                  </w:tcBorders>
                  <w:vAlign w:val="center"/>
                </w:tcPr>
                <w:p>
                  <w:pPr>
                    <w:adjustRightInd w:val="0"/>
                    <w:snapToGrid w:val="0"/>
                    <w:jc w:val="center"/>
                    <w:rPr>
                      <w:color w:val="auto"/>
                    </w:rPr>
                  </w:pPr>
                  <w:r>
                    <w:rPr>
                      <w:color w:val="auto"/>
                    </w:rPr>
                    <w:t>活性炭形态</w:t>
                  </w:r>
                </w:p>
              </w:tc>
              <w:tc>
                <w:tcPr>
                  <w:tcW w:w="1193" w:type="dxa"/>
                  <w:tcBorders>
                    <w:tl2br w:val="nil"/>
                    <w:tr2bl w:val="nil"/>
                  </w:tcBorders>
                  <w:vAlign w:val="center"/>
                </w:tcPr>
                <w:p>
                  <w:pPr>
                    <w:adjustRightInd w:val="0"/>
                    <w:snapToGrid w:val="0"/>
                    <w:jc w:val="center"/>
                    <w:rPr>
                      <w:color w:val="auto"/>
                    </w:rPr>
                  </w:pPr>
                  <w:r>
                    <w:rPr>
                      <w:color w:val="auto"/>
                    </w:rPr>
                    <w:t>蜂窝状</w:t>
                  </w:r>
                </w:p>
              </w:tc>
              <w:tc>
                <w:tcPr>
                  <w:tcW w:w="6282" w:type="dxa"/>
                  <w:tcBorders>
                    <w:tl2br w:val="nil"/>
                    <w:tr2bl w:val="nil"/>
                  </w:tcBorders>
                  <w:vAlign w:val="center"/>
                </w:tcPr>
                <w:p>
                  <w:pPr>
                    <w:adjustRightInd w:val="0"/>
                    <w:snapToGrid w:val="0"/>
                    <w:jc w:val="center"/>
                    <w:rPr>
                      <w:color w:val="auto"/>
                    </w:rPr>
                  </w:pPr>
                  <w:r>
                    <w:rPr>
                      <w:color w:val="auto"/>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jc w:val="center"/>
              </w:trPr>
              <w:tc>
                <w:tcPr>
                  <w:tcW w:w="1811" w:type="dxa"/>
                  <w:tcBorders>
                    <w:tl2br w:val="nil"/>
                    <w:tr2bl w:val="nil"/>
                  </w:tcBorders>
                  <w:vAlign w:val="center"/>
                </w:tcPr>
                <w:p>
                  <w:pPr>
                    <w:adjustRightInd w:val="0"/>
                    <w:snapToGrid w:val="0"/>
                    <w:jc w:val="center"/>
                    <w:rPr>
                      <w:color w:val="auto"/>
                    </w:rPr>
                  </w:pPr>
                  <w:r>
                    <w:rPr>
                      <w:color w:val="auto"/>
                    </w:rPr>
                    <w:t>空箱风速</w:t>
                  </w:r>
                </w:p>
              </w:tc>
              <w:tc>
                <w:tcPr>
                  <w:tcW w:w="1193" w:type="dxa"/>
                  <w:tcBorders>
                    <w:tl2br w:val="nil"/>
                    <w:tr2bl w:val="nil"/>
                  </w:tcBorders>
                  <w:vAlign w:val="center"/>
                </w:tcPr>
                <w:p>
                  <w:pPr>
                    <w:adjustRightInd w:val="0"/>
                    <w:snapToGrid w:val="0"/>
                    <w:jc w:val="center"/>
                    <w:rPr>
                      <w:color w:val="auto"/>
                    </w:rPr>
                  </w:pPr>
                  <w:r>
                    <w:rPr>
                      <w:color w:val="auto"/>
                    </w:rPr>
                    <w:t>1.16m/s</w:t>
                  </w:r>
                </w:p>
              </w:tc>
              <w:tc>
                <w:tcPr>
                  <w:tcW w:w="6282" w:type="dxa"/>
                  <w:tcBorders>
                    <w:tl2br w:val="nil"/>
                    <w:tr2bl w:val="nil"/>
                  </w:tcBorders>
                  <w:vAlign w:val="center"/>
                </w:tcPr>
                <w:p>
                  <w:pPr>
                    <w:widowControl/>
                    <w:jc w:val="center"/>
                    <w:rPr>
                      <w:color w:val="auto"/>
                    </w:rPr>
                  </w:pPr>
                  <w:r>
                    <w:rPr>
                      <w:color w:val="auto"/>
                      <w:sz w:val="20"/>
                      <w:lang w:bidi="ar"/>
                    </w:rPr>
                    <w:t>根据《吸附法工业有机废气治理工程技术规范》（HJ2026-2013）中使用蜂窝活性炭风速小于1.2m/s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1811" w:type="dxa"/>
                  <w:tcBorders>
                    <w:tl2br w:val="nil"/>
                    <w:tr2bl w:val="nil"/>
                  </w:tcBorders>
                  <w:vAlign w:val="center"/>
                </w:tcPr>
                <w:p>
                  <w:pPr>
                    <w:adjustRightInd w:val="0"/>
                    <w:snapToGrid w:val="0"/>
                    <w:jc w:val="center"/>
                    <w:rPr>
                      <w:color w:val="auto"/>
                    </w:rPr>
                  </w:pPr>
                  <w:r>
                    <w:rPr>
                      <w:color w:val="auto"/>
                    </w:rPr>
                    <w:t>过滤风速</w:t>
                  </w:r>
                </w:p>
              </w:tc>
              <w:tc>
                <w:tcPr>
                  <w:tcW w:w="1193" w:type="dxa"/>
                  <w:tcBorders>
                    <w:tl2br w:val="nil"/>
                    <w:tr2bl w:val="nil"/>
                  </w:tcBorders>
                  <w:vAlign w:val="center"/>
                </w:tcPr>
                <w:p>
                  <w:pPr>
                    <w:adjustRightInd w:val="0"/>
                    <w:snapToGrid w:val="0"/>
                    <w:jc w:val="center"/>
                    <w:rPr>
                      <w:color w:val="auto"/>
                    </w:rPr>
                  </w:pPr>
                  <w:r>
                    <w:rPr>
                      <w:color w:val="auto"/>
                    </w:rPr>
                    <w:t>0.8m/s</w:t>
                  </w:r>
                </w:p>
              </w:tc>
              <w:tc>
                <w:tcPr>
                  <w:tcW w:w="6282" w:type="dxa"/>
                  <w:tcBorders>
                    <w:tl2br w:val="nil"/>
                    <w:tr2bl w:val="nil"/>
                  </w:tcBorders>
                  <w:vAlign w:val="center"/>
                </w:tcPr>
                <w:p>
                  <w:pPr>
                    <w:adjustRightInd w:val="0"/>
                    <w:snapToGrid w:val="0"/>
                    <w:jc w:val="center"/>
                    <w:rPr>
                      <w:color w:val="auto"/>
                    </w:rPr>
                  </w:pPr>
                  <w:r>
                    <w:rPr>
                      <w:color w:val="auto"/>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1811" w:type="dxa"/>
                  <w:tcBorders>
                    <w:tl2br w:val="nil"/>
                    <w:tr2bl w:val="nil"/>
                  </w:tcBorders>
                  <w:vAlign w:val="center"/>
                </w:tcPr>
                <w:p>
                  <w:pPr>
                    <w:adjustRightInd w:val="0"/>
                    <w:snapToGrid w:val="0"/>
                    <w:jc w:val="center"/>
                    <w:rPr>
                      <w:color w:val="auto"/>
                    </w:rPr>
                  </w:pPr>
                  <w:r>
                    <w:rPr>
                      <w:color w:val="auto"/>
                    </w:rPr>
                    <w:t>单个活性炭箱体停留时间</w:t>
                  </w:r>
                </w:p>
              </w:tc>
              <w:tc>
                <w:tcPr>
                  <w:tcW w:w="1193" w:type="dxa"/>
                  <w:tcBorders>
                    <w:tl2br w:val="nil"/>
                    <w:tr2bl w:val="nil"/>
                  </w:tcBorders>
                  <w:vAlign w:val="center"/>
                </w:tcPr>
                <w:p>
                  <w:pPr>
                    <w:adjustRightInd w:val="0"/>
                    <w:snapToGrid w:val="0"/>
                    <w:jc w:val="center"/>
                    <w:rPr>
                      <w:color w:val="auto"/>
                    </w:rPr>
                  </w:pPr>
                  <w:r>
                    <w:rPr>
                      <w:color w:val="auto"/>
                    </w:rPr>
                    <w:t>0.5s</w:t>
                  </w:r>
                </w:p>
              </w:tc>
              <w:tc>
                <w:tcPr>
                  <w:tcW w:w="6282" w:type="dxa"/>
                  <w:tcBorders>
                    <w:tl2br w:val="nil"/>
                    <w:tr2bl w:val="nil"/>
                  </w:tcBorders>
                  <w:vAlign w:val="center"/>
                </w:tcPr>
                <w:p>
                  <w:pPr>
                    <w:widowControl/>
                    <w:jc w:val="center"/>
                    <w:rPr>
                      <w:color w:val="auto"/>
                    </w:rPr>
                  </w:pPr>
                  <w:r>
                    <w:rPr>
                      <w:color w:val="auto"/>
                      <w:sz w:val="20"/>
                      <w:lang w:bidi="ar"/>
                    </w:rPr>
                    <w:t>满足污染物在活性炭箱内的接触吸附时间0.5s～2s</w:t>
                  </w:r>
                </w:p>
              </w:tc>
            </w:tr>
          </w:tbl>
          <w:p>
            <w:pPr>
              <w:pStyle w:val="246"/>
              <w:adjustRightInd w:val="0"/>
              <w:snapToGrid w:val="0"/>
              <w:spacing w:before="120" w:beforeLines="50" w:line="360" w:lineRule="auto"/>
              <w:jc w:val="center"/>
              <w:rPr>
                <w:b/>
                <w:color w:val="auto"/>
                <w:sz w:val="21"/>
                <w:szCs w:val="21"/>
              </w:rPr>
            </w:pPr>
            <w:r>
              <w:rPr>
                <w:b/>
                <w:color w:val="auto"/>
                <w:sz w:val="21"/>
                <w:szCs w:val="21"/>
              </w:rPr>
              <w:t>表4-2</w:t>
            </w:r>
            <w:r>
              <w:rPr>
                <w:rFonts w:hint="eastAsia"/>
                <w:b/>
                <w:color w:val="auto"/>
                <w:sz w:val="21"/>
                <w:szCs w:val="21"/>
              </w:rPr>
              <w:t>6</w:t>
            </w:r>
            <w:r>
              <w:rPr>
                <w:b/>
                <w:color w:val="auto"/>
                <w:sz w:val="21"/>
                <w:szCs w:val="21"/>
              </w:rPr>
              <w:t xml:space="preserve"> 本项目废活性炭产生情况表</w:t>
            </w:r>
          </w:p>
          <w:tbl>
            <w:tblPr>
              <w:tblStyle w:val="9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5"/>
              <w:gridCol w:w="1136"/>
              <w:gridCol w:w="1639"/>
              <w:gridCol w:w="994"/>
              <w:gridCol w:w="1001"/>
              <w:gridCol w:w="820"/>
              <w:gridCol w:w="801"/>
              <w:gridCol w:w="1002"/>
              <w:gridCol w:w="10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35" w:type="dxa"/>
                  <w:vAlign w:val="center"/>
                </w:tcPr>
                <w:p>
                  <w:pPr>
                    <w:pStyle w:val="878"/>
                    <w:ind w:firstLine="0" w:firstLineChars="0"/>
                    <w:jc w:val="center"/>
                    <w:rPr>
                      <w:b/>
                      <w:bCs/>
                      <w:color w:val="auto"/>
                      <w:sz w:val="21"/>
                    </w:rPr>
                  </w:pPr>
                  <w:r>
                    <w:rPr>
                      <w:b/>
                      <w:bCs/>
                      <w:color w:val="auto"/>
                      <w:sz w:val="21"/>
                    </w:rPr>
                    <w:t>处理设施</w:t>
                  </w:r>
                </w:p>
              </w:tc>
              <w:tc>
                <w:tcPr>
                  <w:tcW w:w="1136" w:type="dxa"/>
                  <w:vAlign w:val="center"/>
                </w:tcPr>
                <w:p>
                  <w:pPr>
                    <w:pStyle w:val="878"/>
                    <w:ind w:firstLine="0" w:firstLineChars="0"/>
                    <w:jc w:val="center"/>
                    <w:rPr>
                      <w:b/>
                      <w:bCs/>
                      <w:color w:val="auto"/>
                      <w:sz w:val="21"/>
                    </w:rPr>
                  </w:pPr>
                  <w:r>
                    <w:rPr>
                      <w:b/>
                      <w:bCs/>
                      <w:color w:val="auto"/>
                      <w:sz w:val="21"/>
                    </w:rPr>
                    <w:t>风量</w:t>
                  </w:r>
                </w:p>
              </w:tc>
              <w:tc>
                <w:tcPr>
                  <w:tcW w:w="1639" w:type="dxa"/>
                  <w:vAlign w:val="center"/>
                </w:tcPr>
                <w:p>
                  <w:pPr>
                    <w:pStyle w:val="878"/>
                    <w:ind w:firstLine="0" w:firstLineChars="0"/>
                    <w:jc w:val="center"/>
                    <w:rPr>
                      <w:b/>
                      <w:bCs/>
                      <w:color w:val="auto"/>
                      <w:sz w:val="21"/>
                    </w:rPr>
                  </w:pPr>
                  <w:r>
                    <w:rPr>
                      <w:b/>
                      <w:bCs/>
                      <w:color w:val="auto"/>
                      <w:sz w:val="21"/>
                    </w:rPr>
                    <w:t>炭箱规格参数：长*宽*高</w:t>
                  </w:r>
                </w:p>
              </w:tc>
              <w:tc>
                <w:tcPr>
                  <w:tcW w:w="994" w:type="dxa"/>
                  <w:vAlign w:val="center"/>
                </w:tcPr>
                <w:p>
                  <w:pPr>
                    <w:pStyle w:val="878"/>
                    <w:ind w:firstLine="0" w:firstLineChars="0"/>
                    <w:jc w:val="center"/>
                    <w:rPr>
                      <w:b/>
                      <w:bCs/>
                      <w:color w:val="auto"/>
                      <w:sz w:val="21"/>
                    </w:rPr>
                  </w:pPr>
                  <w:r>
                    <w:rPr>
                      <w:b/>
                      <w:bCs/>
                      <w:color w:val="auto"/>
                      <w:sz w:val="21"/>
                    </w:rPr>
                    <w:t>活性炭层横截面积</w:t>
                  </w:r>
                </w:p>
              </w:tc>
              <w:tc>
                <w:tcPr>
                  <w:tcW w:w="1001" w:type="dxa"/>
                  <w:vAlign w:val="center"/>
                </w:tcPr>
                <w:p>
                  <w:pPr>
                    <w:pStyle w:val="878"/>
                    <w:ind w:firstLine="0" w:firstLineChars="0"/>
                    <w:jc w:val="center"/>
                    <w:rPr>
                      <w:b/>
                      <w:bCs/>
                      <w:color w:val="auto"/>
                      <w:sz w:val="21"/>
                    </w:rPr>
                  </w:pPr>
                  <w:r>
                    <w:rPr>
                      <w:b/>
                      <w:bCs/>
                      <w:color w:val="auto"/>
                      <w:sz w:val="21"/>
                    </w:rPr>
                    <w:t>堆积密度</w:t>
                  </w:r>
                </w:p>
              </w:tc>
              <w:tc>
                <w:tcPr>
                  <w:tcW w:w="820" w:type="dxa"/>
                  <w:vAlign w:val="center"/>
                </w:tcPr>
                <w:p>
                  <w:pPr>
                    <w:pStyle w:val="878"/>
                    <w:ind w:firstLine="0" w:firstLineChars="0"/>
                    <w:jc w:val="center"/>
                    <w:rPr>
                      <w:b/>
                      <w:bCs/>
                      <w:color w:val="auto"/>
                      <w:sz w:val="21"/>
                    </w:rPr>
                  </w:pPr>
                  <w:r>
                    <w:rPr>
                      <w:b/>
                      <w:bCs/>
                      <w:color w:val="auto"/>
                      <w:sz w:val="21"/>
                    </w:rPr>
                    <w:t>炭层厚度</w:t>
                  </w:r>
                </w:p>
              </w:tc>
              <w:tc>
                <w:tcPr>
                  <w:tcW w:w="801" w:type="dxa"/>
                  <w:vAlign w:val="center"/>
                </w:tcPr>
                <w:p>
                  <w:pPr>
                    <w:pStyle w:val="878"/>
                    <w:ind w:firstLine="0" w:firstLineChars="0"/>
                    <w:jc w:val="center"/>
                    <w:rPr>
                      <w:b/>
                      <w:bCs/>
                      <w:color w:val="auto"/>
                      <w:sz w:val="21"/>
                    </w:rPr>
                  </w:pPr>
                  <w:r>
                    <w:rPr>
                      <w:b/>
                      <w:bCs/>
                      <w:color w:val="auto"/>
                      <w:sz w:val="21"/>
                    </w:rPr>
                    <w:t>每年更换次数</w:t>
                  </w:r>
                </w:p>
              </w:tc>
              <w:tc>
                <w:tcPr>
                  <w:tcW w:w="1002" w:type="dxa"/>
                  <w:vAlign w:val="center"/>
                </w:tcPr>
                <w:p>
                  <w:pPr>
                    <w:pStyle w:val="878"/>
                    <w:ind w:firstLine="0" w:firstLineChars="0"/>
                    <w:jc w:val="center"/>
                    <w:rPr>
                      <w:b/>
                      <w:bCs/>
                      <w:color w:val="auto"/>
                      <w:sz w:val="21"/>
                    </w:rPr>
                  </w:pPr>
                  <w:r>
                    <w:rPr>
                      <w:b/>
                      <w:bCs/>
                      <w:color w:val="auto"/>
                      <w:sz w:val="21"/>
                    </w:rPr>
                    <w:t>一次充填量</w:t>
                  </w:r>
                </w:p>
              </w:tc>
              <w:tc>
                <w:tcPr>
                  <w:tcW w:w="1060" w:type="dxa"/>
                  <w:vAlign w:val="center"/>
                </w:tcPr>
                <w:p>
                  <w:pPr>
                    <w:pStyle w:val="878"/>
                    <w:ind w:firstLine="0" w:firstLineChars="0"/>
                    <w:jc w:val="center"/>
                    <w:rPr>
                      <w:b/>
                      <w:bCs/>
                      <w:color w:val="auto"/>
                      <w:sz w:val="21"/>
                    </w:rPr>
                  </w:pPr>
                  <w:r>
                    <w:rPr>
                      <w:b/>
                      <w:bCs/>
                      <w:color w:val="auto"/>
                      <w:sz w:val="21"/>
                    </w:rPr>
                    <w:t>年需活性炭量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35" w:type="dxa"/>
                  <w:vAlign w:val="center"/>
                </w:tcPr>
                <w:p>
                  <w:pPr>
                    <w:pStyle w:val="878"/>
                    <w:ind w:firstLine="0" w:firstLineChars="0"/>
                    <w:jc w:val="center"/>
                    <w:rPr>
                      <w:color w:val="auto"/>
                      <w:sz w:val="21"/>
                    </w:rPr>
                  </w:pPr>
                  <w:r>
                    <w:rPr>
                      <w:rFonts w:hint="eastAsia"/>
                      <w:color w:val="auto"/>
                      <w:sz w:val="21"/>
                    </w:rPr>
                    <w:t>T</w:t>
                  </w:r>
                  <w:r>
                    <w:rPr>
                      <w:color w:val="auto"/>
                      <w:sz w:val="21"/>
                    </w:rPr>
                    <w:t>A00</w:t>
                  </w:r>
                  <w:r>
                    <w:rPr>
                      <w:rFonts w:hint="eastAsia"/>
                      <w:color w:val="auto"/>
                      <w:sz w:val="21"/>
                    </w:rPr>
                    <w:t>1</w:t>
                  </w:r>
                </w:p>
              </w:tc>
              <w:tc>
                <w:tcPr>
                  <w:tcW w:w="1136" w:type="dxa"/>
                  <w:vAlign w:val="center"/>
                </w:tcPr>
                <w:p>
                  <w:pPr>
                    <w:pStyle w:val="878"/>
                    <w:ind w:firstLine="0" w:firstLineChars="0"/>
                    <w:jc w:val="center"/>
                    <w:rPr>
                      <w:color w:val="auto"/>
                      <w:sz w:val="21"/>
                    </w:rPr>
                  </w:pPr>
                  <w:r>
                    <w:rPr>
                      <w:rFonts w:hint="eastAsia"/>
                      <w:color w:val="auto"/>
                      <w:sz w:val="21"/>
                    </w:rPr>
                    <w:t>36000</w:t>
                  </w:r>
                  <w:r>
                    <w:rPr>
                      <w:color w:val="auto"/>
                      <w:sz w:val="21"/>
                    </w:rPr>
                    <w:t>m</w:t>
                  </w:r>
                  <w:r>
                    <w:rPr>
                      <w:color w:val="auto"/>
                      <w:sz w:val="21"/>
                      <w:vertAlign w:val="superscript"/>
                    </w:rPr>
                    <w:t>3</w:t>
                  </w:r>
                  <w:r>
                    <w:rPr>
                      <w:color w:val="auto"/>
                      <w:sz w:val="21"/>
                    </w:rPr>
                    <w:t>/h</w:t>
                  </w:r>
                </w:p>
              </w:tc>
              <w:tc>
                <w:tcPr>
                  <w:tcW w:w="1639" w:type="dxa"/>
                  <w:vAlign w:val="center"/>
                </w:tcPr>
                <w:p>
                  <w:pPr>
                    <w:pStyle w:val="878"/>
                    <w:ind w:firstLine="0" w:firstLineChars="0"/>
                    <w:jc w:val="center"/>
                    <w:rPr>
                      <w:color w:val="auto"/>
                      <w:sz w:val="21"/>
                    </w:rPr>
                  </w:pPr>
                  <w:r>
                    <w:rPr>
                      <w:rFonts w:hint="eastAsia"/>
                      <w:color w:val="auto"/>
                      <w:sz w:val="21"/>
                    </w:rPr>
                    <w:t>3</w:t>
                  </w:r>
                  <w:r>
                    <w:rPr>
                      <w:color w:val="auto"/>
                      <w:sz w:val="21"/>
                    </w:rPr>
                    <w:t>*1.5*1.</w:t>
                  </w:r>
                  <w:r>
                    <w:rPr>
                      <w:rFonts w:hint="eastAsia"/>
                      <w:color w:val="auto"/>
                      <w:sz w:val="21"/>
                    </w:rPr>
                    <w:t>9</w:t>
                  </w:r>
                  <w:r>
                    <w:rPr>
                      <w:color w:val="auto"/>
                      <w:sz w:val="21"/>
                    </w:rPr>
                    <w:t>m</w:t>
                  </w:r>
                </w:p>
              </w:tc>
              <w:tc>
                <w:tcPr>
                  <w:tcW w:w="994" w:type="dxa"/>
                  <w:vAlign w:val="center"/>
                </w:tcPr>
                <w:p>
                  <w:pPr>
                    <w:pStyle w:val="878"/>
                    <w:ind w:firstLine="0" w:firstLineChars="0"/>
                    <w:jc w:val="center"/>
                    <w:rPr>
                      <w:color w:val="auto"/>
                      <w:sz w:val="21"/>
                    </w:rPr>
                  </w:pPr>
                  <w:r>
                    <w:rPr>
                      <w:rFonts w:hint="eastAsia"/>
                      <w:color w:val="auto"/>
                      <w:sz w:val="21"/>
                    </w:rPr>
                    <w:t>2.85</w:t>
                  </w:r>
                  <w:r>
                    <w:rPr>
                      <w:color w:val="auto"/>
                      <w:sz w:val="21"/>
                    </w:rPr>
                    <w:t>m</w:t>
                  </w:r>
                  <w:r>
                    <w:rPr>
                      <w:color w:val="auto"/>
                      <w:sz w:val="21"/>
                      <w:vertAlign w:val="superscript"/>
                    </w:rPr>
                    <w:t>2</w:t>
                  </w:r>
                </w:p>
              </w:tc>
              <w:tc>
                <w:tcPr>
                  <w:tcW w:w="1001" w:type="dxa"/>
                  <w:vMerge w:val="restart"/>
                  <w:vAlign w:val="center"/>
                </w:tcPr>
                <w:p>
                  <w:pPr>
                    <w:pStyle w:val="878"/>
                    <w:ind w:firstLine="0" w:firstLineChars="0"/>
                    <w:jc w:val="center"/>
                    <w:rPr>
                      <w:color w:val="auto"/>
                      <w:sz w:val="21"/>
                    </w:rPr>
                  </w:pPr>
                  <w:r>
                    <w:rPr>
                      <w:color w:val="auto"/>
                      <w:sz w:val="21"/>
                    </w:rPr>
                    <w:t>0.4g/cm</w:t>
                  </w:r>
                  <w:r>
                    <w:rPr>
                      <w:color w:val="auto"/>
                      <w:sz w:val="21"/>
                      <w:vertAlign w:val="superscript"/>
                    </w:rPr>
                    <w:t>3</w:t>
                  </w:r>
                </w:p>
              </w:tc>
              <w:tc>
                <w:tcPr>
                  <w:tcW w:w="820" w:type="dxa"/>
                  <w:vAlign w:val="center"/>
                </w:tcPr>
                <w:p>
                  <w:pPr>
                    <w:pStyle w:val="878"/>
                    <w:ind w:firstLine="0" w:firstLineChars="0"/>
                    <w:jc w:val="center"/>
                    <w:rPr>
                      <w:color w:val="auto"/>
                      <w:sz w:val="21"/>
                    </w:rPr>
                  </w:pPr>
                  <w:r>
                    <w:rPr>
                      <w:rFonts w:hint="eastAsia"/>
                      <w:color w:val="auto"/>
                      <w:sz w:val="21"/>
                    </w:rPr>
                    <w:t>1.5</w:t>
                  </w:r>
                  <w:r>
                    <w:rPr>
                      <w:color w:val="auto"/>
                      <w:sz w:val="21"/>
                    </w:rPr>
                    <w:t>m</w:t>
                  </w:r>
                </w:p>
              </w:tc>
              <w:tc>
                <w:tcPr>
                  <w:tcW w:w="801" w:type="dxa"/>
                  <w:vAlign w:val="center"/>
                </w:tcPr>
                <w:p>
                  <w:pPr>
                    <w:pStyle w:val="878"/>
                    <w:ind w:firstLine="0" w:firstLineChars="0"/>
                    <w:jc w:val="center"/>
                    <w:rPr>
                      <w:color w:val="auto"/>
                      <w:sz w:val="21"/>
                    </w:rPr>
                  </w:pPr>
                  <w:r>
                    <w:rPr>
                      <w:rFonts w:hint="eastAsia"/>
                      <w:color w:val="auto"/>
                      <w:sz w:val="21"/>
                    </w:rPr>
                    <w:t>3</w:t>
                  </w:r>
                  <w:r>
                    <w:rPr>
                      <w:color w:val="auto"/>
                      <w:sz w:val="21"/>
                    </w:rPr>
                    <w:t>次</w:t>
                  </w:r>
                </w:p>
              </w:tc>
              <w:tc>
                <w:tcPr>
                  <w:tcW w:w="1002" w:type="dxa"/>
                  <w:vAlign w:val="center"/>
                </w:tcPr>
                <w:p>
                  <w:pPr>
                    <w:pStyle w:val="878"/>
                    <w:ind w:firstLine="0" w:firstLineChars="0"/>
                    <w:jc w:val="center"/>
                    <w:rPr>
                      <w:color w:val="auto"/>
                      <w:sz w:val="21"/>
                    </w:rPr>
                  </w:pPr>
                  <w:r>
                    <w:rPr>
                      <w:rFonts w:hint="eastAsia"/>
                      <w:color w:val="auto"/>
                      <w:sz w:val="21"/>
                    </w:rPr>
                    <w:t>3.42</w:t>
                  </w:r>
                  <w:r>
                    <w:rPr>
                      <w:color w:val="auto"/>
                      <w:sz w:val="21"/>
                    </w:rPr>
                    <w:t>t</w:t>
                  </w:r>
                </w:p>
              </w:tc>
              <w:tc>
                <w:tcPr>
                  <w:tcW w:w="1060" w:type="dxa"/>
                  <w:vAlign w:val="center"/>
                </w:tcPr>
                <w:p>
                  <w:pPr>
                    <w:pStyle w:val="878"/>
                    <w:ind w:firstLine="0" w:firstLineChars="0"/>
                    <w:jc w:val="center"/>
                    <w:rPr>
                      <w:color w:val="auto"/>
                      <w:sz w:val="21"/>
                    </w:rPr>
                  </w:pPr>
                  <w:r>
                    <w:rPr>
                      <w:color w:val="auto"/>
                      <w:sz w:val="21"/>
                    </w:rPr>
                    <w:t>1</w:t>
                  </w:r>
                  <w:r>
                    <w:rPr>
                      <w:rFonts w:hint="eastAsia"/>
                      <w:color w:val="auto"/>
                      <w:sz w:val="21"/>
                    </w:rPr>
                    <w:t>0.26</w:t>
                  </w:r>
                  <w:r>
                    <w:rPr>
                      <w:color w:val="auto"/>
                      <w:sz w:val="21"/>
                    </w:rPr>
                    <w:t>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35" w:type="dxa"/>
                  <w:vAlign w:val="center"/>
                </w:tcPr>
                <w:p>
                  <w:pPr>
                    <w:pStyle w:val="878"/>
                    <w:ind w:firstLine="0" w:firstLineChars="0"/>
                    <w:rPr>
                      <w:color w:val="auto"/>
                      <w:sz w:val="21"/>
                    </w:rPr>
                  </w:pPr>
                  <w:r>
                    <w:rPr>
                      <w:rFonts w:hint="eastAsia"/>
                      <w:color w:val="auto"/>
                      <w:sz w:val="21"/>
                    </w:rPr>
                    <w:t>T</w:t>
                  </w:r>
                  <w:r>
                    <w:rPr>
                      <w:color w:val="auto"/>
                      <w:sz w:val="21"/>
                    </w:rPr>
                    <w:t>A00</w:t>
                  </w:r>
                  <w:r>
                    <w:rPr>
                      <w:rFonts w:hint="eastAsia"/>
                      <w:color w:val="auto"/>
                      <w:sz w:val="21"/>
                    </w:rPr>
                    <w:t>2</w:t>
                  </w:r>
                </w:p>
              </w:tc>
              <w:tc>
                <w:tcPr>
                  <w:tcW w:w="1136" w:type="dxa"/>
                  <w:vAlign w:val="center"/>
                </w:tcPr>
                <w:p>
                  <w:pPr>
                    <w:pStyle w:val="878"/>
                    <w:ind w:firstLine="0" w:firstLineChars="0"/>
                    <w:jc w:val="center"/>
                    <w:rPr>
                      <w:color w:val="auto"/>
                      <w:sz w:val="21"/>
                    </w:rPr>
                  </w:pPr>
                  <w:r>
                    <w:rPr>
                      <w:rFonts w:hint="eastAsia"/>
                      <w:color w:val="auto"/>
                      <w:sz w:val="21"/>
                    </w:rPr>
                    <w:t>26000</w:t>
                  </w:r>
                  <w:r>
                    <w:rPr>
                      <w:color w:val="auto"/>
                      <w:sz w:val="21"/>
                    </w:rPr>
                    <w:t>m</w:t>
                  </w:r>
                  <w:r>
                    <w:rPr>
                      <w:color w:val="auto"/>
                      <w:sz w:val="21"/>
                      <w:vertAlign w:val="superscript"/>
                    </w:rPr>
                    <w:t>3</w:t>
                  </w:r>
                  <w:r>
                    <w:rPr>
                      <w:color w:val="auto"/>
                      <w:sz w:val="21"/>
                    </w:rPr>
                    <w:t>/h</w:t>
                  </w:r>
                </w:p>
              </w:tc>
              <w:tc>
                <w:tcPr>
                  <w:tcW w:w="1639" w:type="dxa"/>
                  <w:vAlign w:val="center"/>
                </w:tcPr>
                <w:p>
                  <w:pPr>
                    <w:pStyle w:val="878"/>
                    <w:ind w:firstLine="0" w:firstLineChars="0"/>
                    <w:jc w:val="center"/>
                    <w:rPr>
                      <w:color w:val="auto"/>
                      <w:sz w:val="21"/>
                    </w:rPr>
                  </w:pPr>
                  <w:r>
                    <w:rPr>
                      <w:color w:val="auto"/>
                      <w:sz w:val="21"/>
                    </w:rPr>
                    <w:t>1.</w:t>
                  </w:r>
                  <w:r>
                    <w:rPr>
                      <w:rFonts w:hint="eastAsia"/>
                      <w:color w:val="auto"/>
                      <w:sz w:val="21"/>
                    </w:rPr>
                    <w:t>8</w:t>
                  </w:r>
                  <w:r>
                    <w:rPr>
                      <w:color w:val="auto"/>
                      <w:sz w:val="21"/>
                    </w:rPr>
                    <w:t>*1</w:t>
                  </w:r>
                  <w:r>
                    <w:rPr>
                      <w:rFonts w:hint="eastAsia"/>
                      <w:color w:val="auto"/>
                      <w:sz w:val="21"/>
                    </w:rPr>
                    <w:t>.4</w:t>
                  </w:r>
                  <w:r>
                    <w:rPr>
                      <w:color w:val="auto"/>
                      <w:sz w:val="21"/>
                    </w:rPr>
                    <w:t>*1.</w:t>
                  </w:r>
                  <w:r>
                    <w:rPr>
                      <w:rFonts w:hint="eastAsia"/>
                      <w:color w:val="auto"/>
                      <w:sz w:val="21"/>
                    </w:rPr>
                    <w:t>8</w:t>
                  </w:r>
                  <w:r>
                    <w:rPr>
                      <w:color w:val="auto"/>
                      <w:sz w:val="21"/>
                    </w:rPr>
                    <w:t>m</w:t>
                  </w:r>
                </w:p>
              </w:tc>
              <w:tc>
                <w:tcPr>
                  <w:tcW w:w="994" w:type="dxa"/>
                  <w:vAlign w:val="center"/>
                </w:tcPr>
                <w:p>
                  <w:pPr>
                    <w:pStyle w:val="878"/>
                    <w:ind w:firstLine="0" w:firstLineChars="0"/>
                    <w:jc w:val="center"/>
                    <w:rPr>
                      <w:color w:val="auto"/>
                      <w:sz w:val="21"/>
                    </w:rPr>
                  </w:pPr>
                  <w:r>
                    <w:rPr>
                      <w:rFonts w:hint="eastAsia"/>
                      <w:color w:val="auto"/>
                      <w:sz w:val="21"/>
                    </w:rPr>
                    <w:t>2.52</w:t>
                  </w:r>
                  <w:r>
                    <w:rPr>
                      <w:color w:val="auto"/>
                      <w:sz w:val="21"/>
                    </w:rPr>
                    <w:t>m</w:t>
                  </w:r>
                  <w:r>
                    <w:rPr>
                      <w:color w:val="auto"/>
                      <w:sz w:val="21"/>
                      <w:vertAlign w:val="superscript"/>
                    </w:rPr>
                    <w:t>2</w:t>
                  </w:r>
                </w:p>
              </w:tc>
              <w:tc>
                <w:tcPr>
                  <w:tcW w:w="1001" w:type="dxa"/>
                  <w:vMerge w:val="continue"/>
                  <w:vAlign w:val="center"/>
                </w:tcPr>
                <w:p>
                  <w:pPr>
                    <w:pStyle w:val="878"/>
                    <w:ind w:firstLine="0" w:firstLineChars="0"/>
                    <w:jc w:val="center"/>
                    <w:rPr>
                      <w:color w:val="auto"/>
                      <w:sz w:val="21"/>
                    </w:rPr>
                  </w:pPr>
                </w:p>
              </w:tc>
              <w:tc>
                <w:tcPr>
                  <w:tcW w:w="820" w:type="dxa"/>
                  <w:vAlign w:val="center"/>
                </w:tcPr>
                <w:p>
                  <w:pPr>
                    <w:pStyle w:val="878"/>
                    <w:ind w:firstLine="0" w:firstLineChars="0"/>
                    <w:jc w:val="center"/>
                    <w:rPr>
                      <w:color w:val="auto"/>
                      <w:sz w:val="21"/>
                    </w:rPr>
                  </w:pPr>
                  <w:r>
                    <w:rPr>
                      <w:rFonts w:hint="eastAsia"/>
                      <w:color w:val="auto"/>
                      <w:sz w:val="21"/>
                    </w:rPr>
                    <w:t>1.4</w:t>
                  </w:r>
                  <w:r>
                    <w:rPr>
                      <w:color w:val="auto"/>
                      <w:sz w:val="21"/>
                    </w:rPr>
                    <w:t>m</w:t>
                  </w:r>
                </w:p>
              </w:tc>
              <w:tc>
                <w:tcPr>
                  <w:tcW w:w="801" w:type="dxa"/>
                  <w:vAlign w:val="center"/>
                </w:tcPr>
                <w:p>
                  <w:pPr>
                    <w:pStyle w:val="878"/>
                    <w:ind w:firstLine="0" w:firstLineChars="0"/>
                    <w:jc w:val="center"/>
                    <w:rPr>
                      <w:color w:val="auto"/>
                      <w:sz w:val="21"/>
                    </w:rPr>
                  </w:pPr>
                  <w:r>
                    <w:rPr>
                      <w:rFonts w:hint="eastAsia"/>
                      <w:color w:val="auto"/>
                      <w:sz w:val="21"/>
                    </w:rPr>
                    <w:t>3</w:t>
                  </w:r>
                  <w:r>
                    <w:rPr>
                      <w:color w:val="auto"/>
                      <w:sz w:val="21"/>
                    </w:rPr>
                    <w:t>次</w:t>
                  </w:r>
                </w:p>
              </w:tc>
              <w:tc>
                <w:tcPr>
                  <w:tcW w:w="1002" w:type="dxa"/>
                  <w:vAlign w:val="center"/>
                </w:tcPr>
                <w:p>
                  <w:pPr>
                    <w:pStyle w:val="878"/>
                    <w:ind w:firstLine="0" w:firstLineChars="0"/>
                    <w:jc w:val="center"/>
                    <w:rPr>
                      <w:color w:val="auto"/>
                      <w:sz w:val="21"/>
                    </w:rPr>
                  </w:pPr>
                  <w:r>
                    <w:rPr>
                      <w:color w:val="auto"/>
                      <w:sz w:val="21"/>
                    </w:rPr>
                    <w:t>1.</w:t>
                  </w:r>
                  <w:r>
                    <w:rPr>
                      <w:rFonts w:hint="eastAsia"/>
                      <w:color w:val="auto"/>
                      <w:sz w:val="21"/>
                    </w:rPr>
                    <w:t>814</w:t>
                  </w:r>
                  <w:r>
                    <w:rPr>
                      <w:color w:val="auto"/>
                      <w:sz w:val="21"/>
                    </w:rPr>
                    <w:t>t</w:t>
                  </w:r>
                </w:p>
              </w:tc>
              <w:tc>
                <w:tcPr>
                  <w:tcW w:w="1060" w:type="dxa"/>
                  <w:vAlign w:val="center"/>
                </w:tcPr>
                <w:p>
                  <w:pPr>
                    <w:pStyle w:val="878"/>
                    <w:ind w:firstLine="0" w:firstLineChars="0"/>
                    <w:jc w:val="center"/>
                    <w:rPr>
                      <w:color w:val="auto"/>
                      <w:sz w:val="21"/>
                    </w:rPr>
                  </w:pPr>
                  <w:r>
                    <w:rPr>
                      <w:rFonts w:hint="eastAsia"/>
                      <w:color w:val="auto"/>
                      <w:sz w:val="21"/>
                    </w:rPr>
                    <w:t>5.442</w:t>
                  </w:r>
                  <w:r>
                    <w:rPr>
                      <w:color w:val="auto"/>
                      <w:sz w:val="21"/>
                    </w:rPr>
                    <w:t>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226" w:type="dxa"/>
                  <w:gridSpan w:val="7"/>
                  <w:vAlign w:val="center"/>
                </w:tcPr>
                <w:p>
                  <w:pPr>
                    <w:pStyle w:val="878"/>
                    <w:ind w:firstLine="0" w:firstLineChars="0"/>
                    <w:jc w:val="center"/>
                    <w:rPr>
                      <w:color w:val="auto"/>
                      <w:sz w:val="21"/>
                    </w:rPr>
                  </w:pPr>
                  <w:r>
                    <w:rPr>
                      <w:color w:val="auto"/>
                      <w:sz w:val="21"/>
                    </w:rPr>
                    <w:t>合计</w:t>
                  </w:r>
                </w:p>
              </w:tc>
              <w:tc>
                <w:tcPr>
                  <w:tcW w:w="1002" w:type="dxa"/>
                  <w:vAlign w:val="center"/>
                </w:tcPr>
                <w:p>
                  <w:pPr>
                    <w:pStyle w:val="878"/>
                    <w:ind w:firstLine="0" w:firstLineChars="0"/>
                    <w:jc w:val="center"/>
                    <w:rPr>
                      <w:color w:val="auto"/>
                      <w:sz w:val="21"/>
                    </w:rPr>
                  </w:pPr>
                  <w:r>
                    <w:rPr>
                      <w:rFonts w:hint="eastAsia"/>
                      <w:color w:val="auto"/>
                      <w:sz w:val="21"/>
                    </w:rPr>
                    <w:t>5.2344</w:t>
                  </w:r>
                  <w:r>
                    <w:rPr>
                      <w:color w:val="auto"/>
                      <w:sz w:val="21"/>
                    </w:rPr>
                    <w:t>t</w:t>
                  </w:r>
                </w:p>
              </w:tc>
              <w:tc>
                <w:tcPr>
                  <w:tcW w:w="1060" w:type="dxa"/>
                  <w:vAlign w:val="center"/>
                </w:tcPr>
                <w:p>
                  <w:pPr>
                    <w:pStyle w:val="878"/>
                    <w:ind w:firstLine="0" w:firstLineChars="0"/>
                    <w:jc w:val="center"/>
                    <w:rPr>
                      <w:color w:val="auto"/>
                      <w:sz w:val="21"/>
                    </w:rPr>
                  </w:pPr>
                  <w:r>
                    <w:rPr>
                      <w:rFonts w:hint="eastAsia"/>
                      <w:color w:val="auto"/>
                      <w:sz w:val="21"/>
                    </w:rPr>
                    <w:t>15.702</w:t>
                  </w:r>
                  <w:r>
                    <w:rPr>
                      <w:color w:val="auto"/>
                      <w:sz w:val="21"/>
                    </w:rPr>
                    <w:t>t</w:t>
                  </w:r>
                </w:p>
              </w:tc>
            </w:tr>
          </w:tbl>
          <w:p>
            <w:pPr>
              <w:widowControl/>
              <w:spacing w:before="120" w:beforeLines="50" w:line="360" w:lineRule="auto"/>
              <w:ind w:firstLine="420" w:firstLineChars="200"/>
              <w:rPr>
                <w:color w:val="auto"/>
              </w:rPr>
            </w:pPr>
            <w:r>
              <w:rPr>
                <w:color w:val="auto"/>
              </w:rPr>
              <w:t>经计算，项目活性炭的更换量为</w:t>
            </w:r>
            <w:r>
              <w:rPr>
                <w:rFonts w:hint="eastAsia"/>
                <w:color w:val="auto"/>
              </w:rPr>
              <w:t>15.702</w:t>
            </w:r>
            <w:r>
              <w:rPr>
                <w:color w:val="auto"/>
              </w:rPr>
              <w:t>t/a（每年更换</w:t>
            </w:r>
            <w:r>
              <w:rPr>
                <w:rFonts w:hint="eastAsia"/>
                <w:color w:val="auto"/>
              </w:rPr>
              <w:t>3</w:t>
            </w:r>
            <w:r>
              <w:rPr>
                <w:color w:val="auto"/>
              </w:rPr>
              <w:t>次），根据《广东省工业源挥发性有机物减排量核算方法（试行）》中表4.5-2，蜂窝状活性炭对有机废气各成分的吸附量约为20%，由前文可知，本项目活性炭箱需要吸附的有机废气吸附量约为</w:t>
            </w:r>
            <w:r>
              <w:rPr>
                <w:rFonts w:hint="eastAsia"/>
                <w:color w:val="FF0000"/>
                <w:lang w:val="en-US" w:eastAsia="zh-CN"/>
              </w:rPr>
              <w:t>1.6633</w:t>
            </w:r>
            <w:r>
              <w:rPr>
                <w:color w:val="FF0000"/>
                <w:highlight w:val="none"/>
              </w:rPr>
              <w:t>t/a</w:t>
            </w:r>
            <w:r>
              <w:rPr>
                <w:color w:val="auto"/>
                <w:highlight w:val="none"/>
              </w:rPr>
              <w:t>，则</w:t>
            </w:r>
            <w:r>
              <w:rPr>
                <w:color w:val="auto"/>
              </w:rPr>
              <w:t>本项目吸附有机废气理论所需的活性炭用量约为</w:t>
            </w:r>
            <w:r>
              <w:rPr>
                <w:rFonts w:hint="eastAsia"/>
                <w:color w:val="FF0000"/>
                <w:lang w:val="en-US" w:eastAsia="zh-CN"/>
              </w:rPr>
              <w:t>8.317</w:t>
            </w:r>
            <w:r>
              <w:rPr>
                <w:color w:val="FF0000"/>
                <w:highlight w:val="none"/>
              </w:rPr>
              <w:t>t/a</w:t>
            </w:r>
            <w:r>
              <w:rPr>
                <w:color w:val="auto"/>
                <w:highlight w:val="none"/>
              </w:rPr>
              <w:t>（&lt;</w:t>
            </w:r>
            <w:r>
              <w:rPr>
                <w:rFonts w:hint="eastAsia"/>
                <w:color w:val="auto"/>
                <w:highlight w:val="none"/>
              </w:rPr>
              <w:t>15.702</w:t>
            </w:r>
            <w:r>
              <w:rPr>
                <w:color w:val="auto"/>
                <w:highlight w:val="none"/>
              </w:rPr>
              <w:t>t/a）。</w:t>
            </w:r>
            <w:r>
              <w:rPr>
                <w:color w:val="auto"/>
              </w:rPr>
              <w:t>加上有机废气吸附量，本项目废活性炭产生量</w:t>
            </w:r>
            <w:r>
              <w:rPr>
                <w:color w:val="auto"/>
                <w:highlight w:val="none"/>
              </w:rPr>
              <w:t>为</w:t>
            </w:r>
            <w:r>
              <w:rPr>
                <w:rFonts w:hint="eastAsia"/>
                <w:color w:val="FF0000"/>
                <w:highlight w:val="none"/>
                <w:lang w:val="en-US" w:eastAsia="zh-CN"/>
              </w:rPr>
              <w:t>17.37</w:t>
            </w:r>
            <w:r>
              <w:rPr>
                <w:color w:val="FF0000"/>
                <w:highlight w:val="none"/>
              </w:rPr>
              <w:t>t/a</w:t>
            </w:r>
            <w:r>
              <w:rPr>
                <w:color w:val="auto"/>
              </w:rPr>
              <w:t>。废活性炭属于《国家危险废物名录（2021年版）》（（2021年1月1日起施行）中规定的危险废物，编号为</w:t>
            </w:r>
            <w:r>
              <w:rPr>
                <w:rFonts w:hint="eastAsia"/>
                <w:color w:val="auto"/>
              </w:rPr>
              <w:t>“</w:t>
            </w:r>
            <w:r>
              <w:rPr>
                <w:color w:val="auto"/>
              </w:rPr>
              <w:t>HW49其他废物</w:t>
            </w:r>
            <w:r>
              <w:rPr>
                <w:rFonts w:hint="eastAsia"/>
                <w:color w:val="auto"/>
              </w:rPr>
              <w:t>”</w:t>
            </w:r>
            <w:r>
              <w:rPr>
                <w:color w:val="auto"/>
              </w:rPr>
              <w:t>-</w:t>
            </w:r>
            <w:r>
              <w:rPr>
                <w:rFonts w:hint="eastAsia"/>
                <w:color w:val="auto"/>
              </w:rPr>
              <w:t>“</w:t>
            </w:r>
            <w:r>
              <w:rPr>
                <w:color w:val="auto"/>
              </w:rPr>
              <w:t>非特定行业-900-039-49</w:t>
            </w:r>
            <w:r>
              <w:rPr>
                <w:rFonts w:hint="eastAsia"/>
                <w:color w:val="auto"/>
              </w:rPr>
              <w:t>”</w:t>
            </w:r>
            <w:r>
              <w:rPr>
                <w:color w:val="auto"/>
              </w:rPr>
              <w:t>，应委托有相应危险废物处理资质的单位统一处置。</w:t>
            </w:r>
          </w:p>
          <w:p>
            <w:pPr>
              <w:widowControl/>
              <w:tabs>
                <w:tab w:val="left" w:pos="0"/>
              </w:tabs>
              <w:adjustRightInd w:val="0"/>
              <w:snapToGrid w:val="0"/>
              <w:spacing w:line="360" w:lineRule="auto"/>
              <w:jc w:val="center"/>
              <w:rPr>
                <w:color w:val="auto"/>
              </w:rPr>
            </w:pPr>
            <w:r>
              <w:rPr>
                <w:b/>
                <w:color w:val="auto"/>
              </w:rPr>
              <w:t>表4-</w:t>
            </w:r>
            <w:r>
              <w:rPr>
                <w:rFonts w:hint="eastAsia"/>
                <w:b/>
                <w:color w:val="auto"/>
              </w:rPr>
              <w:t>27</w:t>
            </w:r>
            <w:r>
              <w:rPr>
                <w:b/>
                <w:color w:val="auto"/>
              </w:rPr>
              <w:t xml:space="preserve"> 项目危险废物产生情况表</w:t>
            </w:r>
          </w:p>
          <w:tbl>
            <w:tblPr>
              <w:tblStyle w:val="9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7"/>
              <w:gridCol w:w="1700"/>
              <w:gridCol w:w="1196"/>
              <w:gridCol w:w="944"/>
              <w:gridCol w:w="501"/>
              <w:gridCol w:w="784"/>
              <w:gridCol w:w="904"/>
              <w:gridCol w:w="747"/>
              <w:gridCol w:w="649"/>
              <w:gridCol w:w="10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1" w:hRule="atLeast"/>
                <w:jc w:val="center"/>
              </w:trPr>
              <w:tc>
                <w:tcPr>
                  <w:tcW w:w="872" w:type="dxa"/>
                  <w:vAlign w:val="center"/>
                </w:tcPr>
                <w:p>
                  <w:pPr>
                    <w:autoSpaceDE w:val="0"/>
                    <w:autoSpaceDN w:val="0"/>
                    <w:adjustRightInd w:val="0"/>
                    <w:snapToGrid w:val="0"/>
                    <w:jc w:val="center"/>
                    <w:rPr>
                      <w:b/>
                      <w:color w:val="auto"/>
                    </w:rPr>
                  </w:pPr>
                  <w:r>
                    <w:rPr>
                      <w:b/>
                      <w:color w:val="auto"/>
                    </w:rPr>
                    <w:t>危险废物名称</w:t>
                  </w:r>
                </w:p>
              </w:tc>
              <w:tc>
                <w:tcPr>
                  <w:tcW w:w="1710" w:type="dxa"/>
                  <w:vAlign w:val="center"/>
                </w:tcPr>
                <w:p>
                  <w:pPr>
                    <w:autoSpaceDE w:val="0"/>
                    <w:autoSpaceDN w:val="0"/>
                    <w:adjustRightInd w:val="0"/>
                    <w:snapToGrid w:val="0"/>
                    <w:jc w:val="center"/>
                    <w:rPr>
                      <w:b/>
                      <w:color w:val="auto"/>
                    </w:rPr>
                  </w:pPr>
                  <w:r>
                    <w:rPr>
                      <w:b/>
                      <w:color w:val="auto"/>
                    </w:rPr>
                    <w:t>废物类别</w:t>
                  </w:r>
                </w:p>
              </w:tc>
              <w:tc>
                <w:tcPr>
                  <w:tcW w:w="1196" w:type="dxa"/>
                  <w:vAlign w:val="center"/>
                </w:tcPr>
                <w:p>
                  <w:pPr>
                    <w:autoSpaceDE w:val="0"/>
                    <w:autoSpaceDN w:val="0"/>
                    <w:adjustRightInd w:val="0"/>
                    <w:snapToGrid w:val="0"/>
                    <w:jc w:val="center"/>
                    <w:rPr>
                      <w:b/>
                      <w:color w:val="auto"/>
                    </w:rPr>
                  </w:pPr>
                  <w:r>
                    <w:rPr>
                      <w:b/>
                      <w:color w:val="auto"/>
                    </w:rPr>
                    <w:t>危险废物</w:t>
                  </w:r>
                </w:p>
                <w:p>
                  <w:pPr>
                    <w:autoSpaceDE w:val="0"/>
                    <w:autoSpaceDN w:val="0"/>
                    <w:adjustRightInd w:val="0"/>
                    <w:snapToGrid w:val="0"/>
                    <w:jc w:val="center"/>
                    <w:rPr>
                      <w:b/>
                      <w:color w:val="auto"/>
                    </w:rPr>
                  </w:pPr>
                  <w:r>
                    <w:rPr>
                      <w:b/>
                      <w:color w:val="auto"/>
                    </w:rPr>
                    <w:t>代码</w:t>
                  </w:r>
                </w:p>
              </w:tc>
              <w:tc>
                <w:tcPr>
                  <w:tcW w:w="949" w:type="dxa"/>
                  <w:vAlign w:val="center"/>
                </w:tcPr>
                <w:p>
                  <w:pPr>
                    <w:autoSpaceDE w:val="0"/>
                    <w:autoSpaceDN w:val="0"/>
                    <w:adjustRightInd w:val="0"/>
                    <w:snapToGrid w:val="0"/>
                    <w:jc w:val="center"/>
                    <w:rPr>
                      <w:b/>
                      <w:color w:val="auto"/>
                    </w:rPr>
                  </w:pPr>
                  <w:r>
                    <w:rPr>
                      <w:b/>
                      <w:color w:val="auto"/>
                    </w:rPr>
                    <w:t>主要有毒有害物质</w:t>
                  </w:r>
                </w:p>
              </w:tc>
              <w:tc>
                <w:tcPr>
                  <w:tcW w:w="502" w:type="dxa"/>
                  <w:vAlign w:val="center"/>
                </w:tcPr>
                <w:p>
                  <w:pPr>
                    <w:autoSpaceDE w:val="0"/>
                    <w:autoSpaceDN w:val="0"/>
                    <w:adjustRightInd w:val="0"/>
                    <w:snapToGrid w:val="0"/>
                    <w:jc w:val="center"/>
                    <w:rPr>
                      <w:b/>
                      <w:color w:val="auto"/>
                    </w:rPr>
                  </w:pPr>
                  <w:r>
                    <w:rPr>
                      <w:b/>
                      <w:color w:val="auto"/>
                    </w:rPr>
                    <w:t>形态</w:t>
                  </w:r>
                </w:p>
              </w:tc>
              <w:tc>
                <w:tcPr>
                  <w:tcW w:w="786" w:type="dxa"/>
                  <w:vAlign w:val="center"/>
                </w:tcPr>
                <w:p>
                  <w:pPr>
                    <w:autoSpaceDE w:val="0"/>
                    <w:autoSpaceDN w:val="0"/>
                    <w:adjustRightInd w:val="0"/>
                    <w:snapToGrid w:val="0"/>
                    <w:jc w:val="center"/>
                    <w:rPr>
                      <w:b/>
                      <w:color w:val="auto"/>
                    </w:rPr>
                  </w:pPr>
                  <w:r>
                    <w:rPr>
                      <w:b/>
                      <w:color w:val="auto"/>
                    </w:rPr>
                    <w:t>环境危险特性</w:t>
                  </w:r>
                </w:p>
              </w:tc>
              <w:tc>
                <w:tcPr>
                  <w:tcW w:w="909" w:type="dxa"/>
                  <w:vAlign w:val="center"/>
                </w:tcPr>
                <w:p>
                  <w:pPr>
                    <w:widowControl/>
                    <w:jc w:val="left"/>
                    <w:rPr>
                      <w:b/>
                      <w:color w:val="auto"/>
                    </w:rPr>
                  </w:pPr>
                  <w:r>
                    <w:rPr>
                      <w:b/>
                      <w:bCs/>
                      <w:color w:val="auto"/>
                      <w:sz w:val="20"/>
                      <w:lang w:bidi="ar"/>
                    </w:rPr>
                    <w:t>产生工序及装置</w:t>
                  </w:r>
                </w:p>
              </w:tc>
              <w:tc>
                <w:tcPr>
                  <w:tcW w:w="689" w:type="dxa"/>
                  <w:vAlign w:val="center"/>
                </w:tcPr>
                <w:p>
                  <w:pPr>
                    <w:autoSpaceDE w:val="0"/>
                    <w:autoSpaceDN w:val="0"/>
                    <w:adjustRightInd w:val="0"/>
                    <w:snapToGrid w:val="0"/>
                    <w:jc w:val="center"/>
                    <w:rPr>
                      <w:b/>
                      <w:color w:val="auto"/>
                    </w:rPr>
                  </w:pPr>
                  <w:r>
                    <w:rPr>
                      <w:b/>
                      <w:color w:val="auto"/>
                    </w:rPr>
                    <w:t>产生量</w:t>
                  </w:r>
                </w:p>
              </w:tc>
              <w:tc>
                <w:tcPr>
                  <w:tcW w:w="651" w:type="dxa"/>
                  <w:vAlign w:val="center"/>
                </w:tcPr>
                <w:p>
                  <w:pPr>
                    <w:autoSpaceDE w:val="0"/>
                    <w:autoSpaceDN w:val="0"/>
                    <w:adjustRightInd w:val="0"/>
                    <w:snapToGrid w:val="0"/>
                    <w:jc w:val="center"/>
                    <w:rPr>
                      <w:b/>
                      <w:color w:val="auto"/>
                    </w:rPr>
                  </w:pPr>
                  <w:r>
                    <w:rPr>
                      <w:b/>
                      <w:color w:val="auto"/>
                    </w:rPr>
                    <w:t>产废周期</w:t>
                  </w:r>
                </w:p>
              </w:tc>
              <w:tc>
                <w:tcPr>
                  <w:tcW w:w="1024" w:type="dxa"/>
                  <w:vAlign w:val="center"/>
                </w:tcPr>
                <w:p>
                  <w:pPr>
                    <w:autoSpaceDE w:val="0"/>
                    <w:autoSpaceDN w:val="0"/>
                    <w:adjustRightInd w:val="0"/>
                    <w:snapToGrid w:val="0"/>
                    <w:jc w:val="center"/>
                    <w:rPr>
                      <w:b/>
                      <w:color w:val="auto"/>
                    </w:rPr>
                  </w:pPr>
                  <w:r>
                    <w:rPr>
                      <w:b/>
                      <w:color w:val="auto"/>
                    </w:rPr>
                    <w:t>利用处置方式和去向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872" w:type="dxa"/>
                  <w:vAlign w:val="center"/>
                </w:tcPr>
                <w:p>
                  <w:pPr>
                    <w:widowControl/>
                    <w:jc w:val="center"/>
                    <w:textAlignment w:val="center"/>
                    <w:rPr>
                      <w:bCs/>
                      <w:color w:val="auto"/>
                      <w:lang w:bidi="en-US"/>
                    </w:rPr>
                  </w:pPr>
                  <w:r>
                    <w:rPr>
                      <w:bCs/>
                      <w:color w:val="auto"/>
                      <w:lang w:bidi="en-US"/>
                    </w:rPr>
                    <w:t>废活性炭</w:t>
                  </w:r>
                </w:p>
              </w:tc>
              <w:tc>
                <w:tcPr>
                  <w:tcW w:w="1710" w:type="dxa"/>
                  <w:vAlign w:val="center"/>
                </w:tcPr>
                <w:p>
                  <w:pPr>
                    <w:autoSpaceDE w:val="0"/>
                    <w:autoSpaceDN w:val="0"/>
                    <w:adjustRightInd w:val="0"/>
                    <w:snapToGrid w:val="0"/>
                    <w:jc w:val="center"/>
                    <w:rPr>
                      <w:color w:val="auto"/>
                    </w:rPr>
                  </w:pPr>
                  <w:r>
                    <w:rPr>
                      <w:color w:val="auto"/>
                    </w:rPr>
                    <w:t>HW49其他废物</w:t>
                  </w:r>
                </w:p>
              </w:tc>
              <w:tc>
                <w:tcPr>
                  <w:tcW w:w="1196" w:type="dxa"/>
                  <w:vAlign w:val="center"/>
                </w:tcPr>
                <w:p>
                  <w:pPr>
                    <w:adjustRightInd w:val="0"/>
                    <w:snapToGrid w:val="0"/>
                    <w:jc w:val="center"/>
                    <w:rPr>
                      <w:color w:val="auto"/>
                    </w:rPr>
                  </w:pPr>
                  <w:r>
                    <w:rPr>
                      <w:color w:val="auto"/>
                    </w:rPr>
                    <w:t>900-039-49</w:t>
                  </w:r>
                </w:p>
              </w:tc>
              <w:tc>
                <w:tcPr>
                  <w:tcW w:w="949" w:type="dxa"/>
                  <w:vAlign w:val="center"/>
                </w:tcPr>
                <w:p>
                  <w:pPr>
                    <w:topLinePunct/>
                    <w:adjustRightInd w:val="0"/>
                    <w:snapToGrid w:val="0"/>
                    <w:jc w:val="center"/>
                    <w:rPr>
                      <w:color w:val="auto"/>
                    </w:rPr>
                  </w:pPr>
                  <w:r>
                    <w:rPr>
                      <w:color w:val="auto"/>
                    </w:rPr>
                    <w:t>有机废气</w:t>
                  </w:r>
                </w:p>
              </w:tc>
              <w:tc>
                <w:tcPr>
                  <w:tcW w:w="502" w:type="dxa"/>
                  <w:vAlign w:val="center"/>
                </w:tcPr>
                <w:p>
                  <w:pPr>
                    <w:autoSpaceDE w:val="0"/>
                    <w:autoSpaceDN w:val="0"/>
                    <w:adjustRightInd w:val="0"/>
                    <w:snapToGrid w:val="0"/>
                    <w:jc w:val="center"/>
                    <w:rPr>
                      <w:color w:val="auto"/>
                    </w:rPr>
                  </w:pPr>
                  <w:r>
                    <w:rPr>
                      <w:color w:val="auto"/>
                    </w:rPr>
                    <w:t>固态</w:t>
                  </w:r>
                </w:p>
              </w:tc>
              <w:tc>
                <w:tcPr>
                  <w:tcW w:w="786" w:type="dxa"/>
                  <w:vAlign w:val="center"/>
                </w:tcPr>
                <w:p>
                  <w:pPr>
                    <w:autoSpaceDE w:val="0"/>
                    <w:autoSpaceDN w:val="0"/>
                    <w:adjustRightInd w:val="0"/>
                    <w:snapToGrid w:val="0"/>
                    <w:jc w:val="center"/>
                    <w:rPr>
                      <w:color w:val="auto"/>
                    </w:rPr>
                  </w:pPr>
                  <w:r>
                    <w:rPr>
                      <w:color w:val="auto"/>
                    </w:rPr>
                    <w:t>T</w:t>
                  </w:r>
                </w:p>
              </w:tc>
              <w:tc>
                <w:tcPr>
                  <w:tcW w:w="909" w:type="dxa"/>
                  <w:vAlign w:val="center"/>
                </w:tcPr>
                <w:p>
                  <w:pPr>
                    <w:widowControl/>
                    <w:adjustRightInd w:val="0"/>
                    <w:snapToGrid w:val="0"/>
                    <w:jc w:val="center"/>
                    <w:textAlignment w:val="center"/>
                    <w:rPr>
                      <w:bCs/>
                      <w:color w:val="auto"/>
                      <w:lang w:bidi="en-US"/>
                    </w:rPr>
                  </w:pPr>
                  <w:r>
                    <w:rPr>
                      <w:bCs/>
                      <w:color w:val="auto"/>
                      <w:lang w:bidi="en-US"/>
                    </w:rPr>
                    <w:t>废气处理</w:t>
                  </w:r>
                </w:p>
              </w:tc>
              <w:tc>
                <w:tcPr>
                  <w:tcW w:w="689" w:type="dxa"/>
                  <w:vAlign w:val="center"/>
                </w:tcPr>
                <w:p>
                  <w:pPr>
                    <w:widowControl/>
                    <w:adjustRightInd w:val="0"/>
                    <w:snapToGrid w:val="0"/>
                    <w:jc w:val="center"/>
                    <w:textAlignment w:val="center"/>
                    <w:rPr>
                      <w:bCs/>
                      <w:color w:val="FF0000"/>
                      <w:lang w:bidi="en-US"/>
                    </w:rPr>
                  </w:pPr>
                  <w:r>
                    <w:rPr>
                      <w:rFonts w:hint="eastAsia"/>
                      <w:bCs/>
                      <w:color w:val="FF0000"/>
                      <w:highlight w:val="none"/>
                      <w:lang w:bidi="en-US"/>
                    </w:rPr>
                    <w:t>1</w:t>
                  </w:r>
                  <w:r>
                    <w:rPr>
                      <w:rFonts w:hint="eastAsia"/>
                      <w:bCs/>
                      <w:color w:val="FF0000"/>
                      <w:highlight w:val="none"/>
                      <w:lang w:val="en-US" w:eastAsia="zh-CN" w:bidi="en-US"/>
                    </w:rPr>
                    <w:t>7.37</w:t>
                  </w:r>
                  <w:r>
                    <w:rPr>
                      <w:rFonts w:hint="eastAsia"/>
                      <w:bCs/>
                      <w:color w:val="FF0000"/>
                      <w:highlight w:val="none"/>
                      <w:lang w:bidi="en-US"/>
                    </w:rPr>
                    <w:t>t</w:t>
                  </w:r>
                </w:p>
              </w:tc>
              <w:tc>
                <w:tcPr>
                  <w:tcW w:w="651" w:type="dxa"/>
                  <w:vAlign w:val="center"/>
                </w:tcPr>
                <w:p>
                  <w:pPr>
                    <w:autoSpaceDE w:val="0"/>
                    <w:autoSpaceDN w:val="0"/>
                    <w:adjustRightInd w:val="0"/>
                    <w:snapToGrid w:val="0"/>
                    <w:jc w:val="center"/>
                    <w:rPr>
                      <w:color w:val="auto"/>
                    </w:rPr>
                  </w:pPr>
                  <w:r>
                    <w:rPr>
                      <w:color w:val="auto"/>
                    </w:rPr>
                    <w:t>6个月</w:t>
                  </w:r>
                </w:p>
              </w:tc>
              <w:tc>
                <w:tcPr>
                  <w:tcW w:w="1024" w:type="dxa"/>
                  <w:vMerge w:val="restart"/>
                  <w:vAlign w:val="center"/>
                </w:tcPr>
                <w:p>
                  <w:pPr>
                    <w:autoSpaceDE w:val="0"/>
                    <w:autoSpaceDN w:val="0"/>
                    <w:adjustRightInd w:val="0"/>
                    <w:snapToGrid w:val="0"/>
                    <w:jc w:val="center"/>
                    <w:rPr>
                      <w:bCs/>
                      <w:color w:val="auto"/>
                      <w:lang w:bidi="en-US"/>
                    </w:rPr>
                  </w:pPr>
                  <w:r>
                    <w:rPr>
                      <w:color w:val="auto"/>
                    </w:rPr>
                    <w:t>委托有资质单位处理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872" w:type="dxa"/>
                  <w:vAlign w:val="center"/>
                </w:tcPr>
                <w:p>
                  <w:pPr>
                    <w:widowControl/>
                    <w:adjustRightInd w:val="0"/>
                    <w:snapToGrid w:val="0"/>
                    <w:jc w:val="center"/>
                    <w:textAlignment w:val="center"/>
                    <w:rPr>
                      <w:bCs/>
                      <w:color w:val="auto"/>
                      <w:lang w:bidi="en-US"/>
                    </w:rPr>
                  </w:pPr>
                  <w:r>
                    <w:rPr>
                      <w:bCs/>
                      <w:color w:val="auto"/>
                      <w:lang w:bidi="en-US"/>
                    </w:rPr>
                    <w:t>废</w:t>
                  </w:r>
                  <w:r>
                    <w:rPr>
                      <w:rFonts w:hint="eastAsia"/>
                      <w:bCs/>
                      <w:color w:val="auto"/>
                      <w:lang w:bidi="en-US"/>
                    </w:rPr>
                    <w:t>机油</w:t>
                  </w:r>
                </w:p>
              </w:tc>
              <w:tc>
                <w:tcPr>
                  <w:tcW w:w="1710" w:type="dxa"/>
                  <w:vAlign w:val="center"/>
                </w:tcPr>
                <w:p>
                  <w:pPr>
                    <w:autoSpaceDE w:val="0"/>
                    <w:autoSpaceDN w:val="0"/>
                    <w:adjustRightInd w:val="0"/>
                    <w:snapToGrid w:val="0"/>
                    <w:jc w:val="center"/>
                    <w:rPr>
                      <w:color w:val="auto"/>
                    </w:rPr>
                  </w:pPr>
                  <w:r>
                    <w:rPr>
                      <w:color w:val="auto"/>
                    </w:rPr>
                    <w:t>HW08废矿物油与含矿物油废物</w:t>
                  </w:r>
                </w:p>
              </w:tc>
              <w:tc>
                <w:tcPr>
                  <w:tcW w:w="1196" w:type="dxa"/>
                  <w:vAlign w:val="center"/>
                </w:tcPr>
                <w:p>
                  <w:pPr>
                    <w:adjustRightInd w:val="0"/>
                    <w:snapToGrid w:val="0"/>
                    <w:jc w:val="center"/>
                    <w:rPr>
                      <w:color w:val="auto"/>
                    </w:rPr>
                  </w:pPr>
                  <w:r>
                    <w:rPr>
                      <w:color w:val="auto"/>
                    </w:rPr>
                    <w:t>900-249-08</w:t>
                  </w:r>
                </w:p>
              </w:tc>
              <w:tc>
                <w:tcPr>
                  <w:tcW w:w="949" w:type="dxa"/>
                  <w:vAlign w:val="center"/>
                </w:tcPr>
                <w:p>
                  <w:pPr>
                    <w:topLinePunct/>
                    <w:adjustRightInd w:val="0"/>
                    <w:snapToGrid w:val="0"/>
                    <w:jc w:val="center"/>
                    <w:rPr>
                      <w:color w:val="auto"/>
                    </w:rPr>
                  </w:pPr>
                  <w:r>
                    <w:rPr>
                      <w:color w:val="auto"/>
                    </w:rPr>
                    <w:t>矿物油</w:t>
                  </w:r>
                </w:p>
              </w:tc>
              <w:tc>
                <w:tcPr>
                  <w:tcW w:w="502" w:type="dxa"/>
                  <w:vAlign w:val="center"/>
                </w:tcPr>
                <w:p>
                  <w:pPr>
                    <w:autoSpaceDE w:val="0"/>
                    <w:autoSpaceDN w:val="0"/>
                    <w:adjustRightInd w:val="0"/>
                    <w:snapToGrid w:val="0"/>
                    <w:jc w:val="center"/>
                    <w:rPr>
                      <w:color w:val="auto"/>
                    </w:rPr>
                  </w:pPr>
                  <w:r>
                    <w:rPr>
                      <w:color w:val="auto"/>
                    </w:rPr>
                    <w:t>液态</w:t>
                  </w:r>
                </w:p>
              </w:tc>
              <w:tc>
                <w:tcPr>
                  <w:tcW w:w="786" w:type="dxa"/>
                  <w:vAlign w:val="center"/>
                </w:tcPr>
                <w:p>
                  <w:pPr>
                    <w:autoSpaceDE w:val="0"/>
                    <w:autoSpaceDN w:val="0"/>
                    <w:adjustRightInd w:val="0"/>
                    <w:snapToGrid w:val="0"/>
                    <w:jc w:val="center"/>
                    <w:rPr>
                      <w:color w:val="auto"/>
                    </w:rPr>
                  </w:pPr>
                  <w:r>
                    <w:rPr>
                      <w:color w:val="auto"/>
                    </w:rPr>
                    <w:t>T，I</w:t>
                  </w:r>
                </w:p>
              </w:tc>
              <w:tc>
                <w:tcPr>
                  <w:tcW w:w="909" w:type="dxa"/>
                  <w:vAlign w:val="center"/>
                </w:tcPr>
                <w:p>
                  <w:pPr>
                    <w:widowControl/>
                    <w:adjustRightInd w:val="0"/>
                    <w:snapToGrid w:val="0"/>
                    <w:jc w:val="center"/>
                    <w:textAlignment w:val="center"/>
                    <w:rPr>
                      <w:bCs/>
                      <w:color w:val="auto"/>
                      <w:lang w:bidi="en-US"/>
                    </w:rPr>
                  </w:pPr>
                  <w:r>
                    <w:rPr>
                      <w:bCs/>
                      <w:color w:val="auto"/>
                      <w:lang w:bidi="en-US"/>
                    </w:rPr>
                    <w:t>设备维修保养</w:t>
                  </w:r>
                </w:p>
              </w:tc>
              <w:tc>
                <w:tcPr>
                  <w:tcW w:w="689" w:type="dxa"/>
                  <w:vAlign w:val="center"/>
                </w:tcPr>
                <w:p>
                  <w:pPr>
                    <w:widowControl/>
                    <w:adjustRightInd w:val="0"/>
                    <w:snapToGrid w:val="0"/>
                    <w:jc w:val="center"/>
                    <w:textAlignment w:val="center"/>
                    <w:rPr>
                      <w:bCs/>
                      <w:color w:val="auto"/>
                      <w:lang w:bidi="en-US"/>
                    </w:rPr>
                  </w:pPr>
                  <w:r>
                    <w:rPr>
                      <w:rFonts w:hint="eastAsia"/>
                      <w:bCs/>
                      <w:color w:val="auto"/>
                      <w:lang w:bidi="en-US"/>
                    </w:rPr>
                    <w:t>0.5t</w:t>
                  </w:r>
                </w:p>
              </w:tc>
              <w:tc>
                <w:tcPr>
                  <w:tcW w:w="651" w:type="dxa"/>
                  <w:vAlign w:val="center"/>
                </w:tcPr>
                <w:p>
                  <w:pPr>
                    <w:autoSpaceDE w:val="0"/>
                    <w:autoSpaceDN w:val="0"/>
                    <w:adjustRightInd w:val="0"/>
                    <w:snapToGrid w:val="0"/>
                    <w:jc w:val="center"/>
                    <w:rPr>
                      <w:color w:val="auto"/>
                    </w:rPr>
                  </w:pPr>
                  <w:r>
                    <w:rPr>
                      <w:rFonts w:hint="eastAsia"/>
                      <w:color w:val="auto"/>
                    </w:rPr>
                    <w:t>6</w:t>
                  </w:r>
                  <w:r>
                    <w:rPr>
                      <w:color w:val="auto"/>
                    </w:rPr>
                    <w:t>个月</w:t>
                  </w:r>
                </w:p>
              </w:tc>
              <w:tc>
                <w:tcPr>
                  <w:tcW w:w="1024" w:type="dxa"/>
                  <w:vMerge w:val="continue"/>
                  <w:vAlign w:val="center"/>
                </w:tcPr>
                <w:p>
                  <w:pPr>
                    <w:autoSpaceDE w:val="0"/>
                    <w:autoSpaceDN w:val="0"/>
                    <w:adjustRightInd w:val="0"/>
                    <w:snapToGrid w:val="0"/>
                    <w:jc w:val="center"/>
                    <w:rPr>
                      <w:bCs/>
                      <w:color w:val="auto"/>
                      <w:lang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jc w:val="center"/>
              </w:trPr>
              <w:tc>
                <w:tcPr>
                  <w:tcW w:w="872" w:type="dxa"/>
                  <w:vAlign w:val="center"/>
                </w:tcPr>
                <w:p>
                  <w:pPr>
                    <w:widowControl/>
                    <w:jc w:val="center"/>
                    <w:textAlignment w:val="center"/>
                    <w:rPr>
                      <w:bCs/>
                      <w:color w:val="auto"/>
                      <w:lang w:bidi="en-US"/>
                    </w:rPr>
                  </w:pPr>
                  <w:r>
                    <w:rPr>
                      <w:bCs/>
                      <w:color w:val="auto"/>
                      <w:lang w:bidi="en-US"/>
                    </w:rPr>
                    <w:t>废抹布和废手套</w:t>
                  </w:r>
                </w:p>
              </w:tc>
              <w:tc>
                <w:tcPr>
                  <w:tcW w:w="1710" w:type="dxa"/>
                  <w:vAlign w:val="center"/>
                </w:tcPr>
                <w:p>
                  <w:pPr>
                    <w:autoSpaceDE w:val="0"/>
                    <w:autoSpaceDN w:val="0"/>
                    <w:adjustRightInd w:val="0"/>
                    <w:snapToGrid w:val="0"/>
                    <w:jc w:val="center"/>
                    <w:rPr>
                      <w:color w:val="auto"/>
                    </w:rPr>
                  </w:pPr>
                  <w:r>
                    <w:rPr>
                      <w:color w:val="auto"/>
                    </w:rPr>
                    <w:t>HW49其他废物</w:t>
                  </w:r>
                </w:p>
              </w:tc>
              <w:tc>
                <w:tcPr>
                  <w:tcW w:w="1196" w:type="dxa"/>
                  <w:vAlign w:val="center"/>
                </w:tcPr>
                <w:p>
                  <w:pPr>
                    <w:adjustRightInd w:val="0"/>
                    <w:snapToGrid w:val="0"/>
                    <w:jc w:val="center"/>
                    <w:rPr>
                      <w:color w:val="auto"/>
                    </w:rPr>
                  </w:pPr>
                  <w:r>
                    <w:rPr>
                      <w:color w:val="auto"/>
                    </w:rPr>
                    <w:t>900-041-49</w:t>
                  </w:r>
                </w:p>
              </w:tc>
              <w:tc>
                <w:tcPr>
                  <w:tcW w:w="949" w:type="dxa"/>
                  <w:vAlign w:val="center"/>
                </w:tcPr>
                <w:p>
                  <w:pPr>
                    <w:topLinePunct/>
                    <w:adjustRightInd w:val="0"/>
                    <w:snapToGrid w:val="0"/>
                    <w:jc w:val="center"/>
                    <w:rPr>
                      <w:color w:val="auto"/>
                    </w:rPr>
                  </w:pPr>
                  <w:r>
                    <w:rPr>
                      <w:color w:val="auto"/>
                    </w:rPr>
                    <w:t>矿物油</w:t>
                  </w:r>
                </w:p>
              </w:tc>
              <w:tc>
                <w:tcPr>
                  <w:tcW w:w="502" w:type="dxa"/>
                  <w:vAlign w:val="center"/>
                </w:tcPr>
                <w:p>
                  <w:pPr>
                    <w:autoSpaceDE w:val="0"/>
                    <w:autoSpaceDN w:val="0"/>
                    <w:adjustRightInd w:val="0"/>
                    <w:snapToGrid w:val="0"/>
                    <w:jc w:val="center"/>
                    <w:rPr>
                      <w:color w:val="auto"/>
                    </w:rPr>
                  </w:pPr>
                  <w:r>
                    <w:rPr>
                      <w:color w:val="auto"/>
                    </w:rPr>
                    <w:t>固态</w:t>
                  </w:r>
                </w:p>
              </w:tc>
              <w:tc>
                <w:tcPr>
                  <w:tcW w:w="786" w:type="dxa"/>
                  <w:vAlign w:val="center"/>
                </w:tcPr>
                <w:p>
                  <w:pPr>
                    <w:autoSpaceDE w:val="0"/>
                    <w:autoSpaceDN w:val="0"/>
                    <w:adjustRightInd w:val="0"/>
                    <w:snapToGrid w:val="0"/>
                    <w:jc w:val="center"/>
                    <w:rPr>
                      <w:color w:val="auto"/>
                    </w:rPr>
                  </w:pPr>
                  <w:r>
                    <w:rPr>
                      <w:color w:val="auto"/>
                    </w:rPr>
                    <w:t>T/In</w:t>
                  </w:r>
                </w:p>
              </w:tc>
              <w:tc>
                <w:tcPr>
                  <w:tcW w:w="909" w:type="dxa"/>
                  <w:vAlign w:val="center"/>
                </w:tcPr>
                <w:p>
                  <w:pPr>
                    <w:widowControl/>
                    <w:adjustRightInd w:val="0"/>
                    <w:snapToGrid w:val="0"/>
                    <w:jc w:val="center"/>
                    <w:textAlignment w:val="center"/>
                    <w:rPr>
                      <w:bCs/>
                      <w:color w:val="auto"/>
                      <w:lang w:bidi="ar"/>
                    </w:rPr>
                  </w:pPr>
                  <w:r>
                    <w:rPr>
                      <w:bCs/>
                      <w:color w:val="auto"/>
                      <w:lang w:bidi="en-US"/>
                    </w:rPr>
                    <w:t>设备维修保养</w:t>
                  </w:r>
                </w:p>
              </w:tc>
              <w:tc>
                <w:tcPr>
                  <w:tcW w:w="689" w:type="dxa"/>
                  <w:vAlign w:val="center"/>
                </w:tcPr>
                <w:p>
                  <w:pPr>
                    <w:widowControl/>
                    <w:adjustRightInd w:val="0"/>
                    <w:snapToGrid w:val="0"/>
                    <w:jc w:val="center"/>
                    <w:textAlignment w:val="center"/>
                    <w:rPr>
                      <w:bCs/>
                      <w:color w:val="auto"/>
                      <w:lang w:bidi="ar"/>
                    </w:rPr>
                  </w:pPr>
                  <w:r>
                    <w:rPr>
                      <w:rFonts w:hint="eastAsia"/>
                      <w:bCs/>
                      <w:color w:val="auto"/>
                      <w:lang w:bidi="ar"/>
                    </w:rPr>
                    <w:t>0.25t</w:t>
                  </w:r>
                </w:p>
              </w:tc>
              <w:tc>
                <w:tcPr>
                  <w:tcW w:w="651" w:type="dxa"/>
                  <w:vAlign w:val="center"/>
                </w:tcPr>
                <w:p>
                  <w:pPr>
                    <w:autoSpaceDE w:val="0"/>
                    <w:autoSpaceDN w:val="0"/>
                    <w:adjustRightInd w:val="0"/>
                    <w:snapToGrid w:val="0"/>
                    <w:jc w:val="center"/>
                    <w:rPr>
                      <w:color w:val="auto"/>
                    </w:rPr>
                  </w:pPr>
                  <w:r>
                    <w:rPr>
                      <w:color w:val="auto"/>
                    </w:rPr>
                    <w:t>6个月</w:t>
                  </w:r>
                </w:p>
              </w:tc>
              <w:tc>
                <w:tcPr>
                  <w:tcW w:w="1024" w:type="dxa"/>
                  <w:vMerge w:val="continue"/>
                  <w:vAlign w:val="center"/>
                </w:tcPr>
                <w:p>
                  <w:pPr>
                    <w:autoSpaceDE w:val="0"/>
                    <w:autoSpaceDN w:val="0"/>
                    <w:adjustRightInd w:val="0"/>
                    <w:snapToGrid w:val="0"/>
                    <w:jc w:val="center"/>
                    <w:rPr>
                      <w:bCs/>
                      <w:color w:val="auto"/>
                      <w:lang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jc w:val="center"/>
              </w:trPr>
              <w:tc>
                <w:tcPr>
                  <w:tcW w:w="872" w:type="dxa"/>
                  <w:vAlign w:val="center"/>
                </w:tcPr>
                <w:p>
                  <w:pPr>
                    <w:widowControl/>
                    <w:jc w:val="center"/>
                    <w:textAlignment w:val="center"/>
                    <w:rPr>
                      <w:bCs/>
                      <w:color w:val="auto"/>
                      <w:lang w:bidi="en-US"/>
                    </w:rPr>
                  </w:pPr>
                  <w:r>
                    <w:rPr>
                      <w:rFonts w:hint="eastAsia"/>
                      <w:bCs/>
                      <w:color w:val="auto"/>
                      <w:lang w:bidi="en-US"/>
                    </w:rPr>
                    <w:t>废机油桶</w:t>
                  </w:r>
                </w:p>
              </w:tc>
              <w:tc>
                <w:tcPr>
                  <w:tcW w:w="1710" w:type="dxa"/>
                  <w:vAlign w:val="center"/>
                </w:tcPr>
                <w:p>
                  <w:pPr>
                    <w:autoSpaceDE w:val="0"/>
                    <w:autoSpaceDN w:val="0"/>
                    <w:adjustRightInd w:val="0"/>
                    <w:snapToGrid w:val="0"/>
                    <w:jc w:val="center"/>
                    <w:rPr>
                      <w:color w:val="auto"/>
                    </w:rPr>
                  </w:pPr>
                  <w:r>
                    <w:rPr>
                      <w:bCs/>
                      <w:color w:val="auto"/>
                      <w:szCs w:val="21"/>
                    </w:rPr>
                    <w:t>HW49</w:t>
                  </w:r>
                  <w:r>
                    <w:rPr>
                      <w:rFonts w:hint="eastAsia"/>
                      <w:bCs/>
                      <w:color w:val="auto"/>
                      <w:szCs w:val="21"/>
                    </w:rPr>
                    <w:t>其他废物</w:t>
                  </w:r>
                </w:p>
              </w:tc>
              <w:tc>
                <w:tcPr>
                  <w:tcW w:w="1196" w:type="dxa"/>
                  <w:vAlign w:val="center"/>
                </w:tcPr>
                <w:p>
                  <w:pPr>
                    <w:adjustRightInd w:val="0"/>
                    <w:snapToGrid w:val="0"/>
                    <w:jc w:val="center"/>
                    <w:rPr>
                      <w:color w:val="auto"/>
                    </w:rPr>
                  </w:pPr>
                  <w:r>
                    <w:rPr>
                      <w:bCs/>
                      <w:color w:val="auto"/>
                      <w:szCs w:val="21"/>
                    </w:rPr>
                    <w:t>900-041-49</w:t>
                  </w:r>
                </w:p>
              </w:tc>
              <w:tc>
                <w:tcPr>
                  <w:tcW w:w="949" w:type="dxa"/>
                  <w:vAlign w:val="center"/>
                </w:tcPr>
                <w:p>
                  <w:pPr>
                    <w:topLinePunct/>
                    <w:adjustRightInd w:val="0"/>
                    <w:snapToGrid w:val="0"/>
                    <w:jc w:val="center"/>
                    <w:rPr>
                      <w:color w:val="auto"/>
                    </w:rPr>
                  </w:pPr>
                  <w:r>
                    <w:rPr>
                      <w:color w:val="auto"/>
                    </w:rPr>
                    <w:t>矿物油</w:t>
                  </w:r>
                </w:p>
              </w:tc>
              <w:tc>
                <w:tcPr>
                  <w:tcW w:w="502" w:type="dxa"/>
                  <w:vAlign w:val="center"/>
                </w:tcPr>
                <w:p>
                  <w:pPr>
                    <w:autoSpaceDE w:val="0"/>
                    <w:autoSpaceDN w:val="0"/>
                    <w:adjustRightInd w:val="0"/>
                    <w:snapToGrid w:val="0"/>
                    <w:jc w:val="center"/>
                    <w:rPr>
                      <w:color w:val="auto"/>
                    </w:rPr>
                  </w:pPr>
                  <w:r>
                    <w:rPr>
                      <w:rFonts w:hint="eastAsia"/>
                      <w:color w:val="auto"/>
                    </w:rPr>
                    <w:t>固态</w:t>
                  </w:r>
                </w:p>
              </w:tc>
              <w:tc>
                <w:tcPr>
                  <w:tcW w:w="786" w:type="dxa"/>
                  <w:vAlign w:val="center"/>
                </w:tcPr>
                <w:p>
                  <w:pPr>
                    <w:autoSpaceDE w:val="0"/>
                    <w:autoSpaceDN w:val="0"/>
                    <w:adjustRightInd w:val="0"/>
                    <w:snapToGrid w:val="0"/>
                    <w:jc w:val="center"/>
                    <w:rPr>
                      <w:color w:val="auto"/>
                    </w:rPr>
                  </w:pPr>
                  <w:r>
                    <w:rPr>
                      <w:color w:val="auto"/>
                    </w:rPr>
                    <w:t>T，I</w:t>
                  </w:r>
                </w:p>
              </w:tc>
              <w:tc>
                <w:tcPr>
                  <w:tcW w:w="909" w:type="dxa"/>
                  <w:vAlign w:val="center"/>
                </w:tcPr>
                <w:p>
                  <w:pPr>
                    <w:widowControl/>
                    <w:adjustRightInd w:val="0"/>
                    <w:snapToGrid w:val="0"/>
                    <w:jc w:val="center"/>
                    <w:textAlignment w:val="center"/>
                    <w:rPr>
                      <w:bCs/>
                      <w:color w:val="auto"/>
                      <w:lang w:bidi="en-US"/>
                    </w:rPr>
                  </w:pPr>
                  <w:r>
                    <w:rPr>
                      <w:bCs/>
                      <w:color w:val="auto"/>
                      <w:lang w:bidi="en-US"/>
                    </w:rPr>
                    <w:t>设备维修保养</w:t>
                  </w:r>
                </w:p>
              </w:tc>
              <w:tc>
                <w:tcPr>
                  <w:tcW w:w="689" w:type="dxa"/>
                  <w:vAlign w:val="center"/>
                </w:tcPr>
                <w:p>
                  <w:pPr>
                    <w:widowControl/>
                    <w:adjustRightInd w:val="0"/>
                    <w:snapToGrid w:val="0"/>
                    <w:jc w:val="center"/>
                    <w:textAlignment w:val="center"/>
                    <w:rPr>
                      <w:bCs/>
                      <w:color w:val="auto"/>
                      <w:lang w:bidi="en-US"/>
                    </w:rPr>
                  </w:pPr>
                  <w:r>
                    <w:rPr>
                      <w:rFonts w:hint="eastAsia"/>
                      <w:bCs/>
                      <w:color w:val="auto"/>
                      <w:lang w:bidi="en-US"/>
                    </w:rPr>
                    <w:t>0.1t</w:t>
                  </w:r>
                </w:p>
              </w:tc>
              <w:tc>
                <w:tcPr>
                  <w:tcW w:w="651" w:type="dxa"/>
                  <w:vAlign w:val="center"/>
                </w:tcPr>
                <w:p>
                  <w:pPr>
                    <w:autoSpaceDE w:val="0"/>
                    <w:autoSpaceDN w:val="0"/>
                    <w:adjustRightInd w:val="0"/>
                    <w:snapToGrid w:val="0"/>
                    <w:jc w:val="center"/>
                    <w:rPr>
                      <w:color w:val="auto"/>
                    </w:rPr>
                  </w:pPr>
                  <w:r>
                    <w:rPr>
                      <w:color w:val="auto"/>
                    </w:rPr>
                    <w:t>3个月</w:t>
                  </w:r>
                </w:p>
              </w:tc>
              <w:tc>
                <w:tcPr>
                  <w:tcW w:w="1024" w:type="dxa"/>
                  <w:vMerge w:val="continue"/>
                  <w:vAlign w:val="center"/>
                </w:tcPr>
                <w:p>
                  <w:pPr>
                    <w:autoSpaceDE w:val="0"/>
                    <w:autoSpaceDN w:val="0"/>
                    <w:adjustRightInd w:val="0"/>
                    <w:snapToGrid w:val="0"/>
                    <w:jc w:val="center"/>
                    <w:rPr>
                      <w:bCs/>
                      <w:color w:val="auto"/>
                      <w:lang w:bidi="en-US"/>
                    </w:rPr>
                  </w:pPr>
                </w:p>
              </w:tc>
            </w:tr>
          </w:tbl>
          <w:p>
            <w:pPr>
              <w:widowControl/>
              <w:rPr>
                <w:color w:val="auto"/>
              </w:rPr>
            </w:pPr>
            <w:r>
              <w:rPr>
                <w:color w:val="auto"/>
              </w:rPr>
              <w:t>备注：危险特性，包括腐蚀性（Corrosivity，C）、毒性（Toxicity，T）、易燃性（Ignitability，I）、反应性（Reactivity,，R）和感染性（Infectivity，In）</w:t>
            </w:r>
          </w:p>
          <w:p>
            <w:pPr>
              <w:widowControl/>
              <w:spacing w:before="120" w:beforeLines="50" w:line="360" w:lineRule="auto"/>
              <w:ind w:firstLine="422" w:firstLineChars="200"/>
              <w:rPr>
                <w:b/>
                <w:bCs/>
                <w:color w:val="auto"/>
              </w:rPr>
            </w:pPr>
            <w:r>
              <w:rPr>
                <w:b/>
                <w:bCs/>
                <w:color w:val="auto"/>
              </w:rPr>
              <w:t>（2）环境管理要求</w:t>
            </w:r>
          </w:p>
          <w:p>
            <w:pPr>
              <w:adjustRightInd w:val="0"/>
              <w:snapToGrid w:val="0"/>
              <w:spacing w:line="360" w:lineRule="auto"/>
              <w:ind w:firstLine="420" w:firstLineChars="200"/>
              <w:jc w:val="left"/>
              <w:rPr>
                <w:bCs/>
                <w:color w:val="auto"/>
              </w:rPr>
            </w:pPr>
            <w:r>
              <w:rPr>
                <w:bCs/>
                <w:color w:val="auto"/>
              </w:rPr>
              <w:t>项目员工的生活垃圾必须按照指定地点堆放在生活垃圾堆放点，与当地环卫部门联系，每日及时清理、转运、压缩，作统一处理。</w:t>
            </w:r>
          </w:p>
          <w:p>
            <w:pPr>
              <w:pStyle w:val="926"/>
              <w:adjustRightInd w:val="0"/>
              <w:snapToGrid w:val="0"/>
              <w:ind w:firstLine="420"/>
              <w:rPr>
                <w:color w:val="auto"/>
                <w:sz w:val="21"/>
                <w:szCs w:val="21"/>
              </w:rPr>
            </w:pPr>
            <w:r>
              <w:rPr>
                <w:bCs w:val="0"/>
                <w:color w:val="auto"/>
                <w:sz w:val="21"/>
                <w:szCs w:val="21"/>
              </w:rPr>
              <w:t>项目一般工业固体废物经分类收集后尽量回收利用，不能回用的委托相关再生资源回收单位进行回收利用。一般工业固体废物临时存放区实施分类投放、分类收集、分类运输和分类处置，同时保持分类收集容器完好整洁和正常使用。</w:t>
            </w:r>
            <w:r>
              <w:rPr>
                <w:color w:val="auto"/>
                <w:sz w:val="21"/>
                <w:szCs w:val="21"/>
              </w:rPr>
              <w:t>一般工业固废仓库的建设应满足《一般工业固体废物贮存和填埋污染控制标准》（GB18599-2020）的相关要求。具体为：贮存区采取防风防雨措施；各类固废应分类收集；贮存区按照《环境保护图形标志——固体废物贮存（处置）场》（GB15562.2）的要求设置环保图形标志；指定专人进行日常管理。</w:t>
            </w:r>
          </w:p>
          <w:p>
            <w:pPr>
              <w:adjustRightInd w:val="0"/>
              <w:snapToGrid w:val="0"/>
              <w:spacing w:line="360" w:lineRule="auto"/>
              <w:ind w:firstLine="420" w:firstLineChars="200"/>
              <w:rPr>
                <w:bCs/>
                <w:color w:val="auto"/>
              </w:rPr>
            </w:pPr>
            <w:r>
              <w:rPr>
                <w:bCs/>
                <w:color w:val="auto"/>
              </w:rPr>
              <w:t>项目危险废物经收集后交由有危险废物回收处理资质的单位外运处理。建设单位应委托具有相应资质的运输单位和利用处置经营单位，签订委托合同，依法委托运输、利用处置危险废物。在委托时，应详细核实运输单位、车辆、驾驶员及押运员的资质，并根据废物特性，选择运输工具，严防二次污染；应详细核实经营单位资质，严禁委托不具资质或资质不符的单位处置。转移前，产生单位应制定转移计划，向环保主管部门报备并领取联单；转移后，应按照转移实际，做到一转移一联单，并及时向环保主管部门提交转移联单，联单保存应在五年以上。</w:t>
            </w:r>
          </w:p>
          <w:p>
            <w:pPr>
              <w:adjustRightInd w:val="0"/>
              <w:snapToGrid w:val="0"/>
              <w:spacing w:line="360" w:lineRule="auto"/>
              <w:ind w:firstLine="420" w:firstLineChars="200"/>
              <w:rPr>
                <w:bCs/>
                <w:color w:val="auto"/>
              </w:rPr>
            </w:pPr>
            <w:r>
              <w:rPr>
                <w:bCs/>
                <w:color w:val="auto"/>
              </w:rPr>
              <w:t>厂区需要按照《危险废物贮存污染控制标准》(GB18597-2001，2013年修正)的有关规定对危险废物使用专门额容器收集、盛装。装运危险废物的容器能有效地防止渗漏、扩散。装有危险废物的容器贴有标签，在标签上详细标明危险废物的名称、重量、成分、特性以及发生泄漏、扩散污染事故时的应急措施和补救方法。为了防止二次污染，危险废物暂存场应按照《危险废物贮存污染控制标准》（GB18597-2001）及其修改单中的相关规范建设。</w:t>
            </w:r>
          </w:p>
          <w:p>
            <w:pPr>
              <w:adjustRightInd w:val="0"/>
              <w:snapToGrid w:val="0"/>
              <w:spacing w:line="360" w:lineRule="auto"/>
              <w:ind w:firstLine="420" w:firstLineChars="200"/>
              <w:rPr>
                <w:bCs/>
                <w:color w:val="auto"/>
              </w:rPr>
            </w:pPr>
            <w:r>
              <w:rPr>
                <w:bCs/>
                <w:color w:val="auto"/>
              </w:rPr>
              <w:t>（1）对危险废物应建造专用的危险废物贮存设施。建设单位拟在项目生产车间建设专用于危险废物暂存的存放室，该存放室干燥、阴凉，可避免阳关直射危险废物。</w:t>
            </w:r>
          </w:p>
          <w:p>
            <w:pPr>
              <w:adjustRightInd w:val="0"/>
              <w:snapToGrid w:val="0"/>
              <w:spacing w:line="360" w:lineRule="auto"/>
              <w:ind w:firstLine="420" w:firstLineChars="200"/>
              <w:jc w:val="left"/>
              <w:rPr>
                <w:bCs/>
                <w:color w:val="auto"/>
              </w:rPr>
            </w:pPr>
            <w:r>
              <w:rPr>
                <w:bCs/>
                <w:color w:val="auto"/>
              </w:rPr>
              <w:t>（2）无法装入常用容器的危险废物可用防漏胶袋等盛装。</w:t>
            </w:r>
          </w:p>
          <w:p>
            <w:pPr>
              <w:adjustRightInd w:val="0"/>
              <w:snapToGrid w:val="0"/>
              <w:spacing w:line="360" w:lineRule="auto"/>
              <w:ind w:firstLine="420" w:firstLineChars="200"/>
              <w:jc w:val="left"/>
              <w:rPr>
                <w:bCs/>
                <w:color w:val="auto"/>
              </w:rPr>
            </w:pPr>
            <w:r>
              <w:rPr>
                <w:bCs/>
                <w:color w:val="auto"/>
              </w:rPr>
              <w:t>（3）禁止将不相容（相互反应）的危险废物在同一容器内混装。</w:t>
            </w:r>
          </w:p>
          <w:p>
            <w:pPr>
              <w:adjustRightInd w:val="0"/>
              <w:snapToGrid w:val="0"/>
              <w:spacing w:line="360" w:lineRule="auto"/>
              <w:ind w:firstLine="420" w:firstLineChars="200"/>
              <w:jc w:val="left"/>
              <w:rPr>
                <w:bCs/>
                <w:color w:val="auto"/>
              </w:rPr>
            </w:pPr>
            <w:r>
              <w:rPr>
                <w:bCs/>
                <w:color w:val="auto"/>
              </w:rPr>
              <w:t>（4）盛装危险废物的容器上必须粘贴符合标准附录A所示的标签。</w:t>
            </w:r>
          </w:p>
          <w:p>
            <w:pPr>
              <w:adjustRightInd w:val="0"/>
              <w:snapToGrid w:val="0"/>
              <w:spacing w:line="360" w:lineRule="auto"/>
              <w:ind w:firstLine="420" w:firstLineChars="200"/>
              <w:rPr>
                <w:bCs/>
                <w:color w:val="auto"/>
              </w:rPr>
            </w:pPr>
            <w:r>
              <w:rPr>
                <w:bCs/>
                <w:color w:val="auto"/>
              </w:rPr>
              <w:t>（5）危废暂存间地面应防腐防渗，各类危废应分区暂存，其中液态危废暂存区应设围堰。</w:t>
            </w:r>
          </w:p>
          <w:p>
            <w:pPr>
              <w:adjustRightInd w:val="0"/>
              <w:snapToGrid w:val="0"/>
              <w:spacing w:line="360" w:lineRule="auto"/>
              <w:ind w:firstLine="420" w:firstLineChars="200"/>
              <w:rPr>
                <w:bCs/>
                <w:color w:val="auto"/>
              </w:rPr>
            </w:pPr>
            <w:r>
              <w:rPr>
                <w:bCs/>
                <w:color w:val="auto"/>
              </w:rPr>
              <w:t>本项目严格按照《危险废物贮存污染控制标准》（GB18597-2001）及其修改单对危险废物进行收集、暂存，并委托持有《危险废物经营许可证》的单位进行无害化处理处置，采取上述措施防治后，项目的危险废物对周围环境基本无影响。</w:t>
            </w:r>
          </w:p>
          <w:p>
            <w:pPr>
              <w:widowControl/>
              <w:tabs>
                <w:tab w:val="left" w:pos="0"/>
              </w:tabs>
              <w:adjustRightInd w:val="0"/>
              <w:snapToGrid w:val="0"/>
              <w:spacing w:line="360" w:lineRule="auto"/>
              <w:jc w:val="center"/>
              <w:rPr>
                <w:b/>
                <w:color w:val="auto"/>
                <w:szCs w:val="22"/>
              </w:rPr>
            </w:pPr>
            <w:r>
              <w:rPr>
                <w:b/>
                <w:color w:val="auto"/>
                <w:szCs w:val="22"/>
              </w:rPr>
              <w:t>表4-</w:t>
            </w:r>
            <w:r>
              <w:rPr>
                <w:rFonts w:hint="eastAsia"/>
                <w:b/>
                <w:color w:val="auto"/>
                <w:szCs w:val="22"/>
              </w:rPr>
              <w:t>28</w:t>
            </w:r>
            <w:r>
              <w:rPr>
                <w:b/>
                <w:color w:val="auto"/>
                <w:szCs w:val="22"/>
              </w:rPr>
              <w:t xml:space="preserve"> 项目危险废物贮存场所（设施）基本情况表</w:t>
            </w:r>
          </w:p>
          <w:tbl>
            <w:tblPr>
              <w:tblStyle w:val="92"/>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51"/>
              <w:gridCol w:w="1363"/>
              <w:gridCol w:w="1588"/>
              <w:gridCol w:w="877"/>
              <w:gridCol w:w="1033"/>
              <w:gridCol w:w="1192"/>
              <w:gridCol w:w="1009"/>
              <w:gridCol w:w="9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jc w:val="center"/>
              </w:trPr>
              <w:tc>
                <w:tcPr>
                  <w:tcW w:w="672" w:type="pct"/>
                  <w:vAlign w:val="center"/>
                </w:tcPr>
                <w:p>
                  <w:pPr>
                    <w:adjustRightInd w:val="0"/>
                    <w:snapToGrid w:val="0"/>
                    <w:jc w:val="center"/>
                    <w:rPr>
                      <w:b/>
                      <w:color w:val="auto"/>
                    </w:rPr>
                  </w:pPr>
                  <w:r>
                    <w:rPr>
                      <w:b/>
                      <w:color w:val="auto"/>
                    </w:rPr>
                    <w:t>危险废物名称</w:t>
                  </w:r>
                </w:p>
              </w:tc>
              <w:tc>
                <w:tcPr>
                  <w:tcW w:w="732" w:type="pct"/>
                  <w:vAlign w:val="center"/>
                </w:tcPr>
                <w:p>
                  <w:pPr>
                    <w:adjustRightInd w:val="0"/>
                    <w:snapToGrid w:val="0"/>
                    <w:jc w:val="center"/>
                    <w:rPr>
                      <w:b/>
                      <w:color w:val="auto"/>
                    </w:rPr>
                  </w:pPr>
                  <w:r>
                    <w:rPr>
                      <w:b/>
                      <w:color w:val="auto"/>
                    </w:rPr>
                    <w:t>废物类别</w:t>
                  </w:r>
                </w:p>
              </w:tc>
              <w:tc>
                <w:tcPr>
                  <w:tcW w:w="853" w:type="pct"/>
                  <w:vAlign w:val="center"/>
                </w:tcPr>
                <w:p>
                  <w:pPr>
                    <w:adjustRightInd w:val="0"/>
                    <w:snapToGrid w:val="0"/>
                    <w:jc w:val="center"/>
                    <w:rPr>
                      <w:b/>
                      <w:color w:val="auto"/>
                    </w:rPr>
                  </w:pPr>
                  <w:r>
                    <w:rPr>
                      <w:b/>
                      <w:color w:val="auto"/>
                    </w:rPr>
                    <w:t>废物代码</w:t>
                  </w:r>
                </w:p>
              </w:tc>
              <w:tc>
                <w:tcPr>
                  <w:tcW w:w="471" w:type="pct"/>
                  <w:vAlign w:val="center"/>
                </w:tcPr>
                <w:p>
                  <w:pPr>
                    <w:adjustRightInd w:val="0"/>
                    <w:snapToGrid w:val="0"/>
                    <w:jc w:val="center"/>
                    <w:rPr>
                      <w:b/>
                      <w:color w:val="auto"/>
                    </w:rPr>
                  </w:pPr>
                  <w:r>
                    <w:rPr>
                      <w:b/>
                      <w:color w:val="auto"/>
                    </w:rPr>
                    <w:t>位置</w:t>
                  </w:r>
                </w:p>
              </w:tc>
              <w:tc>
                <w:tcPr>
                  <w:tcW w:w="555" w:type="pct"/>
                  <w:vAlign w:val="center"/>
                </w:tcPr>
                <w:p>
                  <w:pPr>
                    <w:adjustRightInd w:val="0"/>
                    <w:snapToGrid w:val="0"/>
                    <w:jc w:val="center"/>
                    <w:rPr>
                      <w:b/>
                      <w:color w:val="auto"/>
                    </w:rPr>
                  </w:pPr>
                  <w:r>
                    <w:rPr>
                      <w:b/>
                      <w:color w:val="auto"/>
                    </w:rPr>
                    <w:t>占地面积</w:t>
                  </w:r>
                </w:p>
              </w:tc>
              <w:tc>
                <w:tcPr>
                  <w:tcW w:w="640" w:type="pct"/>
                  <w:vAlign w:val="center"/>
                </w:tcPr>
                <w:p>
                  <w:pPr>
                    <w:adjustRightInd w:val="0"/>
                    <w:snapToGrid w:val="0"/>
                    <w:jc w:val="center"/>
                    <w:rPr>
                      <w:b/>
                      <w:color w:val="auto"/>
                    </w:rPr>
                  </w:pPr>
                  <w:r>
                    <w:rPr>
                      <w:b/>
                      <w:color w:val="auto"/>
                    </w:rPr>
                    <w:t>贮存方式</w:t>
                  </w:r>
                </w:p>
              </w:tc>
              <w:tc>
                <w:tcPr>
                  <w:tcW w:w="542" w:type="pct"/>
                  <w:vAlign w:val="center"/>
                </w:tcPr>
                <w:p>
                  <w:pPr>
                    <w:adjustRightInd w:val="0"/>
                    <w:snapToGrid w:val="0"/>
                    <w:jc w:val="center"/>
                    <w:rPr>
                      <w:b/>
                      <w:color w:val="auto"/>
                    </w:rPr>
                  </w:pPr>
                  <w:r>
                    <w:rPr>
                      <w:b/>
                      <w:color w:val="auto"/>
                    </w:rPr>
                    <w:t>贮存能力</w:t>
                  </w:r>
                </w:p>
              </w:tc>
              <w:tc>
                <w:tcPr>
                  <w:tcW w:w="531" w:type="pct"/>
                  <w:vAlign w:val="center"/>
                </w:tcPr>
                <w:p>
                  <w:pPr>
                    <w:adjustRightInd w:val="0"/>
                    <w:snapToGrid w:val="0"/>
                    <w:jc w:val="center"/>
                    <w:rPr>
                      <w:b/>
                      <w:color w:val="auto"/>
                    </w:rPr>
                  </w:pPr>
                  <w:r>
                    <w:rPr>
                      <w:b/>
                      <w:color w:val="auto"/>
                    </w:rPr>
                    <w:t>贮存周期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jc w:val="center"/>
              </w:trPr>
              <w:tc>
                <w:tcPr>
                  <w:tcW w:w="672" w:type="pct"/>
                  <w:vAlign w:val="center"/>
                </w:tcPr>
                <w:p>
                  <w:pPr>
                    <w:adjustRightInd w:val="0"/>
                    <w:snapToGrid w:val="0"/>
                    <w:jc w:val="center"/>
                    <w:textAlignment w:val="baseline"/>
                    <w:rPr>
                      <w:color w:val="auto"/>
                    </w:rPr>
                  </w:pPr>
                  <w:r>
                    <w:rPr>
                      <w:color w:val="auto"/>
                    </w:rPr>
                    <w:t>废活性炭</w:t>
                  </w:r>
                </w:p>
              </w:tc>
              <w:tc>
                <w:tcPr>
                  <w:tcW w:w="732" w:type="pct"/>
                  <w:vAlign w:val="center"/>
                </w:tcPr>
                <w:p>
                  <w:pPr>
                    <w:autoSpaceDE w:val="0"/>
                    <w:autoSpaceDN w:val="0"/>
                    <w:adjustRightInd w:val="0"/>
                    <w:snapToGrid w:val="0"/>
                    <w:jc w:val="center"/>
                    <w:rPr>
                      <w:color w:val="auto"/>
                    </w:rPr>
                  </w:pPr>
                  <w:r>
                    <w:rPr>
                      <w:color w:val="auto"/>
                    </w:rPr>
                    <w:t>HW49其他废物</w:t>
                  </w:r>
                </w:p>
              </w:tc>
              <w:tc>
                <w:tcPr>
                  <w:tcW w:w="853" w:type="pct"/>
                  <w:vAlign w:val="center"/>
                </w:tcPr>
                <w:p>
                  <w:pPr>
                    <w:adjustRightInd w:val="0"/>
                    <w:snapToGrid w:val="0"/>
                    <w:jc w:val="center"/>
                    <w:rPr>
                      <w:color w:val="auto"/>
                    </w:rPr>
                  </w:pPr>
                  <w:r>
                    <w:rPr>
                      <w:color w:val="auto"/>
                    </w:rPr>
                    <w:t>900-039-49</w:t>
                  </w:r>
                </w:p>
              </w:tc>
              <w:tc>
                <w:tcPr>
                  <w:tcW w:w="471" w:type="pct"/>
                  <w:vMerge w:val="restart"/>
                  <w:vAlign w:val="center"/>
                </w:tcPr>
                <w:p>
                  <w:pPr>
                    <w:adjustRightInd w:val="0"/>
                    <w:snapToGrid w:val="0"/>
                    <w:jc w:val="center"/>
                    <w:rPr>
                      <w:bCs/>
                      <w:color w:val="auto"/>
                    </w:rPr>
                  </w:pPr>
                  <w:r>
                    <w:rPr>
                      <w:rFonts w:hint="eastAsia"/>
                      <w:bCs/>
                      <w:color w:val="auto"/>
                    </w:rPr>
                    <w:t>4#厂房一楼</w:t>
                  </w:r>
                </w:p>
              </w:tc>
              <w:tc>
                <w:tcPr>
                  <w:tcW w:w="555" w:type="pct"/>
                  <w:vAlign w:val="center"/>
                </w:tcPr>
                <w:p>
                  <w:pPr>
                    <w:adjustRightInd w:val="0"/>
                    <w:snapToGrid w:val="0"/>
                    <w:jc w:val="center"/>
                    <w:rPr>
                      <w:color w:val="auto"/>
                    </w:rPr>
                  </w:pPr>
                  <w:r>
                    <w:rPr>
                      <w:color w:val="auto"/>
                    </w:rPr>
                    <w:t>30m</w:t>
                  </w:r>
                  <w:r>
                    <w:rPr>
                      <w:color w:val="auto"/>
                      <w:vertAlign w:val="superscript"/>
                    </w:rPr>
                    <w:t>3</w:t>
                  </w:r>
                </w:p>
              </w:tc>
              <w:tc>
                <w:tcPr>
                  <w:tcW w:w="640" w:type="pct"/>
                  <w:vAlign w:val="center"/>
                </w:tcPr>
                <w:p>
                  <w:pPr>
                    <w:adjustRightInd w:val="0"/>
                    <w:snapToGrid w:val="0"/>
                    <w:jc w:val="center"/>
                    <w:rPr>
                      <w:color w:val="auto"/>
                    </w:rPr>
                  </w:pPr>
                  <w:r>
                    <w:rPr>
                      <w:rFonts w:hint="eastAsia"/>
                      <w:color w:val="auto"/>
                    </w:rPr>
                    <w:t>袋</w:t>
                  </w:r>
                  <w:r>
                    <w:rPr>
                      <w:color w:val="auto"/>
                    </w:rPr>
                    <w:t>装</w:t>
                  </w:r>
                </w:p>
              </w:tc>
              <w:tc>
                <w:tcPr>
                  <w:tcW w:w="542" w:type="pct"/>
                  <w:vAlign w:val="center"/>
                </w:tcPr>
                <w:p>
                  <w:pPr>
                    <w:adjustRightInd w:val="0"/>
                    <w:snapToGrid w:val="0"/>
                    <w:jc w:val="center"/>
                    <w:rPr>
                      <w:color w:val="auto"/>
                    </w:rPr>
                  </w:pPr>
                  <w:r>
                    <w:rPr>
                      <w:rFonts w:hint="eastAsia"/>
                      <w:color w:val="auto"/>
                    </w:rPr>
                    <w:t>10t</w:t>
                  </w:r>
                </w:p>
              </w:tc>
              <w:tc>
                <w:tcPr>
                  <w:tcW w:w="531" w:type="pct"/>
                  <w:vAlign w:val="center"/>
                </w:tcPr>
                <w:p>
                  <w:pPr>
                    <w:adjustRightInd w:val="0"/>
                    <w:snapToGrid w:val="0"/>
                    <w:jc w:val="center"/>
                    <w:rPr>
                      <w:color w:val="auto"/>
                    </w:rPr>
                  </w:pPr>
                </w:p>
                <w:p>
                  <w:pPr>
                    <w:adjustRightInd w:val="0"/>
                    <w:snapToGrid w:val="0"/>
                    <w:jc w:val="center"/>
                    <w:rPr>
                      <w:color w:val="auto"/>
                    </w:rPr>
                  </w:pPr>
                  <w:r>
                    <w:rPr>
                      <w:color w:val="auto"/>
                    </w:rPr>
                    <w:t>6个月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jc w:val="center"/>
              </w:trPr>
              <w:tc>
                <w:tcPr>
                  <w:tcW w:w="672" w:type="pct"/>
                  <w:vAlign w:val="center"/>
                </w:tcPr>
                <w:p>
                  <w:pPr>
                    <w:adjustRightInd w:val="0"/>
                    <w:snapToGrid w:val="0"/>
                    <w:jc w:val="center"/>
                    <w:textAlignment w:val="baseline"/>
                    <w:rPr>
                      <w:color w:val="auto"/>
                    </w:rPr>
                  </w:pPr>
                  <w:r>
                    <w:rPr>
                      <w:color w:val="auto"/>
                    </w:rPr>
                    <w:t>废机油</w:t>
                  </w:r>
                </w:p>
              </w:tc>
              <w:tc>
                <w:tcPr>
                  <w:tcW w:w="732" w:type="pct"/>
                  <w:vAlign w:val="center"/>
                </w:tcPr>
                <w:p>
                  <w:pPr>
                    <w:autoSpaceDE w:val="0"/>
                    <w:autoSpaceDN w:val="0"/>
                    <w:adjustRightInd w:val="0"/>
                    <w:snapToGrid w:val="0"/>
                    <w:jc w:val="center"/>
                    <w:rPr>
                      <w:color w:val="auto"/>
                    </w:rPr>
                  </w:pPr>
                  <w:r>
                    <w:rPr>
                      <w:color w:val="auto"/>
                    </w:rPr>
                    <w:t>HW08废矿物油与含矿物油废物</w:t>
                  </w:r>
                </w:p>
              </w:tc>
              <w:tc>
                <w:tcPr>
                  <w:tcW w:w="853" w:type="pct"/>
                  <w:vAlign w:val="center"/>
                </w:tcPr>
                <w:p>
                  <w:pPr>
                    <w:adjustRightInd w:val="0"/>
                    <w:snapToGrid w:val="0"/>
                    <w:jc w:val="center"/>
                    <w:rPr>
                      <w:color w:val="auto"/>
                    </w:rPr>
                  </w:pPr>
                  <w:r>
                    <w:rPr>
                      <w:color w:val="auto"/>
                    </w:rPr>
                    <w:t>900-249-08</w:t>
                  </w:r>
                </w:p>
              </w:tc>
              <w:tc>
                <w:tcPr>
                  <w:tcW w:w="471" w:type="pct"/>
                  <w:vMerge w:val="continue"/>
                  <w:vAlign w:val="center"/>
                </w:tcPr>
                <w:p>
                  <w:pPr>
                    <w:adjustRightInd w:val="0"/>
                    <w:snapToGrid w:val="0"/>
                    <w:jc w:val="center"/>
                    <w:rPr>
                      <w:bCs/>
                      <w:color w:val="auto"/>
                    </w:rPr>
                  </w:pPr>
                </w:p>
              </w:tc>
              <w:tc>
                <w:tcPr>
                  <w:tcW w:w="555" w:type="pct"/>
                  <w:vAlign w:val="center"/>
                </w:tcPr>
                <w:p>
                  <w:pPr>
                    <w:adjustRightInd w:val="0"/>
                    <w:snapToGrid w:val="0"/>
                    <w:jc w:val="center"/>
                    <w:rPr>
                      <w:color w:val="auto"/>
                    </w:rPr>
                  </w:pPr>
                  <w:r>
                    <w:rPr>
                      <w:color w:val="auto"/>
                    </w:rPr>
                    <w:t>30m</w:t>
                  </w:r>
                  <w:r>
                    <w:rPr>
                      <w:color w:val="auto"/>
                      <w:vertAlign w:val="superscript"/>
                    </w:rPr>
                    <w:t>3</w:t>
                  </w:r>
                </w:p>
              </w:tc>
              <w:tc>
                <w:tcPr>
                  <w:tcW w:w="640" w:type="pct"/>
                  <w:vAlign w:val="center"/>
                </w:tcPr>
                <w:p>
                  <w:pPr>
                    <w:adjustRightInd w:val="0"/>
                    <w:snapToGrid w:val="0"/>
                    <w:jc w:val="center"/>
                    <w:rPr>
                      <w:color w:val="auto"/>
                    </w:rPr>
                  </w:pPr>
                  <w:r>
                    <w:rPr>
                      <w:color w:val="auto"/>
                    </w:rPr>
                    <w:t>桶装</w:t>
                  </w:r>
                </w:p>
              </w:tc>
              <w:tc>
                <w:tcPr>
                  <w:tcW w:w="542" w:type="pct"/>
                  <w:vAlign w:val="center"/>
                </w:tcPr>
                <w:p>
                  <w:pPr>
                    <w:adjustRightInd w:val="0"/>
                    <w:snapToGrid w:val="0"/>
                    <w:jc w:val="center"/>
                    <w:rPr>
                      <w:color w:val="auto"/>
                    </w:rPr>
                  </w:pPr>
                  <w:r>
                    <w:rPr>
                      <w:rFonts w:hint="eastAsia"/>
                      <w:color w:val="auto"/>
                    </w:rPr>
                    <w:t>0.5</w:t>
                  </w:r>
                  <w:r>
                    <w:rPr>
                      <w:color w:val="auto"/>
                    </w:rPr>
                    <w:t>t</w:t>
                  </w:r>
                </w:p>
              </w:tc>
              <w:tc>
                <w:tcPr>
                  <w:tcW w:w="531" w:type="pct"/>
                  <w:vAlign w:val="center"/>
                </w:tcPr>
                <w:p>
                  <w:pPr>
                    <w:adjustRightInd w:val="0"/>
                    <w:snapToGrid w:val="0"/>
                    <w:jc w:val="center"/>
                    <w:rPr>
                      <w:color w:val="auto"/>
                    </w:rPr>
                  </w:pPr>
                  <w:r>
                    <w:rPr>
                      <w:color w:val="auto"/>
                    </w:rPr>
                    <w:t>6个月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jc w:val="center"/>
              </w:trPr>
              <w:tc>
                <w:tcPr>
                  <w:tcW w:w="672" w:type="pct"/>
                  <w:vAlign w:val="center"/>
                </w:tcPr>
                <w:p>
                  <w:pPr>
                    <w:adjustRightInd w:val="0"/>
                    <w:snapToGrid w:val="0"/>
                    <w:jc w:val="center"/>
                    <w:textAlignment w:val="baseline"/>
                    <w:rPr>
                      <w:color w:val="auto"/>
                    </w:rPr>
                  </w:pPr>
                  <w:r>
                    <w:rPr>
                      <w:color w:val="auto"/>
                    </w:rPr>
                    <w:t>废机油</w:t>
                  </w:r>
                  <w:r>
                    <w:rPr>
                      <w:rFonts w:hint="eastAsia"/>
                      <w:color w:val="auto"/>
                    </w:rPr>
                    <w:t>桶</w:t>
                  </w:r>
                </w:p>
              </w:tc>
              <w:tc>
                <w:tcPr>
                  <w:tcW w:w="1360" w:type="dxa"/>
                  <w:vAlign w:val="center"/>
                </w:tcPr>
                <w:p>
                  <w:pPr>
                    <w:autoSpaceDE w:val="0"/>
                    <w:autoSpaceDN w:val="0"/>
                    <w:adjustRightInd w:val="0"/>
                    <w:snapToGrid w:val="0"/>
                    <w:jc w:val="center"/>
                    <w:rPr>
                      <w:color w:val="auto"/>
                    </w:rPr>
                  </w:pPr>
                  <w:r>
                    <w:rPr>
                      <w:bCs/>
                      <w:color w:val="auto"/>
                      <w:szCs w:val="21"/>
                    </w:rPr>
                    <w:t>HW49</w:t>
                  </w:r>
                  <w:r>
                    <w:rPr>
                      <w:rFonts w:hint="eastAsia"/>
                      <w:bCs/>
                      <w:color w:val="auto"/>
                      <w:szCs w:val="21"/>
                    </w:rPr>
                    <w:t>其他废物</w:t>
                  </w:r>
                </w:p>
              </w:tc>
              <w:tc>
                <w:tcPr>
                  <w:tcW w:w="1585" w:type="dxa"/>
                  <w:vAlign w:val="center"/>
                </w:tcPr>
                <w:p>
                  <w:pPr>
                    <w:adjustRightInd w:val="0"/>
                    <w:snapToGrid w:val="0"/>
                    <w:jc w:val="center"/>
                    <w:rPr>
                      <w:color w:val="auto"/>
                    </w:rPr>
                  </w:pPr>
                  <w:r>
                    <w:rPr>
                      <w:bCs/>
                      <w:color w:val="auto"/>
                      <w:szCs w:val="21"/>
                    </w:rPr>
                    <w:t>900-041-49</w:t>
                  </w:r>
                </w:p>
              </w:tc>
              <w:tc>
                <w:tcPr>
                  <w:tcW w:w="471" w:type="pct"/>
                  <w:vMerge w:val="continue"/>
                  <w:vAlign w:val="center"/>
                </w:tcPr>
                <w:p>
                  <w:pPr>
                    <w:adjustRightInd w:val="0"/>
                    <w:snapToGrid w:val="0"/>
                    <w:jc w:val="center"/>
                    <w:rPr>
                      <w:bCs/>
                      <w:color w:val="auto"/>
                    </w:rPr>
                  </w:pPr>
                </w:p>
              </w:tc>
              <w:tc>
                <w:tcPr>
                  <w:tcW w:w="555" w:type="pct"/>
                  <w:vAlign w:val="center"/>
                </w:tcPr>
                <w:p>
                  <w:pPr>
                    <w:adjustRightInd w:val="0"/>
                    <w:snapToGrid w:val="0"/>
                    <w:jc w:val="center"/>
                    <w:rPr>
                      <w:color w:val="auto"/>
                    </w:rPr>
                  </w:pPr>
                  <w:r>
                    <w:rPr>
                      <w:color w:val="auto"/>
                    </w:rPr>
                    <w:t>30m</w:t>
                  </w:r>
                  <w:r>
                    <w:rPr>
                      <w:color w:val="auto"/>
                      <w:vertAlign w:val="superscript"/>
                    </w:rPr>
                    <w:t>3</w:t>
                  </w:r>
                </w:p>
              </w:tc>
              <w:tc>
                <w:tcPr>
                  <w:tcW w:w="640" w:type="pct"/>
                  <w:vAlign w:val="center"/>
                </w:tcPr>
                <w:p>
                  <w:pPr>
                    <w:adjustRightInd w:val="0"/>
                    <w:snapToGrid w:val="0"/>
                    <w:jc w:val="center"/>
                    <w:rPr>
                      <w:color w:val="auto"/>
                    </w:rPr>
                  </w:pPr>
                  <w:r>
                    <w:rPr>
                      <w:color w:val="auto"/>
                    </w:rPr>
                    <w:t>桶装</w:t>
                  </w:r>
                </w:p>
              </w:tc>
              <w:tc>
                <w:tcPr>
                  <w:tcW w:w="542" w:type="pct"/>
                  <w:vAlign w:val="center"/>
                </w:tcPr>
                <w:p>
                  <w:pPr>
                    <w:adjustRightInd w:val="0"/>
                    <w:snapToGrid w:val="0"/>
                    <w:jc w:val="center"/>
                    <w:rPr>
                      <w:color w:val="auto"/>
                    </w:rPr>
                  </w:pPr>
                  <w:r>
                    <w:rPr>
                      <w:rFonts w:hint="eastAsia"/>
                      <w:color w:val="auto"/>
                    </w:rPr>
                    <w:t>0.5</w:t>
                  </w:r>
                  <w:r>
                    <w:rPr>
                      <w:color w:val="auto"/>
                    </w:rPr>
                    <w:t>t</w:t>
                  </w:r>
                </w:p>
              </w:tc>
              <w:tc>
                <w:tcPr>
                  <w:tcW w:w="531" w:type="pct"/>
                  <w:vAlign w:val="center"/>
                </w:tcPr>
                <w:p>
                  <w:pPr>
                    <w:adjustRightInd w:val="0"/>
                    <w:snapToGrid w:val="0"/>
                    <w:jc w:val="center"/>
                    <w:rPr>
                      <w:color w:val="auto"/>
                    </w:rPr>
                  </w:pPr>
                  <w:r>
                    <w:rPr>
                      <w:color w:val="auto"/>
                    </w:rPr>
                    <w:t>6个月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jc w:val="center"/>
              </w:trPr>
              <w:tc>
                <w:tcPr>
                  <w:tcW w:w="672" w:type="pct"/>
                  <w:vAlign w:val="center"/>
                </w:tcPr>
                <w:p>
                  <w:pPr>
                    <w:widowControl/>
                    <w:jc w:val="center"/>
                    <w:textAlignment w:val="center"/>
                    <w:rPr>
                      <w:bCs/>
                      <w:color w:val="auto"/>
                      <w:lang w:bidi="en-US"/>
                    </w:rPr>
                  </w:pPr>
                  <w:r>
                    <w:rPr>
                      <w:bCs/>
                      <w:color w:val="auto"/>
                      <w:lang w:bidi="en-US"/>
                    </w:rPr>
                    <w:t>废抹布和废手套</w:t>
                  </w:r>
                </w:p>
              </w:tc>
              <w:tc>
                <w:tcPr>
                  <w:tcW w:w="732" w:type="pct"/>
                  <w:vAlign w:val="center"/>
                </w:tcPr>
                <w:p>
                  <w:pPr>
                    <w:autoSpaceDE w:val="0"/>
                    <w:autoSpaceDN w:val="0"/>
                    <w:adjustRightInd w:val="0"/>
                    <w:snapToGrid w:val="0"/>
                    <w:jc w:val="center"/>
                    <w:rPr>
                      <w:color w:val="auto"/>
                    </w:rPr>
                  </w:pPr>
                  <w:r>
                    <w:rPr>
                      <w:color w:val="auto"/>
                    </w:rPr>
                    <w:t>HW49其他废物</w:t>
                  </w:r>
                </w:p>
              </w:tc>
              <w:tc>
                <w:tcPr>
                  <w:tcW w:w="853" w:type="pct"/>
                  <w:vAlign w:val="center"/>
                </w:tcPr>
                <w:p>
                  <w:pPr>
                    <w:adjustRightInd w:val="0"/>
                    <w:snapToGrid w:val="0"/>
                    <w:jc w:val="center"/>
                    <w:rPr>
                      <w:color w:val="auto"/>
                    </w:rPr>
                  </w:pPr>
                  <w:r>
                    <w:rPr>
                      <w:color w:val="auto"/>
                    </w:rPr>
                    <w:t>900-041-49</w:t>
                  </w:r>
                </w:p>
              </w:tc>
              <w:tc>
                <w:tcPr>
                  <w:tcW w:w="471" w:type="pct"/>
                  <w:vMerge w:val="continue"/>
                  <w:vAlign w:val="center"/>
                </w:tcPr>
                <w:p>
                  <w:pPr>
                    <w:adjustRightInd w:val="0"/>
                    <w:snapToGrid w:val="0"/>
                    <w:jc w:val="center"/>
                    <w:rPr>
                      <w:bCs/>
                      <w:color w:val="auto"/>
                    </w:rPr>
                  </w:pPr>
                </w:p>
              </w:tc>
              <w:tc>
                <w:tcPr>
                  <w:tcW w:w="555" w:type="pct"/>
                  <w:vAlign w:val="center"/>
                </w:tcPr>
                <w:p>
                  <w:pPr>
                    <w:adjustRightInd w:val="0"/>
                    <w:snapToGrid w:val="0"/>
                    <w:jc w:val="center"/>
                    <w:rPr>
                      <w:color w:val="auto"/>
                    </w:rPr>
                  </w:pPr>
                  <w:r>
                    <w:rPr>
                      <w:color w:val="auto"/>
                    </w:rPr>
                    <w:t>30m</w:t>
                  </w:r>
                  <w:r>
                    <w:rPr>
                      <w:color w:val="auto"/>
                      <w:vertAlign w:val="superscript"/>
                    </w:rPr>
                    <w:t>3</w:t>
                  </w:r>
                </w:p>
              </w:tc>
              <w:tc>
                <w:tcPr>
                  <w:tcW w:w="640" w:type="pct"/>
                  <w:vAlign w:val="center"/>
                </w:tcPr>
                <w:p>
                  <w:pPr>
                    <w:adjustRightInd w:val="0"/>
                    <w:snapToGrid w:val="0"/>
                    <w:jc w:val="center"/>
                    <w:rPr>
                      <w:color w:val="auto"/>
                    </w:rPr>
                  </w:pPr>
                  <w:r>
                    <w:rPr>
                      <w:color w:val="auto"/>
                    </w:rPr>
                    <w:t>桶装</w:t>
                  </w:r>
                </w:p>
              </w:tc>
              <w:tc>
                <w:tcPr>
                  <w:tcW w:w="542" w:type="pct"/>
                  <w:vAlign w:val="center"/>
                </w:tcPr>
                <w:p>
                  <w:pPr>
                    <w:adjustRightInd w:val="0"/>
                    <w:snapToGrid w:val="0"/>
                    <w:jc w:val="center"/>
                    <w:rPr>
                      <w:color w:val="auto"/>
                    </w:rPr>
                  </w:pPr>
                  <w:r>
                    <w:rPr>
                      <w:color w:val="auto"/>
                    </w:rPr>
                    <w:t>0.</w:t>
                  </w:r>
                  <w:r>
                    <w:rPr>
                      <w:rFonts w:hint="eastAsia"/>
                      <w:color w:val="auto"/>
                    </w:rPr>
                    <w:t>25</w:t>
                  </w:r>
                  <w:r>
                    <w:rPr>
                      <w:color w:val="auto"/>
                    </w:rPr>
                    <w:t>t</w:t>
                  </w:r>
                </w:p>
              </w:tc>
              <w:tc>
                <w:tcPr>
                  <w:tcW w:w="531" w:type="pct"/>
                  <w:vAlign w:val="center"/>
                </w:tcPr>
                <w:p>
                  <w:pPr>
                    <w:adjustRightInd w:val="0"/>
                    <w:snapToGrid w:val="0"/>
                    <w:jc w:val="center"/>
                    <w:rPr>
                      <w:color w:val="auto"/>
                    </w:rPr>
                  </w:pPr>
                  <w:r>
                    <w:rPr>
                      <w:color w:val="auto"/>
                    </w:rPr>
                    <w:t>6个月</w:t>
                  </w:r>
                </w:p>
              </w:tc>
            </w:tr>
          </w:tbl>
          <w:p>
            <w:pPr>
              <w:adjustRightInd w:val="0"/>
              <w:snapToGrid w:val="0"/>
              <w:spacing w:before="120" w:beforeLines="50" w:line="360" w:lineRule="auto"/>
              <w:ind w:right="57" w:rightChars="27" w:firstLine="422" w:firstLineChars="200"/>
              <w:rPr>
                <w:b/>
                <w:color w:val="auto"/>
              </w:rPr>
            </w:pPr>
            <w:r>
              <w:rPr>
                <w:b/>
                <w:color w:val="auto"/>
              </w:rPr>
              <w:t>五、地下水及土壤环境</w:t>
            </w:r>
          </w:p>
          <w:p>
            <w:pPr>
              <w:adjustRightInd w:val="0"/>
              <w:snapToGrid w:val="0"/>
              <w:spacing w:line="360" w:lineRule="auto"/>
              <w:ind w:right="57" w:rightChars="27" w:firstLine="465"/>
              <w:rPr>
                <w:rFonts w:hint="eastAsia" w:eastAsia="宋体"/>
                <w:color w:val="auto"/>
                <w:lang w:eastAsia="zh-CN"/>
              </w:rPr>
            </w:pPr>
            <w:r>
              <w:rPr>
                <w:color w:val="auto"/>
              </w:rPr>
              <w:t>本项目产生的大气污染物为非甲烷总烃和颗粒物，不属于《土壤环境质量建设用地土壤污染风险管控标准（试行）》（GB36600-2018）文件所述的土壤污染物质，因此，项目排放的大气污染物没有土壤环境影响因子。项目位于博罗县</w:t>
            </w:r>
            <w:r>
              <w:rPr>
                <w:rFonts w:hint="eastAsia"/>
                <w:color w:val="auto"/>
              </w:rPr>
              <w:t>杨侨镇大坑办事处桔子路武高段（土名）</w:t>
            </w:r>
            <w:r>
              <w:rPr>
                <w:color w:val="auto"/>
              </w:rPr>
              <w:t>，</w:t>
            </w:r>
            <w:r>
              <w:rPr>
                <w:rStyle w:val="104"/>
                <w:rFonts w:hint="eastAsia"/>
                <w:color w:val="auto"/>
              </w:rPr>
              <w:t>项目建成后场地进行了硬底化处理</w:t>
            </w:r>
            <w:r>
              <w:rPr>
                <w:color w:val="auto"/>
              </w:rPr>
              <w:t>，不与土壤直接接触，对土壤不存在地面漫流、垂直入渗的污染途径。</w:t>
            </w:r>
          </w:p>
          <w:p>
            <w:pPr>
              <w:adjustRightInd w:val="0"/>
              <w:snapToGrid w:val="0"/>
              <w:spacing w:line="360" w:lineRule="auto"/>
              <w:ind w:right="57" w:rightChars="27" w:firstLine="465"/>
              <w:rPr>
                <w:rStyle w:val="104"/>
                <w:color w:val="auto"/>
              </w:rPr>
            </w:pPr>
            <w:r>
              <w:rPr>
                <w:color w:val="auto"/>
              </w:rPr>
              <w:t>项目对地下水的影响主要来源于生活污水排放过程中下渗对地下水的影响。本项目用水来自市政供水，不取用地下水，不会造成水位下降。生活污水经</w:t>
            </w:r>
            <w:r>
              <w:rPr>
                <w:rFonts w:hint="eastAsia"/>
                <w:color w:val="auto"/>
              </w:rPr>
              <w:t>隔油隔渣池、</w:t>
            </w:r>
            <w:r>
              <w:rPr>
                <w:color w:val="auto"/>
              </w:rPr>
              <w:t>三级化粪池预处理排入市政管网，项目禁止采样渗井、渗坑等方式排放，不会因废水排放引起地下水水位、水量变化。本项目不存在地下水污染途径。</w:t>
            </w:r>
          </w:p>
          <w:p>
            <w:pPr>
              <w:adjustRightInd w:val="0"/>
              <w:snapToGrid w:val="0"/>
              <w:spacing w:line="360" w:lineRule="auto"/>
              <w:ind w:right="57" w:rightChars="27" w:firstLine="465"/>
              <w:rPr>
                <w:color w:val="auto"/>
              </w:rPr>
            </w:pPr>
            <w:r>
              <w:rPr>
                <w:rFonts w:hint="eastAsia"/>
                <w:color w:val="auto"/>
              </w:rPr>
              <w:t>为进一步防止地下水、土壤污染，根据生产装置的性质和防渗要求，以及拟采取的防渗处理方案，将厂区防渗措施分为三个级别，并对应三个防治区，即非污染防治区、一般污染防治区、重点污染防治区三类污染防治区，重点污染防治区为危废暂存间，一般污染防治区为生产车间，非污染防治区为办公室。重点污染防治区基础防渗层采用加铺防渗土工膜或者采用防渗混凝土硬化等强化防渗措施，防渗等级可达到相当于厚度6.0m、渗透系数10</w:t>
            </w:r>
            <w:r>
              <w:rPr>
                <w:rFonts w:hint="eastAsia"/>
                <w:color w:val="auto"/>
                <w:vertAlign w:val="superscript"/>
              </w:rPr>
              <w:t>-7</w:t>
            </w:r>
            <w:r>
              <w:rPr>
                <w:rFonts w:hint="eastAsia"/>
                <w:color w:val="auto"/>
              </w:rPr>
              <w:t>cm/s的粘土的防渗性能。一般防渗区采取防渗等级可达到相当于厚度1.5m、渗透系数10</w:t>
            </w:r>
            <w:r>
              <w:rPr>
                <w:rFonts w:hint="eastAsia"/>
                <w:color w:val="auto"/>
                <w:vertAlign w:val="superscript"/>
              </w:rPr>
              <w:t>-7</w:t>
            </w:r>
            <w:r>
              <w:rPr>
                <w:rFonts w:hint="eastAsia"/>
                <w:color w:val="auto"/>
              </w:rPr>
              <w:t>cm/s的粘土的防渗性能的措施。</w:t>
            </w:r>
          </w:p>
          <w:p>
            <w:pPr>
              <w:adjustRightInd w:val="0"/>
              <w:snapToGrid w:val="0"/>
              <w:spacing w:line="360" w:lineRule="auto"/>
              <w:ind w:right="57" w:rightChars="27" w:firstLine="465"/>
              <w:rPr>
                <w:color w:val="auto"/>
              </w:rPr>
            </w:pPr>
            <w:r>
              <w:rPr>
                <w:color w:val="auto"/>
              </w:rPr>
              <w:t>项目不存在地下水污染和土壤污染。厂区内应进行硬底化处理，按要求做好防渗措施；生产车间按一般防渗区要求采取防渗措施。在厂区做好相关防范措施的前提下，本项目建成后对周边土壤、地下水的影响较小。</w:t>
            </w:r>
          </w:p>
          <w:p>
            <w:pPr>
              <w:adjustRightInd w:val="0"/>
              <w:snapToGrid w:val="0"/>
              <w:spacing w:line="360" w:lineRule="auto"/>
              <w:ind w:right="57" w:rightChars="27" w:firstLine="422" w:firstLineChars="200"/>
              <w:rPr>
                <w:b/>
                <w:color w:val="auto"/>
              </w:rPr>
            </w:pPr>
            <w:r>
              <w:rPr>
                <w:b/>
                <w:color w:val="auto"/>
              </w:rPr>
              <w:t>六、环境风险</w:t>
            </w:r>
          </w:p>
          <w:p>
            <w:pPr>
              <w:widowControl/>
              <w:spacing w:line="360" w:lineRule="auto"/>
              <w:ind w:firstLine="420" w:firstLineChars="200"/>
              <w:rPr>
                <w:color w:val="auto"/>
              </w:rPr>
            </w:pPr>
            <w:r>
              <w:rPr>
                <w:color w:val="auto"/>
              </w:rPr>
              <w:t>环境风险评价的目的是分析和预测建设项目存在的潜在危险、有害因素、建设项目建设和运行期间可能发生的突发性事件和事故，引起有毒有害和易燃易爆等物质泄漏，所造成的人身安全与环境影响和损害程度，提出合理可行的防范、应急与减缓措施，以使建设项目事故、损失和环境影响降低到可接受的水平。</w:t>
            </w:r>
          </w:p>
          <w:p>
            <w:pPr>
              <w:widowControl/>
              <w:spacing w:line="360" w:lineRule="auto"/>
              <w:ind w:firstLine="422" w:firstLineChars="200"/>
              <w:jc w:val="left"/>
              <w:rPr>
                <w:b/>
                <w:bCs/>
                <w:color w:val="auto"/>
              </w:rPr>
            </w:pPr>
            <w:r>
              <w:rPr>
                <w:b/>
                <w:bCs/>
                <w:color w:val="auto"/>
              </w:rPr>
              <w:t>（1）Q值计算</w:t>
            </w:r>
          </w:p>
          <w:p>
            <w:pPr>
              <w:widowControl/>
              <w:adjustRightInd w:val="0"/>
              <w:snapToGrid w:val="0"/>
              <w:spacing w:line="360" w:lineRule="auto"/>
              <w:ind w:firstLine="420" w:firstLineChars="200"/>
              <w:rPr>
                <w:color w:val="auto"/>
              </w:rPr>
            </w:pPr>
            <w:r>
              <w:rPr>
                <w:color w:val="auto"/>
              </w:rPr>
              <w:t>对照《建设项目环境风险评价技术导则》（HJ169-2018）附录B、《危险化学品重大危险源辨识》（GB18218-2018）的表1、2以及《企业突发环境事件风险分级方法》（HJ941-2018）附录A中物质危险性标准，项目生产过程中使用的</w:t>
            </w:r>
            <w:r>
              <w:rPr>
                <w:rFonts w:hint="eastAsia"/>
                <w:color w:val="auto"/>
              </w:rPr>
              <w:t>橡胶润滑油</w:t>
            </w:r>
            <w:r>
              <w:rPr>
                <w:color w:val="auto"/>
              </w:rPr>
              <w:t>属于矿物油类物质</w:t>
            </w:r>
            <w:r>
              <w:rPr>
                <w:rFonts w:hint="eastAsia"/>
                <w:color w:val="auto"/>
              </w:rPr>
              <w:t>，</w:t>
            </w:r>
            <w:r>
              <w:rPr>
                <w:color w:val="auto"/>
              </w:rPr>
              <w:t>属于《建设项目环境风险评价技术导则》（HJ169-2018）附录B中的风险物质，根据其最大储存量及临界量计算Q值。</w:t>
            </w:r>
          </w:p>
          <w:p>
            <w:pPr>
              <w:widowControl/>
              <w:tabs>
                <w:tab w:val="left" w:pos="0"/>
              </w:tabs>
              <w:adjustRightInd w:val="0"/>
              <w:snapToGrid w:val="0"/>
              <w:spacing w:line="360" w:lineRule="auto"/>
              <w:jc w:val="center"/>
              <w:rPr>
                <w:b/>
                <w:bCs/>
                <w:color w:val="auto"/>
              </w:rPr>
            </w:pPr>
            <w:r>
              <w:rPr>
                <w:b/>
                <w:bCs/>
                <w:color w:val="auto"/>
              </w:rPr>
              <w:t>表4-2</w:t>
            </w:r>
            <w:r>
              <w:rPr>
                <w:rFonts w:hint="eastAsia"/>
                <w:b/>
                <w:bCs/>
                <w:color w:val="auto"/>
              </w:rPr>
              <w:t>9</w:t>
            </w:r>
            <w:r>
              <w:rPr>
                <w:b/>
                <w:bCs/>
                <w:color w:val="auto"/>
              </w:rPr>
              <w:t xml:space="preserve"> 项目Q值计算</w:t>
            </w:r>
          </w:p>
          <w:tbl>
            <w:tblPr>
              <w:tblStyle w:val="9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64"/>
              <w:gridCol w:w="2404"/>
              <w:gridCol w:w="3064"/>
              <w:gridCol w:w="1646"/>
              <w:gridCol w:w="14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10" w:type="pct"/>
                  <w:vAlign w:val="center"/>
                </w:tcPr>
                <w:p>
                  <w:pPr>
                    <w:widowControl/>
                    <w:jc w:val="center"/>
                    <w:rPr>
                      <w:color w:val="auto"/>
                    </w:rPr>
                  </w:pPr>
                  <w:r>
                    <w:rPr>
                      <w:b/>
                      <w:bCs/>
                      <w:color w:val="auto"/>
                    </w:rPr>
                    <w:t>序号</w:t>
                  </w:r>
                </w:p>
              </w:tc>
              <w:tc>
                <w:tcPr>
                  <w:tcW w:w="1291" w:type="pct"/>
                  <w:vAlign w:val="center"/>
                </w:tcPr>
                <w:p>
                  <w:pPr>
                    <w:widowControl/>
                    <w:jc w:val="center"/>
                    <w:rPr>
                      <w:color w:val="auto"/>
                    </w:rPr>
                  </w:pPr>
                  <w:r>
                    <w:rPr>
                      <w:b/>
                      <w:bCs/>
                      <w:color w:val="auto"/>
                    </w:rPr>
                    <w:t>风险物质名称</w:t>
                  </w:r>
                </w:p>
              </w:tc>
              <w:tc>
                <w:tcPr>
                  <w:tcW w:w="1645" w:type="pct"/>
                  <w:vAlign w:val="center"/>
                </w:tcPr>
                <w:p>
                  <w:pPr>
                    <w:widowControl/>
                    <w:jc w:val="center"/>
                    <w:rPr>
                      <w:color w:val="auto"/>
                    </w:rPr>
                  </w:pPr>
                  <w:r>
                    <w:rPr>
                      <w:b/>
                      <w:bCs/>
                      <w:color w:val="auto"/>
                    </w:rPr>
                    <w:t>最大储存量q</w:t>
                  </w:r>
                  <w:r>
                    <w:rPr>
                      <w:b/>
                      <w:bCs/>
                      <w:color w:val="auto"/>
                      <w:vertAlign w:val="subscript"/>
                    </w:rPr>
                    <w:t>i</w:t>
                  </w:r>
                  <w:r>
                    <w:rPr>
                      <w:b/>
                      <w:bCs/>
                      <w:color w:val="auto"/>
                    </w:rPr>
                    <w:t>（t）</w:t>
                  </w:r>
                </w:p>
              </w:tc>
              <w:tc>
                <w:tcPr>
                  <w:tcW w:w="883" w:type="pct"/>
                  <w:vAlign w:val="center"/>
                </w:tcPr>
                <w:p>
                  <w:pPr>
                    <w:widowControl/>
                    <w:jc w:val="center"/>
                    <w:rPr>
                      <w:b/>
                      <w:bCs/>
                      <w:color w:val="auto"/>
                    </w:rPr>
                  </w:pPr>
                  <w:r>
                    <w:rPr>
                      <w:b/>
                      <w:bCs/>
                      <w:color w:val="auto"/>
                    </w:rPr>
                    <w:t>临界量（t）</w:t>
                  </w:r>
                </w:p>
              </w:tc>
              <w:tc>
                <w:tcPr>
                  <w:tcW w:w="769" w:type="pct"/>
                  <w:vAlign w:val="center"/>
                </w:tcPr>
                <w:p>
                  <w:pPr>
                    <w:widowControl/>
                    <w:jc w:val="center"/>
                    <w:rPr>
                      <w:color w:val="auto"/>
                    </w:rPr>
                  </w:pPr>
                  <w:r>
                    <w:rPr>
                      <w:b/>
                      <w:bCs/>
                      <w:color w:val="auto"/>
                    </w:rPr>
                    <w:t>q</w:t>
                  </w:r>
                  <w:r>
                    <w:rPr>
                      <w:b/>
                      <w:bCs/>
                      <w:color w:val="auto"/>
                      <w:vertAlign w:val="subscript"/>
                    </w:rPr>
                    <w:t>i</w:t>
                  </w:r>
                  <w:r>
                    <w:rPr>
                      <w:b/>
                      <w:bCs/>
                      <w:color w:val="auto"/>
                    </w:rPr>
                    <w:t>/Q</w:t>
                  </w:r>
                  <w:r>
                    <w:rPr>
                      <w:b/>
                      <w:bCs/>
                      <w:color w:val="auto"/>
                      <w:vertAlign w:val="subscript"/>
                    </w:rPr>
                    <w:t>i</w:t>
                  </w:r>
                  <w:r>
                    <w:rPr>
                      <w:b/>
                      <w:bCs/>
                      <w:color w:val="auto"/>
                    </w:rPr>
                    <w:t>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10" w:type="pct"/>
                  <w:vAlign w:val="center"/>
                </w:tcPr>
                <w:p>
                  <w:pPr>
                    <w:widowControl/>
                    <w:jc w:val="center"/>
                    <w:rPr>
                      <w:color w:val="auto"/>
                    </w:rPr>
                  </w:pPr>
                  <w:r>
                    <w:rPr>
                      <w:rFonts w:hint="eastAsia"/>
                      <w:color w:val="auto"/>
                    </w:rPr>
                    <w:t>1</w:t>
                  </w:r>
                </w:p>
              </w:tc>
              <w:tc>
                <w:tcPr>
                  <w:tcW w:w="1291" w:type="pct"/>
                  <w:vAlign w:val="center"/>
                </w:tcPr>
                <w:p>
                  <w:pPr>
                    <w:widowControl/>
                    <w:jc w:val="center"/>
                    <w:rPr>
                      <w:color w:val="auto"/>
                    </w:rPr>
                  </w:pPr>
                  <w:r>
                    <w:rPr>
                      <w:rFonts w:hint="eastAsia"/>
                      <w:color w:val="auto"/>
                      <w:lang w:val="en-US" w:eastAsia="zh-CN"/>
                    </w:rPr>
                    <w:t>橡胶润滑油（</w:t>
                  </w:r>
                  <w:r>
                    <w:rPr>
                      <w:rFonts w:hint="eastAsia"/>
                      <w:color w:val="auto"/>
                    </w:rPr>
                    <w:t>矿物油</w:t>
                  </w:r>
                  <w:r>
                    <w:rPr>
                      <w:rFonts w:hint="eastAsia"/>
                      <w:color w:val="auto"/>
                      <w:lang w:eastAsia="zh-CN"/>
                    </w:rPr>
                    <w:t>）</w:t>
                  </w:r>
                </w:p>
              </w:tc>
              <w:tc>
                <w:tcPr>
                  <w:tcW w:w="1645" w:type="pct"/>
                  <w:vAlign w:val="center"/>
                </w:tcPr>
                <w:p>
                  <w:pPr>
                    <w:widowControl/>
                    <w:jc w:val="center"/>
                    <w:rPr>
                      <w:color w:val="auto"/>
                    </w:rPr>
                  </w:pPr>
                  <w:r>
                    <w:rPr>
                      <w:rFonts w:hint="eastAsia"/>
                      <w:color w:val="auto"/>
                    </w:rPr>
                    <w:t>375</w:t>
                  </w:r>
                </w:p>
              </w:tc>
              <w:tc>
                <w:tcPr>
                  <w:tcW w:w="883" w:type="pct"/>
                  <w:vAlign w:val="center"/>
                </w:tcPr>
                <w:p>
                  <w:pPr>
                    <w:widowControl/>
                    <w:jc w:val="center"/>
                    <w:rPr>
                      <w:color w:val="auto"/>
                    </w:rPr>
                  </w:pPr>
                  <w:r>
                    <w:rPr>
                      <w:color w:val="auto"/>
                    </w:rPr>
                    <w:t>2500</w:t>
                  </w:r>
                </w:p>
              </w:tc>
              <w:tc>
                <w:tcPr>
                  <w:tcW w:w="769" w:type="pct"/>
                  <w:vAlign w:val="center"/>
                </w:tcPr>
                <w:p>
                  <w:pPr>
                    <w:snapToGrid w:val="0"/>
                    <w:jc w:val="center"/>
                    <w:rPr>
                      <w:color w:val="auto"/>
                    </w:rPr>
                  </w:pPr>
                  <w:r>
                    <w:rPr>
                      <w:color w:val="auto"/>
                    </w:rPr>
                    <w:t>0.</w:t>
                  </w:r>
                  <w:r>
                    <w:rPr>
                      <w:rFonts w:hint="eastAsia"/>
                      <w:color w:val="auto"/>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10" w:type="pct"/>
                  <w:vAlign w:val="center"/>
                </w:tcPr>
                <w:p>
                  <w:pPr>
                    <w:widowControl/>
                    <w:jc w:val="center"/>
                    <w:rPr>
                      <w:color w:val="auto"/>
                    </w:rPr>
                  </w:pPr>
                  <w:r>
                    <w:rPr>
                      <w:rFonts w:hint="eastAsia"/>
                      <w:color w:val="auto"/>
                    </w:rPr>
                    <w:t>2</w:t>
                  </w:r>
                </w:p>
              </w:tc>
              <w:tc>
                <w:tcPr>
                  <w:tcW w:w="1291" w:type="pct"/>
                  <w:vAlign w:val="center"/>
                </w:tcPr>
                <w:p>
                  <w:pPr>
                    <w:widowControl/>
                    <w:jc w:val="center"/>
                    <w:rPr>
                      <w:color w:val="auto"/>
                    </w:rPr>
                  </w:pPr>
                  <w:r>
                    <w:rPr>
                      <w:rFonts w:hint="eastAsia"/>
                      <w:color w:val="auto"/>
                    </w:rPr>
                    <w:t>机油</w:t>
                  </w:r>
                </w:p>
              </w:tc>
              <w:tc>
                <w:tcPr>
                  <w:tcW w:w="1645" w:type="pct"/>
                  <w:vAlign w:val="center"/>
                </w:tcPr>
                <w:p>
                  <w:pPr>
                    <w:widowControl/>
                    <w:jc w:val="center"/>
                    <w:rPr>
                      <w:color w:val="auto"/>
                    </w:rPr>
                  </w:pPr>
                  <w:r>
                    <w:rPr>
                      <w:rFonts w:hint="eastAsia"/>
                      <w:color w:val="auto"/>
                    </w:rPr>
                    <w:t>0.5</w:t>
                  </w:r>
                </w:p>
              </w:tc>
              <w:tc>
                <w:tcPr>
                  <w:tcW w:w="883" w:type="pct"/>
                  <w:vAlign w:val="center"/>
                </w:tcPr>
                <w:p>
                  <w:pPr>
                    <w:widowControl/>
                    <w:jc w:val="center"/>
                    <w:rPr>
                      <w:color w:val="auto"/>
                    </w:rPr>
                  </w:pPr>
                  <w:r>
                    <w:rPr>
                      <w:rFonts w:hint="eastAsia"/>
                      <w:color w:val="auto"/>
                    </w:rPr>
                    <w:t>2500</w:t>
                  </w:r>
                </w:p>
              </w:tc>
              <w:tc>
                <w:tcPr>
                  <w:tcW w:w="769" w:type="pct"/>
                  <w:vAlign w:val="center"/>
                </w:tcPr>
                <w:p>
                  <w:pPr>
                    <w:snapToGrid w:val="0"/>
                    <w:jc w:val="center"/>
                    <w:rPr>
                      <w:color w:val="auto"/>
                    </w:rPr>
                  </w:pPr>
                  <w:r>
                    <w:rPr>
                      <w:rFonts w:hint="eastAsia"/>
                      <w:color w:val="auto"/>
                    </w:rPr>
                    <w:t>0.0002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10" w:type="pct"/>
                  <w:vAlign w:val="center"/>
                </w:tcPr>
                <w:p>
                  <w:pPr>
                    <w:widowControl/>
                    <w:jc w:val="center"/>
                    <w:rPr>
                      <w:color w:val="auto"/>
                    </w:rPr>
                  </w:pPr>
                  <w:r>
                    <w:rPr>
                      <w:rFonts w:hint="eastAsia"/>
                      <w:color w:val="auto"/>
                    </w:rPr>
                    <w:t>3</w:t>
                  </w:r>
                </w:p>
              </w:tc>
              <w:tc>
                <w:tcPr>
                  <w:tcW w:w="1291" w:type="pct"/>
                  <w:vAlign w:val="center"/>
                </w:tcPr>
                <w:p>
                  <w:pPr>
                    <w:widowControl/>
                    <w:jc w:val="center"/>
                    <w:rPr>
                      <w:color w:val="auto"/>
                    </w:rPr>
                  </w:pPr>
                  <w:r>
                    <w:rPr>
                      <w:rFonts w:hint="eastAsia"/>
                      <w:color w:val="auto"/>
                    </w:rPr>
                    <w:t>废机油</w:t>
                  </w:r>
                </w:p>
              </w:tc>
              <w:tc>
                <w:tcPr>
                  <w:tcW w:w="1645" w:type="pct"/>
                  <w:vAlign w:val="center"/>
                </w:tcPr>
                <w:p>
                  <w:pPr>
                    <w:widowControl/>
                    <w:jc w:val="center"/>
                    <w:rPr>
                      <w:color w:val="auto"/>
                    </w:rPr>
                  </w:pPr>
                  <w:r>
                    <w:rPr>
                      <w:rFonts w:hint="eastAsia"/>
                      <w:color w:val="auto"/>
                    </w:rPr>
                    <w:t>0.5</w:t>
                  </w:r>
                </w:p>
              </w:tc>
              <w:tc>
                <w:tcPr>
                  <w:tcW w:w="883" w:type="pct"/>
                  <w:vAlign w:val="center"/>
                </w:tcPr>
                <w:p>
                  <w:pPr>
                    <w:widowControl/>
                    <w:jc w:val="center"/>
                    <w:rPr>
                      <w:color w:val="auto"/>
                    </w:rPr>
                  </w:pPr>
                  <w:r>
                    <w:rPr>
                      <w:rFonts w:hint="eastAsia"/>
                      <w:color w:val="auto"/>
                    </w:rPr>
                    <w:t>2500</w:t>
                  </w:r>
                </w:p>
              </w:tc>
              <w:tc>
                <w:tcPr>
                  <w:tcW w:w="769" w:type="pct"/>
                  <w:vAlign w:val="center"/>
                </w:tcPr>
                <w:p>
                  <w:pPr>
                    <w:snapToGrid w:val="0"/>
                    <w:jc w:val="center"/>
                    <w:rPr>
                      <w:color w:val="auto"/>
                    </w:rPr>
                  </w:pPr>
                  <w:r>
                    <w:rPr>
                      <w:rFonts w:hint="eastAsia"/>
                      <w:color w:val="auto"/>
                    </w:rPr>
                    <w:t>0.0002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230" w:type="pct"/>
                  <w:gridSpan w:val="4"/>
                  <w:vAlign w:val="center"/>
                </w:tcPr>
                <w:p>
                  <w:pPr>
                    <w:widowControl/>
                    <w:jc w:val="center"/>
                    <w:rPr>
                      <w:color w:val="auto"/>
                    </w:rPr>
                  </w:pPr>
                  <w:r>
                    <w:rPr>
                      <w:rFonts w:hint="eastAsia"/>
                      <w:color w:val="auto"/>
                    </w:rPr>
                    <w:t>合计</w:t>
                  </w:r>
                </w:p>
              </w:tc>
              <w:tc>
                <w:tcPr>
                  <w:tcW w:w="769" w:type="pct"/>
                  <w:vAlign w:val="center"/>
                </w:tcPr>
                <w:p>
                  <w:pPr>
                    <w:snapToGrid w:val="0"/>
                    <w:jc w:val="center"/>
                    <w:rPr>
                      <w:color w:val="auto"/>
                    </w:rPr>
                  </w:pPr>
                  <w:r>
                    <w:rPr>
                      <w:rFonts w:hint="eastAsia"/>
                      <w:color w:val="auto"/>
                    </w:rPr>
                    <w:t>0.1504</w:t>
                  </w:r>
                </w:p>
              </w:tc>
            </w:tr>
          </w:tbl>
          <w:p>
            <w:pPr>
              <w:widowControl/>
              <w:adjustRightInd w:val="0"/>
              <w:snapToGrid w:val="0"/>
              <w:spacing w:before="120" w:beforeLines="50" w:line="360" w:lineRule="auto"/>
              <w:ind w:firstLine="420" w:firstLineChars="200"/>
              <w:jc w:val="left"/>
              <w:rPr>
                <w:bCs/>
                <w:color w:val="auto"/>
              </w:rPr>
            </w:pPr>
            <w:r>
              <w:rPr>
                <w:bCs/>
                <w:color w:val="auto"/>
              </w:rPr>
              <w:t>综上，本项目危险物质的总Q=0.</w:t>
            </w:r>
            <w:r>
              <w:rPr>
                <w:rFonts w:hint="eastAsia"/>
                <w:bCs/>
                <w:color w:val="auto"/>
              </w:rPr>
              <w:t>1504</w:t>
            </w:r>
            <w:r>
              <w:rPr>
                <w:bCs/>
                <w:color w:val="auto"/>
              </w:rPr>
              <w:t>&lt;1，根据《建设项目环境风险评价技术导则》（HJ 169—2018）附录C中的判别依据，本项目环境风险潜势为Ⅰ，因此风险评价工作等级定位为简单分析。</w:t>
            </w:r>
          </w:p>
          <w:p>
            <w:pPr>
              <w:pStyle w:val="878"/>
              <w:adjustRightInd w:val="0"/>
              <w:snapToGrid w:val="0"/>
              <w:spacing w:line="360" w:lineRule="auto"/>
              <w:ind w:firstLine="422"/>
              <w:rPr>
                <w:b/>
                <w:bCs/>
                <w:color w:val="auto"/>
                <w:kern w:val="2"/>
                <w:sz w:val="21"/>
              </w:rPr>
            </w:pPr>
            <w:r>
              <w:rPr>
                <w:b/>
                <w:bCs/>
                <w:color w:val="auto"/>
                <w:kern w:val="2"/>
                <w:sz w:val="21"/>
              </w:rPr>
              <w:t>（2）风险识别</w:t>
            </w:r>
          </w:p>
          <w:p>
            <w:pPr>
              <w:widowControl/>
              <w:adjustRightInd w:val="0"/>
              <w:snapToGrid w:val="0"/>
              <w:spacing w:line="360" w:lineRule="auto"/>
              <w:ind w:firstLine="420" w:firstLineChars="200"/>
              <w:jc w:val="left"/>
              <w:rPr>
                <w:bCs/>
                <w:color w:val="auto"/>
              </w:rPr>
            </w:pPr>
            <w:r>
              <w:rPr>
                <w:bCs/>
                <w:color w:val="auto"/>
              </w:rPr>
              <w:t>本项目主要的环境风险有：生产设备等引发火灾甚至爆炸事故，化学品和危险废物在运输、装卸、储存以及使用过程中操作不当可能会造成泄漏，以及废气处理设施事故导致废气事故排放对大气环境的影响。</w:t>
            </w:r>
          </w:p>
          <w:p>
            <w:pPr>
              <w:pStyle w:val="878"/>
              <w:adjustRightInd w:val="0"/>
              <w:snapToGrid w:val="0"/>
              <w:spacing w:line="360" w:lineRule="auto"/>
              <w:ind w:firstLine="422"/>
              <w:rPr>
                <w:b/>
                <w:bCs/>
                <w:color w:val="auto"/>
                <w:kern w:val="2"/>
                <w:sz w:val="21"/>
              </w:rPr>
            </w:pPr>
            <w:r>
              <w:rPr>
                <w:b/>
                <w:bCs/>
                <w:color w:val="auto"/>
                <w:kern w:val="2"/>
                <w:sz w:val="21"/>
              </w:rPr>
              <w:t>（3）环境风险防范措施及应急要求</w:t>
            </w:r>
          </w:p>
          <w:p>
            <w:pPr>
              <w:adjustRightInd w:val="0"/>
              <w:snapToGrid w:val="0"/>
              <w:spacing w:line="360" w:lineRule="auto"/>
              <w:ind w:firstLine="420" w:firstLineChars="200"/>
              <w:rPr>
                <w:color w:val="auto"/>
              </w:rPr>
            </w:pPr>
            <w:r>
              <w:rPr>
                <w:color w:val="auto"/>
              </w:rPr>
              <w:t>根据对生产过程中各个工序的工程分析结果及本产品审查过程的调查了解，本评价主要考虑废气处理设施事故影响，车间、仓库火灾爆炸事故影响，化学品和危险废物发生泄漏事故影响。</w:t>
            </w:r>
          </w:p>
          <w:p>
            <w:pPr>
              <w:adjustRightInd w:val="0"/>
              <w:snapToGrid w:val="0"/>
              <w:spacing w:line="360" w:lineRule="auto"/>
              <w:ind w:firstLine="420" w:firstLineChars="200"/>
              <w:rPr>
                <w:bCs/>
                <w:color w:val="auto"/>
              </w:rPr>
            </w:pPr>
            <w:r>
              <w:rPr>
                <w:bCs/>
                <w:color w:val="auto"/>
              </w:rPr>
              <w:t>①废气处理设施出现故障</w:t>
            </w:r>
          </w:p>
          <w:p>
            <w:pPr>
              <w:adjustRightInd w:val="0"/>
              <w:snapToGrid w:val="0"/>
              <w:spacing w:line="360" w:lineRule="auto"/>
              <w:ind w:firstLine="420" w:firstLineChars="200"/>
              <w:rPr>
                <w:color w:val="auto"/>
              </w:rPr>
            </w:pPr>
            <w:r>
              <w:rPr>
                <w:color w:val="auto"/>
              </w:rPr>
              <w:t>废气若不处理直接排放将对环境空气造成污染，建设单位对废气处理设施进行维护，若发生事故，及时停产进行维修，此类事故发生概率较低。</w:t>
            </w:r>
          </w:p>
          <w:p>
            <w:pPr>
              <w:adjustRightInd w:val="0"/>
              <w:snapToGrid w:val="0"/>
              <w:spacing w:line="360" w:lineRule="auto"/>
              <w:ind w:firstLine="420" w:firstLineChars="200"/>
              <w:rPr>
                <w:bCs/>
                <w:color w:val="auto"/>
              </w:rPr>
            </w:pPr>
            <w:r>
              <w:rPr>
                <w:bCs/>
                <w:color w:val="auto"/>
              </w:rPr>
              <w:t>②火灾爆炸事故</w:t>
            </w:r>
          </w:p>
          <w:p>
            <w:pPr>
              <w:adjustRightInd w:val="0"/>
              <w:snapToGrid w:val="0"/>
              <w:spacing w:line="360" w:lineRule="auto"/>
              <w:ind w:firstLine="420" w:firstLineChars="200"/>
              <w:rPr>
                <w:color w:val="auto"/>
              </w:rPr>
            </w:pPr>
            <w:r>
              <w:rPr>
                <w:color w:val="auto"/>
              </w:rPr>
              <w:t>火灾或爆炸事故危害除热辐射、冲击波和抛射物等直接危害外，未完全燃烧的危险物质在高温下迅速挥发释放至大气，燃烧物质燃烧过程中则同时产生伴生和次生物质，加上燃烧后形成的浓烟。浓烟是由燃烧物质释放出的高温蒸汽和毒气、被分解和凝聚的未燃烧物质、被火焰加热而带入上升气流中的大量空气等多种物质组成。它不但含有大量的热量，而且含有毒气体和弥散的固体微粒。因此浓烟对火场周围人员的生命安全危害程度远超过火灾本身，并对周围的大气环境质量造成很大的污染和破坏。另外，燃烧时的强烈热辐射还可能造成新的火灾和爆炸事故，会对周围的大气环境造成一定的影响，因此，建设单位应做好消防设施配置，有效控制火势。此外，发生火灾或者爆炸事故时，泄漏物质以及消防废水需收集到消防废水收集池，而不能外泄到周围环境中，因此，建设单位需完善车间内应急沟以及消防废水收集池的建设。</w:t>
            </w:r>
          </w:p>
          <w:p>
            <w:pPr>
              <w:adjustRightInd w:val="0"/>
              <w:snapToGrid w:val="0"/>
              <w:spacing w:line="360" w:lineRule="auto"/>
              <w:ind w:firstLine="420" w:firstLineChars="200"/>
              <w:rPr>
                <w:bCs/>
                <w:color w:val="auto"/>
              </w:rPr>
            </w:pPr>
            <w:bookmarkStart w:id="10" w:name="_Toc22761"/>
            <w:r>
              <w:rPr>
                <w:bCs/>
                <w:color w:val="auto"/>
              </w:rPr>
              <w:t>③化学品和危险废物仓库发生泄漏</w:t>
            </w:r>
          </w:p>
          <w:p>
            <w:pPr>
              <w:adjustRightInd w:val="0"/>
              <w:snapToGrid w:val="0"/>
              <w:spacing w:line="360" w:lineRule="auto"/>
              <w:ind w:firstLine="420" w:firstLineChars="200"/>
              <w:rPr>
                <w:color w:val="auto"/>
              </w:rPr>
            </w:pPr>
            <w:r>
              <w:rPr>
                <w:color w:val="auto"/>
              </w:rPr>
              <w:t>项目生产涉及的</w:t>
            </w:r>
            <w:r>
              <w:rPr>
                <w:rFonts w:hint="eastAsia"/>
                <w:color w:val="auto"/>
              </w:rPr>
              <w:t>油类物质</w:t>
            </w:r>
            <w:r>
              <w:rPr>
                <w:color w:val="auto"/>
              </w:rPr>
              <w:t>和危险废物，存在泄漏的风险，主要原因可能是防渗材料破裂、贮存容器破损、管理不到位造成的。</w:t>
            </w:r>
          </w:p>
          <w:p>
            <w:pPr>
              <w:adjustRightInd w:val="0"/>
              <w:snapToGrid w:val="0"/>
              <w:spacing w:line="360" w:lineRule="auto"/>
              <w:ind w:firstLine="420" w:firstLineChars="200"/>
              <w:rPr>
                <w:color w:val="auto"/>
              </w:rPr>
            </w:pPr>
            <w:r>
              <w:rPr>
                <w:color w:val="auto"/>
              </w:rPr>
              <w:t>由于存放的化学品和危险废物发生泄漏事故时，较难以发现，可能发生向下渗漏到地下水，污染土壤与地下水。为避免发生此类事故，建设单位应按要求建设原料仓库和危废暂存间，并相应做好防渗、防腐等预防措施，因此此类事故发生概率较低。</w:t>
            </w:r>
          </w:p>
          <w:p>
            <w:pPr>
              <w:adjustRightInd w:val="0"/>
              <w:snapToGrid w:val="0"/>
              <w:spacing w:line="360" w:lineRule="auto"/>
              <w:ind w:firstLine="422" w:firstLineChars="200"/>
              <w:outlineLvl w:val="2"/>
              <w:rPr>
                <w:b/>
                <w:color w:val="auto"/>
              </w:rPr>
            </w:pPr>
            <w:r>
              <w:rPr>
                <w:b/>
                <w:color w:val="auto"/>
              </w:rPr>
              <w:t>（4）环境风险防范措施</w:t>
            </w:r>
            <w:bookmarkEnd w:id="10"/>
          </w:p>
          <w:p>
            <w:pPr>
              <w:keepNext/>
              <w:keepLines/>
              <w:adjustRightInd w:val="0"/>
              <w:snapToGrid w:val="0"/>
              <w:spacing w:line="360" w:lineRule="auto"/>
              <w:ind w:firstLine="420" w:firstLineChars="200"/>
              <w:outlineLvl w:val="3"/>
              <w:rPr>
                <w:color w:val="auto"/>
                <w:lang w:eastAsia="zh-TW"/>
              </w:rPr>
            </w:pPr>
            <w:bookmarkStart w:id="11" w:name="_Toc14497"/>
            <w:bookmarkStart w:id="12" w:name="_Toc515316312"/>
            <w:r>
              <w:rPr>
                <w:color w:val="auto"/>
              </w:rPr>
              <w:t>①</w:t>
            </w:r>
            <w:r>
              <w:rPr>
                <w:color w:val="auto"/>
                <w:lang w:eastAsia="zh-TW"/>
              </w:rPr>
              <w:t>废</w:t>
            </w:r>
            <w:r>
              <w:rPr>
                <w:color w:val="auto"/>
              </w:rPr>
              <w:t>气</w:t>
            </w:r>
            <w:r>
              <w:rPr>
                <w:color w:val="auto"/>
                <w:lang w:eastAsia="zh-TW"/>
              </w:rPr>
              <w:t>处理装置事故防范措施</w:t>
            </w:r>
            <w:bookmarkEnd w:id="11"/>
            <w:bookmarkEnd w:id="12"/>
          </w:p>
          <w:p>
            <w:pPr>
              <w:tabs>
                <w:tab w:val="left" w:pos="7485"/>
              </w:tabs>
              <w:adjustRightInd w:val="0"/>
              <w:snapToGrid w:val="0"/>
              <w:spacing w:line="360" w:lineRule="auto"/>
              <w:ind w:firstLine="420" w:firstLineChars="200"/>
              <w:rPr>
                <w:color w:val="auto"/>
                <w:lang w:eastAsia="zh-TW"/>
              </w:rPr>
            </w:pPr>
            <w:r>
              <w:rPr>
                <w:color w:val="auto"/>
              </w:rPr>
              <w:t>1）</w:t>
            </w:r>
            <w:r>
              <w:rPr>
                <w:color w:val="auto"/>
                <w:lang w:eastAsia="zh-TW"/>
              </w:rPr>
              <w:t>应加强对废</w:t>
            </w:r>
            <w:r>
              <w:rPr>
                <w:color w:val="auto"/>
              </w:rPr>
              <w:t>气</w:t>
            </w:r>
            <w:r>
              <w:rPr>
                <w:color w:val="auto"/>
                <w:lang w:eastAsia="zh-TW"/>
              </w:rPr>
              <w:t>处理设施的日常管理，及时保养与维修。建立严格的操作规程，实行目标责任制，保证环境保护设施的正常运行。</w:t>
            </w:r>
          </w:p>
          <w:p>
            <w:pPr>
              <w:tabs>
                <w:tab w:val="left" w:pos="7485"/>
              </w:tabs>
              <w:adjustRightInd w:val="0"/>
              <w:snapToGrid w:val="0"/>
              <w:spacing w:line="360" w:lineRule="auto"/>
              <w:ind w:firstLine="420" w:firstLineChars="200"/>
              <w:rPr>
                <w:color w:val="auto"/>
                <w:lang w:eastAsia="zh-TW"/>
              </w:rPr>
            </w:pPr>
            <w:r>
              <w:rPr>
                <w:color w:val="auto"/>
              </w:rPr>
              <w:t>2）</w:t>
            </w:r>
            <w:r>
              <w:rPr>
                <w:color w:val="auto"/>
                <w:lang w:eastAsia="zh-TW"/>
              </w:rPr>
              <w:t>应严格按工艺规程进行操作，特别在易发生事故工序，应坚决杜绝为了提高产量等而不严格按要求配料、操作等情况，同时，操作人员应穿戴好劳动防护用品。</w:t>
            </w:r>
          </w:p>
          <w:p>
            <w:pPr>
              <w:tabs>
                <w:tab w:val="left" w:pos="7485"/>
              </w:tabs>
              <w:adjustRightInd w:val="0"/>
              <w:snapToGrid w:val="0"/>
              <w:spacing w:line="360" w:lineRule="auto"/>
              <w:ind w:firstLine="420" w:firstLineChars="200"/>
              <w:rPr>
                <w:bCs/>
                <w:color w:val="auto"/>
                <w:lang w:eastAsia="zh-TW"/>
              </w:rPr>
            </w:pPr>
            <w:r>
              <w:rPr>
                <w:bCs/>
                <w:color w:val="auto"/>
              </w:rPr>
              <w:t>②</w:t>
            </w:r>
            <w:r>
              <w:rPr>
                <w:bCs/>
                <w:color w:val="auto"/>
                <w:lang w:eastAsia="zh-TW"/>
              </w:rPr>
              <w:t>火灾和爆炸的预防措施</w:t>
            </w:r>
          </w:p>
          <w:p>
            <w:pPr>
              <w:autoSpaceDE w:val="0"/>
              <w:adjustRightInd w:val="0"/>
              <w:snapToGrid w:val="0"/>
              <w:spacing w:line="360" w:lineRule="auto"/>
              <w:ind w:firstLine="420" w:firstLineChars="200"/>
              <w:rPr>
                <w:color w:val="auto"/>
              </w:rPr>
            </w:pPr>
            <w:r>
              <w:rPr>
                <w:color w:val="auto"/>
                <w:lang w:bidi="ar"/>
              </w:rPr>
              <w:t>项目运行期间应充分考虑到不安全的因素，一定要在火灾防范方面制定严格的措施。本报告建议项目投资方采取如下措施：</w:t>
            </w:r>
          </w:p>
          <w:p>
            <w:pPr>
              <w:autoSpaceDE w:val="0"/>
              <w:adjustRightInd w:val="0"/>
              <w:snapToGrid w:val="0"/>
              <w:spacing w:line="360" w:lineRule="auto"/>
              <w:ind w:firstLine="420" w:firstLineChars="200"/>
              <w:rPr>
                <w:color w:val="auto"/>
              </w:rPr>
            </w:pPr>
            <w:r>
              <w:rPr>
                <w:color w:val="auto"/>
                <w:lang w:bidi="ar"/>
              </w:rPr>
              <w:t>a在车间内设置“严禁烟火”的警示牌，尤其是在纸张等易燃品堆放的位置；</w:t>
            </w:r>
          </w:p>
          <w:p>
            <w:pPr>
              <w:autoSpaceDE w:val="0"/>
              <w:adjustRightInd w:val="0"/>
              <w:snapToGrid w:val="0"/>
              <w:spacing w:line="360" w:lineRule="auto"/>
              <w:ind w:firstLine="420" w:firstLineChars="200"/>
              <w:rPr>
                <w:color w:val="auto"/>
              </w:rPr>
            </w:pPr>
            <w:r>
              <w:rPr>
                <w:color w:val="auto"/>
                <w:lang w:bidi="ar"/>
              </w:rPr>
              <w:t>b灭火器应布置在明显便于取用的地方，并定期维护检查，确保能正常使用。</w:t>
            </w:r>
          </w:p>
          <w:p>
            <w:pPr>
              <w:autoSpaceDE w:val="0"/>
              <w:adjustRightInd w:val="0"/>
              <w:snapToGrid w:val="0"/>
              <w:spacing w:line="360" w:lineRule="auto"/>
              <w:ind w:firstLine="420" w:firstLineChars="200"/>
              <w:rPr>
                <w:color w:val="auto"/>
              </w:rPr>
            </w:pPr>
            <w:r>
              <w:rPr>
                <w:color w:val="auto"/>
                <w:lang w:bidi="ar"/>
              </w:rPr>
              <w:t>c制定和落实防火安全责任制及消防安全规章制度，除加强对员工的消防知识进行培训，对消防安全责任人及员工也定期进行消防知识培训，消防安全管理人员持证上岗。</w:t>
            </w:r>
          </w:p>
          <w:p>
            <w:pPr>
              <w:autoSpaceDE w:val="0"/>
              <w:adjustRightInd w:val="0"/>
              <w:snapToGrid w:val="0"/>
              <w:spacing w:line="360" w:lineRule="auto"/>
              <w:ind w:firstLine="420" w:firstLineChars="200"/>
              <w:rPr>
                <w:color w:val="auto"/>
              </w:rPr>
            </w:pPr>
            <w:r>
              <w:rPr>
                <w:color w:val="auto"/>
                <w:lang w:bidi="ar"/>
              </w:rPr>
              <w:t>d自动消防系统应定期维护保养，保证消防设施正常运作。</w:t>
            </w:r>
          </w:p>
          <w:p>
            <w:pPr>
              <w:autoSpaceDE w:val="0"/>
              <w:adjustRightInd w:val="0"/>
              <w:snapToGrid w:val="0"/>
              <w:spacing w:line="360" w:lineRule="auto"/>
              <w:ind w:firstLine="420" w:firstLineChars="200"/>
              <w:rPr>
                <w:color w:val="auto"/>
              </w:rPr>
            </w:pPr>
            <w:r>
              <w:rPr>
                <w:color w:val="auto"/>
                <w:lang w:bidi="ar"/>
              </w:rPr>
              <w:t>e对电路定期予以检查，用电负荷与电路的设计要匹配。</w:t>
            </w:r>
          </w:p>
          <w:p>
            <w:pPr>
              <w:autoSpaceDE w:val="0"/>
              <w:adjustRightInd w:val="0"/>
              <w:snapToGrid w:val="0"/>
              <w:spacing w:line="360" w:lineRule="auto"/>
              <w:ind w:firstLine="420" w:firstLineChars="200"/>
              <w:rPr>
                <w:color w:val="auto"/>
              </w:rPr>
            </w:pPr>
            <w:r>
              <w:rPr>
                <w:color w:val="auto"/>
                <w:lang w:bidi="ar"/>
              </w:rPr>
              <w:t>f制定灭火和应急疏散预案，同时设置安全疏散通道。</w:t>
            </w:r>
          </w:p>
          <w:p>
            <w:pPr>
              <w:autoSpaceDE w:val="0"/>
              <w:autoSpaceDN w:val="0"/>
              <w:adjustRightInd w:val="0"/>
              <w:snapToGrid w:val="0"/>
              <w:spacing w:line="360" w:lineRule="auto"/>
              <w:ind w:firstLine="420" w:firstLineChars="200"/>
              <w:rPr>
                <w:color w:val="auto"/>
                <w:lang w:eastAsia="zh-TW"/>
              </w:rPr>
            </w:pPr>
            <w:r>
              <w:rPr>
                <w:color w:val="auto"/>
                <w:lang w:bidi="ar"/>
              </w:rPr>
              <w:t>只要项目严格落实上述措施，做好防火和泄漏措施，并加强防范意识，则项目运营期间发生风险的概率较小。</w:t>
            </w:r>
          </w:p>
          <w:p>
            <w:pPr>
              <w:adjustRightInd w:val="0"/>
              <w:snapToGrid w:val="0"/>
              <w:spacing w:line="360" w:lineRule="auto"/>
              <w:ind w:firstLine="420" w:firstLineChars="200"/>
              <w:rPr>
                <w:bCs/>
                <w:color w:val="auto"/>
                <w:lang w:eastAsia="zh-TW"/>
              </w:rPr>
            </w:pPr>
            <w:r>
              <w:rPr>
                <w:bCs/>
                <w:color w:val="auto"/>
              </w:rPr>
              <w:t>③</w:t>
            </w:r>
            <w:r>
              <w:rPr>
                <w:bCs/>
                <w:color w:val="auto"/>
                <w:lang w:eastAsia="zh-TW"/>
              </w:rPr>
              <w:t>物料泄漏事故的预防措施</w:t>
            </w:r>
          </w:p>
          <w:p>
            <w:pPr>
              <w:tabs>
                <w:tab w:val="left" w:pos="7485"/>
              </w:tabs>
              <w:adjustRightInd w:val="0"/>
              <w:snapToGrid w:val="0"/>
              <w:spacing w:line="360" w:lineRule="auto"/>
              <w:ind w:firstLine="420" w:firstLineChars="200"/>
              <w:rPr>
                <w:color w:val="auto"/>
                <w:lang w:eastAsia="zh-TW"/>
              </w:rPr>
            </w:pPr>
            <w:r>
              <w:rPr>
                <w:color w:val="auto"/>
                <w:lang w:eastAsia="zh-TW"/>
              </w:rPr>
              <w:t>泄漏事故的预防是物料储运中最重要的环节，发生泄漏事故可能引起火灾和爆炸等一系列重大事故。经验表明：设备失灵和人为的操作失误是引发泄漏的主要原因。因此选用较好的设备、精心设计、认真管理和操作人员的责任心是减少泄漏事故的关键。</w:t>
            </w:r>
          </w:p>
          <w:p>
            <w:pPr>
              <w:tabs>
                <w:tab w:val="left" w:pos="7485"/>
              </w:tabs>
              <w:adjustRightInd w:val="0"/>
              <w:snapToGrid w:val="0"/>
              <w:spacing w:line="360" w:lineRule="auto"/>
              <w:ind w:firstLine="420" w:firstLineChars="200"/>
              <w:rPr>
                <w:color w:val="auto"/>
                <w:lang w:eastAsia="zh-TW"/>
              </w:rPr>
            </w:pPr>
            <w:r>
              <w:rPr>
                <w:color w:val="auto"/>
                <w:lang w:eastAsia="zh-TW"/>
              </w:rPr>
              <w:t>本项目主要采取以下预防措施：</w:t>
            </w:r>
          </w:p>
          <w:p>
            <w:pPr>
              <w:tabs>
                <w:tab w:val="left" w:pos="7485"/>
              </w:tabs>
              <w:adjustRightInd w:val="0"/>
              <w:snapToGrid w:val="0"/>
              <w:spacing w:line="360" w:lineRule="auto"/>
              <w:ind w:firstLine="420" w:firstLineChars="200"/>
              <w:rPr>
                <w:color w:val="auto"/>
                <w:lang w:eastAsia="zh-TW"/>
              </w:rPr>
            </w:pPr>
            <w:r>
              <w:rPr>
                <w:color w:val="auto"/>
              </w:rPr>
              <w:t>1）</w:t>
            </w:r>
            <w:r>
              <w:rPr>
                <w:color w:val="auto"/>
                <w:lang w:eastAsia="zh-TW"/>
              </w:rPr>
              <w:t>在</w:t>
            </w:r>
            <w:r>
              <w:rPr>
                <w:color w:val="auto"/>
              </w:rPr>
              <w:t>原材料</w:t>
            </w:r>
            <w:r>
              <w:rPr>
                <w:color w:val="auto"/>
                <w:lang w:eastAsia="zh-TW"/>
              </w:rPr>
              <w:t>仓库四周设置地沟避免泄漏物料流入水体。泄漏的物料经收集后作为废液送相应委外单位处理；</w:t>
            </w:r>
          </w:p>
          <w:p>
            <w:pPr>
              <w:tabs>
                <w:tab w:val="left" w:pos="7485"/>
              </w:tabs>
              <w:adjustRightInd w:val="0"/>
              <w:snapToGrid w:val="0"/>
              <w:spacing w:line="360" w:lineRule="auto"/>
              <w:ind w:firstLine="420" w:firstLineChars="200"/>
              <w:rPr>
                <w:color w:val="auto"/>
                <w:lang w:eastAsia="zh-TW"/>
              </w:rPr>
            </w:pPr>
            <w:r>
              <w:rPr>
                <w:color w:val="auto"/>
              </w:rPr>
              <w:t>2）</w:t>
            </w:r>
            <w:r>
              <w:rPr>
                <w:color w:val="auto"/>
                <w:lang w:eastAsia="zh-TW"/>
              </w:rPr>
              <w:t>经常检查管道，地上管道应防止碰撞，并控制管道支撑的磨损。定期系统试压、定期检漏；</w:t>
            </w:r>
          </w:p>
          <w:p>
            <w:pPr>
              <w:adjustRightInd w:val="0"/>
              <w:snapToGrid w:val="0"/>
              <w:spacing w:line="360" w:lineRule="auto"/>
              <w:ind w:firstLine="422" w:firstLineChars="200"/>
              <w:outlineLvl w:val="2"/>
              <w:rPr>
                <w:b/>
                <w:color w:val="auto"/>
              </w:rPr>
            </w:pPr>
            <w:r>
              <w:rPr>
                <w:b/>
                <w:color w:val="auto"/>
              </w:rPr>
              <w:t>（5）环境应急要求</w:t>
            </w:r>
          </w:p>
          <w:p>
            <w:pPr>
              <w:adjustRightInd w:val="0"/>
              <w:snapToGrid w:val="0"/>
              <w:spacing w:line="360" w:lineRule="auto"/>
              <w:ind w:firstLine="420" w:firstLineChars="200"/>
              <w:rPr>
                <w:color w:val="auto"/>
              </w:rPr>
            </w:pPr>
            <w:r>
              <w:rPr>
                <w:rFonts w:ascii="宋体" w:hAnsi="宋体"/>
                <w:color w:val="auto"/>
              </w:rPr>
              <w:t>①</w:t>
            </w:r>
            <w:r>
              <w:rPr>
                <w:color w:val="auto"/>
              </w:rPr>
              <w:t>强化安全生产及环境保护意识的教育，提高职工的素质，加强操作人员的上岗前的培训，进行安全生产、消防、环保、工业卫生等方面的技术培训教育；定期检查安全消防设施的完好性，确保其处于即用状态，以备在事故发生时，能及时、高效率的发挥作用。</w:t>
            </w:r>
          </w:p>
          <w:p>
            <w:pPr>
              <w:pStyle w:val="878"/>
              <w:adjustRightInd w:val="0"/>
              <w:snapToGrid w:val="0"/>
              <w:spacing w:line="360" w:lineRule="auto"/>
              <w:ind w:firstLine="420"/>
              <w:rPr>
                <w:color w:val="auto"/>
                <w:sz w:val="21"/>
              </w:rPr>
            </w:pPr>
            <w:r>
              <w:rPr>
                <w:color w:val="auto"/>
                <w:sz w:val="21"/>
              </w:rPr>
              <w:t>②建立环境风险应急预案，开展环境应急预案的培训、宣传和必要的应急演练。</w:t>
            </w:r>
          </w:p>
          <w:p>
            <w:pPr>
              <w:widowControl/>
              <w:adjustRightInd w:val="0"/>
              <w:snapToGrid w:val="0"/>
              <w:spacing w:line="360" w:lineRule="auto"/>
              <w:ind w:firstLine="420" w:firstLineChars="200"/>
              <w:rPr>
                <w:snapToGrid w:val="0"/>
                <w:color w:val="auto"/>
                <w:sz w:val="30"/>
                <w:szCs w:val="30"/>
              </w:rPr>
            </w:pPr>
            <w:r>
              <w:rPr>
                <w:color w:val="auto"/>
              </w:rPr>
              <w:t>根据项目风险分析，项目在严格落实环评提出各项措施和要求的前提下，项目风险事故的影响在可恢复范围内，项目环境风险是可以接受的。</w:t>
            </w:r>
          </w:p>
        </w:tc>
      </w:tr>
    </w:tbl>
    <w:p>
      <w:pPr>
        <w:pStyle w:val="85"/>
        <w:jc w:val="center"/>
        <w:rPr>
          <w:rFonts w:ascii="Times New Roman" w:hAnsi="Times New Roman"/>
          <w:snapToGrid w:val="0"/>
          <w:color w:val="000000" w:themeColor="text1"/>
          <w:sz w:val="30"/>
          <w:szCs w:val="30"/>
          <w14:textFill>
            <w14:solidFill>
              <w14:schemeClr w14:val="tx1"/>
            </w14:solidFill>
          </w14:textFill>
        </w:rPr>
        <w:sectPr>
          <w:pgSz w:w="11906" w:h="16838"/>
          <w:pgMar w:top="1440" w:right="1080" w:bottom="1440" w:left="1080" w:header="851" w:footer="851" w:gutter="0"/>
          <w:pgBorders>
            <w:top w:val="none" w:sz="0" w:space="0"/>
            <w:left w:val="none" w:sz="0" w:space="0"/>
            <w:bottom w:val="none" w:sz="0" w:space="0"/>
            <w:right w:val="none" w:sz="0" w:space="0"/>
          </w:pgBorders>
          <w:cols w:space="720" w:num="1"/>
          <w:docGrid w:linePitch="312" w:charSpace="0"/>
        </w:sectPr>
      </w:pPr>
    </w:p>
    <w:p>
      <w:pPr>
        <w:pStyle w:val="85"/>
        <w:jc w:val="center"/>
        <w:outlineLvl w:val="0"/>
        <w:rPr>
          <w:rFonts w:ascii="Times New Roman" w:hAnsi="Times New Roman"/>
          <w:snapToGrid w:val="0"/>
          <w:color w:val="000000" w:themeColor="text1"/>
          <w:sz w:val="30"/>
          <w:szCs w:val="30"/>
          <w14:textFill>
            <w14:solidFill>
              <w14:schemeClr w14:val="tx1"/>
            </w14:solidFill>
          </w14:textFill>
        </w:rPr>
      </w:pPr>
      <w:r>
        <w:rPr>
          <w:rFonts w:hint="eastAsia" w:ascii="Times New Roman" w:hAnsi="Times New Roman"/>
          <w:snapToGrid w:val="0"/>
          <w:color w:val="000000" w:themeColor="text1"/>
          <w:sz w:val="30"/>
          <w:szCs w:val="30"/>
          <w14:textFill>
            <w14:solidFill>
              <w14:schemeClr w14:val="tx1"/>
            </w14:solidFill>
          </w14:textFill>
        </w:rPr>
        <w:t>五、</w:t>
      </w:r>
      <w:bookmarkStart w:id="13" w:name="_Hlk54167917"/>
      <w:r>
        <w:rPr>
          <w:rFonts w:hint="eastAsia" w:ascii="Times New Roman" w:hAnsi="Times New Roman"/>
          <w:snapToGrid w:val="0"/>
          <w:color w:val="000000" w:themeColor="text1"/>
          <w:sz w:val="30"/>
          <w:szCs w:val="30"/>
          <w14:textFill>
            <w14:solidFill>
              <w14:schemeClr w14:val="tx1"/>
            </w14:solidFill>
          </w14:textFill>
        </w:rPr>
        <w:t>环境保护措施监督检查清单</w:t>
      </w:r>
      <w:bookmarkEnd w:id="13"/>
    </w:p>
    <w:tbl>
      <w:tblPr>
        <w:tblStyle w:val="92"/>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797"/>
        <w:gridCol w:w="660"/>
        <w:gridCol w:w="558"/>
        <w:gridCol w:w="941"/>
        <w:gridCol w:w="2162"/>
        <w:gridCol w:w="484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00" w:type="pct"/>
            <w:tcBorders>
              <w:tl2br w:val="single" w:color="auto" w:sz="4" w:space="0"/>
            </w:tcBorders>
          </w:tcPr>
          <w:p>
            <w:pPr>
              <w:adjustRightInd w:val="0"/>
              <w:snapToGrid w:val="0"/>
              <w:jc w:val="center"/>
              <w:rPr>
                <w:b/>
                <w:bCs/>
              </w:rPr>
            </w:pPr>
            <w:r>
              <w:rPr>
                <w:b/>
                <w:bCs/>
              </w:rPr>
              <w:t>内容</w:t>
            </w:r>
          </w:p>
          <w:p>
            <w:pPr>
              <w:adjustRightInd w:val="0"/>
              <w:snapToGrid w:val="0"/>
              <w:rPr>
                <w:b/>
                <w:bCs/>
              </w:rPr>
            </w:pPr>
            <w:r>
              <w:rPr>
                <w:b/>
                <w:bCs/>
              </w:rPr>
              <w:t>要素</w:t>
            </w:r>
          </w:p>
        </w:tc>
        <w:tc>
          <w:tcPr>
            <w:tcW w:w="611" w:type="pct"/>
            <w:gridSpan w:val="2"/>
            <w:vAlign w:val="center"/>
          </w:tcPr>
          <w:p>
            <w:pPr>
              <w:adjustRightInd w:val="0"/>
              <w:snapToGrid w:val="0"/>
              <w:jc w:val="center"/>
              <w:rPr>
                <w:b/>
                <w:bCs/>
              </w:rPr>
            </w:pPr>
            <w:r>
              <w:rPr>
                <w:b/>
                <w:bCs/>
              </w:rPr>
              <w:t>排放口(编号、名称)/污染源</w:t>
            </w:r>
          </w:p>
        </w:tc>
        <w:tc>
          <w:tcPr>
            <w:tcW w:w="472" w:type="pct"/>
            <w:vAlign w:val="center"/>
          </w:tcPr>
          <w:p>
            <w:pPr>
              <w:adjustRightInd w:val="0"/>
              <w:snapToGrid w:val="0"/>
              <w:jc w:val="center"/>
              <w:rPr>
                <w:b/>
                <w:bCs/>
              </w:rPr>
            </w:pPr>
            <w:r>
              <w:rPr>
                <w:b/>
                <w:bCs/>
              </w:rPr>
              <w:t>污染物项目</w:t>
            </w:r>
          </w:p>
        </w:tc>
        <w:tc>
          <w:tcPr>
            <w:tcW w:w="1085" w:type="pct"/>
            <w:vAlign w:val="center"/>
          </w:tcPr>
          <w:p>
            <w:pPr>
              <w:adjustRightInd w:val="0"/>
              <w:snapToGrid w:val="0"/>
              <w:jc w:val="center"/>
              <w:rPr>
                <w:b/>
                <w:bCs/>
              </w:rPr>
            </w:pPr>
            <w:r>
              <w:rPr>
                <w:b/>
                <w:bCs/>
              </w:rPr>
              <w:t>环境保护措施</w:t>
            </w:r>
          </w:p>
        </w:tc>
        <w:tc>
          <w:tcPr>
            <w:tcW w:w="2431" w:type="pct"/>
            <w:vAlign w:val="center"/>
          </w:tcPr>
          <w:p>
            <w:pPr>
              <w:adjustRightInd w:val="0"/>
              <w:snapToGrid w:val="0"/>
              <w:jc w:val="center"/>
              <w:rPr>
                <w:b/>
                <w:bCs/>
              </w:rPr>
            </w:pPr>
            <w:r>
              <w:rPr>
                <w:b/>
                <w:bCs/>
              </w:rPr>
              <w:t>执行标准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19" w:hRule="atLeast"/>
          <w:jc w:val="center"/>
        </w:trPr>
        <w:tc>
          <w:tcPr>
            <w:tcW w:w="400" w:type="pct"/>
            <w:vMerge w:val="restart"/>
            <w:vAlign w:val="center"/>
          </w:tcPr>
          <w:p>
            <w:pPr>
              <w:adjustRightInd w:val="0"/>
              <w:snapToGrid w:val="0"/>
              <w:jc w:val="center"/>
            </w:pPr>
            <w:r>
              <w:t>大气环境</w:t>
            </w:r>
          </w:p>
        </w:tc>
        <w:tc>
          <w:tcPr>
            <w:tcW w:w="611" w:type="pct"/>
            <w:gridSpan w:val="2"/>
            <w:vAlign w:val="center"/>
          </w:tcPr>
          <w:p>
            <w:pPr>
              <w:snapToGrid w:val="0"/>
              <w:jc w:val="center"/>
              <w:rPr>
                <w:bCs/>
                <w:color w:val="auto"/>
              </w:rPr>
            </w:pPr>
            <w:r>
              <w:rPr>
                <w:bCs/>
                <w:color w:val="auto"/>
              </w:rPr>
              <w:t>DA001</w:t>
            </w:r>
          </w:p>
          <w:p>
            <w:pPr>
              <w:snapToGrid w:val="0"/>
              <w:jc w:val="center"/>
              <w:rPr>
                <w:bCs/>
                <w:color w:val="auto"/>
              </w:rPr>
            </w:pPr>
            <w:r>
              <w:rPr>
                <w:rFonts w:hint="eastAsia"/>
                <w:bCs/>
                <w:color w:val="auto"/>
              </w:rPr>
              <w:t>配料粉尘</w:t>
            </w:r>
            <w:r>
              <w:rPr>
                <w:bCs/>
                <w:color w:val="auto"/>
              </w:rPr>
              <w:t>排放口</w:t>
            </w:r>
          </w:p>
        </w:tc>
        <w:tc>
          <w:tcPr>
            <w:tcW w:w="472" w:type="pct"/>
            <w:vAlign w:val="center"/>
          </w:tcPr>
          <w:p>
            <w:pPr>
              <w:pStyle w:val="470"/>
              <w:adjustRightInd/>
              <w:spacing w:line="240" w:lineRule="auto"/>
              <w:rPr>
                <w:rFonts w:ascii="Times New Roman" w:hAnsi="Times New Roman" w:eastAsia="宋体" w:cs="Times New Roman"/>
                <w:bCs/>
                <w:color w:val="auto"/>
                <w:sz w:val="21"/>
                <w:szCs w:val="21"/>
                <w:lang w:eastAsia="zh-CN"/>
              </w:rPr>
            </w:pPr>
            <w:r>
              <w:rPr>
                <w:rFonts w:ascii="Times New Roman" w:hAnsi="Times New Roman" w:eastAsia="宋体" w:cs="Times New Roman"/>
                <w:bCs/>
                <w:color w:val="auto"/>
                <w:sz w:val="21"/>
                <w:szCs w:val="21"/>
                <w:lang w:eastAsia="zh-CN"/>
              </w:rPr>
              <w:t>颗粒物</w:t>
            </w:r>
          </w:p>
        </w:tc>
        <w:tc>
          <w:tcPr>
            <w:tcW w:w="1085" w:type="pct"/>
            <w:vAlign w:val="center"/>
          </w:tcPr>
          <w:p>
            <w:pPr>
              <w:snapToGrid w:val="0"/>
              <w:jc w:val="center"/>
              <w:rPr>
                <w:color w:val="auto"/>
              </w:rPr>
            </w:pPr>
            <w:r>
              <w:rPr>
                <w:color w:val="auto"/>
              </w:rPr>
              <w:t>管道收集后经</w:t>
            </w:r>
            <w:r>
              <w:rPr>
                <w:rFonts w:hint="eastAsia"/>
                <w:color w:val="auto"/>
              </w:rPr>
              <w:t>脉冲式布袋除尘器</w:t>
            </w:r>
            <w:r>
              <w:rPr>
                <w:color w:val="auto"/>
              </w:rPr>
              <w:t>处理后经15米高排气筒DA001高空排放</w:t>
            </w:r>
          </w:p>
        </w:tc>
        <w:tc>
          <w:tcPr>
            <w:tcW w:w="2431" w:type="pct"/>
            <w:vAlign w:val="center"/>
          </w:tcPr>
          <w:p>
            <w:pPr>
              <w:snapToGrid w:val="0"/>
              <w:jc w:val="center"/>
              <w:rPr>
                <w:color w:val="auto"/>
              </w:rPr>
            </w:pPr>
            <w:r>
              <w:rPr>
                <w:color w:val="auto"/>
                <w:lang w:bidi="ar"/>
              </w:rPr>
              <w:t>《</w:t>
            </w:r>
            <w:r>
              <w:rPr>
                <w:rFonts w:hint="eastAsia"/>
                <w:color w:val="auto"/>
                <w:lang w:bidi="ar"/>
              </w:rPr>
              <w:t>橡胶制品工业</w:t>
            </w:r>
            <w:r>
              <w:rPr>
                <w:color w:val="auto"/>
                <w:lang w:bidi="ar"/>
              </w:rPr>
              <w:t>污染物排放标准》（GB</w:t>
            </w:r>
            <w:r>
              <w:rPr>
                <w:rFonts w:hint="eastAsia"/>
                <w:color w:val="auto"/>
                <w:lang w:bidi="ar"/>
              </w:rPr>
              <w:t xml:space="preserve"> 27632</w:t>
            </w:r>
            <w:r>
              <w:rPr>
                <w:color w:val="auto"/>
                <w:lang w:bidi="ar"/>
              </w:rPr>
              <w:t>-20</w:t>
            </w:r>
            <w:r>
              <w:rPr>
                <w:rFonts w:hint="eastAsia"/>
                <w:color w:val="auto"/>
                <w:lang w:bidi="ar"/>
              </w:rPr>
              <w:t>11</w:t>
            </w:r>
            <w:r>
              <w:rPr>
                <w:color w:val="auto"/>
                <w:lang w:bidi="ar"/>
              </w:rPr>
              <w:t>）表</w:t>
            </w:r>
            <w:r>
              <w:rPr>
                <w:rFonts w:hint="eastAsia"/>
                <w:color w:val="auto"/>
                <w:lang w:bidi="ar"/>
              </w:rPr>
              <w:t>5轮胎企业及其他制品企业炼胶、硫化装置排放限值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19" w:hRule="atLeast"/>
          <w:jc w:val="center"/>
        </w:trPr>
        <w:tc>
          <w:tcPr>
            <w:tcW w:w="400" w:type="pct"/>
            <w:vMerge w:val="continue"/>
            <w:vAlign w:val="center"/>
          </w:tcPr>
          <w:p>
            <w:pPr>
              <w:adjustRightInd w:val="0"/>
              <w:snapToGrid w:val="0"/>
              <w:jc w:val="center"/>
            </w:pPr>
          </w:p>
        </w:tc>
        <w:tc>
          <w:tcPr>
            <w:tcW w:w="611" w:type="pct"/>
            <w:gridSpan w:val="2"/>
            <w:vMerge w:val="restart"/>
            <w:vAlign w:val="center"/>
          </w:tcPr>
          <w:p>
            <w:pPr>
              <w:jc w:val="center"/>
              <w:rPr>
                <w:color w:val="auto"/>
              </w:rPr>
            </w:pPr>
            <w:r>
              <w:rPr>
                <w:color w:val="auto"/>
                <w:shd w:val="clear" w:color="auto" w:fill="FFFFFF"/>
              </w:rPr>
              <w:t>DA002</w:t>
            </w:r>
          </w:p>
          <w:p>
            <w:pPr>
              <w:snapToGrid w:val="0"/>
              <w:jc w:val="center"/>
              <w:rPr>
                <w:bCs/>
                <w:color w:val="auto"/>
                <w:highlight w:val="yellow"/>
              </w:rPr>
            </w:pPr>
            <w:r>
              <w:rPr>
                <w:rFonts w:hint="eastAsia"/>
                <w:color w:val="auto"/>
              </w:rPr>
              <w:t>混炼</w:t>
            </w:r>
            <w:r>
              <w:rPr>
                <w:color w:val="auto"/>
              </w:rPr>
              <w:t>废气排放口</w:t>
            </w:r>
          </w:p>
        </w:tc>
        <w:tc>
          <w:tcPr>
            <w:tcW w:w="472" w:type="pct"/>
            <w:vAlign w:val="center"/>
          </w:tcPr>
          <w:p>
            <w:pPr>
              <w:pStyle w:val="470"/>
              <w:adjustRightInd/>
              <w:spacing w:line="240" w:lineRule="auto"/>
              <w:rPr>
                <w:rFonts w:ascii="Times New Roman" w:hAnsi="Times New Roman" w:eastAsia="宋体" w:cs="Times New Roman"/>
                <w:bCs/>
                <w:color w:val="auto"/>
                <w:sz w:val="21"/>
                <w:szCs w:val="21"/>
                <w:lang w:eastAsia="zh-CN"/>
              </w:rPr>
            </w:pPr>
            <w:r>
              <w:rPr>
                <w:rFonts w:ascii="Times New Roman" w:hAnsi="Times New Roman" w:eastAsia="宋体" w:cs="Times New Roman"/>
                <w:bCs/>
                <w:color w:val="auto"/>
                <w:sz w:val="21"/>
                <w:szCs w:val="21"/>
                <w:lang w:eastAsia="zh-CN"/>
              </w:rPr>
              <w:t>非甲烷总烃</w:t>
            </w:r>
          </w:p>
        </w:tc>
        <w:tc>
          <w:tcPr>
            <w:tcW w:w="1085" w:type="pct"/>
            <w:vMerge w:val="restart"/>
            <w:vAlign w:val="center"/>
          </w:tcPr>
          <w:p>
            <w:pPr>
              <w:snapToGrid w:val="0"/>
              <w:jc w:val="center"/>
              <w:rPr>
                <w:color w:val="auto"/>
              </w:rPr>
            </w:pPr>
            <w:r>
              <w:rPr>
                <w:rFonts w:hint="eastAsia"/>
                <w:color w:val="auto"/>
              </w:rPr>
              <w:t>集气设施</w:t>
            </w:r>
            <w:r>
              <w:rPr>
                <w:color w:val="auto"/>
              </w:rPr>
              <w:t>收集后引至</w:t>
            </w:r>
            <w:r>
              <w:rPr>
                <w:rFonts w:hint="eastAsia"/>
                <w:color w:val="auto"/>
              </w:rPr>
              <w:t>布袋除尘器</w:t>
            </w:r>
            <w:r>
              <w:rPr>
                <w:color w:val="auto"/>
              </w:rPr>
              <w:t>+</w:t>
            </w:r>
            <w:r>
              <w:rPr>
                <w:rFonts w:hint="eastAsia"/>
                <w:color w:val="auto"/>
                <w:lang w:val="en-US" w:eastAsia="zh-CN"/>
              </w:rPr>
              <w:t>两</w:t>
            </w:r>
            <w:r>
              <w:rPr>
                <w:rFonts w:hint="eastAsia"/>
                <w:color w:val="auto"/>
              </w:rPr>
              <w:t>级活性炭吸附装置</w:t>
            </w:r>
            <w:r>
              <w:rPr>
                <w:color w:val="auto"/>
              </w:rPr>
              <w:t>处理后经15米高排气筒DA002高空排放</w:t>
            </w:r>
          </w:p>
        </w:tc>
        <w:tc>
          <w:tcPr>
            <w:tcW w:w="2431" w:type="pct"/>
            <w:vMerge w:val="restart"/>
            <w:vAlign w:val="center"/>
          </w:tcPr>
          <w:p>
            <w:pPr>
              <w:snapToGrid w:val="0"/>
              <w:jc w:val="center"/>
              <w:rPr>
                <w:color w:val="auto"/>
              </w:rPr>
            </w:pPr>
            <w:r>
              <w:rPr>
                <w:color w:val="auto"/>
                <w:lang w:bidi="ar"/>
              </w:rPr>
              <w:t>《</w:t>
            </w:r>
            <w:r>
              <w:rPr>
                <w:rFonts w:hint="eastAsia"/>
                <w:color w:val="auto"/>
                <w:lang w:bidi="ar"/>
              </w:rPr>
              <w:t>橡胶制品工业</w:t>
            </w:r>
            <w:r>
              <w:rPr>
                <w:color w:val="auto"/>
                <w:lang w:bidi="ar"/>
              </w:rPr>
              <w:t>污染物排放标准》（GB</w:t>
            </w:r>
            <w:r>
              <w:rPr>
                <w:rFonts w:hint="eastAsia"/>
                <w:color w:val="auto"/>
                <w:lang w:bidi="ar"/>
              </w:rPr>
              <w:t xml:space="preserve"> 27632</w:t>
            </w:r>
            <w:r>
              <w:rPr>
                <w:color w:val="auto"/>
                <w:lang w:bidi="ar"/>
              </w:rPr>
              <w:t>-20</w:t>
            </w:r>
            <w:r>
              <w:rPr>
                <w:rFonts w:hint="eastAsia"/>
                <w:color w:val="auto"/>
                <w:lang w:bidi="ar"/>
              </w:rPr>
              <w:t>11</w:t>
            </w:r>
            <w:r>
              <w:rPr>
                <w:color w:val="auto"/>
                <w:lang w:bidi="ar"/>
              </w:rPr>
              <w:t>）表</w:t>
            </w:r>
            <w:r>
              <w:rPr>
                <w:rFonts w:hint="eastAsia"/>
                <w:color w:val="auto"/>
                <w:lang w:bidi="ar"/>
              </w:rPr>
              <w:t>5轮胎企业及其他制品企业炼胶、硫化装置排放限值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400" w:type="pct"/>
            <w:vMerge w:val="continue"/>
            <w:vAlign w:val="center"/>
          </w:tcPr>
          <w:p>
            <w:pPr>
              <w:adjustRightInd w:val="0"/>
              <w:snapToGrid w:val="0"/>
              <w:jc w:val="center"/>
            </w:pPr>
          </w:p>
        </w:tc>
        <w:tc>
          <w:tcPr>
            <w:tcW w:w="611" w:type="pct"/>
            <w:gridSpan w:val="2"/>
            <w:vMerge w:val="continue"/>
            <w:vAlign w:val="center"/>
          </w:tcPr>
          <w:p>
            <w:pPr>
              <w:snapToGrid w:val="0"/>
              <w:jc w:val="center"/>
              <w:rPr>
                <w:bCs/>
                <w:color w:val="auto"/>
                <w:highlight w:val="yellow"/>
              </w:rPr>
            </w:pPr>
          </w:p>
        </w:tc>
        <w:tc>
          <w:tcPr>
            <w:tcW w:w="472" w:type="pct"/>
            <w:vAlign w:val="center"/>
          </w:tcPr>
          <w:p>
            <w:pPr>
              <w:pStyle w:val="470"/>
              <w:adjustRightInd/>
              <w:spacing w:before="120" w:after="120" w:line="240" w:lineRule="auto"/>
              <w:rPr>
                <w:rFonts w:ascii="Times New Roman" w:hAnsi="Times New Roman" w:eastAsia="宋体" w:cs="Times New Roman"/>
                <w:bCs/>
                <w:color w:val="auto"/>
                <w:sz w:val="21"/>
                <w:szCs w:val="21"/>
                <w:lang w:eastAsia="zh-CN"/>
              </w:rPr>
            </w:pPr>
            <w:r>
              <w:rPr>
                <w:rFonts w:ascii="Times New Roman" w:hAnsi="Times New Roman" w:eastAsia="宋体" w:cs="Times New Roman"/>
                <w:bCs/>
                <w:color w:val="auto"/>
                <w:sz w:val="21"/>
                <w:szCs w:val="21"/>
                <w:lang w:eastAsia="zh-CN"/>
              </w:rPr>
              <w:t>颗粒物</w:t>
            </w:r>
          </w:p>
        </w:tc>
        <w:tc>
          <w:tcPr>
            <w:tcW w:w="1085" w:type="pct"/>
            <w:vMerge w:val="continue"/>
            <w:vAlign w:val="center"/>
          </w:tcPr>
          <w:p>
            <w:pPr>
              <w:snapToGrid w:val="0"/>
              <w:jc w:val="center"/>
              <w:rPr>
                <w:color w:val="auto"/>
              </w:rPr>
            </w:pPr>
          </w:p>
        </w:tc>
        <w:tc>
          <w:tcPr>
            <w:tcW w:w="2431" w:type="pct"/>
            <w:vMerge w:val="continue"/>
            <w:vAlign w:val="center"/>
          </w:tcPr>
          <w:p>
            <w:pPr>
              <w:jc w:val="center"/>
              <w:rPr>
                <w:color w:val="auto"/>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49" w:hRule="atLeast"/>
          <w:jc w:val="center"/>
        </w:trPr>
        <w:tc>
          <w:tcPr>
            <w:tcW w:w="400" w:type="pct"/>
            <w:vMerge w:val="continue"/>
            <w:vAlign w:val="center"/>
          </w:tcPr>
          <w:p>
            <w:pPr>
              <w:adjustRightInd w:val="0"/>
              <w:snapToGrid w:val="0"/>
              <w:jc w:val="center"/>
            </w:pPr>
          </w:p>
        </w:tc>
        <w:tc>
          <w:tcPr>
            <w:tcW w:w="611" w:type="pct"/>
            <w:gridSpan w:val="2"/>
            <w:vAlign w:val="center"/>
          </w:tcPr>
          <w:p>
            <w:pPr>
              <w:snapToGrid w:val="0"/>
              <w:jc w:val="center"/>
              <w:rPr>
                <w:bCs/>
                <w:color w:val="auto"/>
              </w:rPr>
            </w:pPr>
            <w:r>
              <w:rPr>
                <w:bCs/>
                <w:color w:val="auto"/>
              </w:rPr>
              <w:t>DA003</w:t>
            </w:r>
          </w:p>
          <w:p>
            <w:pPr>
              <w:snapToGrid w:val="0"/>
              <w:jc w:val="center"/>
              <w:rPr>
                <w:color w:val="auto"/>
              </w:rPr>
            </w:pPr>
            <w:r>
              <w:rPr>
                <w:rFonts w:hint="eastAsia"/>
                <w:bCs/>
                <w:color w:val="auto"/>
              </w:rPr>
              <w:t>模压</w:t>
            </w:r>
            <w:r>
              <w:rPr>
                <w:bCs/>
                <w:color w:val="auto"/>
              </w:rPr>
              <w:t>废气排放口</w:t>
            </w:r>
          </w:p>
        </w:tc>
        <w:tc>
          <w:tcPr>
            <w:tcW w:w="472" w:type="pct"/>
            <w:vAlign w:val="center"/>
          </w:tcPr>
          <w:p>
            <w:pPr>
              <w:pStyle w:val="470"/>
              <w:adjustRightInd/>
              <w:spacing w:line="240" w:lineRule="auto"/>
              <w:rPr>
                <w:rFonts w:ascii="Times New Roman" w:hAnsi="Times New Roman" w:eastAsia="宋体" w:cs="Times New Roman"/>
                <w:bCs/>
                <w:color w:val="auto"/>
                <w:sz w:val="21"/>
                <w:szCs w:val="21"/>
                <w:lang w:eastAsia="zh-CN"/>
              </w:rPr>
            </w:pPr>
            <w:r>
              <w:rPr>
                <w:rFonts w:ascii="Times New Roman" w:hAnsi="Times New Roman" w:eastAsia="宋体" w:cs="Times New Roman"/>
                <w:bCs/>
                <w:color w:val="auto"/>
                <w:sz w:val="21"/>
                <w:szCs w:val="21"/>
                <w:lang w:eastAsia="zh-CN"/>
              </w:rPr>
              <w:t>非甲烷总烃</w:t>
            </w:r>
          </w:p>
        </w:tc>
        <w:tc>
          <w:tcPr>
            <w:tcW w:w="1085" w:type="pct"/>
            <w:vAlign w:val="center"/>
          </w:tcPr>
          <w:p>
            <w:pPr>
              <w:snapToGrid w:val="0"/>
              <w:jc w:val="center"/>
              <w:rPr>
                <w:color w:val="auto"/>
              </w:rPr>
            </w:pPr>
            <w:r>
              <w:rPr>
                <w:color w:val="auto"/>
              </w:rPr>
              <w:t>管道收集后经</w:t>
            </w:r>
            <w:r>
              <w:rPr>
                <w:rFonts w:hint="eastAsia"/>
                <w:color w:val="auto"/>
                <w:lang w:val="en-US" w:eastAsia="zh-CN"/>
              </w:rPr>
              <w:t>两</w:t>
            </w:r>
            <w:r>
              <w:rPr>
                <w:rFonts w:hint="eastAsia"/>
                <w:color w:val="auto"/>
              </w:rPr>
              <w:t>级活性炭吸附装置</w:t>
            </w:r>
            <w:r>
              <w:rPr>
                <w:color w:val="auto"/>
              </w:rPr>
              <w:t>处理后经15米高排气筒DA003高空排放</w:t>
            </w:r>
          </w:p>
        </w:tc>
        <w:tc>
          <w:tcPr>
            <w:tcW w:w="2431" w:type="pct"/>
            <w:vAlign w:val="center"/>
          </w:tcPr>
          <w:p>
            <w:pPr>
              <w:snapToGrid w:val="0"/>
              <w:jc w:val="center"/>
              <w:rPr>
                <w:bCs/>
                <w:color w:val="auto"/>
              </w:rPr>
            </w:pPr>
            <w:r>
              <w:rPr>
                <w:color w:val="auto"/>
                <w:lang w:bidi="ar"/>
              </w:rPr>
              <w:t>《</w:t>
            </w:r>
            <w:r>
              <w:rPr>
                <w:rFonts w:hint="eastAsia"/>
                <w:color w:val="auto"/>
                <w:lang w:bidi="ar"/>
              </w:rPr>
              <w:t>橡胶制品工业</w:t>
            </w:r>
            <w:r>
              <w:rPr>
                <w:color w:val="auto"/>
                <w:lang w:bidi="ar"/>
              </w:rPr>
              <w:t>污染物排放标准》（GB</w:t>
            </w:r>
            <w:r>
              <w:rPr>
                <w:rFonts w:hint="eastAsia"/>
                <w:color w:val="auto"/>
                <w:lang w:bidi="ar"/>
              </w:rPr>
              <w:t xml:space="preserve"> 27632</w:t>
            </w:r>
            <w:r>
              <w:rPr>
                <w:color w:val="auto"/>
                <w:lang w:bidi="ar"/>
              </w:rPr>
              <w:t>-20</w:t>
            </w:r>
            <w:r>
              <w:rPr>
                <w:rFonts w:hint="eastAsia"/>
                <w:color w:val="auto"/>
                <w:lang w:bidi="ar"/>
              </w:rPr>
              <w:t>11</w:t>
            </w:r>
            <w:r>
              <w:rPr>
                <w:color w:val="auto"/>
                <w:lang w:bidi="ar"/>
              </w:rPr>
              <w:t>）表</w:t>
            </w:r>
            <w:r>
              <w:rPr>
                <w:rFonts w:hint="eastAsia"/>
                <w:color w:val="auto"/>
                <w:lang w:bidi="ar"/>
              </w:rPr>
              <w:t>5轮胎企业及其他制品企业炼胶、硫化装置排放限值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49" w:hRule="atLeast"/>
          <w:jc w:val="center"/>
        </w:trPr>
        <w:tc>
          <w:tcPr>
            <w:tcW w:w="400" w:type="pct"/>
            <w:vMerge w:val="continue"/>
            <w:vAlign w:val="center"/>
          </w:tcPr>
          <w:p>
            <w:pPr>
              <w:adjustRightInd w:val="0"/>
              <w:snapToGrid w:val="0"/>
              <w:jc w:val="center"/>
            </w:pPr>
          </w:p>
        </w:tc>
        <w:tc>
          <w:tcPr>
            <w:tcW w:w="611" w:type="pct"/>
            <w:gridSpan w:val="2"/>
            <w:vAlign w:val="center"/>
          </w:tcPr>
          <w:p>
            <w:pPr>
              <w:snapToGrid w:val="0"/>
              <w:jc w:val="center"/>
              <w:rPr>
                <w:bCs/>
                <w:color w:val="auto"/>
              </w:rPr>
            </w:pPr>
            <w:r>
              <w:rPr>
                <w:bCs/>
                <w:color w:val="auto"/>
              </w:rPr>
              <w:t>DA00</w:t>
            </w:r>
            <w:r>
              <w:rPr>
                <w:rFonts w:hint="eastAsia"/>
                <w:bCs/>
                <w:color w:val="auto"/>
              </w:rPr>
              <w:t>4</w:t>
            </w:r>
          </w:p>
          <w:p>
            <w:pPr>
              <w:snapToGrid w:val="0"/>
              <w:jc w:val="center"/>
              <w:rPr>
                <w:bCs/>
                <w:color w:val="auto"/>
              </w:rPr>
            </w:pPr>
            <w:r>
              <w:rPr>
                <w:rFonts w:hint="eastAsia"/>
                <w:bCs/>
                <w:color w:val="auto"/>
              </w:rPr>
              <w:t>食堂油烟</w:t>
            </w:r>
            <w:r>
              <w:rPr>
                <w:bCs/>
                <w:color w:val="auto"/>
              </w:rPr>
              <w:t>排放口</w:t>
            </w:r>
          </w:p>
        </w:tc>
        <w:tc>
          <w:tcPr>
            <w:tcW w:w="472" w:type="pct"/>
            <w:vAlign w:val="center"/>
          </w:tcPr>
          <w:p>
            <w:pPr>
              <w:pStyle w:val="470"/>
              <w:adjustRightInd/>
              <w:spacing w:line="240" w:lineRule="auto"/>
              <w:rPr>
                <w:rFonts w:ascii="Times New Roman" w:hAnsi="Times New Roman" w:eastAsia="宋体" w:cs="Times New Roman"/>
                <w:bCs/>
                <w:color w:val="auto"/>
                <w:sz w:val="21"/>
                <w:szCs w:val="21"/>
                <w:lang w:eastAsia="zh-CN"/>
              </w:rPr>
            </w:pPr>
            <w:r>
              <w:rPr>
                <w:rFonts w:hint="eastAsia" w:ascii="Times New Roman" w:hAnsi="Times New Roman" w:eastAsia="宋体" w:cs="Times New Roman"/>
                <w:bCs/>
                <w:color w:val="auto"/>
                <w:sz w:val="21"/>
                <w:szCs w:val="21"/>
                <w:lang w:eastAsia="zh-CN"/>
              </w:rPr>
              <w:t>油烟</w:t>
            </w:r>
          </w:p>
        </w:tc>
        <w:tc>
          <w:tcPr>
            <w:tcW w:w="1085" w:type="pct"/>
            <w:vAlign w:val="center"/>
          </w:tcPr>
          <w:p>
            <w:pPr>
              <w:snapToGrid w:val="0"/>
              <w:jc w:val="center"/>
              <w:rPr>
                <w:color w:val="auto"/>
              </w:rPr>
            </w:pPr>
            <w:r>
              <w:rPr>
                <w:rFonts w:hint="eastAsia"/>
                <w:color w:val="auto"/>
                <w:szCs w:val="21"/>
              </w:rPr>
              <w:t>收</w:t>
            </w:r>
            <w:r>
              <w:rPr>
                <w:color w:val="auto"/>
                <w:szCs w:val="21"/>
              </w:rPr>
              <w:t>集后经厨房油烟净化装置处理后经</w:t>
            </w:r>
            <w:r>
              <w:rPr>
                <w:rFonts w:hint="eastAsia"/>
                <w:color w:val="auto"/>
                <w:szCs w:val="21"/>
              </w:rPr>
              <w:t>15米</w:t>
            </w:r>
            <w:r>
              <w:rPr>
                <w:color w:val="auto"/>
                <w:szCs w:val="21"/>
              </w:rPr>
              <w:t>高排气筒</w:t>
            </w:r>
            <w:r>
              <w:rPr>
                <w:rFonts w:hint="eastAsia"/>
                <w:color w:val="auto"/>
                <w:szCs w:val="21"/>
              </w:rPr>
              <w:t>排</w:t>
            </w:r>
            <w:r>
              <w:rPr>
                <w:color w:val="auto"/>
                <w:szCs w:val="21"/>
              </w:rPr>
              <w:t>放</w:t>
            </w:r>
          </w:p>
        </w:tc>
        <w:tc>
          <w:tcPr>
            <w:tcW w:w="2431" w:type="pct"/>
            <w:vAlign w:val="center"/>
          </w:tcPr>
          <w:p>
            <w:pPr>
              <w:snapToGrid w:val="0"/>
              <w:jc w:val="center"/>
              <w:rPr>
                <w:color w:val="auto"/>
                <w:lang w:bidi="ar"/>
              </w:rPr>
            </w:pPr>
            <w:r>
              <w:rPr>
                <w:rFonts w:hint="eastAsia"/>
                <w:color w:val="auto"/>
                <w:szCs w:val="21"/>
              </w:rPr>
              <w:t>《饮食业油烟排放标准》（GB18483-2001）小型规模标准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37" w:hRule="atLeast"/>
          <w:jc w:val="center"/>
        </w:trPr>
        <w:tc>
          <w:tcPr>
            <w:tcW w:w="400" w:type="pct"/>
            <w:vMerge w:val="continue"/>
            <w:vAlign w:val="center"/>
          </w:tcPr>
          <w:p>
            <w:pPr>
              <w:adjustRightInd w:val="0"/>
              <w:snapToGrid w:val="0"/>
              <w:jc w:val="center"/>
            </w:pPr>
          </w:p>
        </w:tc>
        <w:tc>
          <w:tcPr>
            <w:tcW w:w="331" w:type="pct"/>
            <w:vMerge w:val="restart"/>
            <w:vAlign w:val="center"/>
          </w:tcPr>
          <w:p>
            <w:pPr>
              <w:jc w:val="center"/>
              <w:rPr>
                <w:color w:val="auto"/>
                <w:shd w:val="clear" w:color="auto" w:fill="FFFFFF"/>
              </w:rPr>
            </w:pPr>
            <w:r>
              <w:rPr>
                <w:color w:val="auto"/>
                <w:shd w:val="clear" w:color="auto" w:fill="FFFFFF"/>
              </w:rPr>
              <w:t>无组织排放</w:t>
            </w:r>
          </w:p>
        </w:tc>
        <w:tc>
          <w:tcPr>
            <w:tcW w:w="280" w:type="pct"/>
            <w:vMerge w:val="restart"/>
            <w:vAlign w:val="center"/>
          </w:tcPr>
          <w:p>
            <w:pPr>
              <w:jc w:val="center"/>
              <w:rPr>
                <w:color w:val="auto"/>
                <w:shd w:val="clear" w:color="auto" w:fill="FFFFFF"/>
              </w:rPr>
            </w:pPr>
            <w:r>
              <w:rPr>
                <w:color w:val="auto"/>
                <w:shd w:val="clear" w:color="auto" w:fill="FFFFFF"/>
              </w:rPr>
              <w:t>厂界</w:t>
            </w:r>
          </w:p>
        </w:tc>
        <w:tc>
          <w:tcPr>
            <w:tcW w:w="472" w:type="pct"/>
            <w:vAlign w:val="center"/>
          </w:tcPr>
          <w:p>
            <w:pPr>
              <w:pStyle w:val="470"/>
              <w:adjustRightInd/>
              <w:spacing w:before="120" w:after="120" w:line="240" w:lineRule="auto"/>
              <w:rPr>
                <w:rFonts w:ascii="Times New Roman" w:hAnsi="Times New Roman" w:eastAsia="宋体" w:cs="Times New Roman"/>
                <w:bCs/>
                <w:color w:val="auto"/>
                <w:sz w:val="21"/>
                <w:szCs w:val="21"/>
                <w:lang w:eastAsia="zh-CN"/>
              </w:rPr>
            </w:pPr>
            <w:r>
              <w:rPr>
                <w:rFonts w:ascii="Times New Roman" w:hAnsi="Times New Roman" w:eastAsia="宋体" w:cs="Times New Roman"/>
                <w:bCs/>
                <w:color w:val="auto"/>
                <w:sz w:val="21"/>
                <w:szCs w:val="21"/>
                <w:lang w:eastAsia="zh-CN"/>
              </w:rPr>
              <w:t>颗粒物</w:t>
            </w:r>
          </w:p>
        </w:tc>
        <w:tc>
          <w:tcPr>
            <w:tcW w:w="1085" w:type="pct"/>
            <w:vMerge w:val="restart"/>
            <w:vAlign w:val="center"/>
          </w:tcPr>
          <w:p>
            <w:pPr>
              <w:snapToGrid w:val="0"/>
              <w:jc w:val="center"/>
              <w:rPr>
                <w:color w:val="auto"/>
              </w:rPr>
            </w:pPr>
            <w:r>
              <w:rPr>
                <w:color w:val="auto"/>
              </w:rPr>
              <w:t>提高工序密闭性，加强车间通风换气</w:t>
            </w:r>
          </w:p>
        </w:tc>
        <w:tc>
          <w:tcPr>
            <w:tcW w:w="2431" w:type="pct"/>
            <w:vMerge w:val="restart"/>
            <w:vAlign w:val="center"/>
          </w:tcPr>
          <w:p>
            <w:pPr>
              <w:pStyle w:val="106"/>
              <w:jc w:val="center"/>
              <w:rPr>
                <w:rFonts w:ascii="Times New Roman" w:hAnsi="Times New Roman" w:cs="Times New Roman"/>
                <w:color w:val="auto"/>
              </w:rPr>
            </w:pPr>
            <w:r>
              <w:rPr>
                <w:rFonts w:hint="eastAsia" w:ascii="Times New Roman" w:hAnsi="Times New Roman" w:cs="Times New Roman"/>
                <w:color w:val="auto"/>
                <w:sz w:val="21"/>
                <w:szCs w:val="20"/>
                <w:lang w:bidi="ar"/>
              </w:rPr>
              <w:t>《橡胶制品工业污染物排放标准》（GB 27632-2011）表6新建企业厂界无组织排放限值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51" w:hRule="atLeast"/>
          <w:jc w:val="center"/>
        </w:trPr>
        <w:tc>
          <w:tcPr>
            <w:tcW w:w="400" w:type="pct"/>
            <w:vMerge w:val="continue"/>
            <w:vAlign w:val="center"/>
          </w:tcPr>
          <w:p>
            <w:pPr>
              <w:adjustRightInd w:val="0"/>
              <w:snapToGrid w:val="0"/>
              <w:jc w:val="center"/>
            </w:pPr>
          </w:p>
        </w:tc>
        <w:tc>
          <w:tcPr>
            <w:tcW w:w="331" w:type="pct"/>
            <w:vMerge w:val="continue"/>
            <w:vAlign w:val="center"/>
          </w:tcPr>
          <w:p>
            <w:pPr>
              <w:jc w:val="center"/>
              <w:rPr>
                <w:shd w:val="clear" w:color="auto" w:fill="FFFFFF"/>
              </w:rPr>
            </w:pPr>
          </w:p>
        </w:tc>
        <w:tc>
          <w:tcPr>
            <w:tcW w:w="280" w:type="pct"/>
            <w:vMerge w:val="continue"/>
            <w:vAlign w:val="center"/>
          </w:tcPr>
          <w:p>
            <w:pPr>
              <w:jc w:val="center"/>
              <w:rPr>
                <w:shd w:val="clear" w:color="auto" w:fill="FFFFFF"/>
              </w:rPr>
            </w:pPr>
          </w:p>
        </w:tc>
        <w:tc>
          <w:tcPr>
            <w:tcW w:w="472" w:type="pct"/>
            <w:vAlign w:val="center"/>
          </w:tcPr>
          <w:p>
            <w:pPr>
              <w:pStyle w:val="470"/>
              <w:adjustRightInd/>
              <w:spacing w:before="120" w:after="120" w:line="240" w:lineRule="auto"/>
              <w:rPr>
                <w:rFonts w:ascii="Times New Roman" w:hAnsi="Times New Roman" w:eastAsia="宋体" w:cs="Times New Roman"/>
                <w:bCs/>
                <w:sz w:val="21"/>
                <w:szCs w:val="21"/>
                <w:lang w:eastAsia="zh-CN"/>
              </w:rPr>
            </w:pPr>
            <w:r>
              <w:rPr>
                <w:rFonts w:hint="eastAsia" w:ascii="Times New Roman" w:hAnsi="Times New Roman" w:eastAsia="宋体" w:cs="Times New Roman"/>
                <w:bCs/>
                <w:sz w:val="21"/>
                <w:szCs w:val="21"/>
                <w:lang w:eastAsia="zh-CN"/>
              </w:rPr>
              <w:t>非甲烷总烃</w:t>
            </w:r>
          </w:p>
        </w:tc>
        <w:tc>
          <w:tcPr>
            <w:tcW w:w="1085" w:type="pct"/>
            <w:vMerge w:val="continue"/>
            <w:vAlign w:val="center"/>
          </w:tcPr>
          <w:p>
            <w:pPr>
              <w:snapToGrid w:val="0"/>
              <w:jc w:val="center"/>
              <w:rPr>
                <w:color w:val="FF0000"/>
              </w:rPr>
            </w:pPr>
          </w:p>
        </w:tc>
        <w:tc>
          <w:tcPr>
            <w:tcW w:w="2431" w:type="pct"/>
            <w:vMerge w:val="continue"/>
            <w:vAlign w:val="center"/>
          </w:tcPr>
          <w:p>
            <w:pPr>
              <w:pStyle w:val="106"/>
              <w:rPr>
                <w:rFonts w:ascii="Times New Roman" w:hAnsi="Times New Roman" w:cs="Times New Roman"/>
                <w:bCs/>
                <w:color w:val="FF0000"/>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547" w:hRule="atLeast"/>
          <w:jc w:val="center"/>
        </w:trPr>
        <w:tc>
          <w:tcPr>
            <w:tcW w:w="400" w:type="pct"/>
            <w:vMerge w:val="continue"/>
            <w:vAlign w:val="center"/>
          </w:tcPr>
          <w:p>
            <w:pPr>
              <w:adjustRightInd w:val="0"/>
              <w:snapToGrid w:val="0"/>
              <w:jc w:val="center"/>
            </w:pPr>
          </w:p>
        </w:tc>
        <w:tc>
          <w:tcPr>
            <w:tcW w:w="331" w:type="pct"/>
            <w:vMerge w:val="continue"/>
            <w:vAlign w:val="center"/>
          </w:tcPr>
          <w:p>
            <w:pPr>
              <w:jc w:val="center"/>
              <w:rPr>
                <w:shd w:val="clear" w:color="auto" w:fill="FFFFFF"/>
              </w:rPr>
            </w:pPr>
          </w:p>
        </w:tc>
        <w:tc>
          <w:tcPr>
            <w:tcW w:w="280" w:type="pct"/>
            <w:vAlign w:val="center"/>
          </w:tcPr>
          <w:p>
            <w:pPr>
              <w:jc w:val="center"/>
              <w:rPr>
                <w:shd w:val="clear" w:color="auto" w:fill="FFFFFF"/>
              </w:rPr>
            </w:pPr>
            <w:r>
              <w:rPr>
                <w:shd w:val="clear" w:color="auto" w:fill="FFFFFF"/>
              </w:rPr>
              <w:t>厂区内</w:t>
            </w:r>
          </w:p>
        </w:tc>
        <w:tc>
          <w:tcPr>
            <w:tcW w:w="472" w:type="pct"/>
            <w:vAlign w:val="center"/>
          </w:tcPr>
          <w:p>
            <w:pPr>
              <w:pStyle w:val="470"/>
              <w:adjustRightInd/>
              <w:spacing w:before="120" w:after="120" w:line="240" w:lineRule="auto"/>
              <w:rPr>
                <w:rFonts w:ascii="Times New Roman" w:hAnsi="Times New Roman" w:eastAsia="宋体" w:cs="Times New Roman"/>
                <w:sz w:val="21"/>
                <w:szCs w:val="21"/>
              </w:rPr>
            </w:pPr>
            <w:r>
              <w:rPr>
                <w:rFonts w:ascii="Times New Roman" w:hAnsi="Times New Roman" w:eastAsia="宋体" w:cs="Times New Roman"/>
                <w:sz w:val="21"/>
                <w:szCs w:val="21"/>
              </w:rPr>
              <w:t>NMHC</w:t>
            </w:r>
          </w:p>
        </w:tc>
        <w:tc>
          <w:tcPr>
            <w:tcW w:w="1085" w:type="pct"/>
            <w:vAlign w:val="center"/>
          </w:tcPr>
          <w:p>
            <w:pPr>
              <w:snapToGrid w:val="0"/>
              <w:jc w:val="center"/>
              <w:rPr>
                <w:color w:val="FF0000"/>
              </w:rPr>
            </w:pPr>
            <w:r>
              <w:t>提高工序密闭性，加强车间通风换气</w:t>
            </w:r>
          </w:p>
        </w:tc>
        <w:tc>
          <w:tcPr>
            <w:tcW w:w="2431" w:type="pct"/>
            <w:vAlign w:val="center"/>
          </w:tcPr>
          <w:p>
            <w:pPr>
              <w:pStyle w:val="106"/>
              <w:rPr>
                <w:rFonts w:ascii="Times New Roman" w:hAnsi="Times New Roman" w:cs="Times New Roman"/>
                <w:bCs/>
                <w:color w:val="auto"/>
                <w:sz w:val="21"/>
                <w:szCs w:val="21"/>
              </w:rPr>
            </w:pPr>
            <w:r>
              <w:rPr>
                <w:rFonts w:ascii="Times New Roman" w:hAnsi="Times New Roman" w:cs="Times New Roman"/>
                <w:bCs/>
                <w:color w:val="auto"/>
                <w:sz w:val="21"/>
                <w:szCs w:val="21"/>
              </w:rPr>
              <w:t>广东省《固定污染源挥发性有机物综合排放标准》（DB44/2367-2022）表3厂区内VOCs无组织排放限值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400" w:type="pct"/>
            <w:vMerge w:val="restart"/>
            <w:vAlign w:val="center"/>
          </w:tcPr>
          <w:p>
            <w:pPr>
              <w:adjustRightInd w:val="0"/>
              <w:snapToGrid w:val="0"/>
              <w:jc w:val="center"/>
            </w:pPr>
            <w:r>
              <w:t>地表水环境</w:t>
            </w:r>
          </w:p>
        </w:tc>
        <w:tc>
          <w:tcPr>
            <w:tcW w:w="611" w:type="pct"/>
            <w:gridSpan w:val="2"/>
            <w:vMerge w:val="restart"/>
            <w:vAlign w:val="center"/>
          </w:tcPr>
          <w:p>
            <w:pPr>
              <w:snapToGrid w:val="0"/>
              <w:jc w:val="center"/>
              <w:rPr>
                <w:bCs/>
              </w:rPr>
            </w:pPr>
            <w:r>
              <w:rPr>
                <w:bCs/>
              </w:rPr>
              <w:t>生活污水</w:t>
            </w:r>
          </w:p>
        </w:tc>
        <w:tc>
          <w:tcPr>
            <w:tcW w:w="472" w:type="pct"/>
            <w:vAlign w:val="center"/>
          </w:tcPr>
          <w:p>
            <w:pPr>
              <w:snapToGrid w:val="0"/>
              <w:jc w:val="center"/>
            </w:pPr>
            <w:r>
              <w:rPr>
                <w:bCs/>
              </w:rPr>
              <w:t>COD</w:t>
            </w:r>
            <w:r>
              <w:rPr>
                <w:bCs/>
                <w:vertAlign w:val="subscript"/>
              </w:rPr>
              <w:t>Cr</w:t>
            </w:r>
          </w:p>
        </w:tc>
        <w:tc>
          <w:tcPr>
            <w:tcW w:w="1085" w:type="pct"/>
            <w:vMerge w:val="restart"/>
            <w:vAlign w:val="center"/>
          </w:tcPr>
          <w:p>
            <w:pPr>
              <w:adjustRightInd w:val="0"/>
              <w:snapToGrid w:val="0"/>
              <w:jc w:val="center"/>
              <w:rPr>
                <w:color w:val="FF0000"/>
              </w:rPr>
            </w:pPr>
            <w:r>
              <w:t>经隔油隔渣池、三级化粪池预处理后经市政管网排入</w:t>
            </w:r>
            <w:r>
              <w:rPr>
                <w:rFonts w:hint="eastAsia"/>
              </w:rPr>
              <w:t>杨侨镇生活污水处理厂</w:t>
            </w:r>
            <w:r>
              <w:t>处理</w:t>
            </w:r>
          </w:p>
        </w:tc>
        <w:tc>
          <w:tcPr>
            <w:tcW w:w="2431" w:type="pct"/>
            <w:vMerge w:val="restart"/>
            <w:vAlign w:val="center"/>
          </w:tcPr>
          <w:p>
            <w:pPr>
              <w:adjustRightInd w:val="0"/>
              <w:snapToGrid w:val="0"/>
              <w:jc w:val="center"/>
              <w:rPr>
                <w:color w:val="FF0000"/>
              </w:rPr>
            </w:pPr>
            <w:r>
              <w:rPr>
                <w:rFonts w:hint="eastAsia"/>
                <w:bCs/>
                <w:szCs w:val="21"/>
              </w:rPr>
              <w:t>广东省《水污染物排放限值》（DB44/26-2001）第二时段一级标准与《城镇污水处理厂污染物排放标准》（GB18918-2002）中的一级A标准两者较严值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400" w:type="pct"/>
            <w:vMerge w:val="continue"/>
            <w:vAlign w:val="center"/>
          </w:tcPr>
          <w:p>
            <w:pPr>
              <w:snapToGrid w:val="0"/>
              <w:jc w:val="center"/>
            </w:pPr>
          </w:p>
        </w:tc>
        <w:tc>
          <w:tcPr>
            <w:tcW w:w="611" w:type="pct"/>
            <w:gridSpan w:val="2"/>
            <w:vMerge w:val="continue"/>
            <w:vAlign w:val="center"/>
          </w:tcPr>
          <w:p>
            <w:pPr>
              <w:snapToGrid w:val="0"/>
              <w:jc w:val="center"/>
            </w:pPr>
          </w:p>
        </w:tc>
        <w:tc>
          <w:tcPr>
            <w:tcW w:w="472" w:type="pct"/>
            <w:vAlign w:val="center"/>
          </w:tcPr>
          <w:p>
            <w:pPr>
              <w:snapToGrid w:val="0"/>
              <w:jc w:val="center"/>
            </w:pPr>
            <w:r>
              <w:rPr>
                <w:bCs/>
              </w:rPr>
              <w:t>BOD</w:t>
            </w:r>
            <w:r>
              <w:rPr>
                <w:bCs/>
                <w:vertAlign w:val="subscript"/>
              </w:rPr>
              <w:t>5</w:t>
            </w:r>
          </w:p>
        </w:tc>
        <w:tc>
          <w:tcPr>
            <w:tcW w:w="1085" w:type="pct"/>
            <w:vMerge w:val="continue"/>
            <w:vAlign w:val="center"/>
          </w:tcPr>
          <w:p>
            <w:pPr>
              <w:snapToGrid w:val="0"/>
              <w:jc w:val="center"/>
              <w:rPr>
                <w:color w:val="FF0000"/>
              </w:rPr>
            </w:pPr>
          </w:p>
        </w:tc>
        <w:tc>
          <w:tcPr>
            <w:tcW w:w="2431" w:type="pct"/>
            <w:vMerge w:val="continue"/>
            <w:vAlign w:val="center"/>
          </w:tcPr>
          <w:p>
            <w:pPr>
              <w:snapToGrid w:val="0"/>
              <w:jc w:val="center"/>
              <w:rPr>
                <w:color w:val="FF000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400" w:type="pct"/>
            <w:vMerge w:val="continue"/>
            <w:vAlign w:val="center"/>
          </w:tcPr>
          <w:p>
            <w:pPr>
              <w:snapToGrid w:val="0"/>
              <w:jc w:val="center"/>
            </w:pPr>
          </w:p>
        </w:tc>
        <w:tc>
          <w:tcPr>
            <w:tcW w:w="611" w:type="pct"/>
            <w:gridSpan w:val="2"/>
            <w:vMerge w:val="continue"/>
            <w:vAlign w:val="center"/>
          </w:tcPr>
          <w:p>
            <w:pPr>
              <w:snapToGrid w:val="0"/>
              <w:jc w:val="center"/>
            </w:pPr>
          </w:p>
        </w:tc>
        <w:tc>
          <w:tcPr>
            <w:tcW w:w="472" w:type="pct"/>
            <w:vAlign w:val="center"/>
          </w:tcPr>
          <w:p>
            <w:pPr>
              <w:snapToGrid w:val="0"/>
              <w:jc w:val="center"/>
            </w:pPr>
            <w:r>
              <w:rPr>
                <w:bCs/>
              </w:rPr>
              <w:t>SS</w:t>
            </w:r>
          </w:p>
        </w:tc>
        <w:tc>
          <w:tcPr>
            <w:tcW w:w="1085" w:type="pct"/>
            <w:vMerge w:val="continue"/>
            <w:vAlign w:val="center"/>
          </w:tcPr>
          <w:p>
            <w:pPr>
              <w:snapToGrid w:val="0"/>
              <w:jc w:val="center"/>
              <w:rPr>
                <w:color w:val="FF0000"/>
              </w:rPr>
            </w:pPr>
          </w:p>
        </w:tc>
        <w:tc>
          <w:tcPr>
            <w:tcW w:w="2431" w:type="pct"/>
            <w:vMerge w:val="continue"/>
            <w:vAlign w:val="center"/>
          </w:tcPr>
          <w:p>
            <w:pPr>
              <w:snapToGrid w:val="0"/>
              <w:jc w:val="center"/>
              <w:rPr>
                <w:color w:val="FF000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400" w:type="pct"/>
            <w:vMerge w:val="continue"/>
            <w:vAlign w:val="center"/>
          </w:tcPr>
          <w:p>
            <w:pPr>
              <w:snapToGrid w:val="0"/>
              <w:jc w:val="center"/>
            </w:pPr>
          </w:p>
        </w:tc>
        <w:tc>
          <w:tcPr>
            <w:tcW w:w="611" w:type="pct"/>
            <w:gridSpan w:val="2"/>
            <w:vMerge w:val="continue"/>
            <w:vAlign w:val="center"/>
          </w:tcPr>
          <w:p>
            <w:pPr>
              <w:snapToGrid w:val="0"/>
              <w:jc w:val="center"/>
            </w:pPr>
          </w:p>
        </w:tc>
        <w:tc>
          <w:tcPr>
            <w:tcW w:w="472" w:type="pct"/>
            <w:vAlign w:val="center"/>
          </w:tcPr>
          <w:p>
            <w:pPr>
              <w:snapToGrid w:val="0"/>
              <w:jc w:val="center"/>
            </w:pPr>
            <w:r>
              <w:rPr>
                <w:bCs/>
              </w:rPr>
              <w:t>氨氮</w:t>
            </w:r>
          </w:p>
        </w:tc>
        <w:tc>
          <w:tcPr>
            <w:tcW w:w="1085" w:type="pct"/>
            <w:vMerge w:val="continue"/>
            <w:vAlign w:val="center"/>
          </w:tcPr>
          <w:p>
            <w:pPr>
              <w:snapToGrid w:val="0"/>
              <w:jc w:val="center"/>
              <w:rPr>
                <w:color w:val="FF0000"/>
              </w:rPr>
            </w:pPr>
          </w:p>
        </w:tc>
        <w:tc>
          <w:tcPr>
            <w:tcW w:w="2431" w:type="pct"/>
            <w:vMerge w:val="continue"/>
            <w:vAlign w:val="center"/>
          </w:tcPr>
          <w:p>
            <w:pPr>
              <w:snapToGrid w:val="0"/>
              <w:jc w:val="center"/>
              <w:rPr>
                <w:color w:val="FF000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400" w:type="pct"/>
            <w:vMerge w:val="continue"/>
            <w:vAlign w:val="center"/>
          </w:tcPr>
          <w:p>
            <w:pPr>
              <w:snapToGrid w:val="0"/>
              <w:jc w:val="center"/>
            </w:pPr>
          </w:p>
        </w:tc>
        <w:tc>
          <w:tcPr>
            <w:tcW w:w="611" w:type="pct"/>
            <w:gridSpan w:val="2"/>
            <w:vMerge w:val="continue"/>
            <w:vAlign w:val="center"/>
          </w:tcPr>
          <w:p>
            <w:pPr>
              <w:snapToGrid w:val="0"/>
              <w:jc w:val="center"/>
            </w:pPr>
          </w:p>
        </w:tc>
        <w:tc>
          <w:tcPr>
            <w:tcW w:w="472" w:type="pct"/>
            <w:vAlign w:val="center"/>
          </w:tcPr>
          <w:p>
            <w:pPr>
              <w:snapToGrid w:val="0"/>
              <w:jc w:val="center"/>
            </w:pPr>
            <w:r>
              <w:rPr>
                <w:bCs/>
              </w:rPr>
              <w:t>TP</w:t>
            </w:r>
          </w:p>
        </w:tc>
        <w:tc>
          <w:tcPr>
            <w:tcW w:w="1085" w:type="pct"/>
            <w:vMerge w:val="continue"/>
            <w:vAlign w:val="center"/>
          </w:tcPr>
          <w:p>
            <w:pPr>
              <w:snapToGrid w:val="0"/>
              <w:jc w:val="center"/>
              <w:rPr>
                <w:color w:val="FF0000"/>
              </w:rPr>
            </w:pPr>
          </w:p>
        </w:tc>
        <w:tc>
          <w:tcPr>
            <w:tcW w:w="2431" w:type="pct"/>
            <w:vMerge w:val="continue"/>
            <w:vAlign w:val="center"/>
          </w:tcPr>
          <w:p>
            <w:pPr>
              <w:snapToGrid w:val="0"/>
              <w:jc w:val="center"/>
              <w:rPr>
                <w:color w:val="FF000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295" w:hRule="atLeast"/>
          <w:jc w:val="center"/>
        </w:trPr>
        <w:tc>
          <w:tcPr>
            <w:tcW w:w="400" w:type="pct"/>
            <w:vMerge w:val="continue"/>
            <w:vAlign w:val="center"/>
          </w:tcPr>
          <w:p>
            <w:pPr>
              <w:snapToGrid w:val="0"/>
              <w:jc w:val="center"/>
            </w:pPr>
          </w:p>
        </w:tc>
        <w:tc>
          <w:tcPr>
            <w:tcW w:w="611" w:type="pct"/>
            <w:gridSpan w:val="2"/>
            <w:vMerge w:val="continue"/>
            <w:vAlign w:val="center"/>
          </w:tcPr>
          <w:p>
            <w:pPr>
              <w:snapToGrid w:val="0"/>
              <w:jc w:val="center"/>
            </w:pPr>
          </w:p>
        </w:tc>
        <w:tc>
          <w:tcPr>
            <w:tcW w:w="472" w:type="pct"/>
            <w:vAlign w:val="center"/>
          </w:tcPr>
          <w:p>
            <w:pPr>
              <w:snapToGrid w:val="0"/>
              <w:jc w:val="center"/>
              <w:rPr>
                <w:bCs/>
              </w:rPr>
            </w:pPr>
            <w:r>
              <w:rPr>
                <w:rFonts w:hint="eastAsia"/>
                <w:bCs/>
              </w:rPr>
              <w:t>动植物油</w:t>
            </w:r>
          </w:p>
        </w:tc>
        <w:tc>
          <w:tcPr>
            <w:tcW w:w="1085" w:type="pct"/>
            <w:vMerge w:val="continue"/>
            <w:vAlign w:val="center"/>
          </w:tcPr>
          <w:p>
            <w:pPr>
              <w:snapToGrid w:val="0"/>
              <w:jc w:val="center"/>
              <w:rPr>
                <w:color w:val="FF0000"/>
              </w:rPr>
            </w:pPr>
          </w:p>
        </w:tc>
        <w:tc>
          <w:tcPr>
            <w:tcW w:w="2431" w:type="pct"/>
            <w:vMerge w:val="continue"/>
            <w:vAlign w:val="center"/>
          </w:tcPr>
          <w:p>
            <w:pPr>
              <w:snapToGrid w:val="0"/>
              <w:jc w:val="center"/>
              <w:rPr>
                <w:color w:val="FF000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37" w:hRule="atLeast"/>
          <w:jc w:val="center"/>
        </w:trPr>
        <w:tc>
          <w:tcPr>
            <w:tcW w:w="400" w:type="pct"/>
            <w:vAlign w:val="center"/>
          </w:tcPr>
          <w:p>
            <w:pPr>
              <w:adjustRightInd w:val="0"/>
              <w:snapToGrid w:val="0"/>
              <w:jc w:val="center"/>
            </w:pPr>
            <w:r>
              <w:t>声环境</w:t>
            </w:r>
          </w:p>
        </w:tc>
        <w:tc>
          <w:tcPr>
            <w:tcW w:w="611" w:type="pct"/>
            <w:gridSpan w:val="2"/>
            <w:vAlign w:val="center"/>
          </w:tcPr>
          <w:p>
            <w:pPr>
              <w:snapToGrid w:val="0"/>
              <w:jc w:val="center"/>
            </w:pPr>
            <w:r>
              <w:t>机械设备</w:t>
            </w:r>
          </w:p>
        </w:tc>
        <w:tc>
          <w:tcPr>
            <w:tcW w:w="472" w:type="pct"/>
            <w:vAlign w:val="center"/>
          </w:tcPr>
          <w:p>
            <w:pPr>
              <w:snapToGrid w:val="0"/>
              <w:jc w:val="center"/>
            </w:pPr>
            <w:r>
              <w:t>噪声</w:t>
            </w:r>
          </w:p>
        </w:tc>
        <w:tc>
          <w:tcPr>
            <w:tcW w:w="1085" w:type="pct"/>
            <w:vAlign w:val="center"/>
          </w:tcPr>
          <w:p>
            <w:pPr>
              <w:snapToGrid w:val="0"/>
              <w:jc w:val="center"/>
            </w:pPr>
            <w:r>
              <w:t>采取优化布局、设备合理布置、隔音和减振等措施</w:t>
            </w:r>
          </w:p>
        </w:tc>
        <w:tc>
          <w:tcPr>
            <w:tcW w:w="2431" w:type="pct"/>
            <w:vAlign w:val="center"/>
          </w:tcPr>
          <w:p>
            <w:pPr>
              <w:snapToGrid w:val="0"/>
              <w:jc w:val="center"/>
            </w:pPr>
            <w:r>
              <w:rPr>
                <w:szCs w:val="21"/>
              </w:rPr>
              <w:t>《工业企业厂界环境噪声排放标准》（GB12348-2008）</w:t>
            </w:r>
            <w:r>
              <w:rPr>
                <w:rFonts w:hint="eastAsia"/>
                <w:szCs w:val="21"/>
              </w:rPr>
              <w:t>3</w:t>
            </w:r>
            <w:r>
              <w:rPr>
                <w:szCs w:val="21"/>
              </w:rPr>
              <w:t>类标准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3" w:hRule="atLeast"/>
          <w:jc w:val="center"/>
        </w:trPr>
        <w:tc>
          <w:tcPr>
            <w:tcW w:w="400" w:type="pct"/>
            <w:vAlign w:val="center"/>
          </w:tcPr>
          <w:p>
            <w:pPr>
              <w:adjustRightInd w:val="0"/>
              <w:snapToGrid w:val="0"/>
              <w:jc w:val="center"/>
            </w:pPr>
            <w:r>
              <w:t>电磁辐射</w:t>
            </w:r>
          </w:p>
        </w:tc>
        <w:tc>
          <w:tcPr>
            <w:tcW w:w="611" w:type="pct"/>
            <w:gridSpan w:val="2"/>
            <w:vAlign w:val="center"/>
          </w:tcPr>
          <w:p>
            <w:pPr>
              <w:adjustRightInd w:val="0"/>
              <w:snapToGrid w:val="0"/>
              <w:jc w:val="center"/>
            </w:pPr>
            <w:r>
              <w:t>/</w:t>
            </w:r>
          </w:p>
        </w:tc>
        <w:tc>
          <w:tcPr>
            <w:tcW w:w="472" w:type="pct"/>
            <w:vAlign w:val="center"/>
          </w:tcPr>
          <w:p>
            <w:pPr>
              <w:adjustRightInd w:val="0"/>
              <w:snapToGrid w:val="0"/>
              <w:jc w:val="center"/>
            </w:pPr>
            <w:r>
              <w:t>/</w:t>
            </w:r>
          </w:p>
        </w:tc>
        <w:tc>
          <w:tcPr>
            <w:tcW w:w="1085" w:type="pct"/>
            <w:vAlign w:val="center"/>
          </w:tcPr>
          <w:p>
            <w:pPr>
              <w:adjustRightInd w:val="0"/>
              <w:snapToGrid w:val="0"/>
              <w:jc w:val="center"/>
            </w:pPr>
            <w:r>
              <w:t>/</w:t>
            </w:r>
          </w:p>
        </w:tc>
        <w:tc>
          <w:tcPr>
            <w:tcW w:w="2431" w:type="pct"/>
            <w:vAlign w:val="center"/>
          </w:tcPr>
          <w:p>
            <w:pPr>
              <w:adjustRightInd w:val="0"/>
              <w:snapToGrid w:val="0"/>
              <w:jc w:val="center"/>
            </w:pPr>
            <w: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29" w:hRule="atLeast"/>
          <w:jc w:val="center"/>
        </w:trPr>
        <w:tc>
          <w:tcPr>
            <w:tcW w:w="400" w:type="pct"/>
            <w:vAlign w:val="center"/>
          </w:tcPr>
          <w:p>
            <w:pPr>
              <w:adjustRightInd w:val="0"/>
              <w:snapToGrid w:val="0"/>
              <w:jc w:val="center"/>
            </w:pPr>
            <w:r>
              <w:t>固体废物</w:t>
            </w:r>
          </w:p>
        </w:tc>
        <w:tc>
          <w:tcPr>
            <w:tcW w:w="4599" w:type="pct"/>
            <w:gridSpan w:val="5"/>
            <w:vAlign w:val="center"/>
          </w:tcPr>
          <w:p>
            <w:pPr>
              <w:adjustRightInd w:val="0"/>
              <w:snapToGrid w:val="0"/>
              <w:jc w:val="center"/>
              <w:rPr>
                <w:color w:val="auto"/>
              </w:rPr>
            </w:pPr>
            <w:r>
              <w:rPr>
                <w:color w:val="auto"/>
              </w:rPr>
              <w:t>项目产生的生活垃圾交由环卫部门统一</w:t>
            </w:r>
            <w:r>
              <w:rPr>
                <w:rFonts w:hint="eastAsia"/>
                <w:bCs/>
                <w:color w:val="auto"/>
                <w:szCs w:val="21"/>
              </w:rPr>
              <w:t>清运处理；布袋除尘器收集粉尘、废包装材料收集后交由专业公司回收处理；废活性炭、废机油、废机油桶、废抹布和废手套分类收集后交由有危险废物处理资质单位处置。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00" w:type="pct"/>
            <w:vAlign w:val="center"/>
          </w:tcPr>
          <w:p>
            <w:pPr>
              <w:adjustRightInd w:val="0"/>
              <w:snapToGrid w:val="0"/>
              <w:jc w:val="center"/>
            </w:pPr>
            <w:r>
              <w:t>土壤及地下水污染防治措施</w:t>
            </w:r>
          </w:p>
        </w:tc>
        <w:tc>
          <w:tcPr>
            <w:tcW w:w="4599" w:type="pct"/>
            <w:gridSpan w:val="5"/>
            <w:vAlign w:val="center"/>
          </w:tcPr>
          <w:p>
            <w:pPr>
              <w:adjustRightInd w:val="0"/>
              <w:snapToGrid w:val="0"/>
              <w:jc w:val="center"/>
              <w:rPr>
                <w:color w:val="auto"/>
              </w:rPr>
            </w:pPr>
            <w:r>
              <w:rPr>
                <w:color w:val="auto"/>
              </w:rPr>
              <w:t>厂区内应进行硬底化处理，按要求做好防渗措施；生产车间按一般防渗区要求采取防渗措施。</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00" w:type="pct"/>
            <w:vAlign w:val="center"/>
          </w:tcPr>
          <w:p>
            <w:pPr>
              <w:adjustRightInd w:val="0"/>
              <w:snapToGrid w:val="0"/>
              <w:jc w:val="center"/>
            </w:pPr>
            <w:r>
              <w:t>生态保护措施</w:t>
            </w:r>
          </w:p>
        </w:tc>
        <w:tc>
          <w:tcPr>
            <w:tcW w:w="4599" w:type="pct"/>
            <w:gridSpan w:val="5"/>
            <w:vAlign w:val="center"/>
          </w:tcPr>
          <w:p>
            <w:pPr>
              <w:adjustRightInd w:val="0"/>
              <w:snapToGrid w:val="0"/>
              <w:jc w:val="center"/>
            </w:pPr>
            <w:r>
              <w:t>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400" w:type="pct"/>
            <w:vAlign w:val="center"/>
          </w:tcPr>
          <w:p>
            <w:pPr>
              <w:adjustRightInd w:val="0"/>
              <w:snapToGrid w:val="0"/>
              <w:jc w:val="center"/>
              <w:rPr>
                <w:spacing w:val="-8"/>
              </w:rPr>
            </w:pPr>
            <w:r>
              <w:rPr>
                <w:spacing w:val="-8"/>
              </w:rPr>
              <w:t>环境风险</w:t>
            </w:r>
          </w:p>
          <w:p>
            <w:pPr>
              <w:adjustRightInd w:val="0"/>
              <w:snapToGrid w:val="0"/>
              <w:jc w:val="center"/>
              <w:rPr>
                <w:spacing w:val="-8"/>
              </w:rPr>
            </w:pPr>
            <w:r>
              <w:rPr>
                <w:spacing w:val="-8"/>
              </w:rPr>
              <w:t>防范措施</w:t>
            </w:r>
          </w:p>
        </w:tc>
        <w:tc>
          <w:tcPr>
            <w:tcW w:w="4599" w:type="pct"/>
            <w:gridSpan w:val="5"/>
            <w:vAlign w:val="center"/>
          </w:tcPr>
          <w:p>
            <w:pPr>
              <w:adjustRightInd w:val="0"/>
              <w:snapToGrid w:val="0"/>
            </w:pPr>
            <w:r>
              <w:t>强化防火主观意识、建立健全防火安全规章制度并严格执行、消除着火源、包装材料的贮存要符合消防安全要求。防范火灾环境事故的发生。强化安全生产及环境保护意识的教育，提高职工的素质，加强操作人员的上岗前的培训，进行安全生产、消防、环保、工业卫生等方面的技术培训教育；定期检查安全消防设施的完好性，确保其处于即用状态，以备在事故发生时，能及时、高效率的发挥作用；定期维护废气、废水治理设施。</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400" w:type="pct"/>
            <w:vAlign w:val="center"/>
          </w:tcPr>
          <w:p>
            <w:pPr>
              <w:adjustRightInd w:val="0"/>
              <w:snapToGrid w:val="0"/>
              <w:jc w:val="center"/>
              <w:rPr>
                <w:spacing w:val="-8"/>
              </w:rPr>
            </w:pPr>
            <w:r>
              <w:rPr>
                <w:spacing w:val="-8"/>
              </w:rPr>
              <w:t>其他环境</w:t>
            </w:r>
          </w:p>
          <w:p>
            <w:pPr>
              <w:adjustRightInd w:val="0"/>
              <w:snapToGrid w:val="0"/>
              <w:jc w:val="center"/>
              <w:rPr>
                <w:spacing w:val="-8"/>
              </w:rPr>
            </w:pPr>
            <w:r>
              <w:rPr>
                <w:spacing w:val="-8"/>
              </w:rPr>
              <w:t>管理要求</w:t>
            </w:r>
          </w:p>
        </w:tc>
        <w:tc>
          <w:tcPr>
            <w:tcW w:w="4599" w:type="pct"/>
            <w:gridSpan w:val="5"/>
            <w:vAlign w:val="center"/>
          </w:tcPr>
          <w:p>
            <w:pPr>
              <w:adjustRightInd w:val="0"/>
              <w:snapToGrid w:val="0"/>
            </w:pPr>
            <w:r>
              <w:t>/</w:t>
            </w:r>
          </w:p>
        </w:tc>
      </w:tr>
    </w:tbl>
    <w:p>
      <w:pPr>
        <w:pStyle w:val="85"/>
        <w:jc w:val="center"/>
        <w:outlineLvl w:val="0"/>
        <w:rPr>
          <w:rFonts w:ascii="Times New Roman" w:hAnsi="Times New Roman"/>
          <w:snapToGrid w:val="0"/>
          <w:sz w:val="30"/>
          <w:szCs w:val="30"/>
        </w:rPr>
      </w:pPr>
      <w:r>
        <w:rPr>
          <w:rFonts w:ascii="Times New Roman" w:hAnsi="Times New Roman"/>
          <w:snapToGrid w:val="0"/>
          <w:color w:val="000000" w:themeColor="text1"/>
          <w14:textFill>
            <w14:solidFill>
              <w14:schemeClr w14:val="tx1"/>
            </w14:solidFill>
          </w14:textFill>
        </w:rPr>
        <w:br w:type="page"/>
      </w:r>
      <w:r>
        <w:rPr>
          <w:rFonts w:hint="eastAsia" w:ascii="Times New Roman" w:hAnsi="Times New Roman"/>
          <w:snapToGrid w:val="0"/>
          <w:sz w:val="30"/>
          <w:szCs w:val="30"/>
        </w:rPr>
        <w:t>六、结论</w:t>
      </w:r>
    </w:p>
    <w:tbl>
      <w:tblPr>
        <w:tblStyle w:val="92"/>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9962"/>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991" w:hRule="atLeast"/>
          <w:jc w:val="center"/>
        </w:trPr>
        <w:tc>
          <w:tcPr>
            <w:tcW w:w="5000" w:type="pct"/>
            <w:vAlign w:val="center"/>
          </w:tcPr>
          <w:p>
            <w:pPr>
              <w:spacing w:line="360" w:lineRule="auto"/>
              <w:jc w:val="center"/>
              <w:rPr>
                <w:rFonts w:cs="宋体"/>
                <w:sz w:val="24"/>
              </w:rPr>
            </w:pPr>
            <w:r>
              <w:rPr>
                <w:rFonts w:hint="eastAsia" w:cs="宋体"/>
                <w:spacing w:val="-4"/>
              </w:rPr>
              <w:t>综上所述，该项目从环境保护角度分析是可行的。</w:t>
            </w:r>
          </w:p>
        </w:tc>
      </w:tr>
    </w:tbl>
    <w:p>
      <w:pPr>
        <w:rPr>
          <w:color w:val="000000" w:themeColor="text1"/>
          <w14:textFill>
            <w14:solidFill>
              <w14:schemeClr w14:val="tx1"/>
            </w14:solidFill>
          </w14:textFill>
        </w:rPr>
        <w:sectPr>
          <w:pgSz w:w="11906" w:h="16838"/>
          <w:pgMar w:top="1440" w:right="1080" w:bottom="1440" w:left="1080" w:header="851" w:footer="851" w:gutter="0"/>
          <w:pgBorders>
            <w:top w:val="none" w:sz="0" w:space="0"/>
            <w:left w:val="none" w:sz="0" w:space="0"/>
            <w:bottom w:val="none" w:sz="0" w:space="0"/>
            <w:right w:val="none" w:sz="0" w:space="0"/>
          </w:pgBorders>
          <w:cols w:space="720" w:num="1"/>
          <w:docGrid w:linePitch="312" w:charSpace="0"/>
        </w:sectPr>
      </w:pPr>
    </w:p>
    <w:p>
      <w:pPr>
        <w:pStyle w:val="85"/>
        <w:adjustRightInd w:val="0"/>
        <w:snapToGrid w:val="0"/>
        <w:spacing w:before="0" w:beforeAutospacing="0" w:after="0" w:afterAutospacing="0"/>
        <w:outlineLvl w:val="0"/>
        <w:rPr>
          <w:rFonts w:ascii="Times New Roman" w:hAnsi="Times New Roman"/>
          <w:snapToGrid w:val="0"/>
          <w:color w:val="000000" w:themeColor="text1"/>
          <w:sz w:val="32"/>
          <w:szCs w:val="32"/>
          <w14:textFill>
            <w14:solidFill>
              <w14:schemeClr w14:val="tx1"/>
            </w14:solidFill>
          </w14:textFill>
        </w:rPr>
      </w:pPr>
      <w:r>
        <w:rPr>
          <w:rFonts w:hint="eastAsia" w:ascii="Times New Roman" w:hAnsi="Times New Roman"/>
          <w:snapToGrid w:val="0"/>
          <w:color w:val="000000" w:themeColor="text1"/>
          <w:sz w:val="32"/>
          <w:szCs w:val="32"/>
          <w14:textFill>
            <w14:solidFill>
              <w14:schemeClr w14:val="tx1"/>
            </w14:solidFill>
          </w14:textFill>
        </w:rPr>
        <w:t>附表</w:t>
      </w:r>
    </w:p>
    <w:p>
      <w:pPr>
        <w:pStyle w:val="85"/>
        <w:adjustRightInd w:val="0"/>
        <w:snapToGrid w:val="0"/>
        <w:spacing w:before="0" w:beforeAutospacing="0" w:after="0" w:afterAutospacing="0"/>
        <w:jc w:val="center"/>
        <w:outlineLvl w:val="0"/>
        <w:rPr>
          <w:rFonts w:ascii="Times New Roman" w:hAnsi="Times New Roman"/>
          <w:snapToGrid w:val="0"/>
          <w:color w:val="000000" w:themeColor="text1"/>
          <w:sz w:val="38"/>
          <w:szCs w:val="38"/>
          <w14:textFill>
            <w14:solidFill>
              <w14:schemeClr w14:val="tx1"/>
            </w14:solidFill>
          </w14:textFill>
        </w:rPr>
      </w:pPr>
      <w:r>
        <w:rPr>
          <w:rFonts w:hint="eastAsia" w:ascii="Times New Roman" w:hAnsi="Times New Roman"/>
          <w:snapToGrid w:val="0"/>
          <w:color w:val="000000" w:themeColor="text1"/>
          <w:sz w:val="38"/>
          <w:szCs w:val="38"/>
          <w14:textFill>
            <w14:solidFill>
              <w14:schemeClr w14:val="tx1"/>
            </w14:solidFill>
          </w14:textFill>
        </w:rPr>
        <w:t>建设项目污染物排放量汇总表</w:t>
      </w:r>
    </w:p>
    <w:tbl>
      <w:tblPr>
        <w:tblStyle w:val="92"/>
        <w:tblW w:w="4997"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138"/>
        <w:gridCol w:w="866"/>
        <w:gridCol w:w="1579"/>
        <w:gridCol w:w="1376"/>
        <w:gridCol w:w="1124"/>
        <w:gridCol w:w="1730"/>
        <w:gridCol w:w="1585"/>
        <w:gridCol w:w="1646"/>
        <w:gridCol w:w="1620"/>
        <w:gridCol w:w="1811"/>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393" w:type="pct"/>
            <w:tcBorders>
              <w:tl2br w:val="single" w:color="auto" w:sz="4" w:space="0"/>
            </w:tcBorders>
            <w:tcMar>
              <w:left w:w="28" w:type="dxa"/>
              <w:right w:w="28" w:type="dxa"/>
            </w:tcMar>
            <w:vAlign w:val="center"/>
          </w:tcPr>
          <w:p>
            <w:pPr>
              <w:pStyle w:val="198"/>
              <w:spacing w:beforeLines="0" w:afterLines="0" w:line="240" w:lineRule="auto"/>
              <w:jc w:val="right"/>
              <w:rPr>
                <w:rFonts w:ascii="Times New Roman" w:hAnsi="Times New Roman" w:eastAsia="宋体" w:cs="Times New Roman"/>
                <w:snapToGrid w:val="0"/>
                <w:spacing w:val="-6"/>
                <w:kern w:val="21"/>
                <w:szCs w:val="21"/>
              </w:rPr>
            </w:pPr>
            <w:r>
              <w:rPr>
                <w:rFonts w:ascii="Times New Roman" w:hAnsi="Times New Roman" w:eastAsia="宋体" w:cs="Times New Roman"/>
                <w:snapToGrid w:val="0"/>
                <w:spacing w:val="-6"/>
                <w:kern w:val="21"/>
                <w:szCs w:val="21"/>
              </w:rPr>
              <w:t>项目</w:t>
            </w:r>
          </w:p>
          <w:p>
            <w:pPr>
              <w:pStyle w:val="198"/>
              <w:spacing w:beforeLines="0" w:afterLines="0" w:line="240" w:lineRule="auto"/>
              <w:jc w:val="left"/>
              <w:rPr>
                <w:rFonts w:ascii="Times New Roman" w:hAnsi="Times New Roman" w:eastAsia="宋体" w:cs="Times New Roman"/>
                <w:snapToGrid w:val="0"/>
                <w:spacing w:val="-6"/>
                <w:kern w:val="21"/>
                <w:szCs w:val="21"/>
              </w:rPr>
            </w:pPr>
            <w:r>
              <w:rPr>
                <w:rFonts w:ascii="Times New Roman" w:hAnsi="Times New Roman" w:eastAsia="宋体" w:cs="Times New Roman"/>
                <w:snapToGrid w:val="0"/>
                <w:spacing w:val="-6"/>
                <w:kern w:val="21"/>
                <w:szCs w:val="21"/>
              </w:rPr>
              <w:t>分类</w:t>
            </w:r>
          </w:p>
        </w:tc>
        <w:tc>
          <w:tcPr>
            <w:tcW w:w="844" w:type="pct"/>
            <w:gridSpan w:val="2"/>
            <w:tcMar>
              <w:left w:w="28" w:type="dxa"/>
              <w:right w:w="28" w:type="dxa"/>
            </w:tcMar>
            <w:vAlign w:val="center"/>
          </w:tcPr>
          <w:p>
            <w:pPr>
              <w:pStyle w:val="198"/>
              <w:spacing w:beforeLines="0" w:afterLines="0" w:line="240" w:lineRule="auto"/>
              <w:rPr>
                <w:rFonts w:ascii="Times New Roman" w:hAnsi="Times New Roman" w:eastAsia="宋体" w:cs="Times New Roman"/>
                <w:snapToGrid w:val="0"/>
                <w:spacing w:val="-6"/>
                <w:kern w:val="21"/>
                <w:szCs w:val="21"/>
              </w:rPr>
            </w:pPr>
            <w:r>
              <w:rPr>
                <w:rFonts w:ascii="Times New Roman" w:hAnsi="Times New Roman" w:eastAsia="宋体" w:cs="Times New Roman"/>
                <w:snapToGrid w:val="0"/>
                <w:spacing w:val="-6"/>
                <w:kern w:val="21"/>
                <w:szCs w:val="21"/>
              </w:rPr>
              <w:t>污染物名称</w:t>
            </w:r>
          </w:p>
        </w:tc>
        <w:tc>
          <w:tcPr>
            <w:tcW w:w="475" w:type="pct"/>
            <w:tcMar>
              <w:left w:w="28" w:type="dxa"/>
              <w:right w:w="28" w:type="dxa"/>
            </w:tcMar>
            <w:vAlign w:val="center"/>
          </w:tcPr>
          <w:p>
            <w:pPr>
              <w:pStyle w:val="198"/>
              <w:spacing w:beforeLines="0" w:afterLines="0" w:line="240" w:lineRule="auto"/>
              <w:rPr>
                <w:rFonts w:ascii="Times New Roman" w:hAnsi="Times New Roman" w:eastAsia="宋体" w:cs="Times New Roman"/>
                <w:snapToGrid w:val="0"/>
                <w:spacing w:val="-6"/>
                <w:kern w:val="21"/>
                <w:szCs w:val="21"/>
              </w:rPr>
            </w:pPr>
            <w:r>
              <w:rPr>
                <w:rFonts w:ascii="Times New Roman" w:hAnsi="Times New Roman" w:eastAsia="宋体" w:cs="Times New Roman"/>
                <w:snapToGrid w:val="0"/>
                <w:spacing w:val="-6"/>
                <w:kern w:val="21"/>
                <w:szCs w:val="21"/>
              </w:rPr>
              <w:t>现有工程</w:t>
            </w:r>
          </w:p>
          <w:p>
            <w:pPr>
              <w:pStyle w:val="198"/>
              <w:spacing w:beforeLines="0" w:afterLines="0" w:line="240" w:lineRule="auto"/>
              <w:rPr>
                <w:rFonts w:ascii="Times New Roman" w:hAnsi="Times New Roman" w:eastAsia="宋体" w:cs="Times New Roman"/>
                <w:snapToGrid w:val="0"/>
                <w:spacing w:val="-6"/>
                <w:kern w:val="21"/>
                <w:szCs w:val="21"/>
              </w:rPr>
            </w:pPr>
            <w:r>
              <w:rPr>
                <w:rFonts w:ascii="Times New Roman" w:hAnsi="Times New Roman" w:eastAsia="宋体" w:cs="Times New Roman"/>
                <w:snapToGrid w:val="0"/>
                <w:spacing w:val="-6"/>
                <w:kern w:val="21"/>
                <w:szCs w:val="21"/>
              </w:rPr>
              <w:t>排放量（固体废物产生量）</w:t>
            </w:r>
            <w:r>
              <w:rPr>
                <w:rFonts w:ascii="Times New Roman" w:hAnsi="Times New Roman" w:eastAsia="宋体" w:cs="Times New Roman"/>
                <w:snapToGrid w:val="0"/>
                <w:spacing w:val="-6"/>
                <w:kern w:val="21"/>
                <w:szCs w:val="21"/>
              </w:rPr>
              <w:fldChar w:fldCharType="begin"/>
            </w:r>
            <w:r>
              <w:rPr>
                <w:rFonts w:ascii="Times New Roman" w:hAnsi="Times New Roman" w:eastAsia="宋体" w:cs="Times New Roman"/>
                <w:snapToGrid w:val="0"/>
                <w:spacing w:val="-6"/>
                <w:kern w:val="21"/>
                <w:szCs w:val="21"/>
              </w:rPr>
              <w:instrText xml:space="preserve"> = 1 \* GB3 \* MERGEFORMAT </w:instrText>
            </w:r>
            <w:r>
              <w:rPr>
                <w:rFonts w:ascii="Times New Roman" w:hAnsi="Times New Roman" w:eastAsia="宋体" w:cs="Times New Roman"/>
                <w:snapToGrid w:val="0"/>
                <w:spacing w:val="-6"/>
                <w:kern w:val="21"/>
                <w:szCs w:val="21"/>
              </w:rPr>
              <w:fldChar w:fldCharType="separate"/>
            </w:r>
            <w:r>
              <w:rPr>
                <w:rFonts w:ascii="Times New Roman" w:hAnsi="Times New Roman" w:eastAsia="宋体" w:cs="Times New Roman"/>
                <w:szCs w:val="21"/>
              </w:rPr>
              <w:t>①</w:t>
            </w:r>
            <w:r>
              <w:rPr>
                <w:rFonts w:ascii="Times New Roman" w:hAnsi="Times New Roman" w:eastAsia="宋体" w:cs="Times New Roman"/>
                <w:snapToGrid w:val="0"/>
                <w:spacing w:val="-6"/>
                <w:kern w:val="21"/>
                <w:szCs w:val="21"/>
              </w:rPr>
              <w:fldChar w:fldCharType="end"/>
            </w:r>
          </w:p>
        </w:tc>
        <w:tc>
          <w:tcPr>
            <w:tcW w:w="388" w:type="pct"/>
            <w:tcMar>
              <w:left w:w="28" w:type="dxa"/>
              <w:right w:w="28" w:type="dxa"/>
            </w:tcMar>
            <w:vAlign w:val="center"/>
          </w:tcPr>
          <w:p>
            <w:pPr>
              <w:pStyle w:val="198"/>
              <w:spacing w:beforeLines="0" w:afterLines="0" w:line="240" w:lineRule="auto"/>
              <w:rPr>
                <w:rFonts w:ascii="Times New Roman" w:hAnsi="Times New Roman" w:eastAsia="宋体" w:cs="Times New Roman"/>
                <w:snapToGrid w:val="0"/>
                <w:spacing w:val="-6"/>
                <w:kern w:val="21"/>
                <w:szCs w:val="21"/>
              </w:rPr>
            </w:pPr>
            <w:r>
              <w:rPr>
                <w:rFonts w:ascii="Times New Roman" w:hAnsi="Times New Roman" w:eastAsia="宋体" w:cs="Times New Roman"/>
                <w:snapToGrid w:val="0"/>
                <w:spacing w:val="-6"/>
                <w:kern w:val="21"/>
                <w:szCs w:val="21"/>
              </w:rPr>
              <w:t>现有工程</w:t>
            </w:r>
          </w:p>
          <w:p>
            <w:pPr>
              <w:pStyle w:val="198"/>
              <w:spacing w:beforeLines="0" w:afterLines="0" w:line="240" w:lineRule="auto"/>
              <w:rPr>
                <w:rFonts w:ascii="Times New Roman" w:hAnsi="Times New Roman" w:eastAsia="宋体" w:cs="Times New Roman"/>
                <w:snapToGrid w:val="0"/>
                <w:spacing w:val="-6"/>
                <w:kern w:val="21"/>
                <w:szCs w:val="21"/>
              </w:rPr>
            </w:pPr>
            <w:r>
              <w:rPr>
                <w:rFonts w:ascii="Times New Roman" w:hAnsi="Times New Roman" w:eastAsia="宋体" w:cs="Times New Roman"/>
                <w:snapToGrid w:val="0"/>
                <w:spacing w:val="-6"/>
                <w:kern w:val="21"/>
                <w:szCs w:val="21"/>
              </w:rPr>
              <w:t>许可排放量</w:t>
            </w:r>
          </w:p>
          <w:p>
            <w:pPr>
              <w:pStyle w:val="198"/>
              <w:spacing w:beforeLines="0" w:afterLines="0" w:line="240" w:lineRule="auto"/>
              <w:rPr>
                <w:rFonts w:ascii="Times New Roman" w:hAnsi="Times New Roman" w:eastAsia="宋体" w:cs="Times New Roman"/>
                <w:snapToGrid w:val="0"/>
                <w:spacing w:val="-6"/>
                <w:kern w:val="21"/>
                <w:szCs w:val="21"/>
              </w:rPr>
            </w:pPr>
            <w:r>
              <w:rPr>
                <w:rFonts w:ascii="Times New Roman" w:hAnsi="Times New Roman" w:eastAsia="宋体" w:cs="Times New Roman"/>
                <w:snapToGrid w:val="0"/>
                <w:spacing w:val="-6"/>
                <w:kern w:val="21"/>
                <w:szCs w:val="21"/>
              </w:rPr>
              <w:fldChar w:fldCharType="begin"/>
            </w:r>
            <w:r>
              <w:rPr>
                <w:rFonts w:ascii="Times New Roman" w:hAnsi="Times New Roman" w:eastAsia="宋体" w:cs="Times New Roman"/>
                <w:snapToGrid w:val="0"/>
                <w:spacing w:val="-6"/>
                <w:kern w:val="21"/>
                <w:szCs w:val="21"/>
              </w:rPr>
              <w:instrText xml:space="preserve"> = 2 \* GB3 \* MERGEFORMAT </w:instrText>
            </w:r>
            <w:r>
              <w:rPr>
                <w:rFonts w:ascii="Times New Roman" w:hAnsi="Times New Roman" w:eastAsia="宋体" w:cs="Times New Roman"/>
                <w:snapToGrid w:val="0"/>
                <w:spacing w:val="-6"/>
                <w:kern w:val="21"/>
                <w:szCs w:val="21"/>
              </w:rPr>
              <w:fldChar w:fldCharType="separate"/>
            </w:r>
            <w:r>
              <w:rPr>
                <w:rFonts w:ascii="Times New Roman" w:hAnsi="Times New Roman" w:eastAsia="宋体" w:cs="Times New Roman"/>
                <w:snapToGrid w:val="0"/>
                <w:spacing w:val="-6"/>
                <w:kern w:val="21"/>
                <w:szCs w:val="21"/>
              </w:rPr>
              <w:t>②</w:t>
            </w:r>
            <w:r>
              <w:rPr>
                <w:rFonts w:ascii="Times New Roman" w:hAnsi="Times New Roman" w:eastAsia="宋体" w:cs="Times New Roman"/>
                <w:snapToGrid w:val="0"/>
                <w:spacing w:val="-6"/>
                <w:kern w:val="21"/>
                <w:szCs w:val="21"/>
              </w:rPr>
              <w:fldChar w:fldCharType="end"/>
            </w:r>
          </w:p>
        </w:tc>
        <w:tc>
          <w:tcPr>
            <w:tcW w:w="597" w:type="pct"/>
            <w:tcMar>
              <w:left w:w="28" w:type="dxa"/>
              <w:right w:w="28" w:type="dxa"/>
            </w:tcMar>
            <w:vAlign w:val="center"/>
          </w:tcPr>
          <w:p>
            <w:pPr>
              <w:pStyle w:val="198"/>
              <w:spacing w:beforeLines="0" w:afterLines="0" w:line="240" w:lineRule="auto"/>
              <w:rPr>
                <w:rFonts w:ascii="Times New Roman" w:hAnsi="Times New Roman" w:eastAsia="宋体" w:cs="Times New Roman"/>
                <w:snapToGrid w:val="0"/>
                <w:spacing w:val="-6"/>
                <w:kern w:val="21"/>
                <w:szCs w:val="21"/>
              </w:rPr>
            </w:pPr>
            <w:r>
              <w:rPr>
                <w:rFonts w:ascii="Times New Roman" w:hAnsi="Times New Roman" w:eastAsia="宋体" w:cs="Times New Roman"/>
                <w:snapToGrid w:val="0"/>
                <w:spacing w:val="-6"/>
                <w:kern w:val="21"/>
                <w:szCs w:val="21"/>
              </w:rPr>
              <w:t>在建工程</w:t>
            </w:r>
          </w:p>
          <w:p>
            <w:pPr>
              <w:pStyle w:val="198"/>
              <w:spacing w:beforeLines="0" w:afterLines="0" w:line="240" w:lineRule="auto"/>
              <w:rPr>
                <w:rFonts w:ascii="Times New Roman" w:hAnsi="Times New Roman" w:eastAsia="宋体" w:cs="Times New Roman"/>
                <w:snapToGrid w:val="0"/>
                <w:spacing w:val="-6"/>
                <w:kern w:val="21"/>
                <w:szCs w:val="21"/>
              </w:rPr>
            </w:pPr>
            <w:r>
              <w:rPr>
                <w:rFonts w:ascii="Times New Roman" w:hAnsi="Times New Roman" w:eastAsia="宋体" w:cs="Times New Roman"/>
                <w:snapToGrid w:val="0"/>
                <w:spacing w:val="-6"/>
                <w:kern w:val="21"/>
                <w:szCs w:val="21"/>
              </w:rPr>
              <w:t>排放量（固体废物产生量）</w:t>
            </w:r>
            <w:r>
              <w:rPr>
                <w:rFonts w:ascii="Times New Roman" w:hAnsi="Times New Roman" w:eastAsia="宋体" w:cs="Times New Roman"/>
                <w:snapToGrid w:val="0"/>
                <w:spacing w:val="-6"/>
                <w:kern w:val="21"/>
                <w:szCs w:val="21"/>
              </w:rPr>
              <w:fldChar w:fldCharType="begin"/>
            </w:r>
            <w:r>
              <w:rPr>
                <w:rFonts w:ascii="Times New Roman" w:hAnsi="Times New Roman" w:eastAsia="宋体" w:cs="Times New Roman"/>
                <w:snapToGrid w:val="0"/>
                <w:spacing w:val="-6"/>
                <w:kern w:val="21"/>
                <w:szCs w:val="21"/>
              </w:rPr>
              <w:instrText xml:space="preserve"> = 3 \* GB3 \* MERGEFORMAT </w:instrText>
            </w:r>
            <w:r>
              <w:rPr>
                <w:rFonts w:ascii="Times New Roman" w:hAnsi="Times New Roman" w:eastAsia="宋体" w:cs="Times New Roman"/>
                <w:snapToGrid w:val="0"/>
                <w:spacing w:val="-6"/>
                <w:kern w:val="21"/>
                <w:szCs w:val="21"/>
              </w:rPr>
              <w:fldChar w:fldCharType="separate"/>
            </w:r>
            <w:r>
              <w:rPr>
                <w:rFonts w:ascii="Times New Roman" w:hAnsi="Times New Roman" w:eastAsia="宋体" w:cs="Times New Roman"/>
                <w:szCs w:val="21"/>
              </w:rPr>
              <w:t>③</w:t>
            </w:r>
            <w:r>
              <w:rPr>
                <w:rFonts w:ascii="Times New Roman" w:hAnsi="Times New Roman" w:eastAsia="宋体" w:cs="Times New Roman"/>
                <w:snapToGrid w:val="0"/>
                <w:spacing w:val="-6"/>
                <w:kern w:val="21"/>
                <w:szCs w:val="21"/>
              </w:rPr>
              <w:fldChar w:fldCharType="end"/>
            </w:r>
          </w:p>
        </w:tc>
        <w:tc>
          <w:tcPr>
            <w:tcW w:w="547" w:type="pct"/>
            <w:tcMar>
              <w:left w:w="28" w:type="dxa"/>
              <w:right w:w="28" w:type="dxa"/>
            </w:tcMar>
            <w:vAlign w:val="center"/>
          </w:tcPr>
          <w:p>
            <w:pPr>
              <w:pStyle w:val="198"/>
              <w:spacing w:beforeLines="0" w:afterLines="0" w:line="240" w:lineRule="auto"/>
              <w:rPr>
                <w:rFonts w:ascii="Times New Roman" w:hAnsi="Times New Roman" w:eastAsia="宋体" w:cs="Times New Roman"/>
                <w:snapToGrid w:val="0"/>
                <w:spacing w:val="-6"/>
                <w:kern w:val="21"/>
                <w:szCs w:val="21"/>
              </w:rPr>
            </w:pPr>
            <w:r>
              <w:rPr>
                <w:rFonts w:ascii="Times New Roman" w:hAnsi="Times New Roman" w:eastAsia="宋体" w:cs="Times New Roman"/>
                <w:snapToGrid w:val="0"/>
                <w:spacing w:val="-6"/>
                <w:kern w:val="21"/>
                <w:szCs w:val="21"/>
              </w:rPr>
              <w:t>项目</w:t>
            </w:r>
          </w:p>
          <w:p>
            <w:pPr>
              <w:pStyle w:val="198"/>
              <w:spacing w:beforeLines="0" w:afterLines="0" w:line="240" w:lineRule="auto"/>
              <w:rPr>
                <w:rFonts w:ascii="Times New Roman" w:hAnsi="Times New Roman" w:eastAsia="宋体" w:cs="Times New Roman"/>
                <w:snapToGrid w:val="0"/>
                <w:spacing w:val="-6"/>
                <w:kern w:val="21"/>
                <w:szCs w:val="21"/>
              </w:rPr>
            </w:pPr>
            <w:r>
              <w:rPr>
                <w:rFonts w:ascii="Times New Roman" w:hAnsi="Times New Roman" w:eastAsia="宋体" w:cs="Times New Roman"/>
                <w:snapToGrid w:val="0"/>
                <w:spacing w:val="-6"/>
                <w:kern w:val="21"/>
                <w:szCs w:val="21"/>
              </w:rPr>
              <w:t>排放量（固体废物产生量）</w:t>
            </w:r>
            <w:r>
              <w:rPr>
                <w:rFonts w:ascii="Times New Roman" w:hAnsi="Times New Roman" w:eastAsia="宋体" w:cs="Times New Roman"/>
                <w:snapToGrid w:val="0"/>
                <w:spacing w:val="-6"/>
                <w:kern w:val="21"/>
                <w:szCs w:val="21"/>
              </w:rPr>
              <w:fldChar w:fldCharType="begin"/>
            </w:r>
            <w:r>
              <w:rPr>
                <w:rFonts w:ascii="Times New Roman" w:hAnsi="Times New Roman" w:eastAsia="宋体" w:cs="Times New Roman"/>
                <w:snapToGrid w:val="0"/>
                <w:spacing w:val="-6"/>
                <w:kern w:val="21"/>
                <w:szCs w:val="21"/>
              </w:rPr>
              <w:instrText xml:space="preserve"> = 4 \* GB3 \* MERGEFORMAT </w:instrText>
            </w:r>
            <w:r>
              <w:rPr>
                <w:rFonts w:ascii="Times New Roman" w:hAnsi="Times New Roman" w:eastAsia="宋体" w:cs="Times New Roman"/>
                <w:snapToGrid w:val="0"/>
                <w:spacing w:val="-6"/>
                <w:kern w:val="21"/>
                <w:szCs w:val="21"/>
              </w:rPr>
              <w:fldChar w:fldCharType="separate"/>
            </w:r>
            <w:r>
              <w:rPr>
                <w:rFonts w:ascii="Times New Roman" w:hAnsi="Times New Roman" w:eastAsia="宋体" w:cs="Times New Roman"/>
                <w:szCs w:val="21"/>
              </w:rPr>
              <w:t>④</w:t>
            </w:r>
            <w:r>
              <w:rPr>
                <w:rFonts w:ascii="Times New Roman" w:hAnsi="Times New Roman" w:eastAsia="宋体" w:cs="Times New Roman"/>
                <w:snapToGrid w:val="0"/>
                <w:spacing w:val="-6"/>
                <w:kern w:val="21"/>
                <w:szCs w:val="21"/>
              </w:rPr>
              <w:fldChar w:fldCharType="end"/>
            </w:r>
          </w:p>
        </w:tc>
        <w:tc>
          <w:tcPr>
            <w:tcW w:w="568" w:type="pct"/>
            <w:tcMar>
              <w:left w:w="28" w:type="dxa"/>
              <w:right w:w="28" w:type="dxa"/>
            </w:tcMar>
            <w:vAlign w:val="center"/>
          </w:tcPr>
          <w:p>
            <w:pPr>
              <w:pStyle w:val="198"/>
              <w:spacing w:beforeLines="0" w:afterLines="0" w:line="240" w:lineRule="auto"/>
              <w:rPr>
                <w:rFonts w:ascii="Times New Roman" w:hAnsi="Times New Roman" w:eastAsia="宋体" w:cs="Times New Roman"/>
                <w:snapToGrid w:val="0"/>
                <w:spacing w:val="-16"/>
                <w:kern w:val="21"/>
                <w:szCs w:val="21"/>
              </w:rPr>
            </w:pPr>
            <w:r>
              <w:rPr>
                <w:rFonts w:ascii="Times New Roman" w:hAnsi="Times New Roman" w:eastAsia="宋体" w:cs="Times New Roman"/>
                <w:snapToGrid w:val="0"/>
                <w:spacing w:val="-16"/>
                <w:kern w:val="21"/>
                <w:szCs w:val="21"/>
              </w:rPr>
              <w:t>以新带老削减量</w:t>
            </w:r>
          </w:p>
          <w:p>
            <w:pPr>
              <w:pStyle w:val="198"/>
              <w:spacing w:beforeLines="0" w:afterLines="0" w:line="240" w:lineRule="auto"/>
              <w:rPr>
                <w:rFonts w:ascii="Times New Roman" w:hAnsi="Times New Roman" w:eastAsia="宋体" w:cs="Times New Roman"/>
                <w:snapToGrid w:val="0"/>
                <w:spacing w:val="-16"/>
                <w:kern w:val="21"/>
                <w:szCs w:val="21"/>
              </w:rPr>
            </w:pPr>
            <w:r>
              <w:rPr>
                <w:rFonts w:ascii="Times New Roman" w:hAnsi="Times New Roman" w:eastAsia="宋体" w:cs="Times New Roman"/>
                <w:snapToGrid w:val="0"/>
                <w:spacing w:val="-16"/>
                <w:kern w:val="21"/>
                <w:szCs w:val="21"/>
              </w:rPr>
              <w:t>（新建项目不填）</w:t>
            </w:r>
            <w:r>
              <w:rPr>
                <w:rFonts w:ascii="Times New Roman" w:hAnsi="Times New Roman" w:eastAsia="宋体" w:cs="Times New Roman"/>
                <w:snapToGrid w:val="0"/>
                <w:spacing w:val="-16"/>
                <w:kern w:val="21"/>
                <w:szCs w:val="21"/>
              </w:rPr>
              <w:fldChar w:fldCharType="begin"/>
            </w:r>
            <w:r>
              <w:rPr>
                <w:rFonts w:ascii="Times New Roman" w:hAnsi="Times New Roman" w:eastAsia="宋体" w:cs="Times New Roman"/>
                <w:snapToGrid w:val="0"/>
                <w:spacing w:val="-16"/>
                <w:kern w:val="21"/>
                <w:szCs w:val="21"/>
              </w:rPr>
              <w:instrText xml:space="preserve"> = 5 \* GB3 \* MERGEFORMAT </w:instrText>
            </w:r>
            <w:r>
              <w:rPr>
                <w:rFonts w:ascii="Times New Roman" w:hAnsi="Times New Roman" w:eastAsia="宋体" w:cs="Times New Roman"/>
                <w:snapToGrid w:val="0"/>
                <w:spacing w:val="-16"/>
                <w:kern w:val="21"/>
                <w:szCs w:val="21"/>
              </w:rPr>
              <w:fldChar w:fldCharType="separate"/>
            </w:r>
            <w:r>
              <w:rPr>
                <w:rFonts w:ascii="Times New Roman" w:hAnsi="Times New Roman" w:eastAsia="宋体" w:cs="Times New Roman"/>
                <w:szCs w:val="21"/>
              </w:rPr>
              <w:t>⑤</w:t>
            </w:r>
            <w:r>
              <w:rPr>
                <w:rFonts w:ascii="Times New Roman" w:hAnsi="Times New Roman" w:eastAsia="宋体" w:cs="Times New Roman"/>
                <w:snapToGrid w:val="0"/>
                <w:spacing w:val="-16"/>
                <w:kern w:val="21"/>
                <w:szCs w:val="21"/>
              </w:rPr>
              <w:fldChar w:fldCharType="end"/>
            </w:r>
          </w:p>
        </w:tc>
        <w:tc>
          <w:tcPr>
            <w:tcW w:w="559" w:type="pct"/>
            <w:tcMar>
              <w:left w:w="28" w:type="dxa"/>
              <w:right w:w="28" w:type="dxa"/>
            </w:tcMar>
            <w:vAlign w:val="center"/>
          </w:tcPr>
          <w:p>
            <w:pPr>
              <w:pStyle w:val="198"/>
              <w:spacing w:beforeLines="0" w:afterLines="0" w:line="240" w:lineRule="auto"/>
              <w:rPr>
                <w:rFonts w:ascii="Times New Roman" w:hAnsi="Times New Roman" w:eastAsia="宋体" w:cs="Times New Roman"/>
                <w:snapToGrid w:val="0"/>
                <w:spacing w:val="-16"/>
                <w:kern w:val="21"/>
                <w:szCs w:val="21"/>
              </w:rPr>
            </w:pPr>
            <w:r>
              <w:rPr>
                <w:rFonts w:ascii="Times New Roman" w:hAnsi="Times New Roman" w:eastAsia="宋体" w:cs="Times New Roman"/>
                <w:snapToGrid w:val="0"/>
                <w:spacing w:val="-16"/>
                <w:kern w:val="21"/>
                <w:szCs w:val="21"/>
              </w:rPr>
              <w:t>项目建成后</w:t>
            </w:r>
          </w:p>
          <w:p>
            <w:pPr>
              <w:pStyle w:val="198"/>
              <w:spacing w:beforeLines="0" w:afterLines="0" w:line="240" w:lineRule="auto"/>
              <w:rPr>
                <w:rFonts w:ascii="Times New Roman" w:hAnsi="Times New Roman" w:eastAsia="宋体" w:cs="Times New Roman"/>
                <w:snapToGrid w:val="0"/>
                <w:spacing w:val="-16"/>
                <w:kern w:val="21"/>
                <w:szCs w:val="21"/>
              </w:rPr>
            </w:pPr>
            <w:r>
              <w:rPr>
                <w:rFonts w:ascii="Times New Roman" w:hAnsi="Times New Roman" w:eastAsia="宋体" w:cs="Times New Roman"/>
                <w:snapToGrid w:val="0"/>
                <w:spacing w:val="-16"/>
                <w:kern w:val="21"/>
                <w:szCs w:val="21"/>
              </w:rPr>
              <w:t>全厂排放量（固体废物产生量）</w:t>
            </w:r>
            <w:r>
              <w:rPr>
                <w:rFonts w:ascii="Times New Roman" w:hAnsi="Times New Roman" w:eastAsia="宋体" w:cs="Times New Roman"/>
                <w:snapToGrid w:val="0"/>
                <w:spacing w:val="-16"/>
                <w:kern w:val="21"/>
                <w:szCs w:val="21"/>
              </w:rPr>
              <w:fldChar w:fldCharType="begin"/>
            </w:r>
            <w:r>
              <w:rPr>
                <w:rFonts w:ascii="Times New Roman" w:hAnsi="Times New Roman" w:eastAsia="宋体" w:cs="Times New Roman"/>
                <w:snapToGrid w:val="0"/>
                <w:spacing w:val="-16"/>
                <w:kern w:val="21"/>
                <w:szCs w:val="21"/>
              </w:rPr>
              <w:instrText xml:space="preserve"> = 6 \* GB3 \* MERGEFORMAT </w:instrText>
            </w:r>
            <w:r>
              <w:rPr>
                <w:rFonts w:ascii="Times New Roman" w:hAnsi="Times New Roman" w:eastAsia="宋体" w:cs="Times New Roman"/>
                <w:snapToGrid w:val="0"/>
                <w:spacing w:val="-16"/>
                <w:kern w:val="21"/>
                <w:szCs w:val="21"/>
              </w:rPr>
              <w:fldChar w:fldCharType="separate"/>
            </w:r>
            <w:r>
              <w:rPr>
                <w:rFonts w:ascii="Times New Roman" w:hAnsi="Times New Roman" w:eastAsia="宋体" w:cs="Times New Roman"/>
                <w:szCs w:val="21"/>
              </w:rPr>
              <w:t>⑥</w:t>
            </w:r>
            <w:r>
              <w:rPr>
                <w:rFonts w:ascii="Times New Roman" w:hAnsi="Times New Roman" w:eastAsia="宋体" w:cs="Times New Roman"/>
                <w:snapToGrid w:val="0"/>
                <w:spacing w:val="-16"/>
                <w:kern w:val="21"/>
                <w:szCs w:val="21"/>
              </w:rPr>
              <w:fldChar w:fldCharType="end"/>
            </w:r>
          </w:p>
        </w:tc>
        <w:tc>
          <w:tcPr>
            <w:tcW w:w="625" w:type="pct"/>
            <w:tcMar>
              <w:left w:w="28" w:type="dxa"/>
              <w:right w:w="28" w:type="dxa"/>
            </w:tcMar>
            <w:vAlign w:val="center"/>
          </w:tcPr>
          <w:p>
            <w:pPr>
              <w:pStyle w:val="198"/>
              <w:spacing w:beforeLines="0" w:afterLines="0" w:line="240" w:lineRule="auto"/>
              <w:rPr>
                <w:rFonts w:ascii="Times New Roman" w:hAnsi="Times New Roman" w:eastAsia="宋体" w:cs="Times New Roman"/>
                <w:snapToGrid w:val="0"/>
                <w:spacing w:val="-6"/>
                <w:kern w:val="21"/>
                <w:szCs w:val="21"/>
              </w:rPr>
            </w:pPr>
            <w:r>
              <w:rPr>
                <w:rFonts w:ascii="Times New Roman" w:hAnsi="Times New Roman" w:eastAsia="宋体" w:cs="Times New Roman"/>
                <w:snapToGrid w:val="0"/>
                <w:spacing w:val="-6"/>
                <w:kern w:val="21"/>
                <w:szCs w:val="21"/>
              </w:rPr>
              <w:t>变化量</w:t>
            </w:r>
          </w:p>
          <w:p>
            <w:pPr>
              <w:pStyle w:val="198"/>
              <w:spacing w:beforeLines="0" w:afterLines="0" w:line="240" w:lineRule="auto"/>
              <w:rPr>
                <w:rFonts w:ascii="Times New Roman" w:hAnsi="Times New Roman" w:eastAsia="宋体" w:cs="Times New Roman"/>
                <w:snapToGrid w:val="0"/>
                <w:spacing w:val="-6"/>
                <w:kern w:val="21"/>
                <w:szCs w:val="21"/>
              </w:rPr>
            </w:pPr>
            <w:r>
              <w:rPr>
                <w:rFonts w:ascii="Times New Roman" w:hAnsi="Times New Roman" w:eastAsia="宋体" w:cs="Times New Roman"/>
                <w:snapToGrid w:val="0"/>
                <w:spacing w:val="-6"/>
                <w:kern w:val="21"/>
                <w:szCs w:val="21"/>
              </w:rPr>
              <w:fldChar w:fldCharType="begin"/>
            </w:r>
            <w:r>
              <w:rPr>
                <w:rFonts w:ascii="Times New Roman" w:hAnsi="Times New Roman" w:eastAsia="宋体" w:cs="Times New Roman"/>
                <w:snapToGrid w:val="0"/>
                <w:spacing w:val="-6"/>
                <w:kern w:val="21"/>
                <w:szCs w:val="21"/>
              </w:rPr>
              <w:instrText xml:space="preserve"> = 7 \* GB3 \* MERGEFORMAT </w:instrText>
            </w:r>
            <w:r>
              <w:rPr>
                <w:rFonts w:ascii="Times New Roman" w:hAnsi="Times New Roman" w:eastAsia="宋体" w:cs="Times New Roman"/>
                <w:snapToGrid w:val="0"/>
                <w:spacing w:val="-6"/>
                <w:kern w:val="21"/>
                <w:szCs w:val="21"/>
              </w:rPr>
              <w:fldChar w:fldCharType="separate"/>
            </w:r>
            <w:r>
              <w:rPr>
                <w:rFonts w:ascii="Times New Roman" w:hAnsi="Times New Roman" w:eastAsia="宋体" w:cs="Times New Roman"/>
                <w:szCs w:val="21"/>
              </w:rPr>
              <w:t>⑦</w:t>
            </w:r>
            <w:r>
              <w:rPr>
                <w:rFonts w:ascii="Times New Roman" w:hAnsi="Times New Roman" w:eastAsia="宋体" w:cs="Times New Roman"/>
                <w:snapToGrid w:val="0"/>
                <w:spacing w:val="-6"/>
                <w:kern w:val="21"/>
                <w:szCs w:val="21"/>
              </w:rPr>
              <w:fldChar w:fldCharType="end"/>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1" w:hRule="atLeast"/>
          <w:jc w:val="center"/>
        </w:trPr>
        <w:tc>
          <w:tcPr>
            <w:tcW w:w="393" w:type="pct"/>
            <w:vMerge w:val="restart"/>
            <w:vAlign w:val="center"/>
          </w:tcPr>
          <w:p>
            <w:pPr>
              <w:pStyle w:val="198"/>
              <w:spacing w:beforeLines="0" w:afterLines="0" w:line="240" w:lineRule="auto"/>
              <w:rPr>
                <w:rFonts w:ascii="Times New Roman" w:hAnsi="Times New Roman" w:eastAsia="宋体" w:cs="Times New Roman"/>
                <w:snapToGrid w:val="0"/>
                <w:kern w:val="21"/>
                <w:szCs w:val="21"/>
              </w:rPr>
            </w:pPr>
            <w:r>
              <w:rPr>
                <w:rFonts w:ascii="Times New Roman" w:hAnsi="Times New Roman" w:eastAsia="宋体" w:cs="Times New Roman"/>
                <w:snapToGrid w:val="0"/>
                <w:kern w:val="21"/>
                <w:szCs w:val="21"/>
              </w:rPr>
              <w:t>废气</w:t>
            </w:r>
          </w:p>
        </w:tc>
        <w:tc>
          <w:tcPr>
            <w:tcW w:w="844" w:type="pct"/>
            <w:gridSpan w:val="2"/>
            <w:vAlign w:val="center"/>
          </w:tcPr>
          <w:p>
            <w:pPr>
              <w:adjustRightInd w:val="0"/>
              <w:snapToGrid w:val="0"/>
              <w:jc w:val="center"/>
              <w:rPr>
                <w:color w:val="auto"/>
              </w:rPr>
            </w:pPr>
            <w:r>
              <w:rPr>
                <w:color w:val="auto"/>
              </w:rPr>
              <w:t>挥发性有机物</w:t>
            </w:r>
          </w:p>
        </w:tc>
        <w:tc>
          <w:tcPr>
            <w:tcW w:w="475" w:type="pct"/>
            <w:vAlign w:val="center"/>
          </w:tcPr>
          <w:p>
            <w:pPr>
              <w:tabs>
                <w:tab w:val="left" w:pos="1081"/>
              </w:tabs>
              <w:adjustRightInd w:val="0"/>
              <w:snapToGrid w:val="0"/>
              <w:jc w:val="center"/>
              <w:textAlignment w:val="baseline"/>
              <w:rPr>
                <w:color w:val="auto"/>
              </w:rPr>
            </w:pPr>
            <w:r>
              <w:rPr>
                <w:snapToGrid w:val="0"/>
                <w:color w:val="auto"/>
                <w:kern w:val="21"/>
              </w:rPr>
              <w:t>/</w:t>
            </w:r>
          </w:p>
        </w:tc>
        <w:tc>
          <w:tcPr>
            <w:tcW w:w="388" w:type="pct"/>
            <w:vAlign w:val="center"/>
          </w:tcPr>
          <w:p>
            <w:pPr>
              <w:tabs>
                <w:tab w:val="left" w:pos="1081"/>
              </w:tabs>
              <w:adjustRightInd w:val="0"/>
              <w:snapToGrid w:val="0"/>
              <w:jc w:val="center"/>
              <w:textAlignment w:val="baseline"/>
              <w:rPr>
                <w:color w:val="auto"/>
              </w:rPr>
            </w:pPr>
            <w:r>
              <w:rPr>
                <w:snapToGrid w:val="0"/>
                <w:color w:val="auto"/>
                <w:kern w:val="21"/>
              </w:rPr>
              <w:t>/</w:t>
            </w:r>
          </w:p>
        </w:tc>
        <w:tc>
          <w:tcPr>
            <w:tcW w:w="597" w:type="pct"/>
            <w:vAlign w:val="center"/>
          </w:tcPr>
          <w:p>
            <w:pPr>
              <w:pStyle w:val="198"/>
              <w:spacing w:beforeLines="0" w:afterLines="0" w:line="240" w:lineRule="auto"/>
              <w:rPr>
                <w:rFonts w:ascii="Times New Roman" w:hAnsi="Times New Roman" w:eastAsia="宋体" w:cs="Times New Roman"/>
                <w:snapToGrid w:val="0"/>
                <w:color w:val="auto"/>
                <w:kern w:val="21"/>
                <w:szCs w:val="21"/>
              </w:rPr>
            </w:pPr>
            <w:r>
              <w:rPr>
                <w:rFonts w:ascii="Times New Roman" w:hAnsi="Times New Roman" w:eastAsia="宋体" w:cs="Times New Roman"/>
                <w:snapToGrid w:val="0"/>
                <w:color w:val="auto"/>
                <w:kern w:val="21"/>
                <w:szCs w:val="21"/>
              </w:rPr>
              <w:t>/</w:t>
            </w:r>
          </w:p>
        </w:tc>
        <w:tc>
          <w:tcPr>
            <w:tcW w:w="547" w:type="pct"/>
            <w:vAlign w:val="center"/>
          </w:tcPr>
          <w:p>
            <w:pPr>
              <w:widowControl/>
              <w:jc w:val="center"/>
              <w:textAlignment w:val="center"/>
              <w:rPr>
                <w:color w:val="FF0000"/>
                <w:highlight w:val="none"/>
              </w:rPr>
            </w:pPr>
            <w:r>
              <w:rPr>
                <w:rFonts w:hint="eastAsia"/>
                <w:color w:val="FF0000"/>
                <w:highlight w:val="none"/>
                <w:lang w:val="en-US" w:eastAsia="zh-CN" w:bidi="ar"/>
              </w:rPr>
              <w:t>1.0615</w:t>
            </w:r>
            <w:r>
              <w:rPr>
                <w:color w:val="FF0000"/>
                <w:highlight w:val="none"/>
                <w:lang w:bidi="ar"/>
              </w:rPr>
              <w:t>t/a</w:t>
            </w:r>
          </w:p>
        </w:tc>
        <w:tc>
          <w:tcPr>
            <w:tcW w:w="568" w:type="pct"/>
            <w:vAlign w:val="center"/>
          </w:tcPr>
          <w:p>
            <w:pPr>
              <w:widowControl/>
              <w:jc w:val="center"/>
              <w:textAlignment w:val="center"/>
              <w:rPr>
                <w:snapToGrid w:val="0"/>
                <w:color w:val="FF0000"/>
                <w:kern w:val="21"/>
                <w:highlight w:val="none"/>
              </w:rPr>
            </w:pPr>
            <w:r>
              <w:rPr>
                <w:color w:val="FF0000"/>
                <w:highlight w:val="none"/>
                <w:lang w:bidi="ar"/>
              </w:rPr>
              <w:t>/</w:t>
            </w:r>
          </w:p>
        </w:tc>
        <w:tc>
          <w:tcPr>
            <w:tcW w:w="559" w:type="pct"/>
            <w:vAlign w:val="center"/>
          </w:tcPr>
          <w:p>
            <w:pPr>
              <w:widowControl/>
              <w:jc w:val="center"/>
              <w:textAlignment w:val="center"/>
              <w:rPr>
                <w:color w:val="FF0000"/>
                <w:highlight w:val="none"/>
              </w:rPr>
            </w:pPr>
            <w:r>
              <w:rPr>
                <w:rFonts w:hint="eastAsia"/>
                <w:color w:val="FF0000"/>
                <w:highlight w:val="none"/>
                <w:lang w:val="en-US" w:eastAsia="zh-CN" w:bidi="ar"/>
              </w:rPr>
              <w:t>1.0615</w:t>
            </w:r>
            <w:r>
              <w:rPr>
                <w:color w:val="FF0000"/>
                <w:highlight w:val="none"/>
                <w:lang w:bidi="ar"/>
              </w:rPr>
              <w:t>t/a</w:t>
            </w:r>
          </w:p>
        </w:tc>
        <w:tc>
          <w:tcPr>
            <w:tcW w:w="625" w:type="pct"/>
            <w:vAlign w:val="center"/>
          </w:tcPr>
          <w:p>
            <w:pPr>
              <w:tabs>
                <w:tab w:val="left" w:pos="1081"/>
              </w:tabs>
              <w:adjustRightInd w:val="0"/>
              <w:snapToGrid w:val="0"/>
              <w:jc w:val="center"/>
              <w:textAlignment w:val="baseline"/>
              <w:rPr>
                <w:color w:val="FF0000"/>
                <w:highlight w:val="none"/>
              </w:rPr>
            </w:pPr>
            <w:r>
              <w:rPr>
                <w:bCs/>
                <w:color w:val="FF0000"/>
                <w:highlight w:val="none"/>
              </w:rPr>
              <w:t>+</w:t>
            </w:r>
            <w:r>
              <w:rPr>
                <w:rFonts w:hint="eastAsia"/>
                <w:color w:val="FF0000"/>
                <w:highlight w:val="none"/>
                <w:lang w:val="en-US" w:eastAsia="zh-CN" w:bidi="ar"/>
              </w:rPr>
              <w:t>1.0615</w:t>
            </w:r>
            <w:r>
              <w:rPr>
                <w:color w:val="FF0000"/>
                <w:highlight w:val="none"/>
                <w:lang w:bidi="ar"/>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2" w:hRule="atLeast"/>
          <w:jc w:val="center"/>
        </w:trPr>
        <w:tc>
          <w:tcPr>
            <w:tcW w:w="393" w:type="pct"/>
            <w:vMerge w:val="continue"/>
            <w:vAlign w:val="center"/>
          </w:tcPr>
          <w:p>
            <w:pPr>
              <w:pStyle w:val="198"/>
              <w:spacing w:beforeLines="0" w:afterLines="0" w:line="240" w:lineRule="auto"/>
              <w:rPr>
                <w:rFonts w:ascii="Times New Roman" w:hAnsi="Times New Roman" w:eastAsia="宋体" w:cs="Times New Roman"/>
                <w:snapToGrid w:val="0"/>
                <w:color w:val="auto"/>
                <w:kern w:val="21"/>
                <w:szCs w:val="21"/>
              </w:rPr>
            </w:pPr>
          </w:p>
        </w:tc>
        <w:tc>
          <w:tcPr>
            <w:tcW w:w="844" w:type="pct"/>
            <w:gridSpan w:val="2"/>
            <w:vAlign w:val="center"/>
          </w:tcPr>
          <w:p>
            <w:pPr>
              <w:adjustRightInd w:val="0"/>
              <w:snapToGrid w:val="0"/>
              <w:jc w:val="center"/>
              <w:textAlignment w:val="center"/>
              <w:rPr>
                <w:color w:val="auto"/>
                <w:highlight w:val="none"/>
              </w:rPr>
            </w:pPr>
            <w:r>
              <w:rPr>
                <w:color w:val="auto"/>
                <w:highlight w:val="none"/>
              </w:rPr>
              <w:t>颗粒物</w:t>
            </w:r>
          </w:p>
        </w:tc>
        <w:tc>
          <w:tcPr>
            <w:tcW w:w="475" w:type="pct"/>
            <w:vAlign w:val="center"/>
          </w:tcPr>
          <w:p>
            <w:pPr>
              <w:tabs>
                <w:tab w:val="left" w:pos="1081"/>
              </w:tabs>
              <w:adjustRightInd w:val="0"/>
              <w:snapToGrid w:val="0"/>
              <w:jc w:val="center"/>
              <w:textAlignment w:val="baseline"/>
              <w:rPr>
                <w:color w:val="auto"/>
                <w:highlight w:val="none"/>
              </w:rPr>
            </w:pPr>
            <w:r>
              <w:rPr>
                <w:snapToGrid w:val="0"/>
                <w:color w:val="auto"/>
                <w:kern w:val="21"/>
                <w:highlight w:val="none"/>
              </w:rPr>
              <w:t>/</w:t>
            </w:r>
          </w:p>
        </w:tc>
        <w:tc>
          <w:tcPr>
            <w:tcW w:w="388" w:type="pct"/>
            <w:vAlign w:val="center"/>
          </w:tcPr>
          <w:p>
            <w:pPr>
              <w:tabs>
                <w:tab w:val="left" w:pos="1081"/>
              </w:tabs>
              <w:adjustRightInd w:val="0"/>
              <w:snapToGrid w:val="0"/>
              <w:jc w:val="center"/>
              <w:textAlignment w:val="baseline"/>
              <w:rPr>
                <w:color w:val="auto"/>
                <w:highlight w:val="none"/>
              </w:rPr>
            </w:pPr>
            <w:r>
              <w:rPr>
                <w:snapToGrid w:val="0"/>
                <w:color w:val="auto"/>
                <w:kern w:val="21"/>
                <w:highlight w:val="none"/>
              </w:rPr>
              <w:t>/</w:t>
            </w:r>
          </w:p>
        </w:tc>
        <w:tc>
          <w:tcPr>
            <w:tcW w:w="597" w:type="pct"/>
            <w:vAlign w:val="center"/>
          </w:tcPr>
          <w:p>
            <w:pPr>
              <w:pStyle w:val="198"/>
              <w:spacing w:beforeLines="0" w:afterLines="0" w:line="240" w:lineRule="auto"/>
              <w:rPr>
                <w:rFonts w:ascii="Times New Roman" w:hAnsi="Times New Roman" w:eastAsia="宋体" w:cs="Times New Roman"/>
                <w:snapToGrid w:val="0"/>
                <w:color w:val="auto"/>
                <w:kern w:val="21"/>
                <w:szCs w:val="21"/>
                <w:highlight w:val="none"/>
              </w:rPr>
            </w:pPr>
            <w:r>
              <w:rPr>
                <w:rFonts w:ascii="Times New Roman" w:hAnsi="Times New Roman" w:eastAsia="宋体" w:cs="Times New Roman"/>
                <w:snapToGrid w:val="0"/>
                <w:color w:val="auto"/>
                <w:kern w:val="21"/>
                <w:szCs w:val="21"/>
                <w:highlight w:val="none"/>
              </w:rPr>
              <w:t>/</w:t>
            </w:r>
          </w:p>
        </w:tc>
        <w:tc>
          <w:tcPr>
            <w:tcW w:w="547" w:type="pct"/>
            <w:vAlign w:val="center"/>
          </w:tcPr>
          <w:p>
            <w:pPr>
              <w:widowControl/>
              <w:jc w:val="center"/>
              <w:textAlignment w:val="center"/>
              <w:rPr>
                <w:color w:val="FF0000"/>
                <w:highlight w:val="none"/>
              </w:rPr>
            </w:pPr>
            <w:r>
              <w:rPr>
                <w:color w:val="FF0000"/>
                <w:highlight w:val="none"/>
                <w:lang w:bidi="ar"/>
              </w:rPr>
              <w:t>0.</w:t>
            </w:r>
            <w:r>
              <w:rPr>
                <w:rFonts w:hint="eastAsia"/>
                <w:color w:val="FF0000"/>
                <w:highlight w:val="none"/>
                <w:lang w:val="en-US" w:eastAsia="zh-CN" w:bidi="ar"/>
              </w:rPr>
              <w:t>38398</w:t>
            </w:r>
            <w:r>
              <w:rPr>
                <w:color w:val="FF0000"/>
                <w:highlight w:val="none"/>
                <w:lang w:bidi="ar"/>
              </w:rPr>
              <w:t>t/a</w:t>
            </w:r>
          </w:p>
        </w:tc>
        <w:tc>
          <w:tcPr>
            <w:tcW w:w="568" w:type="pct"/>
            <w:vAlign w:val="center"/>
          </w:tcPr>
          <w:p>
            <w:pPr>
              <w:widowControl/>
              <w:jc w:val="center"/>
              <w:textAlignment w:val="center"/>
              <w:rPr>
                <w:snapToGrid w:val="0"/>
                <w:color w:val="FF0000"/>
                <w:kern w:val="21"/>
                <w:highlight w:val="none"/>
              </w:rPr>
            </w:pPr>
            <w:r>
              <w:rPr>
                <w:color w:val="FF0000"/>
                <w:highlight w:val="none"/>
                <w:lang w:bidi="ar"/>
              </w:rPr>
              <w:t>/</w:t>
            </w:r>
          </w:p>
        </w:tc>
        <w:tc>
          <w:tcPr>
            <w:tcW w:w="559" w:type="pct"/>
            <w:vAlign w:val="center"/>
          </w:tcPr>
          <w:p>
            <w:pPr>
              <w:widowControl/>
              <w:jc w:val="center"/>
              <w:textAlignment w:val="center"/>
              <w:rPr>
                <w:color w:val="FF0000"/>
                <w:highlight w:val="none"/>
              </w:rPr>
            </w:pPr>
            <w:r>
              <w:rPr>
                <w:color w:val="FF0000"/>
                <w:highlight w:val="none"/>
                <w:lang w:bidi="ar"/>
              </w:rPr>
              <w:t>0.</w:t>
            </w:r>
            <w:r>
              <w:rPr>
                <w:rFonts w:hint="eastAsia"/>
                <w:color w:val="FF0000"/>
                <w:highlight w:val="none"/>
                <w:lang w:val="en-US" w:eastAsia="zh-CN" w:bidi="ar"/>
              </w:rPr>
              <w:t>38398</w:t>
            </w:r>
            <w:r>
              <w:rPr>
                <w:color w:val="FF0000"/>
                <w:highlight w:val="none"/>
                <w:lang w:bidi="ar"/>
              </w:rPr>
              <w:t>t/a</w:t>
            </w:r>
          </w:p>
        </w:tc>
        <w:tc>
          <w:tcPr>
            <w:tcW w:w="625" w:type="pct"/>
            <w:vAlign w:val="center"/>
          </w:tcPr>
          <w:p>
            <w:pPr>
              <w:tabs>
                <w:tab w:val="left" w:pos="1081"/>
              </w:tabs>
              <w:adjustRightInd w:val="0"/>
              <w:snapToGrid w:val="0"/>
              <w:jc w:val="center"/>
              <w:textAlignment w:val="baseline"/>
              <w:rPr>
                <w:color w:val="FF0000"/>
                <w:highlight w:val="none"/>
              </w:rPr>
            </w:pPr>
            <w:r>
              <w:rPr>
                <w:bCs/>
                <w:color w:val="FF0000"/>
                <w:highlight w:val="none"/>
              </w:rPr>
              <w:t>+</w:t>
            </w:r>
            <w:r>
              <w:rPr>
                <w:color w:val="FF0000"/>
                <w:highlight w:val="none"/>
                <w:lang w:bidi="ar"/>
              </w:rPr>
              <w:t>0.</w:t>
            </w:r>
            <w:r>
              <w:rPr>
                <w:rFonts w:hint="eastAsia"/>
                <w:color w:val="FF0000"/>
                <w:highlight w:val="none"/>
                <w:lang w:val="en-US" w:eastAsia="zh-CN" w:bidi="ar"/>
              </w:rPr>
              <w:t>38398</w:t>
            </w:r>
            <w:r>
              <w:rPr>
                <w:color w:val="FF0000"/>
                <w:highlight w:val="none"/>
                <w:lang w:bidi="ar"/>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1" w:hRule="atLeast"/>
          <w:jc w:val="center"/>
        </w:trPr>
        <w:tc>
          <w:tcPr>
            <w:tcW w:w="393" w:type="pct"/>
            <w:vMerge w:val="restart"/>
            <w:vAlign w:val="center"/>
          </w:tcPr>
          <w:p>
            <w:pPr>
              <w:pStyle w:val="198"/>
              <w:spacing w:beforeLines="0" w:afterLines="0" w:line="240" w:lineRule="auto"/>
              <w:rPr>
                <w:rFonts w:ascii="Times New Roman" w:hAnsi="Times New Roman" w:eastAsia="宋体" w:cs="Times New Roman"/>
                <w:snapToGrid w:val="0"/>
                <w:color w:val="auto"/>
                <w:kern w:val="21"/>
                <w:szCs w:val="21"/>
              </w:rPr>
            </w:pPr>
            <w:r>
              <w:rPr>
                <w:rFonts w:ascii="Times New Roman" w:hAnsi="Times New Roman" w:eastAsia="宋体" w:cs="Times New Roman"/>
                <w:snapToGrid w:val="0"/>
                <w:color w:val="auto"/>
                <w:kern w:val="21"/>
                <w:szCs w:val="21"/>
              </w:rPr>
              <w:t>废水</w:t>
            </w:r>
          </w:p>
        </w:tc>
        <w:tc>
          <w:tcPr>
            <w:tcW w:w="299" w:type="pct"/>
            <w:vMerge w:val="restart"/>
            <w:vAlign w:val="center"/>
          </w:tcPr>
          <w:p>
            <w:pPr>
              <w:pStyle w:val="470"/>
              <w:snapToGrid w:val="0"/>
              <w:spacing w:line="240" w:lineRule="auto"/>
              <w:rPr>
                <w:rFonts w:ascii="Times New Roman" w:hAnsi="Times New Roman" w:eastAsia="宋体" w:cs="Times New Roman"/>
                <w:bCs/>
                <w:color w:val="auto"/>
                <w:sz w:val="21"/>
                <w:szCs w:val="21"/>
                <w:lang w:eastAsia="zh-CN"/>
              </w:rPr>
            </w:pPr>
            <w:r>
              <w:rPr>
                <w:rFonts w:ascii="Times New Roman" w:hAnsi="Times New Roman" w:eastAsia="宋体" w:cs="Times New Roman"/>
                <w:bCs/>
                <w:color w:val="auto"/>
                <w:sz w:val="21"/>
                <w:szCs w:val="21"/>
                <w:lang w:eastAsia="zh-CN"/>
              </w:rPr>
              <w:t>生活污水</w:t>
            </w:r>
          </w:p>
        </w:tc>
        <w:tc>
          <w:tcPr>
            <w:tcW w:w="545" w:type="pct"/>
            <w:vAlign w:val="center"/>
          </w:tcPr>
          <w:p>
            <w:pPr>
              <w:pStyle w:val="470"/>
              <w:snapToGrid w:val="0"/>
              <w:spacing w:line="240" w:lineRule="auto"/>
              <w:rPr>
                <w:rFonts w:ascii="Times New Roman" w:hAnsi="Times New Roman" w:eastAsia="宋体" w:cs="Times New Roman"/>
                <w:bCs/>
                <w:color w:val="auto"/>
                <w:sz w:val="21"/>
                <w:szCs w:val="21"/>
                <w:vertAlign w:val="subscript"/>
                <w:lang w:eastAsia="zh-CN"/>
              </w:rPr>
            </w:pPr>
            <w:r>
              <w:rPr>
                <w:rFonts w:ascii="Times New Roman" w:hAnsi="Times New Roman" w:eastAsia="宋体" w:cs="Times New Roman"/>
                <w:bCs/>
                <w:color w:val="auto"/>
                <w:sz w:val="21"/>
                <w:szCs w:val="21"/>
                <w:lang w:eastAsia="zh-CN"/>
              </w:rPr>
              <w:t>COD</w:t>
            </w:r>
            <w:r>
              <w:rPr>
                <w:rFonts w:ascii="Times New Roman" w:hAnsi="Times New Roman" w:eastAsia="宋体" w:cs="Times New Roman"/>
                <w:bCs/>
                <w:color w:val="auto"/>
                <w:sz w:val="21"/>
                <w:szCs w:val="21"/>
                <w:vertAlign w:val="subscript"/>
                <w:lang w:eastAsia="zh-CN"/>
              </w:rPr>
              <w:t>Cr</w:t>
            </w:r>
          </w:p>
        </w:tc>
        <w:tc>
          <w:tcPr>
            <w:tcW w:w="475" w:type="pct"/>
            <w:vAlign w:val="center"/>
          </w:tcPr>
          <w:p>
            <w:pPr>
              <w:pStyle w:val="198"/>
              <w:spacing w:beforeLines="0" w:afterLines="0" w:line="240" w:lineRule="auto"/>
              <w:rPr>
                <w:rFonts w:ascii="Times New Roman" w:hAnsi="Times New Roman" w:eastAsia="宋体" w:cs="Times New Roman"/>
                <w:snapToGrid w:val="0"/>
                <w:color w:val="auto"/>
                <w:kern w:val="21"/>
                <w:szCs w:val="21"/>
              </w:rPr>
            </w:pPr>
            <w:r>
              <w:rPr>
                <w:rFonts w:ascii="Times New Roman" w:hAnsi="Times New Roman" w:eastAsia="宋体" w:cs="Times New Roman"/>
                <w:snapToGrid w:val="0"/>
                <w:color w:val="auto"/>
                <w:kern w:val="21"/>
                <w:szCs w:val="21"/>
              </w:rPr>
              <w:t>/</w:t>
            </w:r>
          </w:p>
        </w:tc>
        <w:tc>
          <w:tcPr>
            <w:tcW w:w="388" w:type="pct"/>
            <w:vAlign w:val="center"/>
          </w:tcPr>
          <w:p>
            <w:pPr>
              <w:pStyle w:val="198"/>
              <w:spacing w:beforeLines="0" w:afterLines="0" w:line="240" w:lineRule="auto"/>
              <w:rPr>
                <w:rFonts w:ascii="Times New Roman" w:hAnsi="Times New Roman" w:eastAsia="宋体" w:cs="Times New Roman"/>
                <w:snapToGrid w:val="0"/>
                <w:color w:val="auto"/>
                <w:kern w:val="21"/>
                <w:szCs w:val="21"/>
              </w:rPr>
            </w:pPr>
            <w:r>
              <w:rPr>
                <w:rFonts w:ascii="Times New Roman" w:hAnsi="Times New Roman" w:eastAsia="宋体" w:cs="Times New Roman"/>
                <w:snapToGrid w:val="0"/>
                <w:color w:val="auto"/>
                <w:kern w:val="21"/>
                <w:szCs w:val="21"/>
              </w:rPr>
              <w:t>/</w:t>
            </w:r>
          </w:p>
        </w:tc>
        <w:tc>
          <w:tcPr>
            <w:tcW w:w="597" w:type="pct"/>
            <w:vAlign w:val="center"/>
          </w:tcPr>
          <w:p>
            <w:pPr>
              <w:pStyle w:val="198"/>
              <w:spacing w:beforeLines="0" w:afterLines="0" w:line="240" w:lineRule="auto"/>
              <w:rPr>
                <w:rFonts w:ascii="Times New Roman" w:hAnsi="Times New Roman" w:eastAsia="宋体" w:cs="Times New Roman"/>
                <w:snapToGrid w:val="0"/>
                <w:color w:val="auto"/>
                <w:kern w:val="21"/>
                <w:szCs w:val="21"/>
              </w:rPr>
            </w:pPr>
            <w:r>
              <w:rPr>
                <w:rFonts w:ascii="Times New Roman" w:hAnsi="Times New Roman" w:eastAsia="宋体" w:cs="Times New Roman"/>
                <w:snapToGrid w:val="0"/>
                <w:color w:val="auto"/>
                <w:kern w:val="21"/>
                <w:szCs w:val="21"/>
              </w:rPr>
              <w:t>/</w:t>
            </w:r>
          </w:p>
        </w:tc>
        <w:tc>
          <w:tcPr>
            <w:tcW w:w="547" w:type="pct"/>
            <w:vAlign w:val="center"/>
          </w:tcPr>
          <w:p>
            <w:pPr>
              <w:widowControl/>
              <w:jc w:val="center"/>
              <w:textAlignment w:val="center"/>
              <w:rPr>
                <w:color w:val="auto"/>
                <w:lang w:bidi="ar"/>
              </w:rPr>
            </w:pPr>
            <w:r>
              <w:rPr>
                <w:rFonts w:hint="eastAsia"/>
                <w:color w:val="auto"/>
                <w:lang w:bidi="ar"/>
              </w:rPr>
              <w:t>0.0972t/a</w:t>
            </w:r>
          </w:p>
        </w:tc>
        <w:tc>
          <w:tcPr>
            <w:tcW w:w="568" w:type="pct"/>
            <w:vAlign w:val="center"/>
          </w:tcPr>
          <w:p>
            <w:pPr>
              <w:widowControl/>
              <w:jc w:val="center"/>
              <w:textAlignment w:val="center"/>
              <w:rPr>
                <w:color w:val="auto"/>
                <w:lang w:bidi="ar"/>
              </w:rPr>
            </w:pPr>
            <w:r>
              <w:rPr>
                <w:rFonts w:hint="eastAsia"/>
                <w:color w:val="auto"/>
                <w:lang w:bidi="ar"/>
              </w:rPr>
              <w:t>/</w:t>
            </w:r>
          </w:p>
        </w:tc>
        <w:tc>
          <w:tcPr>
            <w:tcW w:w="559" w:type="pct"/>
            <w:vAlign w:val="center"/>
          </w:tcPr>
          <w:p>
            <w:pPr>
              <w:widowControl/>
              <w:jc w:val="center"/>
              <w:textAlignment w:val="center"/>
              <w:rPr>
                <w:color w:val="auto"/>
                <w:lang w:bidi="ar"/>
              </w:rPr>
            </w:pPr>
            <w:r>
              <w:rPr>
                <w:rFonts w:hint="eastAsia"/>
                <w:color w:val="auto"/>
                <w:lang w:bidi="ar"/>
              </w:rPr>
              <w:t>0.0972t/a</w:t>
            </w:r>
          </w:p>
        </w:tc>
        <w:tc>
          <w:tcPr>
            <w:tcW w:w="625" w:type="pct"/>
            <w:vAlign w:val="center"/>
          </w:tcPr>
          <w:p>
            <w:pPr>
              <w:widowControl/>
              <w:jc w:val="center"/>
              <w:textAlignment w:val="center"/>
              <w:rPr>
                <w:color w:val="auto"/>
                <w:lang w:bidi="ar"/>
              </w:rPr>
            </w:pPr>
            <w:r>
              <w:rPr>
                <w:rFonts w:hint="eastAsia"/>
                <w:color w:val="auto"/>
                <w:lang w:bidi="ar"/>
              </w:rPr>
              <w:t>+0.0972t/a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3" w:type="pct"/>
            <w:vMerge w:val="continue"/>
            <w:vAlign w:val="center"/>
          </w:tcPr>
          <w:p>
            <w:pPr>
              <w:pStyle w:val="198"/>
              <w:spacing w:beforeLines="0" w:afterLines="0" w:line="240" w:lineRule="auto"/>
              <w:rPr>
                <w:rFonts w:ascii="Times New Roman" w:hAnsi="Times New Roman" w:eastAsia="宋体" w:cs="Times New Roman"/>
                <w:snapToGrid w:val="0"/>
                <w:color w:val="auto"/>
                <w:kern w:val="21"/>
                <w:szCs w:val="21"/>
              </w:rPr>
            </w:pPr>
          </w:p>
        </w:tc>
        <w:tc>
          <w:tcPr>
            <w:tcW w:w="299" w:type="pct"/>
            <w:vMerge w:val="continue"/>
            <w:vAlign w:val="center"/>
          </w:tcPr>
          <w:p>
            <w:pPr>
              <w:pStyle w:val="198"/>
              <w:spacing w:beforeLines="0" w:afterLines="0" w:line="240" w:lineRule="auto"/>
              <w:rPr>
                <w:rFonts w:ascii="Times New Roman" w:hAnsi="Times New Roman" w:eastAsia="宋体" w:cs="Times New Roman"/>
                <w:snapToGrid w:val="0"/>
                <w:color w:val="auto"/>
                <w:kern w:val="21"/>
                <w:szCs w:val="21"/>
              </w:rPr>
            </w:pPr>
          </w:p>
        </w:tc>
        <w:tc>
          <w:tcPr>
            <w:tcW w:w="545" w:type="pct"/>
            <w:vAlign w:val="center"/>
          </w:tcPr>
          <w:p>
            <w:pPr>
              <w:pStyle w:val="470"/>
              <w:snapToGrid w:val="0"/>
              <w:spacing w:line="240" w:lineRule="auto"/>
              <w:rPr>
                <w:rFonts w:ascii="Times New Roman" w:hAnsi="Times New Roman" w:eastAsia="宋体" w:cs="Times New Roman"/>
                <w:bCs/>
                <w:color w:val="auto"/>
                <w:sz w:val="21"/>
                <w:szCs w:val="21"/>
                <w:vertAlign w:val="subscript"/>
                <w:lang w:eastAsia="zh-CN"/>
              </w:rPr>
            </w:pPr>
            <w:r>
              <w:rPr>
                <w:rFonts w:ascii="Times New Roman" w:hAnsi="Times New Roman" w:eastAsia="宋体" w:cs="Times New Roman"/>
                <w:bCs/>
                <w:color w:val="auto"/>
                <w:sz w:val="21"/>
                <w:szCs w:val="21"/>
                <w:lang w:eastAsia="zh-CN"/>
              </w:rPr>
              <w:t>NH</w:t>
            </w:r>
            <w:r>
              <w:rPr>
                <w:rFonts w:ascii="Times New Roman" w:hAnsi="Times New Roman" w:eastAsia="宋体" w:cs="Times New Roman"/>
                <w:bCs/>
                <w:color w:val="auto"/>
                <w:sz w:val="21"/>
                <w:szCs w:val="21"/>
                <w:vertAlign w:val="subscript"/>
                <w:lang w:eastAsia="zh-CN"/>
              </w:rPr>
              <w:t>3</w:t>
            </w:r>
            <w:r>
              <w:rPr>
                <w:rFonts w:ascii="Times New Roman" w:hAnsi="Times New Roman" w:eastAsia="宋体" w:cs="Times New Roman"/>
                <w:bCs/>
                <w:color w:val="auto"/>
                <w:sz w:val="21"/>
                <w:szCs w:val="21"/>
                <w:lang w:eastAsia="zh-CN"/>
              </w:rPr>
              <w:t>-N</w:t>
            </w:r>
          </w:p>
        </w:tc>
        <w:tc>
          <w:tcPr>
            <w:tcW w:w="475" w:type="pct"/>
            <w:vAlign w:val="center"/>
          </w:tcPr>
          <w:p>
            <w:pPr>
              <w:pStyle w:val="198"/>
              <w:spacing w:beforeLines="0" w:afterLines="0" w:line="240" w:lineRule="auto"/>
              <w:rPr>
                <w:rFonts w:ascii="Times New Roman" w:hAnsi="Times New Roman" w:eastAsia="宋体" w:cs="Times New Roman"/>
                <w:snapToGrid w:val="0"/>
                <w:color w:val="auto"/>
                <w:kern w:val="21"/>
                <w:szCs w:val="21"/>
              </w:rPr>
            </w:pPr>
            <w:r>
              <w:rPr>
                <w:rFonts w:ascii="Times New Roman" w:hAnsi="Times New Roman" w:eastAsia="宋体" w:cs="Times New Roman"/>
                <w:snapToGrid w:val="0"/>
                <w:color w:val="auto"/>
                <w:kern w:val="21"/>
                <w:szCs w:val="21"/>
              </w:rPr>
              <w:t>/</w:t>
            </w:r>
          </w:p>
        </w:tc>
        <w:tc>
          <w:tcPr>
            <w:tcW w:w="388" w:type="pct"/>
            <w:vAlign w:val="center"/>
          </w:tcPr>
          <w:p>
            <w:pPr>
              <w:pStyle w:val="198"/>
              <w:spacing w:beforeLines="0" w:afterLines="0" w:line="240" w:lineRule="auto"/>
              <w:rPr>
                <w:rFonts w:ascii="Times New Roman" w:hAnsi="Times New Roman" w:eastAsia="宋体" w:cs="Times New Roman"/>
                <w:snapToGrid w:val="0"/>
                <w:color w:val="auto"/>
                <w:kern w:val="21"/>
                <w:szCs w:val="21"/>
              </w:rPr>
            </w:pPr>
            <w:r>
              <w:rPr>
                <w:rFonts w:ascii="Times New Roman" w:hAnsi="Times New Roman" w:eastAsia="宋体" w:cs="Times New Roman"/>
                <w:snapToGrid w:val="0"/>
                <w:color w:val="auto"/>
                <w:kern w:val="21"/>
                <w:szCs w:val="21"/>
              </w:rPr>
              <w:t>/</w:t>
            </w:r>
          </w:p>
        </w:tc>
        <w:tc>
          <w:tcPr>
            <w:tcW w:w="597" w:type="pct"/>
            <w:vAlign w:val="center"/>
          </w:tcPr>
          <w:p>
            <w:pPr>
              <w:pStyle w:val="198"/>
              <w:spacing w:beforeLines="0" w:afterLines="0" w:line="240" w:lineRule="auto"/>
              <w:rPr>
                <w:rFonts w:ascii="Times New Roman" w:hAnsi="Times New Roman" w:eastAsia="宋体" w:cs="Times New Roman"/>
                <w:snapToGrid w:val="0"/>
                <w:color w:val="auto"/>
                <w:kern w:val="21"/>
                <w:szCs w:val="21"/>
              </w:rPr>
            </w:pPr>
            <w:r>
              <w:rPr>
                <w:rFonts w:ascii="Times New Roman" w:hAnsi="Times New Roman" w:eastAsia="宋体" w:cs="Times New Roman"/>
                <w:snapToGrid w:val="0"/>
                <w:color w:val="auto"/>
                <w:kern w:val="21"/>
                <w:szCs w:val="21"/>
              </w:rPr>
              <w:t>/</w:t>
            </w:r>
          </w:p>
        </w:tc>
        <w:tc>
          <w:tcPr>
            <w:tcW w:w="547" w:type="pct"/>
            <w:vAlign w:val="center"/>
          </w:tcPr>
          <w:p>
            <w:pPr>
              <w:widowControl/>
              <w:jc w:val="center"/>
              <w:textAlignment w:val="center"/>
              <w:rPr>
                <w:color w:val="auto"/>
                <w:lang w:bidi="ar"/>
              </w:rPr>
            </w:pPr>
            <w:r>
              <w:rPr>
                <w:color w:val="auto"/>
                <w:lang w:bidi="ar"/>
              </w:rPr>
              <w:t>0.0</w:t>
            </w:r>
            <w:r>
              <w:rPr>
                <w:rFonts w:hint="eastAsia"/>
                <w:color w:val="auto"/>
                <w:lang w:bidi="ar"/>
              </w:rPr>
              <w:t>0486</w:t>
            </w:r>
            <w:r>
              <w:rPr>
                <w:color w:val="auto"/>
                <w:lang w:bidi="ar"/>
              </w:rPr>
              <w:t>t/a</w:t>
            </w:r>
          </w:p>
        </w:tc>
        <w:tc>
          <w:tcPr>
            <w:tcW w:w="568" w:type="pct"/>
            <w:vAlign w:val="center"/>
          </w:tcPr>
          <w:p>
            <w:pPr>
              <w:widowControl/>
              <w:jc w:val="center"/>
              <w:textAlignment w:val="center"/>
              <w:rPr>
                <w:color w:val="auto"/>
                <w:lang w:bidi="ar"/>
              </w:rPr>
            </w:pPr>
            <w:r>
              <w:rPr>
                <w:color w:val="auto"/>
                <w:lang w:bidi="ar"/>
              </w:rPr>
              <w:t>/</w:t>
            </w:r>
          </w:p>
        </w:tc>
        <w:tc>
          <w:tcPr>
            <w:tcW w:w="559" w:type="pct"/>
            <w:vAlign w:val="center"/>
          </w:tcPr>
          <w:p>
            <w:pPr>
              <w:widowControl/>
              <w:jc w:val="center"/>
              <w:textAlignment w:val="center"/>
              <w:rPr>
                <w:color w:val="auto"/>
                <w:lang w:bidi="ar"/>
              </w:rPr>
            </w:pPr>
            <w:r>
              <w:rPr>
                <w:color w:val="auto"/>
                <w:lang w:bidi="ar"/>
              </w:rPr>
              <w:t>0.0</w:t>
            </w:r>
            <w:r>
              <w:rPr>
                <w:rFonts w:hint="eastAsia"/>
                <w:color w:val="auto"/>
                <w:lang w:bidi="ar"/>
              </w:rPr>
              <w:t>0486</w:t>
            </w:r>
            <w:r>
              <w:rPr>
                <w:color w:val="auto"/>
                <w:lang w:bidi="ar"/>
              </w:rPr>
              <w:t>t/a</w:t>
            </w:r>
          </w:p>
        </w:tc>
        <w:tc>
          <w:tcPr>
            <w:tcW w:w="625" w:type="pct"/>
            <w:vAlign w:val="center"/>
          </w:tcPr>
          <w:p>
            <w:pPr>
              <w:widowControl/>
              <w:jc w:val="center"/>
              <w:textAlignment w:val="center"/>
              <w:rPr>
                <w:color w:val="auto"/>
                <w:lang w:bidi="ar"/>
              </w:rPr>
            </w:pPr>
            <w:r>
              <w:rPr>
                <w:color w:val="auto"/>
                <w:lang w:bidi="ar"/>
              </w:rPr>
              <w:t>+0.0</w:t>
            </w:r>
            <w:r>
              <w:rPr>
                <w:rFonts w:hint="eastAsia"/>
                <w:color w:val="auto"/>
                <w:lang w:bidi="ar"/>
              </w:rPr>
              <w:t>0486</w:t>
            </w:r>
            <w:r>
              <w:rPr>
                <w:color w:val="auto"/>
                <w:lang w:bidi="ar"/>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3" w:type="pct"/>
            <w:vMerge w:val="continue"/>
            <w:vAlign w:val="center"/>
          </w:tcPr>
          <w:p>
            <w:pPr>
              <w:pStyle w:val="198"/>
              <w:spacing w:beforeLines="0" w:afterLines="0" w:line="240" w:lineRule="auto"/>
              <w:rPr>
                <w:rFonts w:ascii="Times New Roman" w:hAnsi="Times New Roman" w:eastAsia="宋体" w:cs="Times New Roman"/>
                <w:snapToGrid w:val="0"/>
                <w:color w:val="auto"/>
                <w:kern w:val="21"/>
                <w:szCs w:val="21"/>
              </w:rPr>
            </w:pPr>
          </w:p>
        </w:tc>
        <w:tc>
          <w:tcPr>
            <w:tcW w:w="299" w:type="pct"/>
            <w:vMerge w:val="continue"/>
            <w:vAlign w:val="center"/>
          </w:tcPr>
          <w:p>
            <w:pPr>
              <w:pStyle w:val="198"/>
              <w:spacing w:beforeLines="0" w:afterLines="0" w:line="240" w:lineRule="auto"/>
              <w:rPr>
                <w:rFonts w:ascii="Times New Roman" w:hAnsi="Times New Roman" w:eastAsia="宋体" w:cs="Times New Roman"/>
                <w:snapToGrid w:val="0"/>
                <w:color w:val="auto"/>
                <w:kern w:val="21"/>
                <w:szCs w:val="21"/>
              </w:rPr>
            </w:pPr>
          </w:p>
        </w:tc>
        <w:tc>
          <w:tcPr>
            <w:tcW w:w="545" w:type="pct"/>
            <w:vAlign w:val="center"/>
          </w:tcPr>
          <w:p>
            <w:pPr>
              <w:pStyle w:val="470"/>
              <w:snapToGrid w:val="0"/>
              <w:spacing w:line="240" w:lineRule="auto"/>
              <w:rPr>
                <w:rFonts w:ascii="Times New Roman" w:hAnsi="Times New Roman" w:eastAsia="宋体" w:cs="Times New Roman"/>
                <w:bCs/>
                <w:color w:val="auto"/>
                <w:sz w:val="21"/>
                <w:szCs w:val="21"/>
                <w:lang w:eastAsia="zh-CN"/>
              </w:rPr>
            </w:pPr>
            <w:r>
              <w:rPr>
                <w:rFonts w:ascii="Times New Roman" w:hAnsi="Times New Roman" w:eastAsia="宋体" w:cs="Times New Roman"/>
                <w:bCs/>
                <w:color w:val="auto"/>
                <w:sz w:val="21"/>
                <w:szCs w:val="21"/>
                <w:lang w:eastAsia="zh-CN"/>
              </w:rPr>
              <w:t>废水量</w:t>
            </w:r>
          </w:p>
        </w:tc>
        <w:tc>
          <w:tcPr>
            <w:tcW w:w="475" w:type="pct"/>
            <w:vAlign w:val="center"/>
          </w:tcPr>
          <w:p>
            <w:pPr>
              <w:pStyle w:val="198"/>
              <w:spacing w:beforeLines="0" w:afterLines="0" w:line="240" w:lineRule="auto"/>
              <w:rPr>
                <w:rFonts w:ascii="Times New Roman" w:hAnsi="Times New Roman" w:eastAsia="宋体" w:cs="Times New Roman"/>
                <w:snapToGrid w:val="0"/>
                <w:color w:val="auto"/>
                <w:kern w:val="21"/>
                <w:szCs w:val="21"/>
              </w:rPr>
            </w:pPr>
            <w:r>
              <w:rPr>
                <w:rFonts w:ascii="Times New Roman" w:hAnsi="Times New Roman" w:eastAsia="宋体" w:cs="Times New Roman"/>
                <w:snapToGrid w:val="0"/>
                <w:color w:val="auto"/>
                <w:kern w:val="21"/>
                <w:szCs w:val="21"/>
              </w:rPr>
              <w:t>/</w:t>
            </w:r>
          </w:p>
        </w:tc>
        <w:tc>
          <w:tcPr>
            <w:tcW w:w="388" w:type="pct"/>
            <w:vAlign w:val="center"/>
          </w:tcPr>
          <w:p>
            <w:pPr>
              <w:pStyle w:val="198"/>
              <w:spacing w:beforeLines="0" w:afterLines="0" w:line="240" w:lineRule="auto"/>
              <w:rPr>
                <w:rFonts w:ascii="Times New Roman" w:hAnsi="Times New Roman" w:eastAsia="宋体" w:cs="Times New Roman"/>
                <w:snapToGrid w:val="0"/>
                <w:color w:val="auto"/>
                <w:kern w:val="21"/>
                <w:szCs w:val="21"/>
              </w:rPr>
            </w:pPr>
            <w:r>
              <w:rPr>
                <w:rFonts w:ascii="Times New Roman" w:hAnsi="Times New Roman" w:eastAsia="宋体" w:cs="Times New Roman"/>
                <w:snapToGrid w:val="0"/>
                <w:color w:val="auto"/>
                <w:kern w:val="21"/>
                <w:szCs w:val="21"/>
              </w:rPr>
              <w:t>/</w:t>
            </w:r>
          </w:p>
        </w:tc>
        <w:tc>
          <w:tcPr>
            <w:tcW w:w="597" w:type="pct"/>
            <w:vAlign w:val="center"/>
          </w:tcPr>
          <w:p>
            <w:pPr>
              <w:pStyle w:val="198"/>
              <w:spacing w:beforeLines="0" w:afterLines="0" w:line="240" w:lineRule="auto"/>
              <w:rPr>
                <w:rFonts w:ascii="Times New Roman" w:hAnsi="Times New Roman" w:eastAsia="宋体" w:cs="Times New Roman"/>
                <w:snapToGrid w:val="0"/>
                <w:color w:val="auto"/>
                <w:kern w:val="21"/>
                <w:szCs w:val="21"/>
              </w:rPr>
            </w:pPr>
            <w:r>
              <w:rPr>
                <w:rFonts w:ascii="Times New Roman" w:hAnsi="Times New Roman" w:eastAsia="宋体" w:cs="Times New Roman"/>
                <w:snapToGrid w:val="0"/>
                <w:color w:val="auto"/>
                <w:kern w:val="21"/>
                <w:szCs w:val="21"/>
              </w:rPr>
              <w:t>/</w:t>
            </w:r>
          </w:p>
        </w:tc>
        <w:tc>
          <w:tcPr>
            <w:tcW w:w="547" w:type="pct"/>
            <w:vAlign w:val="center"/>
          </w:tcPr>
          <w:p>
            <w:pPr>
              <w:widowControl/>
              <w:jc w:val="center"/>
              <w:textAlignment w:val="center"/>
              <w:rPr>
                <w:bCs/>
                <w:color w:val="auto"/>
              </w:rPr>
            </w:pPr>
            <w:r>
              <w:rPr>
                <w:rFonts w:hint="eastAsia"/>
                <w:color w:val="auto"/>
                <w:lang w:bidi="ar"/>
              </w:rPr>
              <w:t>0.243万吨/年</w:t>
            </w:r>
          </w:p>
        </w:tc>
        <w:tc>
          <w:tcPr>
            <w:tcW w:w="568" w:type="pct"/>
            <w:vAlign w:val="center"/>
          </w:tcPr>
          <w:p>
            <w:pPr>
              <w:widowControl/>
              <w:jc w:val="center"/>
              <w:textAlignment w:val="center"/>
              <w:rPr>
                <w:snapToGrid w:val="0"/>
                <w:color w:val="auto"/>
                <w:kern w:val="21"/>
              </w:rPr>
            </w:pPr>
            <w:r>
              <w:rPr>
                <w:color w:val="auto"/>
                <w:lang w:bidi="ar"/>
              </w:rPr>
              <w:t>/</w:t>
            </w:r>
          </w:p>
        </w:tc>
        <w:tc>
          <w:tcPr>
            <w:tcW w:w="559" w:type="pct"/>
            <w:vAlign w:val="center"/>
          </w:tcPr>
          <w:p>
            <w:pPr>
              <w:widowControl/>
              <w:jc w:val="center"/>
              <w:textAlignment w:val="center"/>
              <w:rPr>
                <w:bCs/>
                <w:color w:val="auto"/>
              </w:rPr>
            </w:pPr>
            <w:r>
              <w:rPr>
                <w:rFonts w:hint="eastAsia"/>
                <w:color w:val="auto"/>
                <w:lang w:bidi="ar"/>
              </w:rPr>
              <w:t>0.243万吨/年</w:t>
            </w:r>
          </w:p>
        </w:tc>
        <w:tc>
          <w:tcPr>
            <w:tcW w:w="625" w:type="pct"/>
            <w:vAlign w:val="center"/>
          </w:tcPr>
          <w:p>
            <w:pPr>
              <w:pStyle w:val="470"/>
              <w:snapToGrid w:val="0"/>
              <w:spacing w:line="240" w:lineRule="auto"/>
              <w:rPr>
                <w:rFonts w:ascii="Times New Roman" w:hAnsi="Times New Roman" w:eastAsia="宋体" w:cs="Times New Roman"/>
                <w:bCs/>
                <w:color w:val="auto"/>
                <w:sz w:val="21"/>
                <w:szCs w:val="21"/>
                <w:lang w:eastAsia="zh-CN"/>
              </w:rPr>
            </w:pPr>
            <w:r>
              <w:rPr>
                <w:rFonts w:ascii="Times New Roman" w:hAnsi="Times New Roman" w:eastAsia="宋体" w:cs="Times New Roman"/>
                <w:bCs/>
                <w:color w:val="auto"/>
                <w:sz w:val="21"/>
                <w:szCs w:val="21"/>
                <w:lang w:eastAsia="zh-CN"/>
              </w:rPr>
              <w:t>+</w:t>
            </w:r>
            <w:r>
              <w:rPr>
                <w:rFonts w:hint="eastAsia" w:ascii="Times New Roman" w:hAnsi="Times New Roman" w:eastAsia="宋体" w:cs="Times New Roman"/>
                <w:color w:val="auto"/>
                <w:sz w:val="21"/>
                <w:szCs w:val="20"/>
                <w:lang w:eastAsia="zh-CN" w:bidi="ar"/>
              </w:rPr>
              <w:t>0.243万吨/年</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393" w:type="pct"/>
            <w:vMerge w:val="restart"/>
            <w:vAlign w:val="center"/>
          </w:tcPr>
          <w:p>
            <w:pPr>
              <w:pStyle w:val="198"/>
              <w:spacing w:beforeLines="0" w:afterLines="0" w:line="240" w:lineRule="auto"/>
              <w:rPr>
                <w:rFonts w:ascii="Times New Roman" w:hAnsi="Times New Roman" w:eastAsia="宋体" w:cs="Times New Roman"/>
                <w:snapToGrid w:val="0"/>
                <w:color w:val="auto"/>
                <w:kern w:val="21"/>
                <w:szCs w:val="21"/>
              </w:rPr>
            </w:pPr>
            <w:r>
              <w:rPr>
                <w:rFonts w:ascii="Times New Roman" w:hAnsi="Times New Roman" w:eastAsia="宋体" w:cs="Times New Roman"/>
                <w:snapToGrid w:val="0"/>
                <w:color w:val="auto"/>
                <w:kern w:val="21"/>
                <w:szCs w:val="21"/>
              </w:rPr>
              <w:t>一般工业</w:t>
            </w:r>
          </w:p>
          <w:p>
            <w:pPr>
              <w:pStyle w:val="198"/>
              <w:spacing w:beforeLines="0" w:afterLines="0" w:line="240" w:lineRule="auto"/>
              <w:rPr>
                <w:rFonts w:ascii="Times New Roman" w:hAnsi="Times New Roman" w:eastAsia="宋体" w:cs="Times New Roman"/>
                <w:snapToGrid w:val="0"/>
                <w:color w:val="auto"/>
                <w:kern w:val="21"/>
                <w:szCs w:val="21"/>
              </w:rPr>
            </w:pPr>
            <w:r>
              <w:rPr>
                <w:rFonts w:ascii="Times New Roman" w:hAnsi="Times New Roman" w:eastAsia="宋体" w:cs="Times New Roman"/>
                <w:snapToGrid w:val="0"/>
                <w:color w:val="auto"/>
                <w:kern w:val="21"/>
                <w:szCs w:val="21"/>
              </w:rPr>
              <w:t>固体废物</w:t>
            </w:r>
          </w:p>
        </w:tc>
        <w:tc>
          <w:tcPr>
            <w:tcW w:w="844" w:type="pct"/>
            <w:gridSpan w:val="2"/>
            <w:vAlign w:val="center"/>
          </w:tcPr>
          <w:p>
            <w:pPr>
              <w:pStyle w:val="198"/>
              <w:spacing w:beforeLines="0" w:afterLines="0" w:line="240" w:lineRule="auto"/>
              <w:rPr>
                <w:rFonts w:ascii="Times New Roman" w:hAnsi="Times New Roman" w:eastAsia="宋体" w:cs="Times New Roman"/>
                <w:snapToGrid w:val="0"/>
                <w:color w:val="auto"/>
                <w:kern w:val="21"/>
                <w:szCs w:val="21"/>
              </w:rPr>
            </w:pPr>
            <w:r>
              <w:rPr>
                <w:rFonts w:ascii="Times New Roman" w:hAnsi="Times New Roman" w:eastAsia="宋体" w:cs="Times New Roman"/>
                <w:bCs/>
                <w:color w:val="auto"/>
                <w:szCs w:val="21"/>
              </w:rPr>
              <w:t>布袋除尘器收集的粉尘</w:t>
            </w:r>
          </w:p>
        </w:tc>
        <w:tc>
          <w:tcPr>
            <w:tcW w:w="475" w:type="pct"/>
            <w:vAlign w:val="center"/>
          </w:tcPr>
          <w:p>
            <w:pPr>
              <w:pStyle w:val="198"/>
              <w:spacing w:beforeLines="0" w:afterLines="0" w:line="240" w:lineRule="auto"/>
              <w:rPr>
                <w:rFonts w:ascii="Times New Roman" w:hAnsi="Times New Roman" w:eastAsia="宋体" w:cs="Times New Roman"/>
                <w:snapToGrid w:val="0"/>
                <w:color w:val="auto"/>
                <w:kern w:val="21"/>
                <w:szCs w:val="21"/>
              </w:rPr>
            </w:pPr>
            <w:r>
              <w:rPr>
                <w:rFonts w:ascii="Times New Roman" w:hAnsi="Times New Roman" w:eastAsia="宋体" w:cs="Times New Roman"/>
                <w:snapToGrid w:val="0"/>
                <w:color w:val="auto"/>
                <w:kern w:val="21"/>
                <w:szCs w:val="21"/>
              </w:rPr>
              <w:t>/</w:t>
            </w:r>
          </w:p>
        </w:tc>
        <w:tc>
          <w:tcPr>
            <w:tcW w:w="388" w:type="pct"/>
            <w:vAlign w:val="center"/>
          </w:tcPr>
          <w:p>
            <w:pPr>
              <w:pStyle w:val="198"/>
              <w:spacing w:beforeLines="0" w:afterLines="0" w:line="240" w:lineRule="auto"/>
              <w:rPr>
                <w:rFonts w:ascii="Times New Roman" w:hAnsi="Times New Roman" w:eastAsia="宋体" w:cs="Times New Roman"/>
                <w:snapToGrid w:val="0"/>
                <w:color w:val="auto"/>
                <w:kern w:val="21"/>
                <w:szCs w:val="21"/>
              </w:rPr>
            </w:pPr>
            <w:r>
              <w:rPr>
                <w:rFonts w:ascii="Times New Roman" w:hAnsi="Times New Roman" w:eastAsia="宋体" w:cs="Times New Roman"/>
                <w:snapToGrid w:val="0"/>
                <w:color w:val="auto"/>
                <w:kern w:val="21"/>
                <w:szCs w:val="21"/>
              </w:rPr>
              <w:t>/</w:t>
            </w:r>
          </w:p>
        </w:tc>
        <w:tc>
          <w:tcPr>
            <w:tcW w:w="597" w:type="pct"/>
            <w:vAlign w:val="center"/>
          </w:tcPr>
          <w:p>
            <w:pPr>
              <w:pStyle w:val="198"/>
              <w:spacing w:beforeLines="0" w:afterLines="0" w:line="240" w:lineRule="auto"/>
              <w:rPr>
                <w:rFonts w:ascii="Times New Roman" w:hAnsi="Times New Roman" w:eastAsia="宋体" w:cs="Times New Roman"/>
                <w:snapToGrid w:val="0"/>
                <w:color w:val="auto"/>
                <w:kern w:val="21"/>
                <w:szCs w:val="21"/>
              </w:rPr>
            </w:pPr>
            <w:r>
              <w:rPr>
                <w:rFonts w:ascii="Times New Roman" w:hAnsi="Times New Roman" w:eastAsia="宋体" w:cs="Times New Roman"/>
                <w:snapToGrid w:val="0"/>
                <w:color w:val="auto"/>
                <w:kern w:val="21"/>
                <w:szCs w:val="21"/>
              </w:rPr>
              <w:t>/</w:t>
            </w:r>
          </w:p>
        </w:tc>
        <w:tc>
          <w:tcPr>
            <w:tcW w:w="547" w:type="pct"/>
            <w:vAlign w:val="center"/>
          </w:tcPr>
          <w:p>
            <w:pPr>
              <w:widowControl/>
              <w:jc w:val="center"/>
              <w:textAlignment w:val="center"/>
              <w:rPr>
                <w:bCs/>
                <w:color w:val="FF0000"/>
              </w:rPr>
            </w:pPr>
            <w:r>
              <w:rPr>
                <w:rFonts w:hint="eastAsia"/>
                <w:color w:val="FF0000"/>
                <w:lang w:val="en-US" w:eastAsia="zh-CN" w:bidi="ar"/>
              </w:rPr>
              <w:t>2.4104</w:t>
            </w:r>
            <w:r>
              <w:rPr>
                <w:color w:val="FF0000"/>
                <w:lang w:bidi="ar"/>
              </w:rPr>
              <w:t>t/a</w:t>
            </w:r>
          </w:p>
        </w:tc>
        <w:tc>
          <w:tcPr>
            <w:tcW w:w="568" w:type="pct"/>
            <w:vAlign w:val="center"/>
          </w:tcPr>
          <w:p>
            <w:pPr>
              <w:widowControl/>
              <w:jc w:val="center"/>
              <w:textAlignment w:val="center"/>
              <w:rPr>
                <w:snapToGrid w:val="0"/>
                <w:color w:val="FF0000"/>
                <w:kern w:val="21"/>
              </w:rPr>
            </w:pPr>
            <w:r>
              <w:rPr>
                <w:color w:val="FF0000"/>
                <w:lang w:bidi="ar"/>
              </w:rPr>
              <w:t>/</w:t>
            </w:r>
          </w:p>
        </w:tc>
        <w:tc>
          <w:tcPr>
            <w:tcW w:w="559" w:type="pct"/>
            <w:vAlign w:val="center"/>
          </w:tcPr>
          <w:p>
            <w:pPr>
              <w:widowControl/>
              <w:jc w:val="center"/>
              <w:textAlignment w:val="center"/>
              <w:rPr>
                <w:bCs/>
                <w:color w:val="FF0000"/>
              </w:rPr>
            </w:pPr>
            <w:r>
              <w:rPr>
                <w:rFonts w:hint="eastAsia"/>
                <w:color w:val="FF0000"/>
                <w:lang w:val="en-US" w:eastAsia="zh-CN" w:bidi="ar"/>
              </w:rPr>
              <w:t>2.4104</w:t>
            </w:r>
            <w:r>
              <w:rPr>
                <w:color w:val="FF0000"/>
                <w:lang w:bidi="ar"/>
              </w:rPr>
              <w:t>t/a</w:t>
            </w:r>
          </w:p>
        </w:tc>
        <w:tc>
          <w:tcPr>
            <w:tcW w:w="625" w:type="pct"/>
            <w:vAlign w:val="center"/>
          </w:tcPr>
          <w:p>
            <w:pPr>
              <w:widowControl/>
              <w:adjustRightInd w:val="0"/>
              <w:snapToGrid w:val="0"/>
              <w:jc w:val="center"/>
              <w:textAlignment w:val="center"/>
              <w:rPr>
                <w:bCs/>
                <w:color w:val="FF0000"/>
              </w:rPr>
            </w:pPr>
            <w:r>
              <w:rPr>
                <w:bCs/>
                <w:color w:val="FF0000"/>
              </w:rPr>
              <w:t>+</w:t>
            </w:r>
            <w:r>
              <w:rPr>
                <w:rFonts w:hint="eastAsia"/>
                <w:color w:val="FF0000"/>
                <w:lang w:val="en-US" w:eastAsia="zh-CN" w:bidi="ar"/>
              </w:rPr>
              <w:t>2.4104</w:t>
            </w:r>
            <w:r>
              <w:rPr>
                <w:color w:val="FF0000"/>
                <w:lang w:bidi="ar"/>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2" w:hRule="atLeast"/>
          <w:jc w:val="center"/>
        </w:trPr>
        <w:tc>
          <w:tcPr>
            <w:tcW w:w="393" w:type="pct"/>
            <w:vMerge w:val="continue"/>
            <w:vAlign w:val="center"/>
          </w:tcPr>
          <w:p>
            <w:pPr>
              <w:pStyle w:val="198"/>
              <w:spacing w:beforeLines="0" w:afterLines="0" w:line="240" w:lineRule="auto"/>
              <w:rPr>
                <w:rFonts w:ascii="Times New Roman" w:hAnsi="Times New Roman" w:eastAsia="宋体" w:cs="Times New Roman"/>
                <w:snapToGrid w:val="0"/>
                <w:color w:val="auto"/>
                <w:kern w:val="21"/>
                <w:szCs w:val="21"/>
              </w:rPr>
            </w:pPr>
          </w:p>
        </w:tc>
        <w:tc>
          <w:tcPr>
            <w:tcW w:w="844" w:type="pct"/>
            <w:gridSpan w:val="2"/>
            <w:vAlign w:val="center"/>
          </w:tcPr>
          <w:p>
            <w:pPr>
              <w:pStyle w:val="198"/>
              <w:spacing w:beforeLines="0" w:afterLines="0" w:line="240" w:lineRule="auto"/>
              <w:rPr>
                <w:rFonts w:ascii="Times New Roman" w:hAnsi="Times New Roman" w:eastAsia="宋体" w:cs="Times New Roman"/>
                <w:bCs/>
                <w:color w:val="auto"/>
                <w:szCs w:val="21"/>
              </w:rPr>
            </w:pPr>
            <w:r>
              <w:rPr>
                <w:rFonts w:hint="eastAsia" w:ascii="Times New Roman" w:hAnsi="Times New Roman" w:eastAsia="宋体" w:cs="Times New Roman"/>
                <w:bCs/>
                <w:color w:val="auto"/>
                <w:szCs w:val="21"/>
              </w:rPr>
              <w:t>废包装材料</w:t>
            </w:r>
          </w:p>
        </w:tc>
        <w:tc>
          <w:tcPr>
            <w:tcW w:w="475" w:type="pct"/>
            <w:vAlign w:val="center"/>
          </w:tcPr>
          <w:p>
            <w:pPr>
              <w:pStyle w:val="198"/>
              <w:spacing w:beforeLines="0" w:afterLines="0" w:line="240" w:lineRule="auto"/>
              <w:rPr>
                <w:rFonts w:ascii="Times New Roman" w:hAnsi="Times New Roman" w:eastAsia="宋体" w:cs="Times New Roman"/>
                <w:snapToGrid w:val="0"/>
                <w:color w:val="auto"/>
                <w:kern w:val="21"/>
                <w:szCs w:val="21"/>
              </w:rPr>
            </w:pPr>
            <w:r>
              <w:rPr>
                <w:rFonts w:ascii="Times New Roman" w:hAnsi="Times New Roman" w:eastAsia="宋体" w:cs="Times New Roman"/>
                <w:snapToGrid w:val="0"/>
                <w:color w:val="auto"/>
                <w:kern w:val="21"/>
                <w:szCs w:val="21"/>
              </w:rPr>
              <w:t>/</w:t>
            </w:r>
          </w:p>
        </w:tc>
        <w:tc>
          <w:tcPr>
            <w:tcW w:w="388" w:type="pct"/>
            <w:vAlign w:val="center"/>
          </w:tcPr>
          <w:p>
            <w:pPr>
              <w:pStyle w:val="198"/>
              <w:spacing w:beforeLines="0" w:afterLines="0" w:line="240" w:lineRule="auto"/>
              <w:rPr>
                <w:rFonts w:ascii="Times New Roman" w:hAnsi="Times New Roman" w:eastAsia="宋体" w:cs="Times New Roman"/>
                <w:snapToGrid w:val="0"/>
                <w:color w:val="auto"/>
                <w:kern w:val="21"/>
                <w:szCs w:val="21"/>
              </w:rPr>
            </w:pPr>
            <w:r>
              <w:rPr>
                <w:rFonts w:ascii="Times New Roman" w:hAnsi="Times New Roman" w:eastAsia="宋体" w:cs="Times New Roman"/>
                <w:snapToGrid w:val="0"/>
                <w:color w:val="auto"/>
                <w:kern w:val="21"/>
                <w:szCs w:val="21"/>
              </w:rPr>
              <w:t>/</w:t>
            </w:r>
          </w:p>
        </w:tc>
        <w:tc>
          <w:tcPr>
            <w:tcW w:w="597" w:type="pct"/>
            <w:vAlign w:val="center"/>
          </w:tcPr>
          <w:p>
            <w:pPr>
              <w:pStyle w:val="198"/>
              <w:spacing w:beforeLines="0" w:afterLines="0" w:line="240" w:lineRule="auto"/>
              <w:rPr>
                <w:rFonts w:ascii="Times New Roman" w:hAnsi="Times New Roman" w:eastAsia="宋体" w:cs="Times New Roman"/>
                <w:snapToGrid w:val="0"/>
                <w:color w:val="auto"/>
                <w:kern w:val="21"/>
                <w:szCs w:val="21"/>
              </w:rPr>
            </w:pPr>
            <w:r>
              <w:rPr>
                <w:rFonts w:ascii="Times New Roman" w:hAnsi="Times New Roman" w:eastAsia="宋体" w:cs="Times New Roman"/>
                <w:snapToGrid w:val="0"/>
                <w:color w:val="auto"/>
                <w:kern w:val="21"/>
                <w:szCs w:val="21"/>
              </w:rPr>
              <w:t>/</w:t>
            </w:r>
          </w:p>
        </w:tc>
        <w:tc>
          <w:tcPr>
            <w:tcW w:w="547" w:type="pct"/>
            <w:vAlign w:val="center"/>
          </w:tcPr>
          <w:p>
            <w:pPr>
              <w:widowControl/>
              <w:jc w:val="center"/>
              <w:textAlignment w:val="center"/>
              <w:rPr>
                <w:bCs/>
                <w:color w:val="auto"/>
              </w:rPr>
            </w:pPr>
            <w:r>
              <w:rPr>
                <w:color w:val="auto"/>
                <w:lang w:bidi="ar"/>
              </w:rPr>
              <w:t>3t/a</w:t>
            </w:r>
          </w:p>
        </w:tc>
        <w:tc>
          <w:tcPr>
            <w:tcW w:w="568" w:type="pct"/>
            <w:vAlign w:val="center"/>
          </w:tcPr>
          <w:p>
            <w:pPr>
              <w:widowControl/>
              <w:jc w:val="center"/>
              <w:textAlignment w:val="center"/>
              <w:rPr>
                <w:snapToGrid w:val="0"/>
                <w:color w:val="auto"/>
                <w:kern w:val="21"/>
              </w:rPr>
            </w:pPr>
            <w:r>
              <w:rPr>
                <w:color w:val="auto"/>
                <w:lang w:bidi="ar"/>
              </w:rPr>
              <w:t>/</w:t>
            </w:r>
          </w:p>
        </w:tc>
        <w:tc>
          <w:tcPr>
            <w:tcW w:w="559" w:type="pct"/>
            <w:vAlign w:val="center"/>
          </w:tcPr>
          <w:p>
            <w:pPr>
              <w:widowControl/>
              <w:jc w:val="center"/>
              <w:textAlignment w:val="center"/>
              <w:rPr>
                <w:bCs/>
                <w:color w:val="auto"/>
              </w:rPr>
            </w:pPr>
            <w:r>
              <w:rPr>
                <w:color w:val="auto"/>
                <w:lang w:bidi="ar"/>
              </w:rPr>
              <w:t>3t/a</w:t>
            </w:r>
          </w:p>
        </w:tc>
        <w:tc>
          <w:tcPr>
            <w:tcW w:w="625" w:type="pct"/>
            <w:vAlign w:val="center"/>
          </w:tcPr>
          <w:p>
            <w:pPr>
              <w:widowControl/>
              <w:adjustRightInd w:val="0"/>
              <w:snapToGrid w:val="0"/>
              <w:jc w:val="center"/>
              <w:textAlignment w:val="center"/>
              <w:rPr>
                <w:bCs/>
                <w:color w:val="auto"/>
              </w:rPr>
            </w:pPr>
            <w:r>
              <w:rPr>
                <w:bCs/>
                <w:color w:val="auto"/>
              </w:rPr>
              <w:t>+</w:t>
            </w:r>
            <w:r>
              <w:rPr>
                <w:rFonts w:hint="eastAsia"/>
                <w:bCs/>
                <w:color w:val="auto"/>
              </w:rPr>
              <w:t>3</w:t>
            </w:r>
            <w:r>
              <w:rPr>
                <w:bCs/>
                <w:color w:val="auto"/>
                <w:lang w:bidi="ar"/>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2" w:hRule="atLeast"/>
          <w:jc w:val="center"/>
        </w:trPr>
        <w:tc>
          <w:tcPr>
            <w:tcW w:w="393" w:type="pct"/>
            <w:vMerge w:val="restart"/>
            <w:vAlign w:val="center"/>
          </w:tcPr>
          <w:p>
            <w:pPr>
              <w:pStyle w:val="198"/>
              <w:spacing w:beforeLines="0" w:afterLines="0" w:line="240" w:lineRule="auto"/>
              <w:rPr>
                <w:rFonts w:ascii="Times New Roman" w:hAnsi="Times New Roman" w:eastAsia="宋体" w:cs="Times New Roman"/>
                <w:snapToGrid w:val="0"/>
                <w:color w:val="auto"/>
                <w:kern w:val="21"/>
                <w:szCs w:val="21"/>
              </w:rPr>
            </w:pPr>
            <w:r>
              <w:rPr>
                <w:rFonts w:ascii="Times New Roman" w:hAnsi="Times New Roman" w:eastAsia="宋体" w:cs="Times New Roman"/>
                <w:snapToGrid w:val="0"/>
                <w:color w:val="auto"/>
                <w:kern w:val="21"/>
                <w:szCs w:val="21"/>
              </w:rPr>
              <w:t>危险废物</w:t>
            </w:r>
          </w:p>
        </w:tc>
        <w:tc>
          <w:tcPr>
            <w:tcW w:w="844" w:type="pct"/>
            <w:gridSpan w:val="2"/>
            <w:vAlign w:val="center"/>
          </w:tcPr>
          <w:p>
            <w:pPr>
              <w:pStyle w:val="198"/>
              <w:spacing w:beforeLines="0" w:afterLines="0" w:line="240" w:lineRule="auto"/>
              <w:rPr>
                <w:rFonts w:ascii="Times New Roman" w:hAnsi="Times New Roman" w:eastAsia="宋体" w:cs="Times New Roman"/>
                <w:snapToGrid w:val="0"/>
                <w:color w:val="auto"/>
                <w:kern w:val="21"/>
                <w:szCs w:val="21"/>
              </w:rPr>
            </w:pPr>
            <w:r>
              <w:rPr>
                <w:rFonts w:ascii="Times New Roman" w:hAnsi="Times New Roman" w:eastAsia="宋体" w:cs="Times New Roman"/>
                <w:bCs/>
                <w:color w:val="auto"/>
                <w:szCs w:val="21"/>
              </w:rPr>
              <w:t>废活性炭</w:t>
            </w:r>
          </w:p>
        </w:tc>
        <w:tc>
          <w:tcPr>
            <w:tcW w:w="475" w:type="pct"/>
            <w:vAlign w:val="center"/>
          </w:tcPr>
          <w:p>
            <w:pPr>
              <w:pStyle w:val="198"/>
              <w:spacing w:beforeLines="0" w:afterLines="0" w:line="240" w:lineRule="auto"/>
              <w:rPr>
                <w:rFonts w:ascii="Times New Roman" w:hAnsi="Times New Roman" w:eastAsia="宋体" w:cs="Times New Roman"/>
                <w:snapToGrid w:val="0"/>
                <w:color w:val="auto"/>
                <w:kern w:val="21"/>
                <w:szCs w:val="21"/>
              </w:rPr>
            </w:pPr>
            <w:r>
              <w:rPr>
                <w:rFonts w:ascii="Times New Roman" w:hAnsi="Times New Roman" w:eastAsia="宋体" w:cs="Times New Roman"/>
                <w:snapToGrid w:val="0"/>
                <w:color w:val="auto"/>
                <w:kern w:val="21"/>
                <w:szCs w:val="21"/>
              </w:rPr>
              <w:t>/</w:t>
            </w:r>
          </w:p>
        </w:tc>
        <w:tc>
          <w:tcPr>
            <w:tcW w:w="388" w:type="pct"/>
            <w:vAlign w:val="center"/>
          </w:tcPr>
          <w:p>
            <w:pPr>
              <w:pStyle w:val="198"/>
              <w:spacing w:beforeLines="0" w:afterLines="0" w:line="240" w:lineRule="auto"/>
              <w:rPr>
                <w:rFonts w:ascii="Times New Roman" w:hAnsi="Times New Roman" w:eastAsia="宋体" w:cs="Times New Roman"/>
                <w:snapToGrid w:val="0"/>
                <w:color w:val="auto"/>
                <w:kern w:val="21"/>
                <w:szCs w:val="21"/>
              </w:rPr>
            </w:pPr>
            <w:r>
              <w:rPr>
                <w:rFonts w:ascii="Times New Roman" w:hAnsi="Times New Roman" w:eastAsia="宋体" w:cs="Times New Roman"/>
                <w:snapToGrid w:val="0"/>
                <w:color w:val="auto"/>
                <w:kern w:val="21"/>
                <w:szCs w:val="21"/>
              </w:rPr>
              <w:t>/</w:t>
            </w:r>
          </w:p>
        </w:tc>
        <w:tc>
          <w:tcPr>
            <w:tcW w:w="597" w:type="pct"/>
            <w:vAlign w:val="center"/>
          </w:tcPr>
          <w:p>
            <w:pPr>
              <w:pStyle w:val="198"/>
              <w:spacing w:beforeLines="0" w:afterLines="0" w:line="240" w:lineRule="auto"/>
              <w:rPr>
                <w:rFonts w:ascii="Times New Roman" w:hAnsi="Times New Roman" w:eastAsia="宋体" w:cs="Times New Roman"/>
                <w:snapToGrid w:val="0"/>
                <w:color w:val="auto"/>
                <w:kern w:val="21"/>
                <w:szCs w:val="21"/>
              </w:rPr>
            </w:pPr>
            <w:r>
              <w:rPr>
                <w:rFonts w:ascii="Times New Roman" w:hAnsi="Times New Roman" w:eastAsia="宋体" w:cs="Times New Roman"/>
                <w:snapToGrid w:val="0"/>
                <w:color w:val="auto"/>
                <w:kern w:val="21"/>
                <w:szCs w:val="21"/>
              </w:rPr>
              <w:t>/</w:t>
            </w:r>
          </w:p>
        </w:tc>
        <w:tc>
          <w:tcPr>
            <w:tcW w:w="547" w:type="pct"/>
            <w:vAlign w:val="center"/>
          </w:tcPr>
          <w:p>
            <w:pPr>
              <w:widowControl/>
              <w:jc w:val="center"/>
              <w:textAlignment w:val="center"/>
              <w:rPr>
                <w:color w:val="FF0000"/>
                <w:highlight w:val="none"/>
              </w:rPr>
            </w:pPr>
            <w:r>
              <w:rPr>
                <w:rFonts w:hint="eastAsia"/>
                <w:color w:val="FF0000"/>
                <w:highlight w:val="none"/>
                <w:lang w:bidi="ar"/>
              </w:rPr>
              <w:t>1</w:t>
            </w:r>
            <w:r>
              <w:rPr>
                <w:rFonts w:hint="eastAsia"/>
                <w:color w:val="FF0000"/>
                <w:highlight w:val="none"/>
                <w:lang w:val="en-US" w:eastAsia="zh-CN" w:bidi="ar"/>
              </w:rPr>
              <w:t>7.37</w:t>
            </w:r>
            <w:r>
              <w:rPr>
                <w:color w:val="FF0000"/>
                <w:highlight w:val="none"/>
                <w:lang w:bidi="ar"/>
              </w:rPr>
              <w:t>t/a</w:t>
            </w:r>
          </w:p>
        </w:tc>
        <w:tc>
          <w:tcPr>
            <w:tcW w:w="568" w:type="pct"/>
            <w:vAlign w:val="center"/>
          </w:tcPr>
          <w:p>
            <w:pPr>
              <w:widowControl/>
              <w:jc w:val="center"/>
              <w:textAlignment w:val="center"/>
              <w:rPr>
                <w:snapToGrid w:val="0"/>
                <w:color w:val="FF0000"/>
                <w:kern w:val="21"/>
                <w:highlight w:val="none"/>
              </w:rPr>
            </w:pPr>
            <w:r>
              <w:rPr>
                <w:color w:val="FF0000"/>
                <w:highlight w:val="none"/>
                <w:lang w:bidi="ar"/>
              </w:rPr>
              <w:t>/</w:t>
            </w:r>
          </w:p>
        </w:tc>
        <w:tc>
          <w:tcPr>
            <w:tcW w:w="559" w:type="pct"/>
            <w:vAlign w:val="center"/>
          </w:tcPr>
          <w:p>
            <w:pPr>
              <w:widowControl/>
              <w:jc w:val="center"/>
              <w:textAlignment w:val="center"/>
              <w:rPr>
                <w:color w:val="FF0000"/>
                <w:highlight w:val="none"/>
              </w:rPr>
            </w:pPr>
            <w:r>
              <w:rPr>
                <w:rFonts w:hint="eastAsia"/>
                <w:color w:val="FF0000"/>
                <w:highlight w:val="none"/>
                <w:lang w:bidi="ar"/>
              </w:rPr>
              <w:t>1</w:t>
            </w:r>
            <w:r>
              <w:rPr>
                <w:rFonts w:hint="eastAsia"/>
                <w:color w:val="FF0000"/>
                <w:highlight w:val="none"/>
                <w:lang w:val="en-US" w:eastAsia="zh-CN" w:bidi="ar"/>
              </w:rPr>
              <w:t>7.37</w:t>
            </w:r>
            <w:r>
              <w:rPr>
                <w:color w:val="FF0000"/>
                <w:highlight w:val="none"/>
                <w:lang w:bidi="ar"/>
              </w:rPr>
              <w:t>t/a</w:t>
            </w:r>
          </w:p>
        </w:tc>
        <w:tc>
          <w:tcPr>
            <w:tcW w:w="625" w:type="pct"/>
            <w:vAlign w:val="center"/>
          </w:tcPr>
          <w:p>
            <w:pPr>
              <w:widowControl/>
              <w:adjustRightInd w:val="0"/>
              <w:snapToGrid w:val="0"/>
              <w:jc w:val="center"/>
              <w:textAlignment w:val="center"/>
              <w:rPr>
                <w:color w:val="FF0000"/>
                <w:highlight w:val="none"/>
              </w:rPr>
            </w:pPr>
            <w:r>
              <w:rPr>
                <w:bCs/>
                <w:color w:val="FF0000"/>
                <w:highlight w:val="none"/>
              </w:rPr>
              <w:t>+</w:t>
            </w:r>
            <w:r>
              <w:rPr>
                <w:rFonts w:hint="eastAsia"/>
                <w:color w:val="FF0000"/>
                <w:highlight w:val="none"/>
                <w:lang w:bidi="ar"/>
              </w:rPr>
              <w:t>1</w:t>
            </w:r>
            <w:r>
              <w:rPr>
                <w:rFonts w:hint="eastAsia"/>
                <w:color w:val="FF0000"/>
                <w:highlight w:val="none"/>
                <w:lang w:val="en-US" w:eastAsia="zh-CN" w:bidi="ar"/>
              </w:rPr>
              <w:t>7.37</w:t>
            </w:r>
            <w:r>
              <w:rPr>
                <w:color w:val="FF0000"/>
                <w:highlight w:val="none"/>
                <w:lang w:bidi="ar"/>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82" w:hRule="atLeast"/>
          <w:jc w:val="center"/>
        </w:trPr>
        <w:tc>
          <w:tcPr>
            <w:tcW w:w="393" w:type="pct"/>
            <w:vMerge w:val="continue"/>
            <w:vAlign w:val="center"/>
          </w:tcPr>
          <w:p>
            <w:pPr>
              <w:pStyle w:val="198"/>
              <w:spacing w:beforeLines="0" w:afterLines="0" w:line="240" w:lineRule="auto"/>
              <w:rPr>
                <w:rFonts w:ascii="Times New Roman" w:hAnsi="Times New Roman" w:eastAsia="宋体" w:cs="Times New Roman"/>
                <w:snapToGrid w:val="0"/>
                <w:color w:val="auto"/>
                <w:kern w:val="21"/>
                <w:szCs w:val="21"/>
              </w:rPr>
            </w:pPr>
          </w:p>
        </w:tc>
        <w:tc>
          <w:tcPr>
            <w:tcW w:w="844" w:type="pct"/>
            <w:gridSpan w:val="2"/>
            <w:vAlign w:val="center"/>
          </w:tcPr>
          <w:p>
            <w:pPr>
              <w:pStyle w:val="198"/>
              <w:spacing w:beforeLines="0" w:afterLines="0" w:line="240" w:lineRule="auto"/>
              <w:rPr>
                <w:rFonts w:ascii="Times New Roman" w:hAnsi="Times New Roman" w:eastAsia="宋体" w:cs="Times New Roman"/>
                <w:bCs/>
                <w:color w:val="auto"/>
                <w:szCs w:val="21"/>
              </w:rPr>
            </w:pPr>
            <w:r>
              <w:rPr>
                <w:rFonts w:ascii="Times New Roman" w:hAnsi="Times New Roman" w:eastAsia="宋体" w:cs="Times New Roman"/>
                <w:bCs/>
                <w:color w:val="auto"/>
                <w:szCs w:val="21"/>
              </w:rPr>
              <w:t>废</w:t>
            </w:r>
            <w:r>
              <w:rPr>
                <w:rFonts w:hint="eastAsia" w:ascii="Times New Roman" w:hAnsi="Times New Roman" w:eastAsia="宋体" w:cs="Times New Roman"/>
                <w:bCs/>
                <w:color w:val="auto"/>
                <w:szCs w:val="21"/>
              </w:rPr>
              <w:t>机油</w:t>
            </w:r>
          </w:p>
        </w:tc>
        <w:tc>
          <w:tcPr>
            <w:tcW w:w="475" w:type="pct"/>
            <w:vAlign w:val="center"/>
          </w:tcPr>
          <w:p>
            <w:pPr>
              <w:pStyle w:val="198"/>
              <w:spacing w:beforeLines="0" w:afterLines="0" w:line="240" w:lineRule="auto"/>
              <w:rPr>
                <w:rFonts w:ascii="Times New Roman" w:hAnsi="Times New Roman" w:eastAsia="宋体" w:cs="Times New Roman"/>
                <w:snapToGrid w:val="0"/>
                <w:color w:val="auto"/>
                <w:kern w:val="21"/>
                <w:szCs w:val="21"/>
              </w:rPr>
            </w:pPr>
            <w:r>
              <w:rPr>
                <w:rFonts w:ascii="Times New Roman" w:hAnsi="Times New Roman" w:eastAsia="宋体" w:cs="Times New Roman"/>
                <w:snapToGrid w:val="0"/>
                <w:color w:val="auto"/>
                <w:kern w:val="21"/>
                <w:szCs w:val="21"/>
              </w:rPr>
              <w:t>/</w:t>
            </w:r>
          </w:p>
        </w:tc>
        <w:tc>
          <w:tcPr>
            <w:tcW w:w="388" w:type="pct"/>
            <w:vAlign w:val="center"/>
          </w:tcPr>
          <w:p>
            <w:pPr>
              <w:pStyle w:val="198"/>
              <w:spacing w:beforeLines="0" w:afterLines="0" w:line="240" w:lineRule="auto"/>
              <w:rPr>
                <w:rFonts w:ascii="Times New Roman" w:hAnsi="Times New Roman" w:eastAsia="宋体" w:cs="Times New Roman"/>
                <w:snapToGrid w:val="0"/>
                <w:color w:val="auto"/>
                <w:kern w:val="21"/>
                <w:szCs w:val="21"/>
              </w:rPr>
            </w:pPr>
            <w:r>
              <w:rPr>
                <w:rFonts w:ascii="Times New Roman" w:hAnsi="Times New Roman" w:eastAsia="宋体" w:cs="Times New Roman"/>
                <w:snapToGrid w:val="0"/>
                <w:color w:val="auto"/>
                <w:kern w:val="21"/>
                <w:szCs w:val="21"/>
              </w:rPr>
              <w:t>/</w:t>
            </w:r>
          </w:p>
        </w:tc>
        <w:tc>
          <w:tcPr>
            <w:tcW w:w="597" w:type="pct"/>
            <w:vAlign w:val="center"/>
          </w:tcPr>
          <w:p>
            <w:pPr>
              <w:pStyle w:val="198"/>
              <w:spacing w:beforeLines="0" w:afterLines="0" w:line="240" w:lineRule="auto"/>
              <w:rPr>
                <w:rFonts w:ascii="Times New Roman" w:hAnsi="Times New Roman" w:eastAsia="宋体" w:cs="Times New Roman"/>
                <w:snapToGrid w:val="0"/>
                <w:color w:val="auto"/>
                <w:kern w:val="21"/>
                <w:szCs w:val="21"/>
              </w:rPr>
            </w:pPr>
            <w:r>
              <w:rPr>
                <w:rFonts w:ascii="Times New Roman" w:hAnsi="Times New Roman" w:eastAsia="宋体" w:cs="Times New Roman"/>
                <w:snapToGrid w:val="0"/>
                <w:color w:val="auto"/>
                <w:kern w:val="21"/>
                <w:szCs w:val="21"/>
              </w:rPr>
              <w:t>/</w:t>
            </w:r>
          </w:p>
        </w:tc>
        <w:tc>
          <w:tcPr>
            <w:tcW w:w="547" w:type="pct"/>
            <w:vAlign w:val="center"/>
          </w:tcPr>
          <w:p>
            <w:pPr>
              <w:widowControl/>
              <w:jc w:val="center"/>
              <w:textAlignment w:val="center"/>
              <w:rPr>
                <w:bCs/>
                <w:color w:val="auto"/>
              </w:rPr>
            </w:pPr>
            <w:r>
              <w:rPr>
                <w:color w:val="auto"/>
                <w:lang w:bidi="ar"/>
              </w:rPr>
              <w:t>0.</w:t>
            </w:r>
            <w:r>
              <w:rPr>
                <w:rFonts w:hint="eastAsia"/>
                <w:color w:val="auto"/>
                <w:lang w:bidi="ar"/>
              </w:rPr>
              <w:t>5</w:t>
            </w:r>
            <w:r>
              <w:rPr>
                <w:color w:val="auto"/>
                <w:lang w:bidi="ar"/>
              </w:rPr>
              <w:t>t/a</w:t>
            </w:r>
          </w:p>
        </w:tc>
        <w:tc>
          <w:tcPr>
            <w:tcW w:w="568" w:type="pct"/>
            <w:vAlign w:val="center"/>
          </w:tcPr>
          <w:p>
            <w:pPr>
              <w:widowControl/>
              <w:jc w:val="center"/>
              <w:textAlignment w:val="center"/>
              <w:rPr>
                <w:snapToGrid w:val="0"/>
                <w:color w:val="auto"/>
                <w:kern w:val="21"/>
              </w:rPr>
            </w:pPr>
            <w:r>
              <w:rPr>
                <w:color w:val="auto"/>
                <w:lang w:bidi="ar"/>
              </w:rPr>
              <w:t>/</w:t>
            </w:r>
          </w:p>
        </w:tc>
        <w:tc>
          <w:tcPr>
            <w:tcW w:w="559" w:type="pct"/>
            <w:vAlign w:val="center"/>
          </w:tcPr>
          <w:p>
            <w:pPr>
              <w:widowControl/>
              <w:jc w:val="center"/>
              <w:textAlignment w:val="center"/>
              <w:rPr>
                <w:bCs/>
                <w:color w:val="auto"/>
              </w:rPr>
            </w:pPr>
            <w:r>
              <w:rPr>
                <w:color w:val="auto"/>
                <w:lang w:bidi="ar"/>
              </w:rPr>
              <w:t>0.</w:t>
            </w:r>
            <w:r>
              <w:rPr>
                <w:rFonts w:hint="eastAsia"/>
                <w:color w:val="auto"/>
                <w:lang w:bidi="ar"/>
              </w:rPr>
              <w:t>5</w:t>
            </w:r>
            <w:r>
              <w:rPr>
                <w:color w:val="auto"/>
                <w:lang w:bidi="ar"/>
              </w:rPr>
              <w:t>t/a</w:t>
            </w:r>
          </w:p>
        </w:tc>
        <w:tc>
          <w:tcPr>
            <w:tcW w:w="625" w:type="pct"/>
            <w:vAlign w:val="center"/>
          </w:tcPr>
          <w:p>
            <w:pPr>
              <w:widowControl/>
              <w:adjustRightInd w:val="0"/>
              <w:snapToGrid w:val="0"/>
              <w:jc w:val="center"/>
              <w:textAlignment w:val="center"/>
              <w:rPr>
                <w:bCs/>
                <w:color w:val="auto"/>
              </w:rPr>
            </w:pPr>
            <w:r>
              <w:rPr>
                <w:bCs/>
                <w:color w:val="auto"/>
              </w:rPr>
              <w:t>+</w:t>
            </w:r>
            <w:r>
              <w:rPr>
                <w:color w:val="auto"/>
                <w:lang w:bidi="ar"/>
              </w:rPr>
              <w:t>0.</w:t>
            </w:r>
            <w:r>
              <w:rPr>
                <w:rFonts w:hint="eastAsia"/>
                <w:color w:val="auto"/>
                <w:lang w:bidi="ar"/>
              </w:rPr>
              <w:t>5</w:t>
            </w:r>
            <w:r>
              <w:rPr>
                <w:color w:val="auto"/>
                <w:lang w:bidi="ar"/>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82" w:hRule="atLeast"/>
          <w:jc w:val="center"/>
        </w:trPr>
        <w:tc>
          <w:tcPr>
            <w:tcW w:w="393" w:type="pct"/>
            <w:vMerge w:val="continue"/>
            <w:vAlign w:val="center"/>
          </w:tcPr>
          <w:p>
            <w:pPr>
              <w:pStyle w:val="198"/>
              <w:spacing w:beforeLines="0" w:afterLines="0" w:line="240" w:lineRule="auto"/>
              <w:rPr>
                <w:rFonts w:ascii="Times New Roman" w:hAnsi="Times New Roman" w:eastAsia="宋体" w:cs="Times New Roman"/>
                <w:snapToGrid w:val="0"/>
                <w:color w:val="auto"/>
                <w:kern w:val="21"/>
                <w:szCs w:val="21"/>
              </w:rPr>
            </w:pPr>
          </w:p>
        </w:tc>
        <w:tc>
          <w:tcPr>
            <w:tcW w:w="844" w:type="pct"/>
            <w:gridSpan w:val="2"/>
            <w:vAlign w:val="center"/>
          </w:tcPr>
          <w:p>
            <w:pPr>
              <w:pStyle w:val="198"/>
              <w:spacing w:beforeLines="0" w:afterLines="0" w:line="240" w:lineRule="auto"/>
              <w:rPr>
                <w:rFonts w:ascii="Times New Roman" w:hAnsi="Times New Roman" w:eastAsia="宋体" w:cs="Times New Roman"/>
                <w:bCs/>
                <w:color w:val="auto"/>
                <w:szCs w:val="21"/>
              </w:rPr>
            </w:pPr>
            <w:r>
              <w:rPr>
                <w:rFonts w:ascii="Times New Roman" w:hAnsi="Times New Roman" w:eastAsia="宋体" w:cs="Times New Roman"/>
                <w:bCs/>
                <w:color w:val="auto"/>
                <w:szCs w:val="21"/>
              </w:rPr>
              <w:t>废</w:t>
            </w:r>
            <w:r>
              <w:rPr>
                <w:rFonts w:hint="eastAsia" w:ascii="Times New Roman" w:hAnsi="Times New Roman" w:eastAsia="宋体" w:cs="Times New Roman"/>
                <w:bCs/>
                <w:color w:val="auto"/>
                <w:szCs w:val="21"/>
              </w:rPr>
              <w:t>机油桶</w:t>
            </w:r>
          </w:p>
        </w:tc>
        <w:tc>
          <w:tcPr>
            <w:tcW w:w="475" w:type="pct"/>
            <w:vAlign w:val="center"/>
          </w:tcPr>
          <w:p>
            <w:pPr>
              <w:pStyle w:val="198"/>
              <w:spacing w:beforeLines="0" w:afterLines="0" w:line="240" w:lineRule="auto"/>
              <w:rPr>
                <w:rFonts w:ascii="Times New Roman" w:hAnsi="Times New Roman" w:eastAsia="宋体" w:cs="Times New Roman"/>
                <w:snapToGrid w:val="0"/>
                <w:color w:val="auto"/>
                <w:kern w:val="21"/>
                <w:szCs w:val="21"/>
              </w:rPr>
            </w:pPr>
            <w:r>
              <w:rPr>
                <w:rFonts w:ascii="Times New Roman" w:hAnsi="Times New Roman" w:eastAsia="宋体" w:cs="Times New Roman"/>
                <w:snapToGrid w:val="0"/>
                <w:color w:val="auto"/>
                <w:kern w:val="21"/>
                <w:szCs w:val="21"/>
              </w:rPr>
              <w:t>/</w:t>
            </w:r>
          </w:p>
        </w:tc>
        <w:tc>
          <w:tcPr>
            <w:tcW w:w="388" w:type="pct"/>
            <w:vAlign w:val="center"/>
          </w:tcPr>
          <w:p>
            <w:pPr>
              <w:pStyle w:val="198"/>
              <w:spacing w:beforeLines="0" w:afterLines="0" w:line="240" w:lineRule="auto"/>
              <w:rPr>
                <w:rFonts w:ascii="Times New Roman" w:hAnsi="Times New Roman" w:eastAsia="宋体" w:cs="Times New Roman"/>
                <w:snapToGrid w:val="0"/>
                <w:color w:val="auto"/>
                <w:kern w:val="21"/>
                <w:szCs w:val="21"/>
              </w:rPr>
            </w:pPr>
            <w:r>
              <w:rPr>
                <w:rFonts w:ascii="Times New Roman" w:hAnsi="Times New Roman" w:eastAsia="宋体" w:cs="Times New Roman"/>
                <w:snapToGrid w:val="0"/>
                <w:color w:val="auto"/>
                <w:kern w:val="21"/>
                <w:szCs w:val="21"/>
              </w:rPr>
              <w:t>/</w:t>
            </w:r>
          </w:p>
        </w:tc>
        <w:tc>
          <w:tcPr>
            <w:tcW w:w="597" w:type="pct"/>
            <w:vAlign w:val="center"/>
          </w:tcPr>
          <w:p>
            <w:pPr>
              <w:pStyle w:val="198"/>
              <w:spacing w:beforeLines="0" w:afterLines="0" w:line="240" w:lineRule="auto"/>
              <w:rPr>
                <w:rFonts w:ascii="Times New Roman" w:hAnsi="Times New Roman" w:eastAsia="宋体" w:cs="Times New Roman"/>
                <w:snapToGrid w:val="0"/>
                <w:color w:val="auto"/>
                <w:kern w:val="21"/>
                <w:szCs w:val="21"/>
              </w:rPr>
            </w:pPr>
            <w:r>
              <w:rPr>
                <w:rFonts w:ascii="Times New Roman" w:hAnsi="Times New Roman" w:eastAsia="宋体" w:cs="Times New Roman"/>
                <w:snapToGrid w:val="0"/>
                <w:color w:val="auto"/>
                <w:kern w:val="21"/>
                <w:szCs w:val="21"/>
              </w:rPr>
              <w:t>/</w:t>
            </w:r>
          </w:p>
        </w:tc>
        <w:tc>
          <w:tcPr>
            <w:tcW w:w="547" w:type="pct"/>
            <w:vAlign w:val="center"/>
          </w:tcPr>
          <w:p>
            <w:pPr>
              <w:widowControl/>
              <w:jc w:val="center"/>
              <w:textAlignment w:val="center"/>
              <w:rPr>
                <w:bCs/>
                <w:color w:val="auto"/>
              </w:rPr>
            </w:pPr>
            <w:r>
              <w:rPr>
                <w:color w:val="auto"/>
                <w:lang w:bidi="ar"/>
              </w:rPr>
              <w:t>0.</w:t>
            </w:r>
            <w:r>
              <w:rPr>
                <w:rFonts w:hint="eastAsia"/>
                <w:color w:val="auto"/>
                <w:lang w:bidi="ar"/>
              </w:rPr>
              <w:t>01</w:t>
            </w:r>
            <w:r>
              <w:rPr>
                <w:color w:val="auto"/>
                <w:lang w:bidi="ar"/>
              </w:rPr>
              <w:t>t/a</w:t>
            </w:r>
          </w:p>
        </w:tc>
        <w:tc>
          <w:tcPr>
            <w:tcW w:w="568" w:type="pct"/>
            <w:vAlign w:val="center"/>
          </w:tcPr>
          <w:p>
            <w:pPr>
              <w:widowControl/>
              <w:jc w:val="center"/>
              <w:textAlignment w:val="center"/>
              <w:rPr>
                <w:snapToGrid w:val="0"/>
                <w:color w:val="auto"/>
                <w:kern w:val="21"/>
              </w:rPr>
            </w:pPr>
            <w:r>
              <w:rPr>
                <w:color w:val="auto"/>
                <w:lang w:bidi="ar"/>
              </w:rPr>
              <w:t>/</w:t>
            </w:r>
          </w:p>
        </w:tc>
        <w:tc>
          <w:tcPr>
            <w:tcW w:w="559" w:type="pct"/>
            <w:vAlign w:val="center"/>
          </w:tcPr>
          <w:p>
            <w:pPr>
              <w:widowControl/>
              <w:jc w:val="center"/>
              <w:textAlignment w:val="center"/>
              <w:rPr>
                <w:bCs/>
                <w:color w:val="auto"/>
              </w:rPr>
            </w:pPr>
            <w:r>
              <w:rPr>
                <w:color w:val="auto"/>
                <w:lang w:bidi="ar"/>
              </w:rPr>
              <w:t>0.</w:t>
            </w:r>
            <w:r>
              <w:rPr>
                <w:rFonts w:hint="eastAsia"/>
                <w:color w:val="auto"/>
                <w:lang w:bidi="ar"/>
              </w:rPr>
              <w:t>01</w:t>
            </w:r>
            <w:r>
              <w:rPr>
                <w:color w:val="auto"/>
                <w:lang w:bidi="ar"/>
              </w:rPr>
              <w:t>t/</w:t>
            </w:r>
            <w:r>
              <w:rPr>
                <w:rFonts w:hint="eastAsia"/>
                <w:color w:val="auto"/>
                <w:lang w:bidi="ar"/>
              </w:rPr>
              <w:t>a</w:t>
            </w:r>
          </w:p>
        </w:tc>
        <w:tc>
          <w:tcPr>
            <w:tcW w:w="625" w:type="pct"/>
            <w:vAlign w:val="center"/>
          </w:tcPr>
          <w:p>
            <w:pPr>
              <w:widowControl/>
              <w:adjustRightInd w:val="0"/>
              <w:snapToGrid w:val="0"/>
              <w:jc w:val="center"/>
              <w:textAlignment w:val="center"/>
              <w:rPr>
                <w:bCs/>
                <w:color w:val="auto"/>
              </w:rPr>
            </w:pPr>
            <w:r>
              <w:rPr>
                <w:bCs/>
                <w:color w:val="auto"/>
              </w:rPr>
              <w:t>+</w:t>
            </w:r>
            <w:r>
              <w:rPr>
                <w:color w:val="auto"/>
                <w:lang w:bidi="ar"/>
              </w:rPr>
              <w:t>0.</w:t>
            </w:r>
            <w:r>
              <w:rPr>
                <w:rFonts w:hint="eastAsia"/>
                <w:color w:val="auto"/>
                <w:lang w:bidi="ar"/>
              </w:rPr>
              <w:t>01</w:t>
            </w:r>
            <w:r>
              <w:rPr>
                <w:color w:val="auto"/>
                <w:lang w:bidi="ar"/>
              </w:rPr>
              <w:t>t/</w:t>
            </w:r>
            <w:r>
              <w:rPr>
                <w:rFonts w:hint="eastAsia"/>
                <w:color w:val="auto"/>
                <w:lang w:bidi="ar"/>
              </w:rPr>
              <w: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2" w:hRule="atLeast"/>
          <w:jc w:val="center"/>
        </w:trPr>
        <w:tc>
          <w:tcPr>
            <w:tcW w:w="393" w:type="pct"/>
            <w:vMerge w:val="continue"/>
            <w:vAlign w:val="center"/>
          </w:tcPr>
          <w:p>
            <w:pPr>
              <w:pStyle w:val="198"/>
              <w:spacing w:beforeLines="0" w:afterLines="0" w:line="240" w:lineRule="auto"/>
              <w:rPr>
                <w:rFonts w:ascii="Times New Roman" w:hAnsi="Times New Roman" w:eastAsia="宋体" w:cs="Times New Roman"/>
                <w:snapToGrid w:val="0"/>
                <w:color w:val="auto"/>
                <w:kern w:val="21"/>
                <w:szCs w:val="21"/>
              </w:rPr>
            </w:pPr>
          </w:p>
        </w:tc>
        <w:tc>
          <w:tcPr>
            <w:tcW w:w="844" w:type="pct"/>
            <w:gridSpan w:val="2"/>
            <w:vAlign w:val="center"/>
          </w:tcPr>
          <w:p>
            <w:pPr>
              <w:pStyle w:val="198"/>
              <w:spacing w:beforeLines="0" w:afterLines="0" w:line="240" w:lineRule="auto"/>
              <w:rPr>
                <w:rFonts w:ascii="Times New Roman" w:hAnsi="Times New Roman" w:eastAsia="宋体" w:cs="Times New Roman"/>
                <w:bCs/>
                <w:color w:val="auto"/>
                <w:szCs w:val="21"/>
              </w:rPr>
            </w:pPr>
            <w:r>
              <w:rPr>
                <w:rFonts w:ascii="Times New Roman" w:hAnsi="Times New Roman" w:eastAsia="宋体" w:cs="Times New Roman"/>
                <w:bCs/>
                <w:color w:val="auto"/>
                <w:szCs w:val="21"/>
              </w:rPr>
              <w:t>废抹布和废手套</w:t>
            </w:r>
          </w:p>
        </w:tc>
        <w:tc>
          <w:tcPr>
            <w:tcW w:w="475" w:type="pct"/>
            <w:vAlign w:val="center"/>
          </w:tcPr>
          <w:p>
            <w:pPr>
              <w:pStyle w:val="198"/>
              <w:spacing w:beforeLines="0" w:afterLines="0" w:line="240" w:lineRule="auto"/>
              <w:rPr>
                <w:rFonts w:ascii="Times New Roman" w:hAnsi="Times New Roman" w:eastAsia="宋体" w:cs="Times New Roman"/>
                <w:snapToGrid w:val="0"/>
                <w:color w:val="auto"/>
                <w:kern w:val="21"/>
                <w:szCs w:val="21"/>
              </w:rPr>
            </w:pPr>
            <w:r>
              <w:rPr>
                <w:rFonts w:ascii="Times New Roman" w:hAnsi="Times New Roman" w:eastAsia="宋体" w:cs="Times New Roman"/>
                <w:snapToGrid w:val="0"/>
                <w:color w:val="auto"/>
                <w:kern w:val="21"/>
                <w:szCs w:val="21"/>
              </w:rPr>
              <w:t>/</w:t>
            </w:r>
          </w:p>
        </w:tc>
        <w:tc>
          <w:tcPr>
            <w:tcW w:w="388" w:type="pct"/>
            <w:vAlign w:val="center"/>
          </w:tcPr>
          <w:p>
            <w:pPr>
              <w:pStyle w:val="198"/>
              <w:spacing w:beforeLines="0" w:afterLines="0" w:line="240" w:lineRule="auto"/>
              <w:rPr>
                <w:rFonts w:ascii="Times New Roman" w:hAnsi="Times New Roman" w:eastAsia="宋体" w:cs="Times New Roman"/>
                <w:snapToGrid w:val="0"/>
                <w:color w:val="auto"/>
                <w:kern w:val="21"/>
                <w:szCs w:val="21"/>
              </w:rPr>
            </w:pPr>
            <w:r>
              <w:rPr>
                <w:rFonts w:ascii="Times New Roman" w:hAnsi="Times New Roman" w:eastAsia="宋体" w:cs="Times New Roman"/>
                <w:snapToGrid w:val="0"/>
                <w:color w:val="auto"/>
                <w:kern w:val="21"/>
                <w:szCs w:val="21"/>
              </w:rPr>
              <w:t>/</w:t>
            </w:r>
          </w:p>
        </w:tc>
        <w:tc>
          <w:tcPr>
            <w:tcW w:w="597" w:type="pct"/>
            <w:vAlign w:val="center"/>
          </w:tcPr>
          <w:p>
            <w:pPr>
              <w:pStyle w:val="198"/>
              <w:spacing w:beforeLines="0" w:afterLines="0" w:line="240" w:lineRule="auto"/>
              <w:rPr>
                <w:rFonts w:ascii="Times New Roman" w:hAnsi="Times New Roman" w:eastAsia="宋体" w:cs="Times New Roman"/>
                <w:snapToGrid w:val="0"/>
                <w:color w:val="auto"/>
                <w:kern w:val="21"/>
                <w:szCs w:val="21"/>
              </w:rPr>
            </w:pPr>
            <w:r>
              <w:rPr>
                <w:rFonts w:ascii="Times New Roman" w:hAnsi="Times New Roman" w:eastAsia="宋体" w:cs="Times New Roman"/>
                <w:snapToGrid w:val="0"/>
                <w:color w:val="auto"/>
                <w:kern w:val="21"/>
                <w:szCs w:val="21"/>
              </w:rPr>
              <w:t>/</w:t>
            </w:r>
          </w:p>
        </w:tc>
        <w:tc>
          <w:tcPr>
            <w:tcW w:w="547" w:type="pct"/>
            <w:vAlign w:val="center"/>
          </w:tcPr>
          <w:p>
            <w:pPr>
              <w:widowControl/>
              <w:jc w:val="center"/>
              <w:textAlignment w:val="center"/>
              <w:rPr>
                <w:bCs/>
                <w:color w:val="auto"/>
                <w:lang w:bidi="ar"/>
              </w:rPr>
            </w:pPr>
            <w:r>
              <w:rPr>
                <w:color w:val="auto"/>
                <w:lang w:bidi="ar"/>
              </w:rPr>
              <w:t>0.2</w:t>
            </w:r>
            <w:r>
              <w:rPr>
                <w:rFonts w:hint="eastAsia"/>
                <w:color w:val="auto"/>
                <w:lang w:bidi="ar"/>
              </w:rPr>
              <w:t>5</w:t>
            </w:r>
            <w:r>
              <w:rPr>
                <w:color w:val="auto"/>
                <w:lang w:bidi="ar"/>
              </w:rPr>
              <w:t>t/a</w:t>
            </w:r>
          </w:p>
        </w:tc>
        <w:tc>
          <w:tcPr>
            <w:tcW w:w="568" w:type="pct"/>
            <w:vAlign w:val="center"/>
          </w:tcPr>
          <w:p>
            <w:pPr>
              <w:jc w:val="center"/>
              <w:rPr>
                <w:snapToGrid w:val="0"/>
                <w:color w:val="auto"/>
                <w:kern w:val="21"/>
              </w:rPr>
            </w:pPr>
            <w:r>
              <w:rPr>
                <w:color w:val="auto"/>
                <w:lang w:bidi="ar"/>
              </w:rPr>
              <w:t>/</w:t>
            </w:r>
          </w:p>
        </w:tc>
        <w:tc>
          <w:tcPr>
            <w:tcW w:w="559" w:type="pct"/>
            <w:vAlign w:val="center"/>
          </w:tcPr>
          <w:p>
            <w:pPr>
              <w:widowControl/>
              <w:jc w:val="center"/>
              <w:textAlignment w:val="center"/>
              <w:rPr>
                <w:bCs/>
                <w:color w:val="auto"/>
                <w:lang w:bidi="ar"/>
              </w:rPr>
            </w:pPr>
            <w:r>
              <w:rPr>
                <w:color w:val="auto"/>
                <w:lang w:bidi="ar"/>
              </w:rPr>
              <w:t>0.2</w:t>
            </w:r>
            <w:r>
              <w:rPr>
                <w:rFonts w:hint="eastAsia"/>
                <w:color w:val="auto"/>
                <w:lang w:bidi="ar"/>
              </w:rPr>
              <w:t>5</w:t>
            </w:r>
            <w:r>
              <w:rPr>
                <w:color w:val="auto"/>
                <w:lang w:bidi="ar"/>
              </w:rPr>
              <w:t>t/a</w:t>
            </w:r>
          </w:p>
        </w:tc>
        <w:tc>
          <w:tcPr>
            <w:tcW w:w="625" w:type="pct"/>
            <w:vAlign w:val="center"/>
          </w:tcPr>
          <w:p>
            <w:pPr>
              <w:widowControl/>
              <w:adjustRightInd w:val="0"/>
              <w:snapToGrid w:val="0"/>
              <w:jc w:val="center"/>
              <w:textAlignment w:val="center"/>
              <w:rPr>
                <w:bCs/>
                <w:color w:val="auto"/>
              </w:rPr>
            </w:pPr>
            <w:r>
              <w:rPr>
                <w:bCs/>
                <w:color w:val="auto"/>
              </w:rPr>
              <w:t>+</w:t>
            </w:r>
            <w:r>
              <w:rPr>
                <w:color w:val="auto"/>
                <w:lang w:bidi="ar"/>
              </w:rPr>
              <w:t>0.2</w:t>
            </w:r>
            <w:r>
              <w:rPr>
                <w:rFonts w:hint="eastAsia"/>
                <w:color w:val="auto"/>
                <w:lang w:bidi="ar"/>
              </w:rPr>
              <w:t>5</w:t>
            </w:r>
            <w:r>
              <w:rPr>
                <w:color w:val="auto"/>
                <w:lang w:bidi="ar"/>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393" w:type="pct"/>
            <w:vAlign w:val="center"/>
          </w:tcPr>
          <w:p>
            <w:pPr>
              <w:pStyle w:val="198"/>
              <w:spacing w:beforeLines="0" w:afterLines="0" w:line="240" w:lineRule="auto"/>
              <w:rPr>
                <w:rFonts w:ascii="Times New Roman" w:hAnsi="Times New Roman" w:eastAsia="宋体" w:cs="Times New Roman"/>
                <w:snapToGrid w:val="0"/>
                <w:color w:val="auto"/>
                <w:kern w:val="21"/>
                <w:szCs w:val="21"/>
              </w:rPr>
            </w:pPr>
            <w:r>
              <w:rPr>
                <w:rFonts w:ascii="Times New Roman" w:hAnsi="Times New Roman" w:eastAsia="宋体" w:cs="Times New Roman"/>
                <w:bCs/>
                <w:color w:val="auto"/>
                <w:szCs w:val="21"/>
              </w:rPr>
              <w:t>生活垃圾</w:t>
            </w:r>
          </w:p>
        </w:tc>
        <w:tc>
          <w:tcPr>
            <w:tcW w:w="844" w:type="pct"/>
            <w:gridSpan w:val="2"/>
            <w:vAlign w:val="center"/>
          </w:tcPr>
          <w:p>
            <w:pPr>
              <w:pStyle w:val="198"/>
              <w:spacing w:beforeLines="0" w:afterLines="0" w:line="240" w:lineRule="auto"/>
              <w:rPr>
                <w:rFonts w:ascii="Times New Roman" w:hAnsi="Times New Roman" w:eastAsia="宋体" w:cs="Times New Roman"/>
                <w:bCs/>
                <w:color w:val="auto"/>
                <w:szCs w:val="21"/>
              </w:rPr>
            </w:pPr>
            <w:r>
              <w:rPr>
                <w:rFonts w:ascii="Times New Roman" w:hAnsi="Times New Roman" w:eastAsia="宋体" w:cs="Times New Roman"/>
                <w:bCs/>
                <w:color w:val="auto"/>
                <w:szCs w:val="21"/>
              </w:rPr>
              <w:t>生活垃圾</w:t>
            </w:r>
          </w:p>
        </w:tc>
        <w:tc>
          <w:tcPr>
            <w:tcW w:w="475" w:type="pct"/>
            <w:vAlign w:val="center"/>
          </w:tcPr>
          <w:p>
            <w:pPr>
              <w:pStyle w:val="198"/>
              <w:spacing w:beforeLines="0" w:afterLines="0" w:line="240" w:lineRule="auto"/>
              <w:rPr>
                <w:rFonts w:ascii="Times New Roman" w:hAnsi="Times New Roman" w:eastAsia="宋体" w:cs="Times New Roman"/>
                <w:snapToGrid w:val="0"/>
                <w:color w:val="auto"/>
                <w:spacing w:val="-6"/>
                <w:kern w:val="21"/>
                <w:szCs w:val="21"/>
              </w:rPr>
            </w:pPr>
            <w:r>
              <w:rPr>
                <w:rFonts w:ascii="Times New Roman" w:hAnsi="Times New Roman" w:eastAsia="宋体" w:cs="Times New Roman"/>
                <w:snapToGrid w:val="0"/>
                <w:color w:val="auto"/>
                <w:kern w:val="21"/>
                <w:szCs w:val="21"/>
              </w:rPr>
              <w:t>/</w:t>
            </w:r>
          </w:p>
        </w:tc>
        <w:tc>
          <w:tcPr>
            <w:tcW w:w="388" w:type="pct"/>
            <w:vAlign w:val="center"/>
          </w:tcPr>
          <w:p>
            <w:pPr>
              <w:pStyle w:val="198"/>
              <w:spacing w:beforeLines="0" w:afterLines="0" w:line="240" w:lineRule="auto"/>
              <w:rPr>
                <w:rFonts w:ascii="Times New Roman" w:hAnsi="Times New Roman" w:eastAsia="宋体" w:cs="Times New Roman"/>
                <w:snapToGrid w:val="0"/>
                <w:color w:val="auto"/>
                <w:kern w:val="21"/>
                <w:szCs w:val="21"/>
              </w:rPr>
            </w:pPr>
            <w:r>
              <w:rPr>
                <w:rFonts w:ascii="Times New Roman" w:hAnsi="Times New Roman" w:eastAsia="宋体" w:cs="Times New Roman"/>
                <w:snapToGrid w:val="0"/>
                <w:color w:val="auto"/>
                <w:kern w:val="21"/>
                <w:szCs w:val="21"/>
              </w:rPr>
              <w:t>/</w:t>
            </w:r>
          </w:p>
        </w:tc>
        <w:tc>
          <w:tcPr>
            <w:tcW w:w="597" w:type="pct"/>
            <w:vAlign w:val="center"/>
          </w:tcPr>
          <w:p>
            <w:pPr>
              <w:pStyle w:val="198"/>
              <w:spacing w:beforeLines="0" w:afterLines="0" w:line="240" w:lineRule="auto"/>
              <w:rPr>
                <w:rFonts w:ascii="Times New Roman" w:hAnsi="Times New Roman" w:eastAsia="宋体" w:cs="Times New Roman"/>
                <w:snapToGrid w:val="0"/>
                <w:color w:val="auto"/>
                <w:kern w:val="21"/>
                <w:szCs w:val="21"/>
              </w:rPr>
            </w:pPr>
            <w:r>
              <w:rPr>
                <w:rFonts w:ascii="Times New Roman" w:hAnsi="Times New Roman" w:eastAsia="宋体" w:cs="Times New Roman"/>
                <w:snapToGrid w:val="0"/>
                <w:color w:val="auto"/>
                <w:kern w:val="21"/>
                <w:szCs w:val="21"/>
              </w:rPr>
              <w:t>/</w:t>
            </w:r>
          </w:p>
        </w:tc>
        <w:tc>
          <w:tcPr>
            <w:tcW w:w="547" w:type="pct"/>
            <w:vAlign w:val="center"/>
          </w:tcPr>
          <w:p>
            <w:pPr>
              <w:widowControl/>
              <w:jc w:val="center"/>
              <w:textAlignment w:val="center"/>
              <w:rPr>
                <w:snapToGrid w:val="0"/>
                <w:color w:val="auto"/>
                <w:spacing w:val="-6"/>
                <w:kern w:val="21"/>
              </w:rPr>
            </w:pPr>
            <w:r>
              <w:rPr>
                <w:rFonts w:hint="eastAsia"/>
                <w:color w:val="auto"/>
                <w:lang w:bidi="ar"/>
              </w:rPr>
              <w:t>54</w:t>
            </w:r>
            <w:r>
              <w:rPr>
                <w:color w:val="auto"/>
                <w:lang w:bidi="ar"/>
              </w:rPr>
              <w:t>t/a</w:t>
            </w:r>
          </w:p>
        </w:tc>
        <w:tc>
          <w:tcPr>
            <w:tcW w:w="568" w:type="pct"/>
            <w:vAlign w:val="center"/>
          </w:tcPr>
          <w:p>
            <w:pPr>
              <w:widowControl/>
              <w:jc w:val="center"/>
              <w:textAlignment w:val="center"/>
              <w:rPr>
                <w:snapToGrid w:val="0"/>
                <w:color w:val="auto"/>
                <w:kern w:val="21"/>
              </w:rPr>
            </w:pPr>
            <w:r>
              <w:rPr>
                <w:color w:val="auto"/>
                <w:lang w:bidi="ar"/>
              </w:rPr>
              <w:t>/</w:t>
            </w:r>
          </w:p>
        </w:tc>
        <w:tc>
          <w:tcPr>
            <w:tcW w:w="559" w:type="pct"/>
            <w:vAlign w:val="center"/>
          </w:tcPr>
          <w:p>
            <w:pPr>
              <w:widowControl/>
              <w:jc w:val="center"/>
              <w:textAlignment w:val="center"/>
              <w:rPr>
                <w:snapToGrid w:val="0"/>
                <w:color w:val="auto"/>
                <w:spacing w:val="-6"/>
                <w:kern w:val="21"/>
              </w:rPr>
            </w:pPr>
            <w:r>
              <w:rPr>
                <w:rFonts w:hint="eastAsia"/>
                <w:color w:val="auto"/>
                <w:lang w:bidi="ar"/>
              </w:rPr>
              <w:t>54</w:t>
            </w:r>
            <w:r>
              <w:rPr>
                <w:color w:val="auto"/>
                <w:lang w:bidi="ar"/>
              </w:rPr>
              <w:t>t/a</w:t>
            </w:r>
          </w:p>
        </w:tc>
        <w:tc>
          <w:tcPr>
            <w:tcW w:w="625" w:type="pct"/>
            <w:vAlign w:val="center"/>
          </w:tcPr>
          <w:p>
            <w:pPr>
              <w:tabs>
                <w:tab w:val="left" w:pos="1081"/>
              </w:tabs>
              <w:adjustRightInd w:val="0"/>
              <w:snapToGrid w:val="0"/>
              <w:jc w:val="center"/>
              <w:textAlignment w:val="baseline"/>
              <w:rPr>
                <w:snapToGrid w:val="0"/>
                <w:color w:val="auto"/>
                <w:spacing w:val="-6"/>
                <w:kern w:val="21"/>
              </w:rPr>
            </w:pPr>
            <w:r>
              <w:rPr>
                <w:bCs/>
                <w:color w:val="auto"/>
              </w:rPr>
              <w:t>+</w:t>
            </w:r>
            <w:r>
              <w:rPr>
                <w:rFonts w:hint="eastAsia"/>
                <w:color w:val="auto"/>
                <w:lang w:bidi="ar"/>
              </w:rPr>
              <w:t>54</w:t>
            </w:r>
            <w:r>
              <w:rPr>
                <w:color w:val="auto"/>
                <w:lang w:bidi="ar"/>
              </w:rPr>
              <w:t>t/a</w:t>
            </w:r>
          </w:p>
        </w:tc>
      </w:tr>
    </w:tbl>
    <w:p>
      <w:pPr>
        <w:pStyle w:val="198"/>
        <w:spacing w:before="192" w:beforeLines="80" w:after="24"/>
        <w:jc w:val="left"/>
        <w:rPr>
          <w:rFonts w:ascii="Times New Roman" w:hAnsi="Times New Roman" w:eastAsia="宋体"/>
          <w:snapToGrid w:val="0"/>
          <w:color w:val="000000" w:themeColor="text1"/>
          <w:spacing w:val="-6"/>
          <w:kern w:val="21"/>
          <w:szCs w:val="21"/>
          <w14:textFill>
            <w14:solidFill>
              <w14:schemeClr w14:val="tx1"/>
            </w14:solidFill>
          </w14:textFill>
        </w:rPr>
      </w:pPr>
      <w:r>
        <w:rPr>
          <w:rFonts w:ascii="Times New Roman" w:hAnsi="Times New Roman" w:eastAsia="宋体"/>
          <w:snapToGrid w:val="0"/>
          <w:color w:val="000000" w:themeColor="text1"/>
          <w:kern w:val="21"/>
          <w:szCs w:val="21"/>
          <w14:textFill>
            <w14:solidFill>
              <w14:schemeClr w14:val="tx1"/>
            </w14:solidFill>
          </w14:textFill>
        </w:rPr>
        <w:t>注：</w:t>
      </w:r>
      <w:r>
        <w:rPr>
          <w:rFonts w:ascii="Times New Roman" w:hAnsi="Times New Roman" w:eastAsia="宋体"/>
          <w:snapToGrid w:val="0"/>
          <w:color w:val="000000" w:themeColor="text1"/>
          <w:spacing w:val="-16"/>
          <w:kern w:val="21"/>
          <w:szCs w:val="21"/>
          <w14:textFill>
            <w14:solidFill>
              <w14:schemeClr w14:val="tx1"/>
            </w14:solidFill>
          </w14:textFill>
        </w:rPr>
        <w:fldChar w:fldCharType="begin"/>
      </w:r>
      <w:r>
        <w:rPr>
          <w:rFonts w:ascii="Times New Roman" w:hAnsi="Times New Roman" w:eastAsia="宋体"/>
          <w:snapToGrid w:val="0"/>
          <w:color w:val="000000" w:themeColor="text1"/>
          <w:spacing w:val="-16"/>
          <w:kern w:val="21"/>
          <w:szCs w:val="21"/>
          <w14:textFill>
            <w14:solidFill>
              <w14:schemeClr w14:val="tx1"/>
            </w14:solidFill>
          </w14:textFill>
        </w:rPr>
        <w:instrText xml:space="preserve"> = 6 \* GB3 \* MERGEFORMAT </w:instrText>
      </w:r>
      <w:r>
        <w:rPr>
          <w:rFonts w:ascii="Times New Roman" w:hAnsi="Times New Roman" w:eastAsia="宋体"/>
          <w:snapToGrid w:val="0"/>
          <w:color w:val="000000" w:themeColor="text1"/>
          <w:spacing w:val="-16"/>
          <w:kern w:val="21"/>
          <w:szCs w:val="21"/>
          <w14:textFill>
            <w14:solidFill>
              <w14:schemeClr w14:val="tx1"/>
            </w14:solidFill>
          </w14:textFill>
        </w:rPr>
        <w:fldChar w:fldCharType="separate"/>
      </w:r>
      <w:r>
        <w:rPr>
          <w:rFonts w:hint="eastAsia" w:ascii="Times New Roman" w:hAnsi="Times New Roman" w:eastAsia="宋体"/>
          <w:color w:val="000000" w:themeColor="text1"/>
          <w:szCs w:val="21"/>
          <w14:textFill>
            <w14:solidFill>
              <w14:schemeClr w14:val="tx1"/>
            </w14:solidFill>
          </w14:textFill>
        </w:rPr>
        <w:t>⑥</w:t>
      </w:r>
      <w:r>
        <w:rPr>
          <w:rFonts w:ascii="Times New Roman" w:hAnsi="Times New Roman" w:eastAsia="宋体"/>
          <w:snapToGrid w:val="0"/>
          <w:color w:val="000000" w:themeColor="text1"/>
          <w:spacing w:val="-16"/>
          <w:kern w:val="21"/>
          <w:szCs w:val="21"/>
          <w14:textFill>
            <w14:solidFill>
              <w14:schemeClr w14:val="tx1"/>
            </w14:solidFill>
          </w14:textFill>
        </w:rPr>
        <w:fldChar w:fldCharType="end"/>
      </w:r>
      <w:r>
        <w:rPr>
          <w:rFonts w:ascii="Times New Roman" w:hAnsi="Times New Roman" w:eastAsia="宋体"/>
          <w:snapToGrid w:val="0"/>
          <w:color w:val="000000" w:themeColor="text1"/>
          <w:spacing w:val="-16"/>
          <w:kern w:val="21"/>
          <w:szCs w:val="21"/>
          <w14:textFill>
            <w14:solidFill>
              <w14:schemeClr w14:val="tx1"/>
            </w14:solidFill>
          </w14:textFill>
        </w:rPr>
        <w:t>=</w:t>
      </w:r>
      <w:r>
        <w:rPr>
          <w:rFonts w:ascii="Times New Roman" w:hAnsi="Times New Roman" w:eastAsia="宋体"/>
          <w:snapToGrid w:val="0"/>
          <w:color w:val="000000" w:themeColor="text1"/>
          <w:spacing w:val="-6"/>
          <w:kern w:val="21"/>
          <w:szCs w:val="21"/>
          <w14:textFill>
            <w14:solidFill>
              <w14:schemeClr w14:val="tx1"/>
            </w14:solidFill>
          </w14:textFill>
        </w:rPr>
        <w:fldChar w:fldCharType="begin"/>
      </w:r>
      <w:r>
        <w:rPr>
          <w:rFonts w:ascii="Times New Roman" w:hAnsi="Times New Roman" w:eastAsia="宋体"/>
          <w:snapToGrid w:val="0"/>
          <w:color w:val="000000" w:themeColor="text1"/>
          <w:spacing w:val="-6"/>
          <w:kern w:val="21"/>
          <w:szCs w:val="21"/>
          <w14:textFill>
            <w14:solidFill>
              <w14:schemeClr w14:val="tx1"/>
            </w14:solidFill>
          </w14:textFill>
        </w:rPr>
        <w:instrText xml:space="preserve"> = 1 \* GB3 \* MERGEFORMAT </w:instrText>
      </w:r>
      <w:r>
        <w:rPr>
          <w:rFonts w:ascii="Times New Roman" w:hAnsi="Times New Roman" w:eastAsia="宋体"/>
          <w:snapToGrid w:val="0"/>
          <w:color w:val="000000" w:themeColor="text1"/>
          <w:spacing w:val="-6"/>
          <w:kern w:val="21"/>
          <w:szCs w:val="21"/>
          <w14:textFill>
            <w14:solidFill>
              <w14:schemeClr w14:val="tx1"/>
            </w14:solidFill>
          </w14:textFill>
        </w:rPr>
        <w:fldChar w:fldCharType="separate"/>
      </w:r>
      <w:r>
        <w:rPr>
          <w:rFonts w:hint="eastAsia" w:ascii="Times New Roman" w:hAnsi="Times New Roman" w:eastAsia="宋体"/>
          <w:color w:val="000000" w:themeColor="text1"/>
          <w:szCs w:val="21"/>
          <w14:textFill>
            <w14:solidFill>
              <w14:schemeClr w14:val="tx1"/>
            </w14:solidFill>
          </w14:textFill>
        </w:rPr>
        <w:t>①</w:t>
      </w:r>
      <w:r>
        <w:rPr>
          <w:rFonts w:ascii="Times New Roman" w:hAnsi="Times New Roman" w:eastAsia="宋体"/>
          <w:snapToGrid w:val="0"/>
          <w:color w:val="000000" w:themeColor="text1"/>
          <w:spacing w:val="-6"/>
          <w:kern w:val="21"/>
          <w:szCs w:val="21"/>
          <w14:textFill>
            <w14:solidFill>
              <w14:schemeClr w14:val="tx1"/>
            </w14:solidFill>
          </w14:textFill>
        </w:rPr>
        <w:fldChar w:fldCharType="end"/>
      </w:r>
      <w:r>
        <w:rPr>
          <w:rFonts w:ascii="Times New Roman" w:hAnsi="Times New Roman" w:eastAsia="宋体"/>
          <w:snapToGrid w:val="0"/>
          <w:color w:val="000000" w:themeColor="text1"/>
          <w:spacing w:val="-6"/>
          <w:kern w:val="21"/>
          <w:szCs w:val="21"/>
          <w14:textFill>
            <w14:solidFill>
              <w14:schemeClr w14:val="tx1"/>
            </w14:solidFill>
          </w14:textFill>
        </w:rPr>
        <w:t>+</w:t>
      </w:r>
      <w:r>
        <w:rPr>
          <w:rFonts w:ascii="Times New Roman" w:hAnsi="Times New Roman" w:eastAsia="宋体"/>
          <w:snapToGrid w:val="0"/>
          <w:color w:val="000000" w:themeColor="text1"/>
          <w:spacing w:val="-6"/>
          <w:kern w:val="21"/>
          <w:szCs w:val="21"/>
          <w14:textFill>
            <w14:solidFill>
              <w14:schemeClr w14:val="tx1"/>
            </w14:solidFill>
          </w14:textFill>
        </w:rPr>
        <w:fldChar w:fldCharType="begin"/>
      </w:r>
      <w:r>
        <w:rPr>
          <w:rFonts w:ascii="Times New Roman" w:hAnsi="Times New Roman" w:eastAsia="宋体"/>
          <w:snapToGrid w:val="0"/>
          <w:color w:val="000000" w:themeColor="text1"/>
          <w:spacing w:val="-6"/>
          <w:kern w:val="21"/>
          <w:szCs w:val="21"/>
          <w14:textFill>
            <w14:solidFill>
              <w14:schemeClr w14:val="tx1"/>
            </w14:solidFill>
          </w14:textFill>
        </w:rPr>
        <w:instrText xml:space="preserve"> = 3 \* GB3 \* MERGEFORMAT </w:instrText>
      </w:r>
      <w:r>
        <w:rPr>
          <w:rFonts w:ascii="Times New Roman" w:hAnsi="Times New Roman" w:eastAsia="宋体"/>
          <w:snapToGrid w:val="0"/>
          <w:color w:val="000000" w:themeColor="text1"/>
          <w:spacing w:val="-6"/>
          <w:kern w:val="21"/>
          <w:szCs w:val="21"/>
          <w14:textFill>
            <w14:solidFill>
              <w14:schemeClr w14:val="tx1"/>
            </w14:solidFill>
          </w14:textFill>
        </w:rPr>
        <w:fldChar w:fldCharType="separate"/>
      </w:r>
      <w:r>
        <w:rPr>
          <w:rFonts w:hint="eastAsia" w:ascii="Times New Roman" w:hAnsi="Times New Roman" w:eastAsia="宋体"/>
          <w:color w:val="000000" w:themeColor="text1"/>
          <w:szCs w:val="21"/>
          <w14:textFill>
            <w14:solidFill>
              <w14:schemeClr w14:val="tx1"/>
            </w14:solidFill>
          </w14:textFill>
        </w:rPr>
        <w:t>③</w:t>
      </w:r>
      <w:r>
        <w:rPr>
          <w:rFonts w:ascii="Times New Roman" w:hAnsi="Times New Roman" w:eastAsia="宋体"/>
          <w:snapToGrid w:val="0"/>
          <w:color w:val="000000" w:themeColor="text1"/>
          <w:spacing w:val="-6"/>
          <w:kern w:val="21"/>
          <w:szCs w:val="21"/>
          <w14:textFill>
            <w14:solidFill>
              <w14:schemeClr w14:val="tx1"/>
            </w14:solidFill>
          </w14:textFill>
        </w:rPr>
        <w:fldChar w:fldCharType="end"/>
      </w:r>
      <w:r>
        <w:rPr>
          <w:rFonts w:ascii="Times New Roman" w:hAnsi="Times New Roman" w:eastAsia="宋体"/>
          <w:snapToGrid w:val="0"/>
          <w:color w:val="000000" w:themeColor="text1"/>
          <w:spacing w:val="-6"/>
          <w:kern w:val="21"/>
          <w:szCs w:val="21"/>
          <w14:textFill>
            <w14:solidFill>
              <w14:schemeClr w14:val="tx1"/>
            </w14:solidFill>
          </w14:textFill>
        </w:rPr>
        <w:t>+</w:t>
      </w:r>
      <w:r>
        <w:rPr>
          <w:rFonts w:ascii="Times New Roman" w:hAnsi="Times New Roman" w:eastAsia="宋体"/>
          <w:snapToGrid w:val="0"/>
          <w:color w:val="000000" w:themeColor="text1"/>
          <w:spacing w:val="-6"/>
          <w:kern w:val="21"/>
          <w:szCs w:val="21"/>
          <w14:textFill>
            <w14:solidFill>
              <w14:schemeClr w14:val="tx1"/>
            </w14:solidFill>
          </w14:textFill>
        </w:rPr>
        <w:fldChar w:fldCharType="begin"/>
      </w:r>
      <w:r>
        <w:rPr>
          <w:rFonts w:ascii="Times New Roman" w:hAnsi="Times New Roman" w:eastAsia="宋体"/>
          <w:snapToGrid w:val="0"/>
          <w:color w:val="000000" w:themeColor="text1"/>
          <w:spacing w:val="-6"/>
          <w:kern w:val="21"/>
          <w:szCs w:val="21"/>
          <w14:textFill>
            <w14:solidFill>
              <w14:schemeClr w14:val="tx1"/>
            </w14:solidFill>
          </w14:textFill>
        </w:rPr>
        <w:instrText xml:space="preserve"> = 4 \* GB3 \* MERGEFORMAT </w:instrText>
      </w:r>
      <w:r>
        <w:rPr>
          <w:rFonts w:ascii="Times New Roman" w:hAnsi="Times New Roman" w:eastAsia="宋体"/>
          <w:snapToGrid w:val="0"/>
          <w:color w:val="000000" w:themeColor="text1"/>
          <w:spacing w:val="-6"/>
          <w:kern w:val="21"/>
          <w:szCs w:val="21"/>
          <w14:textFill>
            <w14:solidFill>
              <w14:schemeClr w14:val="tx1"/>
            </w14:solidFill>
          </w14:textFill>
        </w:rPr>
        <w:fldChar w:fldCharType="separate"/>
      </w:r>
      <w:r>
        <w:rPr>
          <w:rFonts w:hint="eastAsia" w:ascii="Times New Roman" w:hAnsi="Times New Roman" w:eastAsia="宋体"/>
          <w:color w:val="000000" w:themeColor="text1"/>
          <w:szCs w:val="21"/>
          <w14:textFill>
            <w14:solidFill>
              <w14:schemeClr w14:val="tx1"/>
            </w14:solidFill>
          </w14:textFill>
        </w:rPr>
        <w:t>④</w:t>
      </w:r>
      <w:r>
        <w:rPr>
          <w:rFonts w:ascii="Times New Roman" w:hAnsi="Times New Roman" w:eastAsia="宋体"/>
          <w:snapToGrid w:val="0"/>
          <w:color w:val="000000" w:themeColor="text1"/>
          <w:spacing w:val="-6"/>
          <w:kern w:val="21"/>
          <w:szCs w:val="21"/>
          <w14:textFill>
            <w14:solidFill>
              <w14:schemeClr w14:val="tx1"/>
            </w14:solidFill>
          </w14:textFill>
        </w:rPr>
        <w:fldChar w:fldCharType="end"/>
      </w:r>
      <w:r>
        <w:rPr>
          <w:rFonts w:ascii="Times New Roman" w:hAnsi="Times New Roman" w:eastAsia="宋体"/>
          <w:snapToGrid w:val="0"/>
          <w:color w:val="000000" w:themeColor="text1"/>
          <w:spacing w:val="-6"/>
          <w:kern w:val="21"/>
          <w:szCs w:val="21"/>
          <w14:textFill>
            <w14:solidFill>
              <w14:schemeClr w14:val="tx1"/>
            </w14:solidFill>
          </w14:textFill>
        </w:rPr>
        <w:t>-</w:t>
      </w:r>
      <w:r>
        <w:rPr>
          <w:rFonts w:ascii="Times New Roman" w:hAnsi="Times New Roman" w:eastAsia="宋体"/>
          <w:snapToGrid w:val="0"/>
          <w:color w:val="000000" w:themeColor="text1"/>
          <w:spacing w:val="-16"/>
          <w:kern w:val="21"/>
          <w:szCs w:val="21"/>
          <w14:textFill>
            <w14:solidFill>
              <w14:schemeClr w14:val="tx1"/>
            </w14:solidFill>
          </w14:textFill>
        </w:rPr>
        <w:fldChar w:fldCharType="begin"/>
      </w:r>
      <w:r>
        <w:rPr>
          <w:rFonts w:ascii="Times New Roman" w:hAnsi="Times New Roman" w:eastAsia="宋体"/>
          <w:snapToGrid w:val="0"/>
          <w:color w:val="000000" w:themeColor="text1"/>
          <w:spacing w:val="-16"/>
          <w:kern w:val="21"/>
          <w:szCs w:val="21"/>
          <w14:textFill>
            <w14:solidFill>
              <w14:schemeClr w14:val="tx1"/>
            </w14:solidFill>
          </w14:textFill>
        </w:rPr>
        <w:instrText xml:space="preserve"> = 5 \* GB3 \* MERGEFORMAT </w:instrText>
      </w:r>
      <w:r>
        <w:rPr>
          <w:rFonts w:ascii="Times New Roman" w:hAnsi="Times New Roman" w:eastAsia="宋体"/>
          <w:snapToGrid w:val="0"/>
          <w:color w:val="000000" w:themeColor="text1"/>
          <w:spacing w:val="-16"/>
          <w:kern w:val="21"/>
          <w:szCs w:val="21"/>
          <w14:textFill>
            <w14:solidFill>
              <w14:schemeClr w14:val="tx1"/>
            </w14:solidFill>
          </w14:textFill>
        </w:rPr>
        <w:fldChar w:fldCharType="separate"/>
      </w:r>
      <w:r>
        <w:rPr>
          <w:rFonts w:hint="eastAsia" w:ascii="Times New Roman" w:hAnsi="Times New Roman" w:eastAsia="宋体"/>
          <w:color w:val="000000" w:themeColor="text1"/>
          <w:szCs w:val="21"/>
          <w14:textFill>
            <w14:solidFill>
              <w14:schemeClr w14:val="tx1"/>
            </w14:solidFill>
          </w14:textFill>
        </w:rPr>
        <w:t>⑤</w:t>
      </w:r>
      <w:r>
        <w:rPr>
          <w:rFonts w:ascii="Times New Roman" w:hAnsi="Times New Roman" w:eastAsia="宋体"/>
          <w:snapToGrid w:val="0"/>
          <w:color w:val="000000" w:themeColor="text1"/>
          <w:spacing w:val="-16"/>
          <w:kern w:val="21"/>
          <w:szCs w:val="21"/>
          <w14:textFill>
            <w14:solidFill>
              <w14:schemeClr w14:val="tx1"/>
            </w14:solidFill>
          </w14:textFill>
        </w:rPr>
        <w:fldChar w:fldCharType="end"/>
      </w:r>
      <w:r>
        <w:rPr>
          <w:rFonts w:ascii="Times New Roman" w:hAnsi="Times New Roman" w:eastAsia="宋体"/>
          <w:snapToGrid w:val="0"/>
          <w:color w:val="000000" w:themeColor="text1"/>
          <w:spacing w:val="-16"/>
          <w:kern w:val="21"/>
          <w:szCs w:val="21"/>
          <w14:textFill>
            <w14:solidFill>
              <w14:schemeClr w14:val="tx1"/>
            </w14:solidFill>
          </w14:textFill>
        </w:rPr>
        <w:t>；</w:t>
      </w:r>
      <w:r>
        <w:rPr>
          <w:rFonts w:ascii="Times New Roman" w:hAnsi="Times New Roman" w:eastAsia="宋体"/>
          <w:snapToGrid w:val="0"/>
          <w:color w:val="000000" w:themeColor="text1"/>
          <w:spacing w:val="-6"/>
          <w:kern w:val="21"/>
          <w:szCs w:val="21"/>
          <w14:textFill>
            <w14:solidFill>
              <w14:schemeClr w14:val="tx1"/>
            </w14:solidFill>
          </w14:textFill>
        </w:rPr>
        <w:fldChar w:fldCharType="begin"/>
      </w:r>
      <w:r>
        <w:rPr>
          <w:rFonts w:ascii="Times New Roman" w:hAnsi="Times New Roman" w:eastAsia="宋体"/>
          <w:snapToGrid w:val="0"/>
          <w:color w:val="000000" w:themeColor="text1"/>
          <w:spacing w:val="-6"/>
          <w:kern w:val="21"/>
          <w:szCs w:val="21"/>
          <w14:textFill>
            <w14:solidFill>
              <w14:schemeClr w14:val="tx1"/>
            </w14:solidFill>
          </w14:textFill>
        </w:rPr>
        <w:instrText xml:space="preserve"> = 7 \* GB3 \* MERGEFORMAT </w:instrText>
      </w:r>
      <w:r>
        <w:rPr>
          <w:rFonts w:ascii="Times New Roman" w:hAnsi="Times New Roman" w:eastAsia="宋体"/>
          <w:snapToGrid w:val="0"/>
          <w:color w:val="000000" w:themeColor="text1"/>
          <w:spacing w:val="-6"/>
          <w:kern w:val="21"/>
          <w:szCs w:val="21"/>
          <w14:textFill>
            <w14:solidFill>
              <w14:schemeClr w14:val="tx1"/>
            </w14:solidFill>
          </w14:textFill>
        </w:rPr>
        <w:fldChar w:fldCharType="separate"/>
      </w:r>
      <w:r>
        <w:rPr>
          <w:rFonts w:hint="eastAsia" w:ascii="Times New Roman" w:hAnsi="Times New Roman" w:eastAsia="宋体"/>
          <w:color w:val="000000" w:themeColor="text1"/>
          <w:szCs w:val="21"/>
          <w14:textFill>
            <w14:solidFill>
              <w14:schemeClr w14:val="tx1"/>
            </w14:solidFill>
          </w14:textFill>
        </w:rPr>
        <w:t>⑦</w:t>
      </w:r>
      <w:r>
        <w:rPr>
          <w:rFonts w:ascii="Times New Roman" w:hAnsi="Times New Roman" w:eastAsia="宋体"/>
          <w:snapToGrid w:val="0"/>
          <w:color w:val="000000" w:themeColor="text1"/>
          <w:spacing w:val="-6"/>
          <w:kern w:val="21"/>
          <w:szCs w:val="21"/>
          <w14:textFill>
            <w14:solidFill>
              <w14:schemeClr w14:val="tx1"/>
            </w14:solidFill>
          </w14:textFill>
        </w:rPr>
        <w:fldChar w:fldCharType="end"/>
      </w:r>
      <w:r>
        <w:rPr>
          <w:rFonts w:ascii="Times New Roman" w:hAnsi="Times New Roman" w:eastAsia="宋体"/>
          <w:snapToGrid w:val="0"/>
          <w:color w:val="000000" w:themeColor="text1"/>
          <w:spacing w:val="-6"/>
          <w:kern w:val="21"/>
          <w:szCs w:val="21"/>
          <w14:textFill>
            <w14:solidFill>
              <w14:schemeClr w14:val="tx1"/>
            </w14:solidFill>
          </w14:textFill>
        </w:rPr>
        <w:t>=</w:t>
      </w:r>
      <w:r>
        <w:rPr>
          <w:rFonts w:ascii="Times New Roman" w:hAnsi="Times New Roman" w:eastAsia="宋体"/>
          <w:snapToGrid w:val="0"/>
          <w:color w:val="000000" w:themeColor="text1"/>
          <w:spacing w:val="-16"/>
          <w:kern w:val="21"/>
          <w:szCs w:val="21"/>
          <w14:textFill>
            <w14:solidFill>
              <w14:schemeClr w14:val="tx1"/>
            </w14:solidFill>
          </w14:textFill>
        </w:rPr>
        <w:fldChar w:fldCharType="begin"/>
      </w:r>
      <w:r>
        <w:rPr>
          <w:rFonts w:ascii="Times New Roman" w:hAnsi="Times New Roman" w:eastAsia="宋体"/>
          <w:snapToGrid w:val="0"/>
          <w:color w:val="000000" w:themeColor="text1"/>
          <w:spacing w:val="-16"/>
          <w:kern w:val="21"/>
          <w:szCs w:val="21"/>
          <w14:textFill>
            <w14:solidFill>
              <w14:schemeClr w14:val="tx1"/>
            </w14:solidFill>
          </w14:textFill>
        </w:rPr>
        <w:instrText xml:space="preserve"> = 6 \* GB3 \* MERGEFORMAT </w:instrText>
      </w:r>
      <w:r>
        <w:rPr>
          <w:rFonts w:ascii="Times New Roman" w:hAnsi="Times New Roman" w:eastAsia="宋体"/>
          <w:snapToGrid w:val="0"/>
          <w:color w:val="000000" w:themeColor="text1"/>
          <w:spacing w:val="-16"/>
          <w:kern w:val="21"/>
          <w:szCs w:val="21"/>
          <w14:textFill>
            <w14:solidFill>
              <w14:schemeClr w14:val="tx1"/>
            </w14:solidFill>
          </w14:textFill>
        </w:rPr>
        <w:fldChar w:fldCharType="separate"/>
      </w:r>
      <w:r>
        <w:rPr>
          <w:rFonts w:hint="eastAsia" w:ascii="Times New Roman" w:hAnsi="Times New Roman" w:eastAsia="宋体"/>
          <w:color w:val="000000" w:themeColor="text1"/>
          <w:szCs w:val="21"/>
          <w14:textFill>
            <w14:solidFill>
              <w14:schemeClr w14:val="tx1"/>
            </w14:solidFill>
          </w14:textFill>
        </w:rPr>
        <w:t>⑥</w:t>
      </w:r>
      <w:r>
        <w:rPr>
          <w:rFonts w:ascii="Times New Roman" w:hAnsi="Times New Roman" w:eastAsia="宋体"/>
          <w:snapToGrid w:val="0"/>
          <w:color w:val="000000" w:themeColor="text1"/>
          <w:spacing w:val="-16"/>
          <w:kern w:val="21"/>
          <w:szCs w:val="21"/>
          <w14:textFill>
            <w14:solidFill>
              <w14:schemeClr w14:val="tx1"/>
            </w14:solidFill>
          </w14:textFill>
        </w:rPr>
        <w:fldChar w:fldCharType="end"/>
      </w:r>
      <w:r>
        <w:rPr>
          <w:rFonts w:ascii="Times New Roman" w:hAnsi="Times New Roman" w:eastAsia="宋体"/>
          <w:snapToGrid w:val="0"/>
          <w:color w:val="000000" w:themeColor="text1"/>
          <w:spacing w:val="-16"/>
          <w:kern w:val="21"/>
          <w:szCs w:val="21"/>
          <w14:textFill>
            <w14:solidFill>
              <w14:schemeClr w14:val="tx1"/>
            </w14:solidFill>
          </w14:textFill>
        </w:rPr>
        <w:t>-</w:t>
      </w:r>
      <w:r>
        <w:rPr>
          <w:rFonts w:ascii="Times New Roman" w:hAnsi="Times New Roman" w:eastAsia="宋体"/>
          <w:snapToGrid w:val="0"/>
          <w:color w:val="000000" w:themeColor="text1"/>
          <w:spacing w:val="-6"/>
          <w:kern w:val="21"/>
          <w:szCs w:val="21"/>
          <w14:textFill>
            <w14:solidFill>
              <w14:schemeClr w14:val="tx1"/>
            </w14:solidFill>
          </w14:textFill>
        </w:rPr>
        <w:fldChar w:fldCharType="begin"/>
      </w:r>
      <w:r>
        <w:rPr>
          <w:rFonts w:ascii="Times New Roman" w:hAnsi="Times New Roman" w:eastAsia="宋体"/>
          <w:snapToGrid w:val="0"/>
          <w:color w:val="000000" w:themeColor="text1"/>
          <w:spacing w:val="-6"/>
          <w:kern w:val="21"/>
          <w:szCs w:val="21"/>
          <w14:textFill>
            <w14:solidFill>
              <w14:schemeClr w14:val="tx1"/>
            </w14:solidFill>
          </w14:textFill>
        </w:rPr>
        <w:instrText xml:space="preserve"> = 1 \* GB3 \* MERGEFORMAT </w:instrText>
      </w:r>
      <w:r>
        <w:rPr>
          <w:rFonts w:ascii="Times New Roman" w:hAnsi="Times New Roman" w:eastAsia="宋体"/>
          <w:snapToGrid w:val="0"/>
          <w:color w:val="000000" w:themeColor="text1"/>
          <w:spacing w:val="-6"/>
          <w:kern w:val="21"/>
          <w:szCs w:val="21"/>
          <w14:textFill>
            <w14:solidFill>
              <w14:schemeClr w14:val="tx1"/>
            </w14:solidFill>
          </w14:textFill>
        </w:rPr>
        <w:fldChar w:fldCharType="separate"/>
      </w:r>
      <w:r>
        <w:rPr>
          <w:rFonts w:hint="eastAsia" w:ascii="Times New Roman" w:hAnsi="Times New Roman" w:eastAsia="宋体"/>
          <w:color w:val="000000" w:themeColor="text1"/>
          <w:szCs w:val="21"/>
          <w14:textFill>
            <w14:solidFill>
              <w14:schemeClr w14:val="tx1"/>
            </w14:solidFill>
          </w14:textFill>
        </w:rPr>
        <w:t>①</w:t>
      </w:r>
      <w:r>
        <w:rPr>
          <w:rFonts w:ascii="Times New Roman" w:hAnsi="Times New Roman" w:eastAsia="宋体"/>
          <w:snapToGrid w:val="0"/>
          <w:color w:val="000000" w:themeColor="text1"/>
          <w:spacing w:val="-6"/>
          <w:kern w:val="21"/>
          <w:szCs w:val="21"/>
          <w14:textFill>
            <w14:solidFill>
              <w14:schemeClr w14:val="tx1"/>
            </w14:solidFill>
          </w14:textFill>
        </w:rPr>
        <w:fldChar w:fldCharType="end"/>
      </w:r>
    </w:p>
    <w:p>
      <w:pPr>
        <w:rPr>
          <w:rFonts w:ascii="Times New Roman" w:hAnsi="Times New Roman" w:eastAsia="宋体"/>
          <w:snapToGrid w:val="0"/>
          <w:color w:val="000000" w:themeColor="text1"/>
          <w:spacing w:val="-6"/>
          <w:kern w:val="21"/>
          <w:szCs w:val="21"/>
          <w14:textFill>
            <w14:solidFill>
              <w14:schemeClr w14:val="tx1"/>
            </w14:solidFill>
          </w14:textFill>
        </w:rPr>
      </w:pPr>
    </w:p>
    <w:p>
      <w:pPr>
        <w:pStyle w:val="106"/>
        <w:jc w:val="center"/>
      </w:pPr>
      <w:bookmarkStart w:id="14" w:name="_GoBack"/>
      <w:bookmarkEnd w:id="14"/>
    </w:p>
    <w:sectPr>
      <w:footerReference r:id="rId7" w:type="default"/>
      <w:pgSz w:w="16838" w:h="11906" w:orient="landscape"/>
      <w:pgMar w:top="1440" w:right="1134" w:bottom="1440" w:left="1276" w:header="720" w:footer="720" w:gutter="0"/>
      <w:pgBorders>
        <w:top w:val="none" w:sz="0" w:space="0"/>
        <w:left w:val="none" w:sz="0" w:space="0"/>
        <w:bottom w:val="none" w:sz="0" w:space="0"/>
        <w:right w:val="none" w:sz="0" w:space="0"/>
      </w:pgBorders>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MS Mincho">
    <w:altName w:val="Yu Gothic UI"/>
    <w:panose1 w:val="02020609040205080304"/>
    <w:charset w:val="80"/>
    <w:family w:val="modern"/>
    <w:pitch w:val="default"/>
    <w:sig w:usb0="00000000" w:usb1="00000000" w:usb2="00000012" w:usb3="00000000" w:csb0="0002009F" w:csb1="00000000"/>
  </w:font>
  <w:font w:name="Yu Gothic UI">
    <w:panose1 w:val="020B0500000000000000"/>
    <w:charset w:val="80"/>
    <w:family w:val="auto"/>
    <w:pitch w:val="default"/>
    <w:sig w:usb0="E00002FF" w:usb1="2AC7FDFF" w:usb2="00000016" w:usb3="00000000" w:csb0="2002009F" w:csb1="00000000"/>
  </w:font>
  <w:font w:name="等线 Light">
    <w:panose1 w:val="02010600030101010101"/>
    <w:charset w:val="86"/>
    <w:family w:val="auto"/>
    <w:pitch w:val="default"/>
    <w:sig w:usb0="A00002BF" w:usb1="38CF7CFA" w:usb2="00000016" w:usb3="00000000" w:csb0="0004000F" w:csb1="00000000"/>
  </w:font>
  <w:font w:name="Microsoft YaHei UI">
    <w:panose1 w:val="020B0503020204020204"/>
    <w:charset w:val="86"/>
    <w:family w:val="swiss"/>
    <w:pitch w:val="default"/>
    <w:sig w:usb0="80000287" w:usb1="2ACF3C50" w:usb2="00000016" w:usb3="00000000" w:csb0="0004001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Sim Sun">
    <w:altName w:val="宋体"/>
    <w:panose1 w:val="00000000000000000000"/>
    <w:charset w:val="86"/>
    <w:family w:val="auto"/>
    <w:pitch w:val="default"/>
    <w:sig w:usb0="00000000" w:usb1="00000000" w:usb2="00000010" w:usb3="00000000" w:csb0="00040000" w:csb1="00000000"/>
  </w:font>
  <w:font w:name="t">
    <w:altName w:val="Times New Roman"/>
    <w:panose1 w:val="00000000000000000000"/>
    <w:charset w:val="00"/>
    <w:family w:val="roman"/>
    <w:pitch w:val="default"/>
    <w:sig w:usb0="00000000" w:usb1="00000000" w:usb2="00000000" w:usb3="00000000" w:csb0="00000001" w:csb1="00000000"/>
  </w:font>
  <w:font w:name="Roman">
    <w:altName w:val="Times New Roman"/>
    <w:panose1 w:val="00000000000000000000"/>
    <w:charset w:val="00"/>
    <w:family w:val="roman"/>
    <w:pitch w:val="default"/>
    <w:sig w:usb0="00000000" w:usb1="00000000" w:usb2="00000000" w:usb3="00000000" w:csb0="00000001" w:csb1="00000000"/>
  </w:font>
  <w:font w:name="Tahoma">
    <w:panose1 w:val="020B0604030504040204"/>
    <w:charset w:val="00"/>
    <w:family w:val="swiss"/>
    <w:pitch w:val="default"/>
    <w:sig w:usb0="E1002EFF" w:usb1="C000605B" w:usb2="00000029" w:usb3="00000000" w:csb0="200101FF" w:csb1="20280000"/>
  </w:font>
  <w:font w:name="ˎ̥">
    <w:altName w:val="Times New Roman"/>
    <w:panose1 w:val="00000000000000000000"/>
    <w:charset w:val="00"/>
    <w:family w:val="roman"/>
    <w:pitch w:val="default"/>
    <w:sig w:usb0="00000000" w:usb1="00000000" w:usb2="00000000" w:usb3="00000000" w:csb0="00040001" w:csb1="00000000"/>
  </w:font>
  <w:font w:name="楷体_GB2312">
    <w:altName w:val="楷体"/>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Impact">
    <w:panose1 w:val="020B0806030902050204"/>
    <w:charset w:val="00"/>
    <w:family w:val="swiss"/>
    <w:pitch w:val="default"/>
    <w:sig w:usb0="00000287" w:usb1="00000000" w:usb2="00000000" w:usb3="00000000" w:csb0="2000009F" w:csb1="DFD70000"/>
  </w:font>
  <w:font w:name="隶书">
    <w:panose1 w:val="0201050906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CG Times (WN)">
    <w:altName w:val="Times New Roman"/>
    <w:panose1 w:val="00000000000000000000"/>
    <w:charset w:val="00"/>
    <w:family w:val="auto"/>
    <w:pitch w:val="default"/>
    <w:sig w:usb0="00000000" w:usb1="00000000" w:usb2="00000000" w:usb3="00000000" w:csb0="00040001" w:csb1="00000000"/>
  </w:font>
  <w:font w:name="TimesNewRomanPSMT">
    <w:altName w:val="Times New Roman"/>
    <w:panose1 w:val="00000000000000000000"/>
    <w:charset w:val="00"/>
    <w:family w:val="auto"/>
    <w:pitch w:val="default"/>
    <w:sig w:usb0="00000000" w:usb1="00000000" w:usb2="00000000" w:usb3="00000000" w:csb0="00040001" w:csb1="00000000"/>
  </w:font>
  <w:font w:name="仿宋体">
    <w:altName w:val="宋体"/>
    <w:panose1 w:val="00000000000000000000"/>
    <w:charset w:val="86"/>
    <w:family w:val="roman"/>
    <w:pitch w:val="default"/>
    <w:sig w:usb0="00000000" w:usb1="00000000" w:usb2="00000010" w:usb3="00000000" w:csb0="00040000" w:csb1="00000000"/>
  </w:font>
  <w:font w:name="MS UI Gothic">
    <w:panose1 w:val="020B0600070205080204"/>
    <w:charset w:val="80"/>
    <w:family w:val="swiss"/>
    <w:pitch w:val="default"/>
    <w:sig w:usb0="E00002FF" w:usb1="6AC7FDFB" w:usb2="08000012" w:usb3="00000000" w:csb0="4002009F" w:csb1="DFD70000"/>
  </w:font>
  <w:font w:name="Calibri Light">
    <w:panose1 w:val="020F0302020204030204"/>
    <w:charset w:val="00"/>
    <w:family w:val="swiss"/>
    <w:pitch w:val="default"/>
    <w:sig w:usb0="E0002AFF" w:usb1="C000247B" w:usb2="00000009" w:usb3="00000000" w:csb0="200001FF" w:csb1="00000000"/>
  </w:font>
  <w:font w:name="Bookman Old Style">
    <w:panose1 w:val="02050604050505020204"/>
    <w:charset w:val="00"/>
    <w:family w:val="roman"/>
    <w:pitch w:val="default"/>
    <w:sig w:usb0="00000287" w:usb1="00000000" w:usb2="00000000" w:usb3="00000000" w:csb0="2000009F" w:csb1="DFD70000"/>
  </w:font>
  <w:font w:name="Verdana">
    <w:panose1 w:val="020B0604030504040204"/>
    <w:charset w:val="00"/>
    <w:family w:val="swiss"/>
    <w:pitch w:val="default"/>
    <w:sig w:usb0="A00006FF" w:usb1="4000205B" w:usb2="00000010" w:usb3="00000000" w:csb0="2000019F" w:csb1="00000000"/>
  </w:font>
  <w:font w:name="Arial Unicode MS">
    <w:panose1 w:val="020B0604020202020204"/>
    <w:charset w:val="86"/>
    <w:family w:val="swiss"/>
    <w:pitch w:val="default"/>
    <w:sig w:usb0="FFFFFFFF" w:usb1="E9FFFFFF" w:usb2="0000003F" w:usb3="00000000" w:csb0="603F01FF" w:csb1="FFFF0000"/>
  </w:font>
  <w:font w:name="隶书体">
    <w:altName w:val="宋体"/>
    <w:panose1 w:val="00000000000000000000"/>
    <w:charset w:val="86"/>
    <w:family w:val="swiss"/>
    <w:pitch w:val="default"/>
    <w:sig w:usb0="00000000" w:usb1="00000000" w:usb2="00000010" w:usb3="00000000" w:csb0="00040000" w:csb1="00000000"/>
  </w:font>
  <w:font w:name="全真楷書">
    <w:altName w:val="宋体"/>
    <w:panose1 w:val="00000000000000000000"/>
    <w:charset w:val="88"/>
    <w:family w:val="modern"/>
    <w:pitch w:val="default"/>
    <w:sig w:usb0="00000000" w:usb1="00000000" w:usb2="00000010" w:usb3="00000000" w:csb0="00100000" w:csb1="00000000"/>
  </w:font>
  <w:font w:name="Dutch801 Rm BT">
    <w:altName w:val="Times New Roman"/>
    <w:panose1 w:val="02020603060505020304"/>
    <w:charset w:val="00"/>
    <w:family w:val="roman"/>
    <w:pitch w:val="default"/>
    <w:sig w:usb0="00000000" w:usb1="00000000" w:usb2="00000000" w:usb3="00000000" w:csb0="00000000" w:csb1="00000000"/>
  </w:font>
  <w:font w:name="Century Gothic">
    <w:panose1 w:val="020B0502020202020204"/>
    <w:charset w:val="00"/>
    <w:family w:val="swiss"/>
    <w:pitch w:val="default"/>
    <w:sig w:usb0="00000287" w:usb1="00000000" w:usb2="00000000" w:usb3="00000000" w:csb0="2000009F" w:csb1="DFD70000"/>
  </w:font>
  <w:font w:name="Plotter">
    <w:altName w:val="Lucida Console"/>
    <w:panose1 w:val="00000000000000000000"/>
    <w:charset w:val="00"/>
    <w:family w:val="roman"/>
    <w:pitch w:val="default"/>
    <w:sig w:usb0="00000000" w:usb1="00000000" w:usb2="00000000" w:usb3="00000000" w:csb0="00040001" w:csb1="00000000"/>
  </w:font>
  <w:font w:name="Lucida Console">
    <w:panose1 w:val="020B0609040504020204"/>
    <w:charset w:val="00"/>
    <w:family w:val="auto"/>
    <w:pitch w:val="default"/>
    <w:sig w:usb0="8000028F" w:usb1="00001800" w:usb2="00000000" w:usb3="00000000" w:csb0="0000001F" w:csb1="D7D70000"/>
  </w:font>
  <w:font w:name="Estrangelo Edessa">
    <w:altName w:val="Mongolian Baiti"/>
    <w:panose1 w:val="03080600000000000000"/>
    <w:charset w:val="00"/>
    <w:family w:val="script"/>
    <w:pitch w:val="default"/>
    <w:sig w:usb0="00000000" w:usb1="00000000" w:usb2="00000080" w:usb3="00000000" w:csb0="00000001" w:csb1="00000000"/>
  </w:font>
  <w:font w:name="Mongolian Baiti">
    <w:panose1 w:val="03000500000000000000"/>
    <w:charset w:val="00"/>
    <w:family w:val="auto"/>
    <w:pitch w:val="default"/>
    <w:sig w:usb0="80000023" w:usb1="00000000" w:usb2="00020000" w:usb3="00000000" w:csb0="00000001" w:csb1="00000000"/>
  </w:font>
  <w:font w:name="Tms Rmn">
    <w:altName w:val="Segoe Print"/>
    <w:panose1 w:val="02020603040505020304"/>
    <w:charset w:val="00"/>
    <w:family w:val="roman"/>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方正仿宋_GBK">
    <w:altName w:val="宋体"/>
    <w:panose1 w:val="00000000000000000000"/>
    <w:charset w:val="86"/>
    <w:family w:val="script"/>
    <w:pitch w:val="default"/>
    <w:sig w:usb0="00000000" w:usb1="00000000" w:usb2="00000000" w:usb3="00000000" w:csb0="00040000" w:csb1="00000000"/>
  </w:font>
  <w:font w:name="Wingdings 2">
    <w:panose1 w:val="050201020105070707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1"/>
      <w:ind w:right="360" w:firstLine="360"/>
      <w:jc w:val="cente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52" name="文本框 15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1"/>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2zWLAtAgAAWQ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I2zWLAtAgAAWQQAAA4AAAAAAAAAAQAgAAAAHwEAAGRycy9lMm9Eb2MueG1sUEsFBgAAAAAG&#10;AAYAWQEAAL4FAAAAAA==&#10;">
              <v:fill on="f" focussize="0,0"/>
              <v:stroke on="f" weight="0.5pt"/>
              <v:imagedata o:title=""/>
              <o:lock v:ext="edit" aspectratio="f"/>
              <v:textbox inset="0mm,0mm,0mm,0mm" style="mso-fit-shape-to-text:t;">
                <w:txbxContent>
                  <w:p>
                    <w:pPr>
                      <w:pStyle w:val="61"/>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1"/>
      <w:framePr w:wrap="around" w:vAnchor="text" w:hAnchor="margin" w:xAlign="center" w:y="1"/>
      <w:rPr>
        <w:rStyle w:val="100"/>
      </w:rPr>
    </w:pPr>
    <w:r>
      <w:fldChar w:fldCharType="begin"/>
    </w:r>
    <w:r>
      <w:rPr>
        <w:rStyle w:val="100"/>
      </w:rPr>
      <w:instrText xml:space="preserve">PAGE  </w:instrText>
    </w:r>
    <w:r>
      <w:fldChar w:fldCharType="end"/>
    </w:r>
  </w:p>
  <w:p>
    <w:pPr>
      <w:pStyle w:val="61"/>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1"/>
      <w:ind w:right="360"/>
      <w:jc w:val="both"/>
    </w:pPr>
    <w:r>
      <mc:AlternateContent>
        <mc:Choice Requires="wps">
          <w:drawing>
            <wp:anchor distT="0" distB="0" distL="114300" distR="114300" simplePos="0" relativeHeight="251661312" behindDoc="0" locked="0" layoutInCell="1" allowOverlap="1">
              <wp:simplePos x="0" y="0"/>
              <wp:positionH relativeFrom="margin">
                <wp:posOffset>2836545</wp:posOffset>
              </wp:positionH>
              <wp:positionV relativeFrom="paragraph">
                <wp:posOffset>-220345</wp:posOffset>
              </wp:positionV>
              <wp:extent cx="1828800" cy="1828800"/>
              <wp:effectExtent l="0" t="0" r="0" b="0"/>
              <wp:wrapNone/>
              <wp:docPr id="161" name="文本框 16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1"/>
                            <w:jc w:val="both"/>
                            <w:rPr>
                              <w:rStyle w:val="100"/>
                              <w:rFonts w:ascii="宋体" w:hAnsi="宋体"/>
                              <w:sz w:val="28"/>
                              <w:szCs w:val="28"/>
                            </w:rPr>
                          </w:pPr>
                          <w:r>
                            <w:rPr>
                              <w:rStyle w:val="100"/>
                              <w:rFonts w:hint="eastAsia" w:ascii="宋体" w:hAnsi="宋体"/>
                              <w:sz w:val="28"/>
                              <w:szCs w:val="28"/>
                            </w:rPr>
                            <w:t>—</w:t>
                          </w:r>
                          <w:r>
                            <w:rPr>
                              <w:rStyle w:val="100"/>
                              <w:rFonts w:hint="eastAsia" w:ascii="宋体" w:hAnsi="宋体"/>
                              <w:sz w:val="20"/>
                            </w:rPr>
                            <w:t xml:space="preserve">  </w:t>
                          </w:r>
                          <w:r>
                            <w:rPr>
                              <w:rStyle w:val="100"/>
                              <w:rFonts w:ascii="宋体" w:hAnsi="宋体"/>
                              <w:sz w:val="26"/>
                              <w:szCs w:val="26"/>
                            </w:rPr>
                            <w:fldChar w:fldCharType="begin"/>
                          </w:r>
                          <w:r>
                            <w:rPr>
                              <w:rStyle w:val="100"/>
                              <w:rFonts w:ascii="宋体" w:hAnsi="宋体"/>
                              <w:sz w:val="26"/>
                              <w:szCs w:val="26"/>
                            </w:rPr>
                            <w:instrText xml:space="preserve">PAGE  </w:instrText>
                          </w:r>
                          <w:r>
                            <w:rPr>
                              <w:rStyle w:val="100"/>
                              <w:rFonts w:ascii="宋体" w:hAnsi="宋体"/>
                              <w:sz w:val="26"/>
                              <w:szCs w:val="26"/>
                            </w:rPr>
                            <w:fldChar w:fldCharType="separate"/>
                          </w:r>
                          <w:r>
                            <w:rPr>
                              <w:rStyle w:val="100"/>
                              <w:rFonts w:ascii="宋体" w:hAnsi="宋体"/>
                              <w:sz w:val="26"/>
                              <w:szCs w:val="26"/>
                            </w:rPr>
                            <w:t>71</w:t>
                          </w:r>
                          <w:r>
                            <w:rPr>
                              <w:rStyle w:val="100"/>
                              <w:rFonts w:ascii="宋体" w:hAnsi="宋体"/>
                              <w:sz w:val="26"/>
                              <w:szCs w:val="26"/>
                            </w:rPr>
                            <w:fldChar w:fldCharType="end"/>
                          </w:r>
                          <w:r>
                            <w:rPr>
                              <w:rStyle w:val="100"/>
                              <w:rFonts w:hint="eastAsia" w:ascii="宋体" w:hAnsi="宋体"/>
                              <w:sz w:val="20"/>
                            </w:rPr>
                            <w:t xml:space="preserve">  </w:t>
                          </w:r>
                          <w:r>
                            <w:rPr>
                              <w:rStyle w:val="100"/>
                              <w:rFonts w:hint="eastAsia" w:ascii="宋体" w:hAnsi="宋体"/>
                              <w:sz w:val="28"/>
                              <w:szCs w:val="28"/>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left:223.35pt;margin-top:-17.35pt;height:144pt;width:144pt;mso-position-horizontal-relative:margin;mso-wrap-style:none;z-index:251661312;mso-width-relative:page;mso-height-relative:page;" filled="f" stroked="f" coordsize="21600,21600" o:gfxdata="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5oUf9cAAAALAQAADwAAAAAAAAABACAAAAAiAAAAZHJzL2Rvd25yZXYueG1sUEsBAhQA&#10;FAAAAAgAh07iQN92HJ8sAgAAWQQAAA4AAAAAAAAAAQAgAAAAJgEAAGRycy9lMm9Eb2MueG1sUEsF&#10;BgAAAAAGAAYAWQEAAMQFAAAAAA==&#10;">
              <v:fill on="f" focussize="0,0"/>
              <v:stroke on="f" weight="0.5pt"/>
              <v:imagedata o:title=""/>
              <o:lock v:ext="edit" aspectratio="f"/>
              <v:textbox inset="0mm,0mm,0mm,0mm" style="mso-fit-shape-to-text:t;">
                <w:txbxContent>
                  <w:p>
                    <w:pPr>
                      <w:pStyle w:val="61"/>
                      <w:jc w:val="both"/>
                      <w:rPr>
                        <w:rStyle w:val="100"/>
                        <w:rFonts w:ascii="宋体" w:hAnsi="宋体"/>
                        <w:sz w:val="28"/>
                        <w:szCs w:val="28"/>
                      </w:rPr>
                    </w:pPr>
                    <w:r>
                      <w:rPr>
                        <w:rStyle w:val="100"/>
                        <w:rFonts w:hint="eastAsia" w:ascii="宋体" w:hAnsi="宋体"/>
                        <w:sz w:val="28"/>
                        <w:szCs w:val="28"/>
                      </w:rPr>
                      <w:t>—</w:t>
                    </w:r>
                    <w:r>
                      <w:rPr>
                        <w:rStyle w:val="100"/>
                        <w:rFonts w:hint="eastAsia" w:ascii="宋体" w:hAnsi="宋体"/>
                        <w:sz w:val="20"/>
                      </w:rPr>
                      <w:t xml:space="preserve">  </w:t>
                    </w:r>
                    <w:r>
                      <w:rPr>
                        <w:rStyle w:val="100"/>
                        <w:rFonts w:ascii="宋体" w:hAnsi="宋体"/>
                        <w:sz w:val="26"/>
                        <w:szCs w:val="26"/>
                      </w:rPr>
                      <w:fldChar w:fldCharType="begin"/>
                    </w:r>
                    <w:r>
                      <w:rPr>
                        <w:rStyle w:val="100"/>
                        <w:rFonts w:ascii="宋体" w:hAnsi="宋体"/>
                        <w:sz w:val="26"/>
                        <w:szCs w:val="26"/>
                      </w:rPr>
                      <w:instrText xml:space="preserve">PAGE  </w:instrText>
                    </w:r>
                    <w:r>
                      <w:rPr>
                        <w:rStyle w:val="100"/>
                        <w:rFonts w:ascii="宋体" w:hAnsi="宋体"/>
                        <w:sz w:val="26"/>
                        <w:szCs w:val="26"/>
                      </w:rPr>
                      <w:fldChar w:fldCharType="separate"/>
                    </w:r>
                    <w:r>
                      <w:rPr>
                        <w:rStyle w:val="100"/>
                        <w:rFonts w:ascii="宋体" w:hAnsi="宋体"/>
                        <w:sz w:val="26"/>
                        <w:szCs w:val="26"/>
                      </w:rPr>
                      <w:t>71</w:t>
                    </w:r>
                    <w:r>
                      <w:rPr>
                        <w:rStyle w:val="100"/>
                        <w:rFonts w:ascii="宋体" w:hAnsi="宋体"/>
                        <w:sz w:val="26"/>
                        <w:szCs w:val="26"/>
                      </w:rPr>
                      <w:fldChar w:fldCharType="end"/>
                    </w:r>
                    <w:r>
                      <w:rPr>
                        <w:rStyle w:val="100"/>
                        <w:rFonts w:hint="eastAsia" w:ascii="宋体" w:hAnsi="宋体"/>
                        <w:sz w:val="20"/>
                      </w:rPr>
                      <w:t xml:space="preserve">  </w:t>
                    </w:r>
                    <w:r>
                      <w:rPr>
                        <w:rStyle w:val="100"/>
                        <w:rFonts w:hint="eastAsia" w:ascii="宋体" w:hAnsi="宋体"/>
                        <w:sz w:val="28"/>
                        <w:szCs w:val="28"/>
                      </w:rPr>
                      <w:t>—</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1"/>
      <w:ind w:right="360" w:firstLine="360"/>
      <w:jc w:val="center"/>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64" name="文本框 16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1"/>
                            <w:rPr>
                              <w:rStyle w:val="100"/>
                              <w:rFonts w:ascii="宋体" w:hAnsi="宋体"/>
                              <w:sz w:val="28"/>
                              <w:szCs w:val="28"/>
                            </w:rPr>
                          </w:pPr>
                          <w:r>
                            <w:rPr>
                              <w:rStyle w:val="100"/>
                              <w:rFonts w:hint="eastAsia" w:ascii="宋体" w:hAnsi="宋体"/>
                              <w:sz w:val="28"/>
                              <w:szCs w:val="28"/>
                            </w:rPr>
                            <w:t>—</w:t>
                          </w:r>
                          <w:r>
                            <w:rPr>
                              <w:rStyle w:val="100"/>
                              <w:rFonts w:hint="eastAsia" w:ascii="宋体" w:hAnsi="宋体"/>
                              <w:sz w:val="20"/>
                            </w:rPr>
                            <w:t xml:space="preserve">  </w:t>
                          </w:r>
                          <w:r>
                            <w:rPr>
                              <w:rStyle w:val="100"/>
                              <w:rFonts w:ascii="宋体" w:hAnsi="宋体"/>
                              <w:sz w:val="26"/>
                              <w:szCs w:val="26"/>
                            </w:rPr>
                            <w:fldChar w:fldCharType="begin"/>
                          </w:r>
                          <w:r>
                            <w:rPr>
                              <w:rStyle w:val="100"/>
                              <w:rFonts w:ascii="宋体" w:hAnsi="宋体"/>
                              <w:sz w:val="26"/>
                              <w:szCs w:val="26"/>
                            </w:rPr>
                            <w:instrText xml:space="preserve">PAGE  </w:instrText>
                          </w:r>
                          <w:r>
                            <w:rPr>
                              <w:rStyle w:val="100"/>
                              <w:rFonts w:ascii="宋体" w:hAnsi="宋体"/>
                              <w:sz w:val="26"/>
                              <w:szCs w:val="26"/>
                            </w:rPr>
                            <w:fldChar w:fldCharType="separate"/>
                          </w:r>
                          <w:r>
                            <w:rPr>
                              <w:rStyle w:val="100"/>
                              <w:rFonts w:ascii="宋体" w:hAnsi="宋体"/>
                              <w:sz w:val="26"/>
                              <w:szCs w:val="26"/>
                            </w:rPr>
                            <w:t>96</w:t>
                          </w:r>
                          <w:r>
                            <w:rPr>
                              <w:rStyle w:val="100"/>
                              <w:rFonts w:ascii="宋体" w:hAnsi="宋体"/>
                              <w:sz w:val="26"/>
                              <w:szCs w:val="26"/>
                            </w:rPr>
                            <w:fldChar w:fldCharType="end"/>
                          </w:r>
                          <w:r>
                            <w:rPr>
                              <w:rStyle w:val="100"/>
                              <w:rFonts w:hint="eastAsia" w:ascii="宋体" w:hAnsi="宋体"/>
                              <w:sz w:val="20"/>
                            </w:rPr>
                            <w:t xml:space="preserve">  </w:t>
                          </w:r>
                          <w:r>
                            <w:rPr>
                              <w:rStyle w:val="100"/>
                              <w:rFonts w:hint="eastAsia" w:ascii="宋体" w:hAnsi="宋体"/>
                              <w:sz w:val="28"/>
                              <w:szCs w:val="28"/>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MhQ8G0tAgAAWQQAAA4AAAAAAAAAAQAgAAAAHwEAAGRycy9lMm9Eb2MueG1sUEsFBgAAAAAG&#10;AAYAWQEAAL4FAAAAAA==&#10;">
              <v:fill on="f" focussize="0,0"/>
              <v:stroke on="f" weight="0.5pt"/>
              <v:imagedata o:title=""/>
              <o:lock v:ext="edit" aspectratio="f"/>
              <v:textbox inset="0mm,0mm,0mm,0mm" style="mso-fit-shape-to-text:t;">
                <w:txbxContent>
                  <w:p>
                    <w:pPr>
                      <w:pStyle w:val="61"/>
                      <w:rPr>
                        <w:rStyle w:val="100"/>
                        <w:rFonts w:ascii="宋体" w:hAnsi="宋体"/>
                        <w:sz w:val="28"/>
                        <w:szCs w:val="28"/>
                      </w:rPr>
                    </w:pPr>
                    <w:r>
                      <w:rPr>
                        <w:rStyle w:val="100"/>
                        <w:rFonts w:hint="eastAsia" w:ascii="宋体" w:hAnsi="宋体"/>
                        <w:sz w:val="28"/>
                        <w:szCs w:val="28"/>
                      </w:rPr>
                      <w:t>—</w:t>
                    </w:r>
                    <w:r>
                      <w:rPr>
                        <w:rStyle w:val="100"/>
                        <w:rFonts w:hint="eastAsia" w:ascii="宋体" w:hAnsi="宋体"/>
                        <w:sz w:val="20"/>
                      </w:rPr>
                      <w:t xml:space="preserve">  </w:t>
                    </w:r>
                    <w:r>
                      <w:rPr>
                        <w:rStyle w:val="100"/>
                        <w:rFonts w:ascii="宋体" w:hAnsi="宋体"/>
                        <w:sz w:val="26"/>
                        <w:szCs w:val="26"/>
                      </w:rPr>
                      <w:fldChar w:fldCharType="begin"/>
                    </w:r>
                    <w:r>
                      <w:rPr>
                        <w:rStyle w:val="100"/>
                        <w:rFonts w:ascii="宋体" w:hAnsi="宋体"/>
                        <w:sz w:val="26"/>
                        <w:szCs w:val="26"/>
                      </w:rPr>
                      <w:instrText xml:space="preserve">PAGE  </w:instrText>
                    </w:r>
                    <w:r>
                      <w:rPr>
                        <w:rStyle w:val="100"/>
                        <w:rFonts w:ascii="宋体" w:hAnsi="宋体"/>
                        <w:sz w:val="26"/>
                        <w:szCs w:val="26"/>
                      </w:rPr>
                      <w:fldChar w:fldCharType="separate"/>
                    </w:r>
                    <w:r>
                      <w:rPr>
                        <w:rStyle w:val="100"/>
                        <w:rFonts w:ascii="宋体" w:hAnsi="宋体"/>
                        <w:sz w:val="26"/>
                        <w:szCs w:val="26"/>
                      </w:rPr>
                      <w:t>96</w:t>
                    </w:r>
                    <w:r>
                      <w:rPr>
                        <w:rStyle w:val="100"/>
                        <w:rFonts w:ascii="宋体" w:hAnsi="宋体"/>
                        <w:sz w:val="26"/>
                        <w:szCs w:val="26"/>
                      </w:rPr>
                      <w:fldChar w:fldCharType="end"/>
                    </w:r>
                    <w:r>
                      <w:rPr>
                        <w:rStyle w:val="100"/>
                        <w:rFonts w:hint="eastAsia" w:ascii="宋体" w:hAnsi="宋体"/>
                        <w:sz w:val="20"/>
                      </w:rPr>
                      <w:t xml:space="preserve">  </w:t>
                    </w:r>
                    <w:r>
                      <w:rPr>
                        <w:rStyle w:val="100"/>
                        <w:rFonts w:hint="eastAsia" w:ascii="宋体" w:hAnsi="宋体"/>
                        <w:sz w:val="28"/>
                        <w:szCs w:val="28"/>
                      </w:rPr>
                      <w:t>—</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3"/>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652DAF7"/>
    <w:multiLevelType w:val="singleLevel"/>
    <w:tmpl w:val="9652DAF7"/>
    <w:lvl w:ilvl="0" w:tentative="0">
      <w:start w:val="4"/>
      <w:numFmt w:val="decimal"/>
      <w:suff w:val="nothing"/>
      <w:lvlText w:val="%1、"/>
      <w:lvlJc w:val="left"/>
    </w:lvl>
  </w:abstractNum>
  <w:abstractNum w:abstractNumId="1">
    <w:nsid w:val="99939EAB"/>
    <w:multiLevelType w:val="singleLevel"/>
    <w:tmpl w:val="99939EAB"/>
    <w:lvl w:ilvl="0" w:tentative="0">
      <w:start w:val="1"/>
      <w:numFmt w:val="decimal"/>
      <w:suff w:val="nothing"/>
      <w:lvlText w:val="（%1）"/>
      <w:lvlJc w:val="left"/>
    </w:lvl>
  </w:abstractNum>
  <w:abstractNum w:abstractNumId="2">
    <w:nsid w:val="BFD3EC27"/>
    <w:multiLevelType w:val="singleLevel"/>
    <w:tmpl w:val="BFD3EC27"/>
    <w:lvl w:ilvl="0" w:tentative="0">
      <w:start w:val="2"/>
      <w:numFmt w:val="decimal"/>
      <w:suff w:val="nothing"/>
      <w:lvlText w:val="（%1）"/>
      <w:lvlJc w:val="left"/>
    </w:lvl>
  </w:abstractNum>
  <w:abstractNum w:abstractNumId="3">
    <w:nsid w:val="C4A46792"/>
    <w:multiLevelType w:val="multilevel"/>
    <w:tmpl w:val="C4A46792"/>
    <w:lvl w:ilvl="0" w:tentative="0">
      <w:start w:val="1"/>
      <w:numFmt w:val="decimalEnclosedCircle"/>
      <w:pStyle w:val="17"/>
      <w:lvlText w:val="%1"/>
      <w:lvlJc w:val="left"/>
      <w:pPr>
        <w:tabs>
          <w:tab w:val="left" w:pos="0"/>
        </w:tabs>
        <w:ind w:left="360" w:hanging="360"/>
      </w:pPr>
    </w:lvl>
    <w:lvl w:ilvl="1" w:tentative="0">
      <w:start w:val="1"/>
      <w:numFmt w:val="lowerLetter"/>
      <w:lvlText w:val="%2)"/>
      <w:lvlJc w:val="left"/>
      <w:pPr>
        <w:tabs>
          <w:tab w:val="left" w:pos="0"/>
        </w:tabs>
        <w:ind w:left="840" w:hanging="420"/>
      </w:pPr>
    </w:lvl>
    <w:lvl w:ilvl="2" w:tentative="0">
      <w:start w:val="1"/>
      <w:numFmt w:val="lowerRoman"/>
      <w:lvlText w:val="%3."/>
      <w:lvlJc w:val="right"/>
      <w:pPr>
        <w:tabs>
          <w:tab w:val="left" w:pos="0"/>
        </w:tabs>
        <w:ind w:left="1260" w:hanging="420"/>
      </w:pPr>
    </w:lvl>
    <w:lvl w:ilvl="3" w:tentative="0">
      <w:start w:val="1"/>
      <w:numFmt w:val="decimal"/>
      <w:lvlText w:val="%4."/>
      <w:lvlJc w:val="left"/>
      <w:pPr>
        <w:tabs>
          <w:tab w:val="left" w:pos="0"/>
        </w:tabs>
        <w:ind w:left="1680" w:hanging="420"/>
      </w:pPr>
    </w:lvl>
    <w:lvl w:ilvl="4" w:tentative="0">
      <w:start w:val="1"/>
      <w:numFmt w:val="lowerLetter"/>
      <w:lvlText w:val="%5)"/>
      <w:lvlJc w:val="left"/>
      <w:pPr>
        <w:tabs>
          <w:tab w:val="left" w:pos="0"/>
        </w:tabs>
        <w:ind w:left="2100" w:hanging="420"/>
      </w:pPr>
    </w:lvl>
    <w:lvl w:ilvl="5" w:tentative="0">
      <w:start w:val="1"/>
      <w:numFmt w:val="lowerRoman"/>
      <w:lvlText w:val="%6."/>
      <w:lvlJc w:val="right"/>
      <w:pPr>
        <w:tabs>
          <w:tab w:val="left" w:pos="0"/>
        </w:tabs>
        <w:ind w:left="2520" w:hanging="420"/>
      </w:pPr>
    </w:lvl>
    <w:lvl w:ilvl="6" w:tentative="0">
      <w:start w:val="1"/>
      <w:numFmt w:val="decimal"/>
      <w:lvlText w:val="%7."/>
      <w:lvlJc w:val="left"/>
      <w:pPr>
        <w:tabs>
          <w:tab w:val="left" w:pos="0"/>
        </w:tabs>
        <w:ind w:left="2940" w:hanging="420"/>
      </w:pPr>
    </w:lvl>
    <w:lvl w:ilvl="7" w:tentative="0">
      <w:start w:val="1"/>
      <w:numFmt w:val="lowerLetter"/>
      <w:lvlText w:val="%8)"/>
      <w:lvlJc w:val="left"/>
      <w:pPr>
        <w:tabs>
          <w:tab w:val="left" w:pos="0"/>
        </w:tabs>
        <w:ind w:left="3360" w:hanging="420"/>
      </w:pPr>
    </w:lvl>
    <w:lvl w:ilvl="8" w:tentative="0">
      <w:start w:val="1"/>
      <w:numFmt w:val="lowerRoman"/>
      <w:lvlText w:val="%9."/>
      <w:lvlJc w:val="right"/>
      <w:pPr>
        <w:tabs>
          <w:tab w:val="left" w:pos="0"/>
        </w:tabs>
        <w:ind w:left="3780" w:hanging="420"/>
      </w:pPr>
    </w:lvl>
  </w:abstractNum>
  <w:abstractNum w:abstractNumId="4">
    <w:nsid w:val="D1F32719"/>
    <w:multiLevelType w:val="singleLevel"/>
    <w:tmpl w:val="D1F32719"/>
    <w:lvl w:ilvl="0" w:tentative="0">
      <w:start w:val="1"/>
      <w:numFmt w:val="chineseCounting"/>
      <w:pStyle w:val="53"/>
      <w:suff w:val="nothing"/>
      <w:lvlText w:val="%1、"/>
      <w:lvlJc w:val="left"/>
      <w:rPr>
        <w:rFonts w:hint="eastAsia"/>
      </w:rPr>
    </w:lvl>
  </w:abstractNum>
  <w:abstractNum w:abstractNumId="5">
    <w:nsid w:val="F6563E80"/>
    <w:multiLevelType w:val="singleLevel"/>
    <w:tmpl w:val="F6563E80"/>
    <w:lvl w:ilvl="0" w:tentative="0">
      <w:start w:val="1"/>
      <w:numFmt w:val="decimal"/>
      <w:pStyle w:val="35"/>
      <w:lvlText w:val="%1."/>
      <w:lvlJc w:val="left"/>
      <w:pPr>
        <w:ind w:left="425" w:hanging="425"/>
      </w:pPr>
      <w:rPr>
        <w:rFonts w:hint="default"/>
      </w:rPr>
    </w:lvl>
  </w:abstractNum>
  <w:abstractNum w:abstractNumId="6">
    <w:nsid w:val="FC68EFE0"/>
    <w:multiLevelType w:val="singleLevel"/>
    <w:tmpl w:val="FC68EFE0"/>
    <w:lvl w:ilvl="0" w:tentative="0">
      <w:start w:val="5"/>
      <w:numFmt w:val="decimal"/>
      <w:suff w:val="nothing"/>
      <w:lvlText w:val="（%1）"/>
      <w:lvlJc w:val="left"/>
    </w:lvl>
  </w:abstractNum>
  <w:abstractNum w:abstractNumId="7">
    <w:nsid w:val="1526348D"/>
    <w:multiLevelType w:val="singleLevel"/>
    <w:tmpl w:val="1526348D"/>
    <w:lvl w:ilvl="0" w:tentative="0">
      <w:start w:val="1"/>
      <w:numFmt w:val="decimal"/>
      <w:pStyle w:val="26"/>
      <w:suff w:val="nothing"/>
      <w:lvlText w:val="%1、"/>
      <w:lvlJc w:val="left"/>
    </w:lvl>
  </w:abstractNum>
  <w:abstractNum w:abstractNumId="8">
    <w:nsid w:val="1C7A3C1F"/>
    <w:multiLevelType w:val="multilevel"/>
    <w:tmpl w:val="1C7A3C1F"/>
    <w:lvl w:ilvl="0" w:tentative="0">
      <w:start w:val="1"/>
      <w:numFmt w:val="decimal"/>
      <w:pStyle w:val="38"/>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28A32486"/>
    <w:multiLevelType w:val="multilevel"/>
    <w:tmpl w:val="28A32486"/>
    <w:lvl w:ilvl="0" w:tentative="0">
      <w:start w:val="1"/>
      <w:numFmt w:val="decimal"/>
      <w:pStyle w:val="42"/>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
    <w:nsid w:val="398201A0"/>
    <w:multiLevelType w:val="multilevel"/>
    <w:tmpl w:val="398201A0"/>
    <w:lvl w:ilvl="0" w:tentative="0">
      <w:start w:val="2"/>
      <w:numFmt w:val="decimal"/>
      <w:pStyle w:val="14"/>
      <w:suff w:val="nothing"/>
      <w:lvlText w:val="%1、"/>
      <w:lvlJc w:val="left"/>
      <w:pPr>
        <w:tabs>
          <w:tab w:val="left" w:pos="0"/>
        </w:tabs>
        <w:ind w:left="0" w:firstLine="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1">
    <w:nsid w:val="52305015"/>
    <w:multiLevelType w:val="multilevel"/>
    <w:tmpl w:val="52305015"/>
    <w:lvl w:ilvl="0" w:tentative="0">
      <w:start w:val="2"/>
      <w:numFmt w:val="chineseCounting"/>
      <w:pStyle w:val="52"/>
      <w:suff w:val="nothing"/>
      <w:lvlText w:val="%1、"/>
      <w:lvlJc w:val="left"/>
      <w:pPr>
        <w:tabs>
          <w:tab w:val="left" w:pos="0"/>
        </w:tabs>
        <w:ind w:left="0" w:firstLine="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2">
    <w:nsid w:val="57C2759B"/>
    <w:multiLevelType w:val="multilevel"/>
    <w:tmpl w:val="57C2759B"/>
    <w:lvl w:ilvl="0" w:tentative="0">
      <w:start w:val="1"/>
      <w:numFmt w:val="decimal"/>
      <w:pStyle w:val="925"/>
      <w:lvlText w:val="表%1"/>
      <w:lvlJc w:val="left"/>
      <w:pPr>
        <w:ind w:left="2264" w:hanging="420"/>
      </w:pPr>
      <w:rPr>
        <w:rFonts w:ascii="Times New Roman" w:hAnsi="Times New Roman" w:eastAsia="Times New Roman"/>
        <w:b/>
        <w:bCs/>
        <w:i w:val="0"/>
        <w:iCs w:val="0"/>
        <w:caps w:val="0"/>
        <w:smallCaps w:val="0"/>
        <w:strike w:val="0"/>
        <w:dstrike w:val="0"/>
        <w:outline w:val="0"/>
        <w:shadow w:val="0"/>
        <w:emboss w:val="0"/>
        <w:imprint w:val="0"/>
        <w:color w:val="000000"/>
        <w:spacing w:val="0"/>
        <w:w w:val="100"/>
        <w:kern w:val="2"/>
        <w:position w:val="0"/>
        <w:sz w:val="21"/>
        <w:u w:val="none"/>
        <w:shd w:val="clear" w:color="auto" w:fill="auto"/>
        <w:vertAlign w:val="baseline"/>
        <w:lang w:val="en-U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3">
    <w:nsid w:val="58612A30"/>
    <w:multiLevelType w:val="singleLevel"/>
    <w:tmpl w:val="58612A30"/>
    <w:lvl w:ilvl="0" w:tentative="0">
      <w:start w:val="1"/>
      <w:numFmt w:val="decimal"/>
      <w:pStyle w:val="70"/>
      <w:suff w:val="nothing"/>
      <w:lvlText w:val="%1、"/>
      <w:lvlJc w:val="left"/>
    </w:lvl>
  </w:abstractNum>
  <w:abstractNum w:abstractNumId="14">
    <w:nsid w:val="6C92710D"/>
    <w:multiLevelType w:val="multilevel"/>
    <w:tmpl w:val="6C92710D"/>
    <w:lvl w:ilvl="0" w:tentative="0">
      <w:start w:val="1"/>
      <w:numFmt w:val="japaneseCounting"/>
      <w:pStyle w:val="22"/>
      <w:lvlText w:val="%1、"/>
      <w:lvlJc w:val="left"/>
      <w:pPr>
        <w:ind w:left="992" w:hanging="510"/>
      </w:pPr>
      <w:rPr>
        <w:rFonts w:hint="default"/>
      </w:rPr>
    </w:lvl>
    <w:lvl w:ilvl="1" w:tentative="0">
      <w:start w:val="1"/>
      <w:numFmt w:val="lowerLetter"/>
      <w:lvlText w:val="%2)"/>
      <w:lvlJc w:val="left"/>
      <w:pPr>
        <w:ind w:left="1322" w:hanging="420"/>
      </w:pPr>
    </w:lvl>
    <w:lvl w:ilvl="2" w:tentative="0">
      <w:start w:val="1"/>
      <w:numFmt w:val="lowerRoman"/>
      <w:lvlText w:val="%3."/>
      <w:lvlJc w:val="right"/>
      <w:pPr>
        <w:ind w:left="1742" w:hanging="420"/>
      </w:pPr>
    </w:lvl>
    <w:lvl w:ilvl="3" w:tentative="0">
      <w:start w:val="1"/>
      <w:numFmt w:val="decimal"/>
      <w:lvlText w:val="%4."/>
      <w:lvlJc w:val="left"/>
      <w:pPr>
        <w:ind w:left="2162" w:hanging="420"/>
      </w:pPr>
    </w:lvl>
    <w:lvl w:ilvl="4" w:tentative="0">
      <w:start w:val="1"/>
      <w:numFmt w:val="lowerLetter"/>
      <w:lvlText w:val="%5)"/>
      <w:lvlJc w:val="left"/>
      <w:pPr>
        <w:ind w:left="2582" w:hanging="420"/>
      </w:pPr>
    </w:lvl>
    <w:lvl w:ilvl="5" w:tentative="0">
      <w:start w:val="1"/>
      <w:numFmt w:val="lowerRoman"/>
      <w:lvlText w:val="%6."/>
      <w:lvlJc w:val="right"/>
      <w:pPr>
        <w:ind w:left="3002" w:hanging="420"/>
      </w:pPr>
    </w:lvl>
    <w:lvl w:ilvl="6" w:tentative="0">
      <w:start w:val="1"/>
      <w:numFmt w:val="decimal"/>
      <w:lvlText w:val="%7."/>
      <w:lvlJc w:val="left"/>
      <w:pPr>
        <w:ind w:left="3422" w:hanging="420"/>
      </w:pPr>
    </w:lvl>
    <w:lvl w:ilvl="7" w:tentative="0">
      <w:start w:val="1"/>
      <w:numFmt w:val="lowerLetter"/>
      <w:lvlText w:val="%8)"/>
      <w:lvlJc w:val="left"/>
      <w:pPr>
        <w:ind w:left="3842" w:hanging="420"/>
      </w:pPr>
    </w:lvl>
    <w:lvl w:ilvl="8" w:tentative="0">
      <w:start w:val="1"/>
      <w:numFmt w:val="lowerRoman"/>
      <w:lvlText w:val="%9."/>
      <w:lvlJc w:val="right"/>
      <w:pPr>
        <w:ind w:left="4262" w:hanging="420"/>
      </w:pPr>
    </w:lvl>
  </w:abstractNum>
  <w:num w:numId="1">
    <w:abstractNumId w:val="10"/>
  </w:num>
  <w:num w:numId="2">
    <w:abstractNumId w:val="3"/>
  </w:num>
  <w:num w:numId="3">
    <w:abstractNumId w:val="14"/>
  </w:num>
  <w:num w:numId="4">
    <w:abstractNumId w:val="7"/>
  </w:num>
  <w:num w:numId="5">
    <w:abstractNumId w:val="5"/>
  </w:num>
  <w:num w:numId="6">
    <w:abstractNumId w:val="8"/>
  </w:num>
  <w:num w:numId="7">
    <w:abstractNumId w:val="9"/>
  </w:num>
  <w:num w:numId="8">
    <w:abstractNumId w:val="11"/>
  </w:num>
  <w:num w:numId="9">
    <w:abstractNumId w:val="4"/>
  </w:num>
  <w:num w:numId="10">
    <w:abstractNumId w:val="13"/>
  </w:num>
  <w:num w:numId="11">
    <w:abstractNumId w:val="12"/>
  </w:num>
  <w:num w:numId="12">
    <w:abstractNumId w:val="0"/>
  </w:num>
  <w:num w:numId="13">
    <w:abstractNumId w:val="2"/>
  </w:num>
  <w:num w:numId="14">
    <w:abstractNumId w:val="1"/>
  </w:num>
  <w:num w:numId="1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hideSpellingErrors/>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2M4ZDM4ZTUyNjEzYTQ4ZDgyMTBkNmQ1MjkzYzA5YTAifQ=="/>
  </w:docVars>
  <w:rsids>
    <w:rsidRoot w:val="00F452AD"/>
    <w:rsid w:val="00000022"/>
    <w:rsid w:val="000071DC"/>
    <w:rsid w:val="000123E3"/>
    <w:rsid w:val="000138A7"/>
    <w:rsid w:val="0001632F"/>
    <w:rsid w:val="00017788"/>
    <w:rsid w:val="000274A3"/>
    <w:rsid w:val="00031CF9"/>
    <w:rsid w:val="000332E6"/>
    <w:rsid w:val="000338C1"/>
    <w:rsid w:val="00042169"/>
    <w:rsid w:val="000515D7"/>
    <w:rsid w:val="00052614"/>
    <w:rsid w:val="000536C6"/>
    <w:rsid w:val="00056CDC"/>
    <w:rsid w:val="00062349"/>
    <w:rsid w:val="000829BF"/>
    <w:rsid w:val="000846A8"/>
    <w:rsid w:val="00084847"/>
    <w:rsid w:val="00087450"/>
    <w:rsid w:val="000875B6"/>
    <w:rsid w:val="00093915"/>
    <w:rsid w:val="0009566E"/>
    <w:rsid w:val="00096901"/>
    <w:rsid w:val="000A1A88"/>
    <w:rsid w:val="000A2454"/>
    <w:rsid w:val="000A7C1D"/>
    <w:rsid w:val="000B1EEF"/>
    <w:rsid w:val="000B5B2F"/>
    <w:rsid w:val="000B7470"/>
    <w:rsid w:val="000C187E"/>
    <w:rsid w:val="000C3203"/>
    <w:rsid w:val="000C3781"/>
    <w:rsid w:val="000C5AED"/>
    <w:rsid w:val="000C7040"/>
    <w:rsid w:val="000D1065"/>
    <w:rsid w:val="000D3D87"/>
    <w:rsid w:val="000E0494"/>
    <w:rsid w:val="000E3891"/>
    <w:rsid w:val="000F094E"/>
    <w:rsid w:val="001012FD"/>
    <w:rsid w:val="00106EF6"/>
    <w:rsid w:val="001245BF"/>
    <w:rsid w:val="0013191F"/>
    <w:rsid w:val="0013572C"/>
    <w:rsid w:val="001469EE"/>
    <w:rsid w:val="001507AB"/>
    <w:rsid w:val="00152828"/>
    <w:rsid w:val="0015389B"/>
    <w:rsid w:val="00156E84"/>
    <w:rsid w:val="001727FF"/>
    <w:rsid w:val="00177BCB"/>
    <w:rsid w:val="00183EB0"/>
    <w:rsid w:val="001845D0"/>
    <w:rsid w:val="00190B9D"/>
    <w:rsid w:val="001921F8"/>
    <w:rsid w:val="001A0646"/>
    <w:rsid w:val="001A36CD"/>
    <w:rsid w:val="001A6BF0"/>
    <w:rsid w:val="001B01D7"/>
    <w:rsid w:val="001B1FE2"/>
    <w:rsid w:val="001B26C4"/>
    <w:rsid w:val="001B7057"/>
    <w:rsid w:val="001C4CD7"/>
    <w:rsid w:val="001C60E2"/>
    <w:rsid w:val="001D1302"/>
    <w:rsid w:val="001D2151"/>
    <w:rsid w:val="001D4BD1"/>
    <w:rsid w:val="001D72B5"/>
    <w:rsid w:val="001E5B1F"/>
    <w:rsid w:val="001E6FC5"/>
    <w:rsid w:val="001F3BBF"/>
    <w:rsid w:val="001F4F05"/>
    <w:rsid w:val="00203CD7"/>
    <w:rsid w:val="00206E9B"/>
    <w:rsid w:val="00210017"/>
    <w:rsid w:val="00216364"/>
    <w:rsid w:val="00216D6F"/>
    <w:rsid w:val="00224426"/>
    <w:rsid w:val="00226586"/>
    <w:rsid w:val="00234B54"/>
    <w:rsid w:val="002355B3"/>
    <w:rsid w:val="00237BCF"/>
    <w:rsid w:val="0024123D"/>
    <w:rsid w:val="00241D5F"/>
    <w:rsid w:val="002452D6"/>
    <w:rsid w:val="002453CB"/>
    <w:rsid w:val="00245574"/>
    <w:rsid w:val="00262B05"/>
    <w:rsid w:val="0026497C"/>
    <w:rsid w:val="00271C45"/>
    <w:rsid w:val="002770ED"/>
    <w:rsid w:val="00282E45"/>
    <w:rsid w:val="002847FB"/>
    <w:rsid w:val="00287034"/>
    <w:rsid w:val="002875A8"/>
    <w:rsid w:val="00287E7B"/>
    <w:rsid w:val="0029454C"/>
    <w:rsid w:val="002A1995"/>
    <w:rsid w:val="002A1EF8"/>
    <w:rsid w:val="002A3BF1"/>
    <w:rsid w:val="002A5208"/>
    <w:rsid w:val="002B2281"/>
    <w:rsid w:val="002B27FD"/>
    <w:rsid w:val="002D397E"/>
    <w:rsid w:val="002D3FBB"/>
    <w:rsid w:val="002D738E"/>
    <w:rsid w:val="002F2EB8"/>
    <w:rsid w:val="002F475D"/>
    <w:rsid w:val="0030306E"/>
    <w:rsid w:val="00303B7B"/>
    <w:rsid w:val="00310C55"/>
    <w:rsid w:val="00316420"/>
    <w:rsid w:val="003237A1"/>
    <w:rsid w:val="00326CA4"/>
    <w:rsid w:val="00327D35"/>
    <w:rsid w:val="0033655C"/>
    <w:rsid w:val="003431A9"/>
    <w:rsid w:val="003451BE"/>
    <w:rsid w:val="0034529A"/>
    <w:rsid w:val="00345ED6"/>
    <w:rsid w:val="0035276F"/>
    <w:rsid w:val="0036061A"/>
    <w:rsid w:val="0036104F"/>
    <w:rsid w:val="00374C60"/>
    <w:rsid w:val="00374DD6"/>
    <w:rsid w:val="0039224F"/>
    <w:rsid w:val="00394BDF"/>
    <w:rsid w:val="00395556"/>
    <w:rsid w:val="0039735A"/>
    <w:rsid w:val="003977F7"/>
    <w:rsid w:val="003A0698"/>
    <w:rsid w:val="003A49B3"/>
    <w:rsid w:val="003A73B9"/>
    <w:rsid w:val="003B478C"/>
    <w:rsid w:val="003B757F"/>
    <w:rsid w:val="003C28DE"/>
    <w:rsid w:val="003D3F59"/>
    <w:rsid w:val="003D6876"/>
    <w:rsid w:val="003D72C7"/>
    <w:rsid w:val="003E29AA"/>
    <w:rsid w:val="004042A1"/>
    <w:rsid w:val="00406D75"/>
    <w:rsid w:val="00414620"/>
    <w:rsid w:val="0042032D"/>
    <w:rsid w:val="004270AA"/>
    <w:rsid w:val="00432595"/>
    <w:rsid w:val="00432800"/>
    <w:rsid w:val="00437423"/>
    <w:rsid w:val="00440821"/>
    <w:rsid w:val="004440BC"/>
    <w:rsid w:val="00446E53"/>
    <w:rsid w:val="00456151"/>
    <w:rsid w:val="004827A5"/>
    <w:rsid w:val="00490D56"/>
    <w:rsid w:val="00492EE8"/>
    <w:rsid w:val="004944A1"/>
    <w:rsid w:val="00496887"/>
    <w:rsid w:val="004B5A4E"/>
    <w:rsid w:val="004D1B8E"/>
    <w:rsid w:val="004D5455"/>
    <w:rsid w:val="004D7756"/>
    <w:rsid w:val="004E3E70"/>
    <w:rsid w:val="004E455B"/>
    <w:rsid w:val="004E6E25"/>
    <w:rsid w:val="004F49EC"/>
    <w:rsid w:val="004F5668"/>
    <w:rsid w:val="00502CC8"/>
    <w:rsid w:val="0050412A"/>
    <w:rsid w:val="00510FD9"/>
    <w:rsid w:val="00512810"/>
    <w:rsid w:val="0051693A"/>
    <w:rsid w:val="00523DA2"/>
    <w:rsid w:val="005301AF"/>
    <w:rsid w:val="005305E7"/>
    <w:rsid w:val="005454FD"/>
    <w:rsid w:val="00545E83"/>
    <w:rsid w:val="005505C3"/>
    <w:rsid w:val="00552FD3"/>
    <w:rsid w:val="005546A9"/>
    <w:rsid w:val="005552BD"/>
    <w:rsid w:val="00556AAE"/>
    <w:rsid w:val="005638A1"/>
    <w:rsid w:val="005746C2"/>
    <w:rsid w:val="00583A38"/>
    <w:rsid w:val="00584C18"/>
    <w:rsid w:val="0058527C"/>
    <w:rsid w:val="005876D7"/>
    <w:rsid w:val="00592D17"/>
    <w:rsid w:val="005A0D8B"/>
    <w:rsid w:val="005A4D25"/>
    <w:rsid w:val="005B543B"/>
    <w:rsid w:val="005C63CD"/>
    <w:rsid w:val="005C65EF"/>
    <w:rsid w:val="005D02FF"/>
    <w:rsid w:val="005E127B"/>
    <w:rsid w:val="005F694D"/>
    <w:rsid w:val="006058A4"/>
    <w:rsid w:val="006072EA"/>
    <w:rsid w:val="00610748"/>
    <w:rsid w:val="0062395C"/>
    <w:rsid w:val="006240CA"/>
    <w:rsid w:val="00624B07"/>
    <w:rsid w:val="006269B6"/>
    <w:rsid w:val="0063143E"/>
    <w:rsid w:val="006342B9"/>
    <w:rsid w:val="00634305"/>
    <w:rsid w:val="006446D6"/>
    <w:rsid w:val="00650E53"/>
    <w:rsid w:val="00656DEE"/>
    <w:rsid w:val="00657BC1"/>
    <w:rsid w:val="006637A7"/>
    <w:rsid w:val="00672336"/>
    <w:rsid w:val="00675B96"/>
    <w:rsid w:val="00676C43"/>
    <w:rsid w:val="00682A02"/>
    <w:rsid w:val="006901D4"/>
    <w:rsid w:val="00690AF8"/>
    <w:rsid w:val="0069304D"/>
    <w:rsid w:val="00693D9B"/>
    <w:rsid w:val="006943BB"/>
    <w:rsid w:val="006B73EA"/>
    <w:rsid w:val="006C081E"/>
    <w:rsid w:val="006D0C5E"/>
    <w:rsid w:val="006D1EFA"/>
    <w:rsid w:val="006D5130"/>
    <w:rsid w:val="006E0085"/>
    <w:rsid w:val="006E320B"/>
    <w:rsid w:val="006E4B8F"/>
    <w:rsid w:val="006E5570"/>
    <w:rsid w:val="006E641B"/>
    <w:rsid w:val="006F03F5"/>
    <w:rsid w:val="006F3CCC"/>
    <w:rsid w:val="006F41E5"/>
    <w:rsid w:val="006F648B"/>
    <w:rsid w:val="00700110"/>
    <w:rsid w:val="00703BF2"/>
    <w:rsid w:val="007053F7"/>
    <w:rsid w:val="00710490"/>
    <w:rsid w:val="00711D56"/>
    <w:rsid w:val="00712038"/>
    <w:rsid w:val="00713508"/>
    <w:rsid w:val="00717742"/>
    <w:rsid w:val="00721FB9"/>
    <w:rsid w:val="0074066E"/>
    <w:rsid w:val="00740775"/>
    <w:rsid w:val="00747BAC"/>
    <w:rsid w:val="0075194C"/>
    <w:rsid w:val="007551A8"/>
    <w:rsid w:val="00755776"/>
    <w:rsid w:val="007574E4"/>
    <w:rsid w:val="007653CE"/>
    <w:rsid w:val="0076632F"/>
    <w:rsid w:val="00766FC5"/>
    <w:rsid w:val="00770497"/>
    <w:rsid w:val="0077331A"/>
    <w:rsid w:val="00783CA0"/>
    <w:rsid w:val="00784859"/>
    <w:rsid w:val="00786C03"/>
    <w:rsid w:val="007938D7"/>
    <w:rsid w:val="007A34DE"/>
    <w:rsid w:val="007B5C67"/>
    <w:rsid w:val="007B6A9B"/>
    <w:rsid w:val="007C0FDB"/>
    <w:rsid w:val="007C44B1"/>
    <w:rsid w:val="007D4D3E"/>
    <w:rsid w:val="007E1AA7"/>
    <w:rsid w:val="007F4542"/>
    <w:rsid w:val="007F4D85"/>
    <w:rsid w:val="007F7670"/>
    <w:rsid w:val="0080655B"/>
    <w:rsid w:val="0080744D"/>
    <w:rsid w:val="00814063"/>
    <w:rsid w:val="00816B48"/>
    <w:rsid w:val="00816FDF"/>
    <w:rsid w:val="00820202"/>
    <w:rsid w:val="008217FC"/>
    <w:rsid w:val="00822C55"/>
    <w:rsid w:val="00826658"/>
    <w:rsid w:val="00827669"/>
    <w:rsid w:val="008303AF"/>
    <w:rsid w:val="00830EC9"/>
    <w:rsid w:val="00833873"/>
    <w:rsid w:val="0084546C"/>
    <w:rsid w:val="008507AB"/>
    <w:rsid w:val="00851F32"/>
    <w:rsid w:val="008527AB"/>
    <w:rsid w:val="00853054"/>
    <w:rsid w:val="008559D6"/>
    <w:rsid w:val="008569FA"/>
    <w:rsid w:val="0086155A"/>
    <w:rsid w:val="00863B59"/>
    <w:rsid w:val="00864300"/>
    <w:rsid w:val="008653D1"/>
    <w:rsid w:val="008706E1"/>
    <w:rsid w:val="00872B4F"/>
    <w:rsid w:val="00873506"/>
    <w:rsid w:val="00886B30"/>
    <w:rsid w:val="00895175"/>
    <w:rsid w:val="008A3D3C"/>
    <w:rsid w:val="008A431A"/>
    <w:rsid w:val="008A56B5"/>
    <w:rsid w:val="008A7EC2"/>
    <w:rsid w:val="008B078F"/>
    <w:rsid w:val="008B101F"/>
    <w:rsid w:val="008B13CF"/>
    <w:rsid w:val="008B291F"/>
    <w:rsid w:val="008B3DFD"/>
    <w:rsid w:val="008B5B0F"/>
    <w:rsid w:val="008B7587"/>
    <w:rsid w:val="008C14A7"/>
    <w:rsid w:val="008C2D97"/>
    <w:rsid w:val="008D39B2"/>
    <w:rsid w:val="008D4F04"/>
    <w:rsid w:val="008D6592"/>
    <w:rsid w:val="008D6F10"/>
    <w:rsid w:val="008E100A"/>
    <w:rsid w:val="008E2D99"/>
    <w:rsid w:val="008E60B7"/>
    <w:rsid w:val="008E61C4"/>
    <w:rsid w:val="008E7E63"/>
    <w:rsid w:val="008F26C6"/>
    <w:rsid w:val="008F32D5"/>
    <w:rsid w:val="008F7058"/>
    <w:rsid w:val="009046A9"/>
    <w:rsid w:val="00912348"/>
    <w:rsid w:val="00912E43"/>
    <w:rsid w:val="00921F57"/>
    <w:rsid w:val="00923CC0"/>
    <w:rsid w:val="00930C69"/>
    <w:rsid w:val="009339F8"/>
    <w:rsid w:val="00943B65"/>
    <w:rsid w:val="00957249"/>
    <w:rsid w:val="00963FCC"/>
    <w:rsid w:val="009641AB"/>
    <w:rsid w:val="0096605A"/>
    <w:rsid w:val="009665F4"/>
    <w:rsid w:val="00970019"/>
    <w:rsid w:val="0097178C"/>
    <w:rsid w:val="009720E9"/>
    <w:rsid w:val="00976557"/>
    <w:rsid w:val="00987AE7"/>
    <w:rsid w:val="00996239"/>
    <w:rsid w:val="00996246"/>
    <w:rsid w:val="009A03AD"/>
    <w:rsid w:val="009B1013"/>
    <w:rsid w:val="009B65DA"/>
    <w:rsid w:val="009C3308"/>
    <w:rsid w:val="009C4ACA"/>
    <w:rsid w:val="009D4029"/>
    <w:rsid w:val="009F321A"/>
    <w:rsid w:val="009F3E9E"/>
    <w:rsid w:val="009F54E7"/>
    <w:rsid w:val="009F74B7"/>
    <w:rsid w:val="00A006A3"/>
    <w:rsid w:val="00A11914"/>
    <w:rsid w:val="00A16334"/>
    <w:rsid w:val="00A46AEE"/>
    <w:rsid w:val="00A501AA"/>
    <w:rsid w:val="00A5712C"/>
    <w:rsid w:val="00A6010F"/>
    <w:rsid w:val="00A60364"/>
    <w:rsid w:val="00A77D4C"/>
    <w:rsid w:val="00A80656"/>
    <w:rsid w:val="00A92890"/>
    <w:rsid w:val="00A97E04"/>
    <w:rsid w:val="00AA1643"/>
    <w:rsid w:val="00AB4F80"/>
    <w:rsid w:val="00AB5A56"/>
    <w:rsid w:val="00AC0C37"/>
    <w:rsid w:val="00AC42FE"/>
    <w:rsid w:val="00AC5670"/>
    <w:rsid w:val="00AD70F9"/>
    <w:rsid w:val="00AD7430"/>
    <w:rsid w:val="00AE7A08"/>
    <w:rsid w:val="00AF7173"/>
    <w:rsid w:val="00B00343"/>
    <w:rsid w:val="00B0174B"/>
    <w:rsid w:val="00B0291C"/>
    <w:rsid w:val="00B036B1"/>
    <w:rsid w:val="00B049E9"/>
    <w:rsid w:val="00B04EEF"/>
    <w:rsid w:val="00B06896"/>
    <w:rsid w:val="00B07FE6"/>
    <w:rsid w:val="00B220AC"/>
    <w:rsid w:val="00B32F23"/>
    <w:rsid w:val="00B413DF"/>
    <w:rsid w:val="00B41DF7"/>
    <w:rsid w:val="00B47EEB"/>
    <w:rsid w:val="00B631E4"/>
    <w:rsid w:val="00B806F7"/>
    <w:rsid w:val="00B80FAE"/>
    <w:rsid w:val="00B87737"/>
    <w:rsid w:val="00B93AEF"/>
    <w:rsid w:val="00B95807"/>
    <w:rsid w:val="00B96FC6"/>
    <w:rsid w:val="00BA20C6"/>
    <w:rsid w:val="00BA4ACD"/>
    <w:rsid w:val="00BB1E4E"/>
    <w:rsid w:val="00BB324B"/>
    <w:rsid w:val="00BB51FF"/>
    <w:rsid w:val="00BB5B32"/>
    <w:rsid w:val="00BC19BF"/>
    <w:rsid w:val="00BC3090"/>
    <w:rsid w:val="00BC36DE"/>
    <w:rsid w:val="00BC3EDD"/>
    <w:rsid w:val="00BC7547"/>
    <w:rsid w:val="00BC7E5E"/>
    <w:rsid w:val="00BD1AA9"/>
    <w:rsid w:val="00BD3EA5"/>
    <w:rsid w:val="00BD7A94"/>
    <w:rsid w:val="00BE1F94"/>
    <w:rsid w:val="00BE2A7E"/>
    <w:rsid w:val="00BE5281"/>
    <w:rsid w:val="00BF2778"/>
    <w:rsid w:val="00BF2A2C"/>
    <w:rsid w:val="00BF6118"/>
    <w:rsid w:val="00BF79BE"/>
    <w:rsid w:val="00C002F2"/>
    <w:rsid w:val="00C02522"/>
    <w:rsid w:val="00C13A44"/>
    <w:rsid w:val="00C17E26"/>
    <w:rsid w:val="00C21823"/>
    <w:rsid w:val="00C233AF"/>
    <w:rsid w:val="00C27C72"/>
    <w:rsid w:val="00C31726"/>
    <w:rsid w:val="00C32C2F"/>
    <w:rsid w:val="00C33AEB"/>
    <w:rsid w:val="00C342F8"/>
    <w:rsid w:val="00C41B42"/>
    <w:rsid w:val="00C43127"/>
    <w:rsid w:val="00C468C2"/>
    <w:rsid w:val="00C52336"/>
    <w:rsid w:val="00C56F0F"/>
    <w:rsid w:val="00C570DE"/>
    <w:rsid w:val="00C6128D"/>
    <w:rsid w:val="00C6254A"/>
    <w:rsid w:val="00C631FF"/>
    <w:rsid w:val="00C642FE"/>
    <w:rsid w:val="00C64CBB"/>
    <w:rsid w:val="00C6577A"/>
    <w:rsid w:val="00C658EE"/>
    <w:rsid w:val="00C65DFF"/>
    <w:rsid w:val="00C7360D"/>
    <w:rsid w:val="00C812AE"/>
    <w:rsid w:val="00C822E0"/>
    <w:rsid w:val="00C83272"/>
    <w:rsid w:val="00C84B06"/>
    <w:rsid w:val="00C92ED6"/>
    <w:rsid w:val="00C96B13"/>
    <w:rsid w:val="00CA1A10"/>
    <w:rsid w:val="00CA43F5"/>
    <w:rsid w:val="00CA6D58"/>
    <w:rsid w:val="00CA7967"/>
    <w:rsid w:val="00CB36FB"/>
    <w:rsid w:val="00CC172A"/>
    <w:rsid w:val="00CC4B12"/>
    <w:rsid w:val="00CD0F10"/>
    <w:rsid w:val="00CD346D"/>
    <w:rsid w:val="00CD3EB0"/>
    <w:rsid w:val="00CE0CBD"/>
    <w:rsid w:val="00CE3B88"/>
    <w:rsid w:val="00CE5753"/>
    <w:rsid w:val="00CE6A21"/>
    <w:rsid w:val="00CE7CC5"/>
    <w:rsid w:val="00CF1A82"/>
    <w:rsid w:val="00CF40A8"/>
    <w:rsid w:val="00CF7291"/>
    <w:rsid w:val="00D007E0"/>
    <w:rsid w:val="00D13BDD"/>
    <w:rsid w:val="00D22FD0"/>
    <w:rsid w:val="00D24AE7"/>
    <w:rsid w:val="00D25A33"/>
    <w:rsid w:val="00D27065"/>
    <w:rsid w:val="00D3172C"/>
    <w:rsid w:val="00D36691"/>
    <w:rsid w:val="00D37DA6"/>
    <w:rsid w:val="00D37E26"/>
    <w:rsid w:val="00D44FD9"/>
    <w:rsid w:val="00D450D7"/>
    <w:rsid w:val="00D463AC"/>
    <w:rsid w:val="00D553B4"/>
    <w:rsid w:val="00D56D82"/>
    <w:rsid w:val="00D60C13"/>
    <w:rsid w:val="00D62B82"/>
    <w:rsid w:val="00D66B27"/>
    <w:rsid w:val="00D707C3"/>
    <w:rsid w:val="00D72A75"/>
    <w:rsid w:val="00D73145"/>
    <w:rsid w:val="00D815BD"/>
    <w:rsid w:val="00D84845"/>
    <w:rsid w:val="00D84EAE"/>
    <w:rsid w:val="00D93438"/>
    <w:rsid w:val="00D95A65"/>
    <w:rsid w:val="00D978EA"/>
    <w:rsid w:val="00DA05B8"/>
    <w:rsid w:val="00DA05DE"/>
    <w:rsid w:val="00DB3D22"/>
    <w:rsid w:val="00DB6D01"/>
    <w:rsid w:val="00DC1118"/>
    <w:rsid w:val="00DC20A6"/>
    <w:rsid w:val="00DD0921"/>
    <w:rsid w:val="00DD31C7"/>
    <w:rsid w:val="00DD69DA"/>
    <w:rsid w:val="00DE7746"/>
    <w:rsid w:val="00DF1FA6"/>
    <w:rsid w:val="00E02113"/>
    <w:rsid w:val="00E10BE5"/>
    <w:rsid w:val="00E1224E"/>
    <w:rsid w:val="00E2341C"/>
    <w:rsid w:val="00E246E0"/>
    <w:rsid w:val="00E2641D"/>
    <w:rsid w:val="00E27161"/>
    <w:rsid w:val="00E277F8"/>
    <w:rsid w:val="00E323DF"/>
    <w:rsid w:val="00E32E22"/>
    <w:rsid w:val="00E37479"/>
    <w:rsid w:val="00E4138B"/>
    <w:rsid w:val="00E430B7"/>
    <w:rsid w:val="00E46F45"/>
    <w:rsid w:val="00E50FAB"/>
    <w:rsid w:val="00E527D8"/>
    <w:rsid w:val="00E57FEB"/>
    <w:rsid w:val="00E72078"/>
    <w:rsid w:val="00E73B49"/>
    <w:rsid w:val="00E8394A"/>
    <w:rsid w:val="00E923DD"/>
    <w:rsid w:val="00E92E00"/>
    <w:rsid w:val="00E95919"/>
    <w:rsid w:val="00EA0B35"/>
    <w:rsid w:val="00EA1E97"/>
    <w:rsid w:val="00EA2B86"/>
    <w:rsid w:val="00EB22B8"/>
    <w:rsid w:val="00EB2361"/>
    <w:rsid w:val="00EB3BAA"/>
    <w:rsid w:val="00EB499B"/>
    <w:rsid w:val="00EC2850"/>
    <w:rsid w:val="00EC50CA"/>
    <w:rsid w:val="00ED049C"/>
    <w:rsid w:val="00ED1F1E"/>
    <w:rsid w:val="00ED53E9"/>
    <w:rsid w:val="00ED677B"/>
    <w:rsid w:val="00EE0651"/>
    <w:rsid w:val="00EE10E3"/>
    <w:rsid w:val="00EE3F3D"/>
    <w:rsid w:val="00EE4B12"/>
    <w:rsid w:val="00EE4B7F"/>
    <w:rsid w:val="00EF4771"/>
    <w:rsid w:val="00EF5084"/>
    <w:rsid w:val="00EF61B9"/>
    <w:rsid w:val="00EF7950"/>
    <w:rsid w:val="00F12664"/>
    <w:rsid w:val="00F15B80"/>
    <w:rsid w:val="00F207A2"/>
    <w:rsid w:val="00F238E1"/>
    <w:rsid w:val="00F25FF3"/>
    <w:rsid w:val="00F267DF"/>
    <w:rsid w:val="00F41CE1"/>
    <w:rsid w:val="00F43DF6"/>
    <w:rsid w:val="00F452AD"/>
    <w:rsid w:val="00F521F9"/>
    <w:rsid w:val="00F5567F"/>
    <w:rsid w:val="00F56465"/>
    <w:rsid w:val="00F616FD"/>
    <w:rsid w:val="00F6282A"/>
    <w:rsid w:val="00F648F7"/>
    <w:rsid w:val="00F66768"/>
    <w:rsid w:val="00F67B25"/>
    <w:rsid w:val="00F70B2C"/>
    <w:rsid w:val="00F749FD"/>
    <w:rsid w:val="00F7598B"/>
    <w:rsid w:val="00F776FE"/>
    <w:rsid w:val="00F9051C"/>
    <w:rsid w:val="00FA0161"/>
    <w:rsid w:val="00FA3E25"/>
    <w:rsid w:val="00FA5655"/>
    <w:rsid w:val="00FB0A0F"/>
    <w:rsid w:val="00FB16E4"/>
    <w:rsid w:val="00FB1AEB"/>
    <w:rsid w:val="00FB4503"/>
    <w:rsid w:val="00FB6C8B"/>
    <w:rsid w:val="00FC1864"/>
    <w:rsid w:val="00FC3E1B"/>
    <w:rsid w:val="00FD786A"/>
    <w:rsid w:val="00FE4C07"/>
    <w:rsid w:val="01057174"/>
    <w:rsid w:val="010A65EE"/>
    <w:rsid w:val="01123F12"/>
    <w:rsid w:val="01154EDD"/>
    <w:rsid w:val="011C626C"/>
    <w:rsid w:val="01233A9E"/>
    <w:rsid w:val="01347A59"/>
    <w:rsid w:val="013B6B5D"/>
    <w:rsid w:val="01450CD4"/>
    <w:rsid w:val="0159369C"/>
    <w:rsid w:val="0169458F"/>
    <w:rsid w:val="01871949"/>
    <w:rsid w:val="018C76B2"/>
    <w:rsid w:val="018D1DB1"/>
    <w:rsid w:val="01B55F16"/>
    <w:rsid w:val="01C163DA"/>
    <w:rsid w:val="01C2504F"/>
    <w:rsid w:val="01C76F4C"/>
    <w:rsid w:val="01F07561"/>
    <w:rsid w:val="02007557"/>
    <w:rsid w:val="02063BED"/>
    <w:rsid w:val="020C4B56"/>
    <w:rsid w:val="02194F8F"/>
    <w:rsid w:val="021B47BF"/>
    <w:rsid w:val="022A49B8"/>
    <w:rsid w:val="02324D8B"/>
    <w:rsid w:val="023A2358"/>
    <w:rsid w:val="02634987"/>
    <w:rsid w:val="026F331C"/>
    <w:rsid w:val="02785A04"/>
    <w:rsid w:val="027F3A3B"/>
    <w:rsid w:val="02862623"/>
    <w:rsid w:val="02885019"/>
    <w:rsid w:val="02985DC6"/>
    <w:rsid w:val="029C1D97"/>
    <w:rsid w:val="02A718E7"/>
    <w:rsid w:val="02B52827"/>
    <w:rsid w:val="02B97828"/>
    <w:rsid w:val="02BF2713"/>
    <w:rsid w:val="02C346B4"/>
    <w:rsid w:val="02D74F5E"/>
    <w:rsid w:val="02D91DE7"/>
    <w:rsid w:val="02E713E5"/>
    <w:rsid w:val="02EF2E2B"/>
    <w:rsid w:val="02FF1990"/>
    <w:rsid w:val="03061EB2"/>
    <w:rsid w:val="031F5DFA"/>
    <w:rsid w:val="032A1207"/>
    <w:rsid w:val="032F26AD"/>
    <w:rsid w:val="034D31A5"/>
    <w:rsid w:val="034D73E1"/>
    <w:rsid w:val="034F109B"/>
    <w:rsid w:val="03516705"/>
    <w:rsid w:val="035A7415"/>
    <w:rsid w:val="035D2385"/>
    <w:rsid w:val="03640968"/>
    <w:rsid w:val="03712534"/>
    <w:rsid w:val="038337F8"/>
    <w:rsid w:val="03892201"/>
    <w:rsid w:val="038D7AA3"/>
    <w:rsid w:val="0394702E"/>
    <w:rsid w:val="039F065F"/>
    <w:rsid w:val="03B92C81"/>
    <w:rsid w:val="03D673E3"/>
    <w:rsid w:val="03E52B04"/>
    <w:rsid w:val="03F1578E"/>
    <w:rsid w:val="03FD650B"/>
    <w:rsid w:val="04374076"/>
    <w:rsid w:val="043D0EEF"/>
    <w:rsid w:val="04416B69"/>
    <w:rsid w:val="04476402"/>
    <w:rsid w:val="044C3046"/>
    <w:rsid w:val="045D5D74"/>
    <w:rsid w:val="046356D4"/>
    <w:rsid w:val="04695794"/>
    <w:rsid w:val="046A5C13"/>
    <w:rsid w:val="046E00C4"/>
    <w:rsid w:val="046F1313"/>
    <w:rsid w:val="04722833"/>
    <w:rsid w:val="047F65B0"/>
    <w:rsid w:val="04904FA7"/>
    <w:rsid w:val="0495080F"/>
    <w:rsid w:val="04952722"/>
    <w:rsid w:val="04BD45D7"/>
    <w:rsid w:val="04BD58CA"/>
    <w:rsid w:val="04C01689"/>
    <w:rsid w:val="04C808C1"/>
    <w:rsid w:val="04D956FE"/>
    <w:rsid w:val="04EB2E94"/>
    <w:rsid w:val="04EB3546"/>
    <w:rsid w:val="04EC4DA5"/>
    <w:rsid w:val="04EE0B20"/>
    <w:rsid w:val="05161B1C"/>
    <w:rsid w:val="05173226"/>
    <w:rsid w:val="051C0690"/>
    <w:rsid w:val="052037ED"/>
    <w:rsid w:val="052524A1"/>
    <w:rsid w:val="052A6B3B"/>
    <w:rsid w:val="052D14A5"/>
    <w:rsid w:val="05303368"/>
    <w:rsid w:val="053242B0"/>
    <w:rsid w:val="053A53B8"/>
    <w:rsid w:val="0548176B"/>
    <w:rsid w:val="05614162"/>
    <w:rsid w:val="05695DE7"/>
    <w:rsid w:val="057270AC"/>
    <w:rsid w:val="057B60B3"/>
    <w:rsid w:val="057C552B"/>
    <w:rsid w:val="058412CB"/>
    <w:rsid w:val="058E021C"/>
    <w:rsid w:val="059E468A"/>
    <w:rsid w:val="059E710F"/>
    <w:rsid w:val="05AA79C7"/>
    <w:rsid w:val="05C375A9"/>
    <w:rsid w:val="05DD39A8"/>
    <w:rsid w:val="05E14A2D"/>
    <w:rsid w:val="05E97064"/>
    <w:rsid w:val="05EC4CC6"/>
    <w:rsid w:val="05F03CF9"/>
    <w:rsid w:val="05F257ED"/>
    <w:rsid w:val="05F740DE"/>
    <w:rsid w:val="06006236"/>
    <w:rsid w:val="06032D8D"/>
    <w:rsid w:val="060C0620"/>
    <w:rsid w:val="06105F29"/>
    <w:rsid w:val="0614708A"/>
    <w:rsid w:val="062B1324"/>
    <w:rsid w:val="062B48CF"/>
    <w:rsid w:val="063B43C4"/>
    <w:rsid w:val="06400C4E"/>
    <w:rsid w:val="06554E6D"/>
    <w:rsid w:val="06587E4E"/>
    <w:rsid w:val="0665760A"/>
    <w:rsid w:val="06742C36"/>
    <w:rsid w:val="06801CBF"/>
    <w:rsid w:val="0681314D"/>
    <w:rsid w:val="0694620B"/>
    <w:rsid w:val="06A50BF6"/>
    <w:rsid w:val="06C13B3D"/>
    <w:rsid w:val="06C40E11"/>
    <w:rsid w:val="06DE531F"/>
    <w:rsid w:val="06E30135"/>
    <w:rsid w:val="06E36574"/>
    <w:rsid w:val="06F171D2"/>
    <w:rsid w:val="06F3181D"/>
    <w:rsid w:val="06F35CC1"/>
    <w:rsid w:val="06F47713"/>
    <w:rsid w:val="070677A2"/>
    <w:rsid w:val="070752C8"/>
    <w:rsid w:val="07093B7C"/>
    <w:rsid w:val="071D659A"/>
    <w:rsid w:val="0726771F"/>
    <w:rsid w:val="073329F3"/>
    <w:rsid w:val="07392B4D"/>
    <w:rsid w:val="07481B68"/>
    <w:rsid w:val="07494150"/>
    <w:rsid w:val="07587438"/>
    <w:rsid w:val="0774228E"/>
    <w:rsid w:val="078E1545"/>
    <w:rsid w:val="078F24CC"/>
    <w:rsid w:val="07A16498"/>
    <w:rsid w:val="07A36D94"/>
    <w:rsid w:val="07A91201"/>
    <w:rsid w:val="07B12BB5"/>
    <w:rsid w:val="07B74F40"/>
    <w:rsid w:val="07BF6F5A"/>
    <w:rsid w:val="07C223D0"/>
    <w:rsid w:val="07CA1038"/>
    <w:rsid w:val="07CF4BC3"/>
    <w:rsid w:val="07E52C0E"/>
    <w:rsid w:val="07FB307F"/>
    <w:rsid w:val="0806390A"/>
    <w:rsid w:val="081144B5"/>
    <w:rsid w:val="081864F2"/>
    <w:rsid w:val="081A133C"/>
    <w:rsid w:val="081C03A0"/>
    <w:rsid w:val="081E4FBF"/>
    <w:rsid w:val="08242608"/>
    <w:rsid w:val="08251EAA"/>
    <w:rsid w:val="08297BEC"/>
    <w:rsid w:val="08333FB6"/>
    <w:rsid w:val="08576DB3"/>
    <w:rsid w:val="085B1D6F"/>
    <w:rsid w:val="0865202A"/>
    <w:rsid w:val="086C7AD9"/>
    <w:rsid w:val="08800498"/>
    <w:rsid w:val="08AF7088"/>
    <w:rsid w:val="08B44F39"/>
    <w:rsid w:val="08BF77F8"/>
    <w:rsid w:val="08C96CD9"/>
    <w:rsid w:val="08D02F14"/>
    <w:rsid w:val="08D805E2"/>
    <w:rsid w:val="08DA02A1"/>
    <w:rsid w:val="08DB4109"/>
    <w:rsid w:val="08E72C0A"/>
    <w:rsid w:val="08EB6C4F"/>
    <w:rsid w:val="08F01689"/>
    <w:rsid w:val="08F174DB"/>
    <w:rsid w:val="08FC2CD9"/>
    <w:rsid w:val="09016C65"/>
    <w:rsid w:val="090306E4"/>
    <w:rsid w:val="0904723B"/>
    <w:rsid w:val="09093AE2"/>
    <w:rsid w:val="09157D89"/>
    <w:rsid w:val="091B515F"/>
    <w:rsid w:val="09465E8E"/>
    <w:rsid w:val="094F3B0D"/>
    <w:rsid w:val="09571752"/>
    <w:rsid w:val="09611931"/>
    <w:rsid w:val="096A4AAD"/>
    <w:rsid w:val="096A5B6B"/>
    <w:rsid w:val="096F4BC8"/>
    <w:rsid w:val="09713F96"/>
    <w:rsid w:val="09751986"/>
    <w:rsid w:val="09772BD9"/>
    <w:rsid w:val="097E38FB"/>
    <w:rsid w:val="09837DBD"/>
    <w:rsid w:val="09A04263"/>
    <w:rsid w:val="09A24654"/>
    <w:rsid w:val="09A635E9"/>
    <w:rsid w:val="09AB4F22"/>
    <w:rsid w:val="09AF4E4E"/>
    <w:rsid w:val="09B278CC"/>
    <w:rsid w:val="09C02E3E"/>
    <w:rsid w:val="09C34A34"/>
    <w:rsid w:val="09C41D45"/>
    <w:rsid w:val="09CE09A5"/>
    <w:rsid w:val="09D73367"/>
    <w:rsid w:val="09E07E7F"/>
    <w:rsid w:val="09E2271F"/>
    <w:rsid w:val="09E9108A"/>
    <w:rsid w:val="09FB1ED5"/>
    <w:rsid w:val="0A083AE3"/>
    <w:rsid w:val="0A0C2434"/>
    <w:rsid w:val="0A146178"/>
    <w:rsid w:val="0A1D53CA"/>
    <w:rsid w:val="0A263877"/>
    <w:rsid w:val="0A39280F"/>
    <w:rsid w:val="0A3B3680"/>
    <w:rsid w:val="0A3B48B9"/>
    <w:rsid w:val="0A3C577C"/>
    <w:rsid w:val="0A483686"/>
    <w:rsid w:val="0A4A7B47"/>
    <w:rsid w:val="0A4D544C"/>
    <w:rsid w:val="0A5D2B12"/>
    <w:rsid w:val="0A607C99"/>
    <w:rsid w:val="0A6F5DE1"/>
    <w:rsid w:val="0A7512AB"/>
    <w:rsid w:val="0A816856"/>
    <w:rsid w:val="0A871FB1"/>
    <w:rsid w:val="0A8E4BBF"/>
    <w:rsid w:val="0A932685"/>
    <w:rsid w:val="0AA364D3"/>
    <w:rsid w:val="0AA748CE"/>
    <w:rsid w:val="0AB247F2"/>
    <w:rsid w:val="0AE9096C"/>
    <w:rsid w:val="0AF618DB"/>
    <w:rsid w:val="0AFE3D2C"/>
    <w:rsid w:val="0B2C7D23"/>
    <w:rsid w:val="0B351638"/>
    <w:rsid w:val="0B7168E2"/>
    <w:rsid w:val="0B7D78D4"/>
    <w:rsid w:val="0B923CFA"/>
    <w:rsid w:val="0B933C9B"/>
    <w:rsid w:val="0B966370"/>
    <w:rsid w:val="0B9720E2"/>
    <w:rsid w:val="0B9C06D5"/>
    <w:rsid w:val="0BB35F8F"/>
    <w:rsid w:val="0BBB376C"/>
    <w:rsid w:val="0BDA11FD"/>
    <w:rsid w:val="0BDE2A9B"/>
    <w:rsid w:val="0BDE3C17"/>
    <w:rsid w:val="0BF31E9F"/>
    <w:rsid w:val="0BFC2BE6"/>
    <w:rsid w:val="0BFD5C8C"/>
    <w:rsid w:val="0C0B13B7"/>
    <w:rsid w:val="0C111517"/>
    <w:rsid w:val="0C2173C1"/>
    <w:rsid w:val="0C2741AE"/>
    <w:rsid w:val="0C402450"/>
    <w:rsid w:val="0C691684"/>
    <w:rsid w:val="0C6B7072"/>
    <w:rsid w:val="0C752CD9"/>
    <w:rsid w:val="0CA14F93"/>
    <w:rsid w:val="0CAB67CB"/>
    <w:rsid w:val="0CAE2EDB"/>
    <w:rsid w:val="0CC40B5A"/>
    <w:rsid w:val="0CC852C4"/>
    <w:rsid w:val="0CC864D7"/>
    <w:rsid w:val="0CCA7959"/>
    <w:rsid w:val="0CF345C8"/>
    <w:rsid w:val="0CF66AAA"/>
    <w:rsid w:val="0D075AA7"/>
    <w:rsid w:val="0D1309B4"/>
    <w:rsid w:val="0D1500CF"/>
    <w:rsid w:val="0D1E1F64"/>
    <w:rsid w:val="0D2D7657"/>
    <w:rsid w:val="0D371377"/>
    <w:rsid w:val="0D3A1724"/>
    <w:rsid w:val="0D461432"/>
    <w:rsid w:val="0D4D0E21"/>
    <w:rsid w:val="0D5930D8"/>
    <w:rsid w:val="0D596D8D"/>
    <w:rsid w:val="0D6B734C"/>
    <w:rsid w:val="0D6D5FF2"/>
    <w:rsid w:val="0D73581B"/>
    <w:rsid w:val="0D774F56"/>
    <w:rsid w:val="0D81163D"/>
    <w:rsid w:val="0D8775C5"/>
    <w:rsid w:val="0D944EB5"/>
    <w:rsid w:val="0DA7707B"/>
    <w:rsid w:val="0DA81C78"/>
    <w:rsid w:val="0DA92A95"/>
    <w:rsid w:val="0DB558E3"/>
    <w:rsid w:val="0DB95619"/>
    <w:rsid w:val="0DC55787"/>
    <w:rsid w:val="0DD24581"/>
    <w:rsid w:val="0DD26630"/>
    <w:rsid w:val="0DE0049F"/>
    <w:rsid w:val="0DEC3906"/>
    <w:rsid w:val="0DF8275D"/>
    <w:rsid w:val="0E023E27"/>
    <w:rsid w:val="0E0452F9"/>
    <w:rsid w:val="0E0A2B6B"/>
    <w:rsid w:val="0E1134F7"/>
    <w:rsid w:val="0E2869CC"/>
    <w:rsid w:val="0E2B43C8"/>
    <w:rsid w:val="0E2D0CE5"/>
    <w:rsid w:val="0E2E094A"/>
    <w:rsid w:val="0E545297"/>
    <w:rsid w:val="0E5D5416"/>
    <w:rsid w:val="0E606C70"/>
    <w:rsid w:val="0E621F4B"/>
    <w:rsid w:val="0E6B13D8"/>
    <w:rsid w:val="0E807C88"/>
    <w:rsid w:val="0E8800EA"/>
    <w:rsid w:val="0E8D2557"/>
    <w:rsid w:val="0EA85DB0"/>
    <w:rsid w:val="0EAF6BDB"/>
    <w:rsid w:val="0EC046DA"/>
    <w:rsid w:val="0EC56BBB"/>
    <w:rsid w:val="0ED6705A"/>
    <w:rsid w:val="0EEA39DD"/>
    <w:rsid w:val="0EF51E3F"/>
    <w:rsid w:val="0F006472"/>
    <w:rsid w:val="0F03369B"/>
    <w:rsid w:val="0F0D7D74"/>
    <w:rsid w:val="0F247C7F"/>
    <w:rsid w:val="0F2A6172"/>
    <w:rsid w:val="0F2E09A0"/>
    <w:rsid w:val="0F323C9D"/>
    <w:rsid w:val="0F375B2B"/>
    <w:rsid w:val="0F4867E1"/>
    <w:rsid w:val="0F5512C6"/>
    <w:rsid w:val="0F67278C"/>
    <w:rsid w:val="0F706AB0"/>
    <w:rsid w:val="0F725D26"/>
    <w:rsid w:val="0F75345D"/>
    <w:rsid w:val="0F780E1C"/>
    <w:rsid w:val="0F7A1207"/>
    <w:rsid w:val="0F7E08B8"/>
    <w:rsid w:val="0F8730BC"/>
    <w:rsid w:val="0FA40799"/>
    <w:rsid w:val="0FAD6CFB"/>
    <w:rsid w:val="0FAD7159"/>
    <w:rsid w:val="0FB03FF2"/>
    <w:rsid w:val="0FB53802"/>
    <w:rsid w:val="0FB9676C"/>
    <w:rsid w:val="0FCC70AF"/>
    <w:rsid w:val="0FD01A45"/>
    <w:rsid w:val="0FD117A2"/>
    <w:rsid w:val="0FD37F2A"/>
    <w:rsid w:val="0FE100F5"/>
    <w:rsid w:val="0FE64D08"/>
    <w:rsid w:val="0FEA282E"/>
    <w:rsid w:val="0FF22069"/>
    <w:rsid w:val="0FFD00F5"/>
    <w:rsid w:val="0FFD5F31"/>
    <w:rsid w:val="100A3E0C"/>
    <w:rsid w:val="10256388"/>
    <w:rsid w:val="102A1DC3"/>
    <w:rsid w:val="10344ACE"/>
    <w:rsid w:val="103912E3"/>
    <w:rsid w:val="103C6D0C"/>
    <w:rsid w:val="103E3A46"/>
    <w:rsid w:val="1041454E"/>
    <w:rsid w:val="10455D10"/>
    <w:rsid w:val="10486E12"/>
    <w:rsid w:val="104D2849"/>
    <w:rsid w:val="10606F0E"/>
    <w:rsid w:val="106E1899"/>
    <w:rsid w:val="10710BFA"/>
    <w:rsid w:val="108E3427"/>
    <w:rsid w:val="109468EE"/>
    <w:rsid w:val="109720EC"/>
    <w:rsid w:val="109F1568"/>
    <w:rsid w:val="10A149C9"/>
    <w:rsid w:val="10B335E8"/>
    <w:rsid w:val="10B36A6E"/>
    <w:rsid w:val="10D2656B"/>
    <w:rsid w:val="10D76955"/>
    <w:rsid w:val="10E57377"/>
    <w:rsid w:val="10E95828"/>
    <w:rsid w:val="10F235AC"/>
    <w:rsid w:val="10F328EB"/>
    <w:rsid w:val="110F261A"/>
    <w:rsid w:val="111C72EA"/>
    <w:rsid w:val="111E14E2"/>
    <w:rsid w:val="11254CC9"/>
    <w:rsid w:val="1128652B"/>
    <w:rsid w:val="112A6877"/>
    <w:rsid w:val="11333889"/>
    <w:rsid w:val="114A799C"/>
    <w:rsid w:val="11514F18"/>
    <w:rsid w:val="115965CC"/>
    <w:rsid w:val="11665A0D"/>
    <w:rsid w:val="11676681"/>
    <w:rsid w:val="116B3CA6"/>
    <w:rsid w:val="117D68B3"/>
    <w:rsid w:val="11865D2D"/>
    <w:rsid w:val="118C679D"/>
    <w:rsid w:val="119C27EA"/>
    <w:rsid w:val="11AA7EF1"/>
    <w:rsid w:val="11C75D80"/>
    <w:rsid w:val="11CF1C83"/>
    <w:rsid w:val="11E25030"/>
    <w:rsid w:val="11E95659"/>
    <w:rsid w:val="12187D0A"/>
    <w:rsid w:val="12217B86"/>
    <w:rsid w:val="12303925"/>
    <w:rsid w:val="123B2165"/>
    <w:rsid w:val="123F5DA6"/>
    <w:rsid w:val="12453AF7"/>
    <w:rsid w:val="125052D5"/>
    <w:rsid w:val="127203E1"/>
    <w:rsid w:val="128C446B"/>
    <w:rsid w:val="128D6FC9"/>
    <w:rsid w:val="128F1141"/>
    <w:rsid w:val="12A028EC"/>
    <w:rsid w:val="12A12BE9"/>
    <w:rsid w:val="12AE5247"/>
    <w:rsid w:val="12B559CF"/>
    <w:rsid w:val="12B72C8C"/>
    <w:rsid w:val="12B77A00"/>
    <w:rsid w:val="12BD5C2F"/>
    <w:rsid w:val="12BF3CEB"/>
    <w:rsid w:val="12D210A1"/>
    <w:rsid w:val="12D44BF8"/>
    <w:rsid w:val="12DE4889"/>
    <w:rsid w:val="12DE7740"/>
    <w:rsid w:val="12E03377"/>
    <w:rsid w:val="12E636D0"/>
    <w:rsid w:val="12EA7D60"/>
    <w:rsid w:val="12EB0F4D"/>
    <w:rsid w:val="12EC4B2C"/>
    <w:rsid w:val="12F208E4"/>
    <w:rsid w:val="13074BE6"/>
    <w:rsid w:val="1316112E"/>
    <w:rsid w:val="13257868"/>
    <w:rsid w:val="13261D0D"/>
    <w:rsid w:val="13327877"/>
    <w:rsid w:val="13347CF6"/>
    <w:rsid w:val="13454BC8"/>
    <w:rsid w:val="134D0DFC"/>
    <w:rsid w:val="137B0412"/>
    <w:rsid w:val="137B15F2"/>
    <w:rsid w:val="137F256B"/>
    <w:rsid w:val="138A2A0C"/>
    <w:rsid w:val="139127F7"/>
    <w:rsid w:val="1392088E"/>
    <w:rsid w:val="13930762"/>
    <w:rsid w:val="13A06C77"/>
    <w:rsid w:val="13A876A8"/>
    <w:rsid w:val="13AB0E93"/>
    <w:rsid w:val="13AE3C12"/>
    <w:rsid w:val="13BD7638"/>
    <w:rsid w:val="13E06E09"/>
    <w:rsid w:val="13ED355D"/>
    <w:rsid w:val="13FF30E2"/>
    <w:rsid w:val="14065E51"/>
    <w:rsid w:val="14140DC5"/>
    <w:rsid w:val="14146123"/>
    <w:rsid w:val="14186D67"/>
    <w:rsid w:val="1420262A"/>
    <w:rsid w:val="14290AB0"/>
    <w:rsid w:val="14331E76"/>
    <w:rsid w:val="143B35E5"/>
    <w:rsid w:val="143C6AAE"/>
    <w:rsid w:val="143D2059"/>
    <w:rsid w:val="14473C03"/>
    <w:rsid w:val="145C7342"/>
    <w:rsid w:val="14613F13"/>
    <w:rsid w:val="1464337B"/>
    <w:rsid w:val="146C76BD"/>
    <w:rsid w:val="14795A57"/>
    <w:rsid w:val="14894EEB"/>
    <w:rsid w:val="14925A0F"/>
    <w:rsid w:val="14931F0C"/>
    <w:rsid w:val="14964900"/>
    <w:rsid w:val="14991C55"/>
    <w:rsid w:val="14BA3164"/>
    <w:rsid w:val="14D27A24"/>
    <w:rsid w:val="14E60C13"/>
    <w:rsid w:val="14EB4B4D"/>
    <w:rsid w:val="14F31A42"/>
    <w:rsid w:val="15035321"/>
    <w:rsid w:val="15126972"/>
    <w:rsid w:val="151F722E"/>
    <w:rsid w:val="152F7CC9"/>
    <w:rsid w:val="152F7E5B"/>
    <w:rsid w:val="153679D3"/>
    <w:rsid w:val="15456481"/>
    <w:rsid w:val="154C77DD"/>
    <w:rsid w:val="155B2DC3"/>
    <w:rsid w:val="156A1844"/>
    <w:rsid w:val="156C4927"/>
    <w:rsid w:val="156F29B6"/>
    <w:rsid w:val="156F5D50"/>
    <w:rsid w:val="157879A3"/>
    <w:rsid w:val="158A7941"/>
    <w:rsid w:val="158B7A8B"/>
    <w:rsid w:val="158D711D"/>
    <w:rsid w:val="159A3D66"/>
    <w:rsid w:val="159D5669"/>
    <w:rsid w:val="15A56A54"/>
    <w:rsid w:val="15A76121"/>
    <w:rsid w:val="15A84798"/>
    <w:rsid w:val="15AD022F"/>
    <w:rsid w:val="15AF04A2"/>
    <w:rsid w:val="15B036FB"/>
    <w:rsid w:val="15B73F8A"/>
    <w:rsid w:val="15B95EF5"/>
    <w:rsid w:val="15C423A4"/>
    <w:rsid w:val="15D62B87"/>
    <w:rsid w:val="15D850E2"/>
    <w:rsid w:val="15E2762C"/>
    <w:rsid w:val="15F85DC0"/>
    <w:rsid w:val="1612299B"/>
    <w:rsid w:val="161E73EB"/>
    <w:rsid w:val="162A42DC"/>
    <w:rsid w:val="16375D0B"/>
    <w:rsid w:val="163E36BB"/>
    <w:rsid w:val="164354F0"/>
    <w:rsid w:val="164937FA"/>
    <w:rsid w:val="164E4733"/>
    <w:rsid w:val="165878EE"/>
    <w:rsid w:val="165D0EA9"/>
    <w:rsid w:val="16650CAF"/>
    <w:rsid w:val="166E03D5"/>
    <w:rsid w:val="166F238D"/>
    <w:rsid w:val="16816E45"/>
    <w:rsid w:val="168476EB"/>
    <w:rsid w:val="169E17A5"/>
    <w:rsid w:val="16AB0F9A"/>
    <w:rsid w:val="16AF55A1"/>
    <w:rsid w:val="16B014D8"/>
    <w:rsid w:val="16B25250"/>
    <w:rsid w:val="16BA6100"/>
    <w:rsid w:val="16BA6714"/>
    <w:rsid w:val="16E24AD0"/>
    <w:rsid w:val="16E54A4E"/>
    <w:rsid w:val="16E755ED"/>
    <w:rsid w:val="16E90E79"/>
    <w:rsid w:val="16F30739"/>
    <w:rsid w:val="16F82BBB"/>
    <w:rsid w:val="17034063"/>
    <w:rsid w:val="17040AF7"/>
    <w:rsid w:val="172333F2"/>
    <w:rsid w:val="172D016F"/>
    <w:rsid w:val="173466BF"/>
    <w:rsid w:val="173A7C1A"/>
    <w:rsid w:val="17426C67"/>
    <w:rsid w:val="17432C9F"/>
    <w:rsid w:val="175627A0"/>
    <w:rsid w:val="17586754"/>
    <w:rsid w:val="17591881"/>
    <w:rsid w:val="175C20AB"/>
    <w:rsid w:val="175E3A73"/>
    <w:rsid w:val="17805AD6"/>
    <w:rsid w:val="17837F30"/>
    <w:rsid w:val="17937C7E"/>
    <w:rsid w:val="179C66B7"/>
    <w:rsid w:val="17A50911"/>
    <w:rsid w:val="17AA2D98"/>
    <w:rsid w:val="17AE46FF"/>
    <w:rsid w:val="17B615BD"/>
    <w:rsid w:val="17BC286C"/>
    <w:rsid w:val="17C67534"/>
    <w:rsid w:val="17CB6D2A"/>
    <w:rsid w:val="17D462F8"/>
    <w:rsid w:val="17EE2E8F"/>
    <w:rsid w:val="17F424E7"/>
    <w:rsid w:val="17FF5486"/>
    <w:rsid w:val="1803013C"/>
    <w:rsid w:val="180D7ADF"/>
    <w:rsid w:val="180F5DA3"/>
    <w:rsid w:val="181B315F"/>
    <w:rsid w:val="182905D8"/>
    <w:rsid w:val="18316649"/>
    <w:rsid w:val="183D3240"/>
    <w:rsid w:val="18494A51"/>
    <w:rsid w:val="184D134D"/>
    <w:rsid w:val="185C0474"/>
    <w:rsid w:val="188822F6"/>
    <w:rsid w:val="18946329"/>
    <w:rsid w:val="189D7D0B"/>
    <w:rsid w:val="18A21A2D"/>
    <w:rsid w:val="18A646A6"/>
    <w:rsid w:val="18AD2173"/>
    <w:rsid w:val="18AF18CE"/>
    <w:rsid w:val="18B507A2"/>
    <w:rsid w:val="18BA00FC"/>
    <w:rsid w:val="18BB7226"/>
    <w:rsid w:val="18D71CFF"/>
    <w:rsid w:val="18DC4807"/>
    <w:rsid w:val="18E73C03"/>
    <w:rsid w:val="18F45D57"/>
    <w:rsid w:val="18F660ED"/>
    <w:rsid w:val="190C139E"/>
    <w:rsid w:val="190C3911"/>
    <w:rsid w:val="1910046F"/>
    <w:rsid w:val="191506B4"/>
    <w:rsid w:val="192A66FB"/>
    <w:rsid w:val="192C6BA8"/>
    <w:rsid w:val="193828BB"/>
    <w:rsid w:val="194F0129"/>
    <w:rsid w:val="195E346D"/>
    <w:rsid w:val="19695D0F"/>
    <w:rsid w:val="19747A66"/>
    <w:rsid w:val="1978350E"/>
    <w:rsid w:val="198E3200"/>
    <w:rsid w:val="19933B3D"/>
    <w:rsid w:val="19A63F0A"/>
    <w:rsid w:val="19BB68B3"/>
    <w:rsid w:val="19C9617A"/>
    <w:rsid w:val="19CD7EA1"/>
    <w:rsid w:val="19D55C77"/>
    <w:rsid w:val="19D6158A"/>
    <w:rsid w:val="19D90A2E"/>
    <w:rsid w:val="19DD5162"/>
    <w:rsid w:val="19EB1EEE"/>
    <w:rsid w:val="19EB665F"/>
    <w:rsid w:val="1A096F6B"/>
    <w:rsid w:val="1A0A6608"/>
    <w:rsid w:val="1A136006"/>
    <w:rsid w:val="1A186EA9"/>
    <w:rsid w:val="1A1C4A33"/>
    <w:rsid w:val="1A1D4091"/>
    <w:rsid w:val="1A3E40E6"/>
    <w:rsid w:val="1A3F329F"/>
    <w:rsid w:val="1A437404"/>
    <w:rsid w:val="1A472154"/>
    <w:rsid w:val="1A4C776A"/>
    <w:rsid w:val="1A4E0334"/>
    <w:rsid w:val="1A57099D"/>
    <w:rsid w:val="1A5C5E02"/>
    <w:rsid w:val="1A5D3284"/>
    <w:rsid w:val="1A93162D"/>
    <w:rsid w:val="1A935399"/>
    <w:rsid w:val="1A9A0657"/>
    <w:rsid w:val="1AA17AB6"/>
    <w:rsid w:val="1AAA40B4"/>
    <w:rsid w:val="1AAC678A"/>
    <w:rsid w:val="1AB75A02"/>
    <w:rsid w:val="1ABB1E60"/>
    <w:rsid w:val="1ABE5CF0"/>
    <w:rsid w:val="1ABF12EF"/>
    <w:rsid w:val="1AC059F4"/>
    <w:rsid w:val="1AC16A97"/>
    <w:rsid w:val="1ACD2B38"/>
    <w:rsid w:val="1ADC6A1D"/>
    <w:rsid w:val="1AEC2900"/>
    <w:rsid w:val="1B1377CC"/>
    <w:rsid w:val="1B170338"/>
    <w:rsid w:val="1B1F4E7E"/>
    <w:rsid w:val="1B3113F9"/>
    <w:rsid w:val="1B3868FA"/>
    <w:rsid w:val="1B3B0330"/>
    <w:rsid w:val="1B4755B0"/>
    <w:rsid w:val="1B4E06AF"/>
    <w:rsid w:val="1B514467"/>
    <w:rsid w:val="1B516D3B"/>
    <w:rsid w:val="1B60766C"/>
    <w:rsid w:val="1B645931"/>
    <w:rsid w:val="1B652618"/>
    <w:rsid w:val="1B6C2C88"/>
    <w:rsid w:val="1B711A6A"/>
    <w:rsid w:val="1B774105"/>
    <w:rsid w:val="1B7A5C97"/>
    <w:rsid w:val="1B7D5BC9"/>
    <w:rsid w:val="1B8C4F54"/>
    <w:rsid w:val="1B9B6711"/>
    <w:rsid w:val="1BA03226"/>
    <w:rsid w:val="1BA35B69"/>
    <w:rsid w:val="1BA62EAA"/>
    <w:rsid w:val="1BAC568B"/>
    <w:rsid w:val="1BB817E1"/>
    <w:rsid w:val="1BDB0BD2"/>
    <w:rsid w:val="1BEB4A3B"/>
    <w:rsid w:val="1BF468A4"/>
    <w:rsid w:val="1BF84678"/>
    <w:rsid w:val="1C06710D"/>
    <w:rsid w:val="1C0A6A96"/>
    <w:rsid w:val="1C0B4517"/>
    <w:rsid w:val="1C163B8C"/>
    <w:rsid w:val="1C284B16"/>
    <w:rsid w:val="1C4A6047"/>
    <w:rsid w:val="1C4F16D7"/>
    <w:rsid w:val="1C5A7044"/>
    <w:rsid w:val="1C740967"/>
    <w:rsid w:val="1C81771C"/>
    <w:rsid w:val="1C8B1E67"/>
    <w:rsid w:val="1C9658E4"/>
    <w:rsid w:val="1CB47CD2"/>
    <w:rsid w:val="1CD7719E"/>
    <w:rsid w:val="1CEA4791"/>
    <w:rsid w:val="1D124316"/>
    <w:rsid w:val="1D187DD7"/>
    <w:rsid w:val="1D274D79"/>
    <w:rsid w:val="1D412266"/>
    <w:rsid w:val="1D462AC7"/>
    <w:rsid w:val="1D5202A2"/>
    <w:rsid w:val="1D522F6E"/>
    <w:rsid w:val="1D5368F9"/>
    <w:rsid w:val="1D646B63"/>
    <w:rsid w:val="1D670CC3"/>
    <w:rsid w:val="1D75574C"/>
    <w:rsid w:val="1D772D50"/>
    <w:rsid w:val="1D774AFE"/>
    <w:rsid w:val="1D807281"/>
    <w:rsid w:val="1D8176CC"/>
    <w:rsid w:val="1D8F555B"/>
    <w:rsid w:val="1DA074C4"/>
    <w:rsid w:val="1DA11892"/>
    <w:rsid w:val="1DA561BB"/>
    <w:rsid w:val="1DB65BE6"/>
    <w:rsid w:val="1DBC7851"/>
    <w:rsid w:val="1DC3306F"/>
    <w:rsid w:val="1DD11ED0"/>
    <w:rsid w:val="1DD72298"/>
    <w:rsid w:val="1DE3580A"/>
    <w:rsid w:val="1DEE7568"/>
    <w:rsid w:val="1DF05CD9"/>
    <w:rsid w:val="1DF8781A"/>
    <w:rsid w:val="1E080D46"/>
    <w:rsid w:val="1E1249C9"/>
    <w:rsid w:val="1E2D340E"/>
    <w:rsid w:val="1E3A6A91"/>
    <w:rsid w:val="1E3A7ED9"/>
    <w:rsid w:val="1E3C6C9E"/>
    <w:rsid w:val="1E412760"/>
    <w:rsid w:val="1E4C1AE7"/>
    <w:rsid w:val="1E4C7BE9"/>
    <w:rsid w:val="1E4E380C"/>
    <w:rsid w:val="1E5935A7"/>
    <w:rsid w:val="1E605592"/>
    <w:rsid w:val="1E6B7F9D"/>
    <w:rsid w:val="1E6D0760"/>
    <w:rsid w:val="1E6D6A63"/>
    <w:rsid w:val="1E7204D5"/>
    <w:rsid w:val="1E77039E"/>
    <w:rsid w:val="1E77498B"/>
    <w:rsid w:val="1E7E516C"/>
    <w:rsid w:val="1E895D22"/>
    <w:rsid w:val="1EA7449E"/>
    <w:rsid w:val="1EB81C2C"/>
    <w:rsid w:val="1EC3330B"/>
    <w:rsid w:val="1ED255C9"/>
    <w:rsid w:val="1ED64D67"/>
    <w:rsid w:val="1ED657D3"/>
    <w:rsid w:val="1EE4141F"/>
    <w:rsid w:val="1EF84DC8"/>
    <w:rsid w:val="1EFF2B54"/>
    <w:rsid w:val="1F0F78AB"/>
    <w:rsid w:val="1F1541C9"/>
    <w:rsid w:val="1F253C23"/>
    <w:rsid w:val="1F351DDA"/>
    <w:rsid w:val="1F38717D"/>
    <w:rsid w:val="1F3A4D74"/>
    <w:rsid w:val="1F4445F9"/>
    <w:rsid w:val="1F4A2C7F"/>
    <w:rsid w:val="1F5C5608"/>
    <w:rsid w:val="1F7B7798"/>
    <w:rsid w:val="1F7D096C"/>
    <w:rsid w:val="1F7D47E9"/>
    <w:rsid w:val="1F7E2973"/>
    <w:rsid w:val="1F975F30"/>
    <w:rsid w:val="1FAA3D52"/>
    <w:rsid w:val="1FAB0504"/>
    <w:rsid w:val="1FAF606A"/>
    <w:rsid w:val="1FB65C25"/>
    <w:rsid w:val="1FBC6651"/>
    <w:rsid w:val="1FBE07C2"/>
    <w:rsid w:val="1FD702D0"/>
    <w:rsid w:val="1FE70601"/>
    <w:rsid w:val="1FF52EBD"/>
    <w:rsid w:val="1FFE5E18"/>
    <w:rsid w:val="20042029"/>
    <w:rsid w:val="20281085"/>
    <w:rsid w:val="202A3B12"/>
    <w:rsid w:val="202C2DAE"/>
    <w:rsid w:val="202D25DB"/>
    <w:rsid w:val="2030693B"/>
    <w:rsid w:val="20322F80"/>
    <w:rsid w:val="20337B99"/>
    <w:rsid w:val="204238B8"/>
    <w:rsid w:val="20482477"/>
    <w:rsid w:val="204A3D7B"/>
    <w:rsid w:val="20582863"/>
    <w:rsid w:val="205F58AE"/>
    <w:rsid w:val="206747FF"/>
    <w:rsid w:val="206F0DA9"/>
    <w:rsid w:val="20842EC4"/>
    <w:rsid w:val="208445B0"/>
    <w:rsid w:val="208512E0"/>
    <w:rsid w:val="209C4F8D"/>
    <w:rsid w:val="20AE1417"/>
    <w:rsid w:val="20AF1106"/>
    <w:rsid w:val="20B90CD6"/>
    <w:rsid w:val="20BD2F9F"/>
    <w:rsid w:val="20CA445F"/>
    <w:rsid w:val="20CD5313"/>
    <w:rsid w:val="20D9760C"/>
    <w:rsid w:val="20E31454"/>
    <w:rsid w:val="20E617B2"/>
    <w:rsid w:val="20E77E9F"/>
    <w:rsid w:val="20EA375E"/>
    <w:rsid w:val="20EB6BCF"/>
    <w:rsid w:val="20F46465"/>
    <w:rsid w:val="21245AA6"/>
    <w:rsid w:val="21255959"/>
    <w:rsid w:val="21290703"/>
    <w:rsid w:val="213056EF"/>
    <w:rsid w:val="21357BB3"/>
    <w:rsid w:val="213D7C27"/>
    <w:rsid w:val="214A641E"/>
    <w:rsid w:val="21613E7F"/>
    <w:rsid w:val="216B7910"/>
    <w:rsid w:val="21812039"/>
    <w:rsid w:val="218B516B"/>
    <w:rsid w:val="218C669E"/>
    <w:rsid w:val="218C7B12"/>
    <w:rsid w:val="21936008"/>
    <w:rsid w:val="219925A3"/>
    <w:rsid w:val="21A31A15"/>
    <w:rsid w:val="21A62929"/>
    <w:rsid w:val="21AE702B"/>
    <w:rsid w:val="21C23890"/>
    <w:rsid w:val="21C24EEC"/>
    <w:rsid w:val="21E86DB3"/>
    <w:rsid w:val="21EB7868"/>
    <w:rsid w:val="21EE7CD7"/>
    <w:rsid w:val="21F2713B"/>
    <w:rsid w:val="21FD02AE"/>
    <w:rsid w:val="220A23E4"/>
    <w:rsid w:val="222A43EA"/>
    <w:rsid w:val="22343331"/>
    <w:rsid w:val="223B259E"/>
    <w:rsid w:val="223F04E2"/>
    <w:rsid w:val="22420D01"/>
    <w:rsid w:val="224463CF"/>
    <w:rsid w:val="2245341D"/>
    <w:rsid w:val="22531439"/>
    <w:rsid w:val="225B3427"/>
    <w:rsid w:val="22605A98"/>
    <w:rsid w:val="22634BC3"/>
    <w:rsid w:val="2269726E"/>
    <w:rsid w:val="22781B12"/>
    <w:rsid w:val="227E60B5"/>
    <w:rsid w:val="22924B07"/>
    <w:rsid w:val="22950341"/>
    <w:rsid w:val="22963204"/>
    <w:rsid w:val="22A2261D"/>
    <w:rsid w:val="22A77C33"/>
    <w:rsid w:val="22BC193E"/>
    <w:rsid w:val="22BD7CE9"/>
    <w:rsid w:val="22D31F8D"/>
    <w:rsid w:val="22E1461D"/>
    <w:rsid w:val="22EE2C37"/>
    <w:rsid w:val="22F378F8"/>
    <w:rsid w:val="23032F7D"/>
    <w:rsid w:val="23040ECE"/>
    <w:rsid w:val="23061DCF"/>
    <w:rsid w:val="23126996"/>
    <w:rsid w:val="2316544A"/>
    <w:rsid w:val="23201794"/>
    <w:rsid w:val="2326418F"/>
    <w:rsid w:val="232A0F0A"/>
    <w:rsid w:val="232B4CC4"/>
    <w:rsid w:val="233174FD"/>
    <w:rsid w:val="233D0602"/>
    <w:rsid w:val="23406F13"/>
    <w:rsid w:val="23475183"/>
    <w:rsid w:val="235435F7"/>
    <w:rsid w:val="235B49B2"/>
    <w:rsid w:val="23623044"/>
    <w:rsid w:val="236314F6"/>
    <w:rsid w:val="236A08E5"/>
    <w:rsid w:val="236F114E"/>
    <w:rsid w:val="23744B28"/>
    <w:rsid w:val="23817C22"/>
    <w:rsid w:val="23933414"/>
    <w:rsid w:val="23953F3D"/>
    <w:rsid w:val="23A151AC"/>
    <w:rsid w:val="23A73284"/>
    <w:rsid w:val="23A96CD7"/>
    <w:rsid w:val="23A979DB"/>
    <w:rsid w:val="23AC56FC"/>
    <w:rsid w:val="23AE53B7"/>
    <w:rsid w:val="23AF1B96"/>
    <w:rsid w:val="23B00DAE"/>
    <w:rsid w:val="23B02B18"/>
    <w:rsid w:val="23C144A7"/>
    <w:rsid w:val="23D22762"/>
    <w:rsid w:val="23D57F9B"/>
    <w:rsid w:val="23D65D95"/>
    <w:rsid w:val="23D76100"/>
    <w:rsid w:val="23DB5146"/>
    <w:rsid w:val="240F0658"/>
    <w:rsid w:val="241735C5"/>
    <w:rsid w:val="241935E6"/>
    <w:rsid w:val="241B478F"/>
    <w:rsid w:val="241B52D0"/>
    <w:rsid w:val="241B7A6A"/>
    <w:rsid w:val="2423246F"/>
    <w:rsid w:val="242641B0"/>
    <w:rsid w:val="24373CF7"/>
    <w:rsid w:val="244566A1"/>
    <w:rsid w:val="244C7F82"/>
    <w:rsid w:val="2454125D"/>
    <w:rsid w:val="245914C1"/>
    <w:rsid w:val="245B71B0"/>
    <w:rsid w:val="24641846"/>
    <w:rsid w:val="246456B0"/>
    <w:rsid w:val="247179A7"/>
    <w:rsid w:val="24741BBA"/>
    <w:rsid w:val="247B3126"/>
    <w:rsid w:val="248C7444"/>
    <w:rsid w:val="24925919"/>
    <w:rsid w:val="249441E7"/>
    <w:rsid w:val="24AA32E6"/>
    <w:rsid w:val="24AB3993"/>
    <w:rsid w:val="24B9055F"/>
    <w:rsid w:val="24D03CD9"/>
    <w:rsid w:val="24D30315"/>
    <w:rsid w:val="24D35E9C"/>
    <w:rsid w:val="24D450C9"/>
    <w:rsid w:val="24DC5D20"/>
    <w:rsid w:val="24E147D3"/>
    <w:rsid w:val="24EF2A8F"/>
    <w:rsid w:val="24F13E0A"/>
    <w:rsid w:val="24F5284D"/>
    <w:rsid w:val="24F77930"/>
    <w:rsid w:val="24FD396E"/>
    <w:rsid w:val="24FE7687"/>
    <w:rsid w:val="24FF6042"/>
    <w:rsid w:val="250056C3"/>
    <w:rsid w:val="25030CF8"/>
    <w:rsid w:val="25052271"/>
    <w:rsid w:val="250651C0"/>
    <w:rsid w:val="251C1F53"/>
    <w:rsid w:val="251D3036"/>
    <w:rsid w:val="25331706"/>
    <w:rsid w:val="253E3F9D"/>
    <w:rsid w:val="254706FE"/>
    <w:rsid w:val="254C4EA3"/>
    <w:rsid w:val="25661C03"/>
    <w:rsid w:val="257D0E5A"/>
    <w:rsid w:val="259E29BE"/>
    <w:rsid w:val="259F45DF"/>
    <w:rsid w:val="25AB17E9"/>
    <w:rsid w:val="25BD5907"/>
    <w:rsid w:val="25BF4370"/>
    <w:rsid w:val="25C1100C"/>
    <w:rsid w:val="25C15D57"/>
    <w:rsid w:val="25CF2ABB"/>
    <w:rsid w:val="25E52467"/>
    <w:rsid w:val="25F74107"/>
    <w:rsid w:val="25FC0131"/>
    <w:rsid w:val="260576E4"/>
    <w:rsid w:val="260E3750"/>
    <w:rsid w:val="261D3C03"/>
    <w:rsid w:val="262209E0"/>
    <w:rsid w:val="262350AF"/>
    <w:rsid w:val="2624778F"/>
    <w:rsid w:val="26247877"/>
    <w:rsid w:val="26377424"/>
    <w:rsid w:val="263D6704"/>
    <w:rsid w:val="263F0183"/>
    <w:rsid w:val="26466175"/>
    <w:rsid w:val="2650650F"/>
    <w:rsid w:val="26573321"/>
    <w:rsid w:val="265956E8"/>
    <w:rsid w:val="26630315"/>
    <w:rsid w:val="2667250D"/>
    <w:rsid w:val="26676191"/>
    <w:rsid w:val="26794A16"/>
    <w:rsid w:val="267C3185"/>
    <w:rsid w:val="26864D41"/>
    <w:rsid w:val="268D30E8"/>
    <w:rsid w:val="269137DB"/>
    <w:rsid w:val="26941258"/>
    <w:rsid w:val="26A13E79"/>
    <w:rsid w:val="26A55295"/>
    <w:rsid w:val="26A572B0"/>
    <w:rsid w:val="26AB1565"/>
    <w:rsid w:val="26AC19D6"/>
    <w:rsid w:val="26B60D57"/>
    <w:rsid w:val="26C12FA3"/>
    <w:rsid w:val="26D1483F"/>
    <w:rsid w:val="26D33653"/>
    <w:rsid w:val="26DC1263"/>
    <w:rsid w:val="26E4504A"/>
    <w:rsid w:val="26E52AD8"/>
    <w:rsid w:val="270B6E55"/>
    <w:rsid w:val="271D42A6"/>
    <w:rsid w:val="2721658F"/>
    <w:rsid w:val="273B01E1"/>
    <w:rsid w:val="2748412A"/>
    <w:rsid w:val="274C2B57"/>
    <w:rsid w:val="275F6D2E"/>
    <w:rsid w:val="27602BBF"/>
    <w:rsid w:val="2762627F"/>
    <w:rsid w:val="27633B89"/>
    <w:rsid w:val="277574A1"/>
    <w:rsid w:val="2776569E"/>
    <w:rsid w:val="27877B0D"/>
    <w:rsid w:val="278879ED"/>
    <w:rsid w:val="27887A7A"/>
    <w:rsid w:val="27AB7A4E"/>
    <w:rsid w:val="27AD2E8F"/>
    <w:rsid w:val="27C97B02"/>
    <w:rsid w:val="27CC3BC0"/>
    <w:rsid w:val="27CF2674"/>
    <w:rsid w:val="27E40D97"/>
    <w:rsid w:val="27E47DBE"/>
    <w:rsid w:val="27E5227B"/>
    <w:rsid w:val="27E91F87"/>
    <w:rsid w:val="27EA53BE"/>
    <w:rsid w:val="27F227F6"/>
    <w:rsid w:val="27FE4E42"/>
    <w:rsid w:val="280A3990"/>
    <w:rsid w:val="28162418"/>
    <w:rsid w:val="28187411"/>
    <w:rsid w:val="283B52BD"/>
    <w:rsid w:val="283E0ED7"/>
    <w:rsid w:val="285C7B1F"/>
    <w:rsid w:val="28616AD6"/>
    <w:rsid w:val="28676A4F"/>
    <w:rsid w:val="286C7F03"/>
    <w:rsid w:val="28793E20"/>
    <w:rsid w:val="2883247D"/>
    <w:rsid w:val="28935454"/>
    <w:rsid w:val="2894691A"/>
    <w:rsid w:val="28957FD1"/>
    <w:rsid w:val="289601D1"/>
    <w:rsid w:val="28A51924"/>
    <w:rsid w:val="28A905BF"/>
    <w:rsid w:val="28AC5FA3"/>
    <w:rsid w:val="28B256E8"/>
    <w:rsid w:val="28B5297E"/>
    <w:rsid w:val="28C41874"/>
    <w:rsid w:val="28CB1F63"/>
    <w:rsid w:val="28D750FB"/>
    <w:rsid w:val="28EE033E"/>
    <w:rsid w:val="28F32B26"/>
    <w:rsid w:val="28FB48E2"/>
    <w:rsid w:val="28FD1C48"/>
    <w:rsid w:val="29013AFA"/>
    <w:rsid w:val="29073217"/>
    <w:rsid w:val="29126C2E"/>
    <w:rsid w:val="29130308"/>
    <w:rsid w:val="291853E7"/>
    <w:rsid w:val="292C58BE"/>
    <w:rsid w:val="292F7D9C"/>
    <w:rsid w:val="294E7440"/>
    <w:rsid w:val="295B355D"/>
    <w:rsid w:val="295F19D5"/>
    <w:rsid w:val="29633FDB"/>
    <w:rsid w:val="2964062C"/>
    <w:rsid w:val="298463B5"/>
    <w:rsid w:val="29882C4F"/>
    <w:rsid w:val="29B12D8D"/>
    <w:rsid w:val="29B175E9"/>
    <w:rsid w:val="29BD7E79"/>
    <w:rsid w:val="29C0782D"/>
    <w:rsid w:val="29CE5AA6"/>
    <w:rsid w:val="29D202EB"/>
    <w:rsid w:val="29DA409A"/>
    <w:rsid w:val="29DB01C2"/>
    <w:rsid w:val="29DE2C71"/>
    <w:rsid w:val="29DF40A9"/>
    <w:rsid w:val="29E14238"/>
    <w:rsid w:val="2A0571F5"/>
    <w:rsid w:val="2A0D6239"/>
    <w:rsid w:val="2A164385"/>
    <w:rsid w:val="2A175CBD"/>
    <w:rsid w:val="2A1C1078"/>
    <w:rsid w:val="2A34666C"/>
    <w:rsid w:val="2A3548AE"/>
    <w:rsid w:val="2A395F4C"/>
    <w:rsid w:val="2A3C32C3"/>
    <w:rsid w:val="2A465214"/>
    <w:rsid w:val="2A5A1665"/>
    <w:rsid w:val="2A61530C"/>
    <w:rsid w:val="2A7158C9"/>
    <w:rsid w:val="2A837791"/>
    <w:rsid w:val="2A852711"/>
    <w:rsid w:val="2A893932"/>
    <w:rsid w:val="2A8B1446"/>
    <w:rsid w:val="2A8C4CB4"/>
    <w:rsid w:val="2A8F1D46"/>
    <w:rsid w:val="2A9D186C"/>
    <w:rsid w:val="2AB353E5"/>
    <w:rsid w:val="2ABA4476"/>
    <w:rsid w:val="2AC87F39"/>
    <w:rsid w:val="2ACB3B4E"/>
    <w:rsid w:val="2AD37D2B"/>
    <w:rsid w:val="2ADB6F0C"/>
    <w:rsid w:val="2AE51B31"/>
    <w:rsid w:val="2AE631A5"/>
    <w:rsid w:val="2AE97BF9"/>
    <w:rsid w:val="2AF51507"/>
    <w:rsid w:val="2AF86EC1"/>
    <w:rsid w:val="2B007E24"/>
    <w:rsid w:val="2B016D56"/>
    <w:rsid w:val="2B051669"/>
    <w:rsid w:val="2B0A4893"/>
    <w:rsid w:val="2B127FF5"/>
    <w:rsid w:val="2B154A93"/>
    <w:rsid w:val="2B1A0610"/>
    <w:rsid w:val="2B2A13C7"/>
    <w:rsid w:val="2B2A612B"/>
    <w:rsid w:val="2B362F86"/>
    <w:rsid w:val="2B373B1E"/>
    <w:rsid w:val="2B485D2C"/>
    <w:rsid w:val="2B531924"/>
    <w:rsid w:val="2B547350"/>
    <w:rsid w:val="2B653354"/>
    <w:rsid w:val="2B734703"/>
    <w:rsid w:val="2B764647"/>
    <w:rsid w:val="2B7B1535"/>
    <w:rsid w:val="2B812582"/>
    <w:rsid w:val="2B8A7CAB"/>
    <w:rsid w:val="2B9D13A1"/>
    <w:rsid w:val="2BAF6642"/>
    <w:rsid w:val="2BB532F3"/>
    <w:rsid w:val="2BB731A1"/>
    <w:rsid w:val="2BBB5C4A"/>
    <w:rsid w:val="2BD3716A"/>
    <w:rsid w:val="2BDE3AD4"/>
    <w:rsid w:val="2C0003B4"/>
    <w:rsid w:val="2C136339"/>
    <w:rsid w:val="2C171E34"/>
    <w:rsid w:val="2C1F3E82"/>
    <w:rsid w:val="2C2436E0"/>
    <w:rsid w:val="2C285C0F"/>
    <w:rsid w:val="2C2A7A9E"/>
    <w:rsid w:val="2C350ECF"/>
    <w:rsid w:val="2C55425C"/>
    <w:rsid w:val="2C5740D2"/>
    <w:rsid w:val="2C6A3498"/>
    <w:rsid w:val="2C6B1A98"/>
    <w:rsid w:val="2C6F0A0B"/>
    <w:rsid w:val="2C71252E"/>
    <w:rsid w:val="2C723DA3"/>
    <w:rsid w:val="2C98504E"/>
    <w:rsid w:val="2CBA67B5"/>
    <w:rsid w:val="2CBB17A1"/>
    <w:rsid w:val="2CD226C8"/>
    <w:rsid w:val="2CDD4252"/>
    <w:rsid w:val="2CE82DE6"/>
    <w:rsid w:val="2CF70382"/>
    <w:rsid w:val="2D0A3299"/>
    <w:rsid w:val="2D1312A9"/>
    <w:rsid w:val="2D183950"/>
    <w:rsid w:val="2D1968F2"/>
    <w:rsid w:val="2D1B708C"/>
    <w:rsid w:val="2D1F25D3"/>
    <w:rsid w:val="2D216834"/>
    <w:rsid w:val="2D2A3A58"/>
    <w:rsid w:val="2D2C11A6"/>
    <w:rsid w:val="2D372FC3"/>
    <w:rsid w:val="2D3850EF"/>
    <w:rsid w:val="2D640380"/>
    <w:rsid w:val="2D714F9C"/>
    <w:rsid w:val="2D797411"/>
    <w:rsid w:val="2D8D7366"/>
    <w:rsid w:val="2D8E5224"/>
    <w:rsid w:val="2D962D7E"/>
    <w:rsid w:val="2D986AF6"/>
    <w:rsid w:val="2D9D5735"/>
    <w:rsid w:val="2DB1339A"/>
    <w:rsid w:val="2DDA3165"/>
    <w:rsid w:val="2DE42A0F"/>
    <w:rsid w:val="2DF40DF5"/>
    <w:rsid w:val="2DF46387"/>
    <w:rsid w:val="2DF64D67"/>
    <w:rsid w:val="2DF81BE6"/>
    <w:rsid w:val="2E183793"/>
    <w:rsid w:val="2E1C0D50"/>
    <w:rsid w:val="2E287C99"/>
    <w:rsid w:val="2E382F5C"/>
    <w:rsid w:val="2E383E26"/>
    <w:rsid w:val="2E385970"/>
    <w:rsid w:val="2E4134AE"/>
    <w:rsid w:val="2E5549E7"/>
    <w:rsid w:val="2E617A88"/>
    <w:rsid w:val="2E62058C"/>
    <w:rsid w:val="2E63547D"/>
    <w:rsid w:val="2E6C789A"/>
    <w:rsid w:val="2E756038"/>
    <w:rsid w:val="2E7B254B"/>
    <w:rsid w:val="2E840E29"/>
    <w:rsid w:val="2E8C7A38"/>
    <w:rsid w:val="2E8D1A3A"/>
    <w:rsid w:val="2E8E0293"/>
    <w:rsid w:val="2EA367EC"/>
    <w:rsid w:val="2EAB3F94"/>
    <w:rsid w:val="2EAC5F51"/>
    <w:rsid w:val="2EAD2890"/>
    <w:rsid w:val="2EBD3D1F"/>
    <w:rsid w:val="2ECA1E1A"/>
    <w:rsid w:val="2ECB059F"/>
    <w:rsid w:val="2ED77752"/>
    <w:rsid w:val="2EFD4F49"/>
    <w:rsid w:val="2F024736"/>
    <w:rsid w:val="2F0959EA"/>
    <w:rsid w:val="2F2D5F76"/>
    <w:rsid w:val="2F2E5B23"/>
    <w:rsid w:val="2F351767"/>
    <w:rsid w:val="2F4A2072"/>
    <w:rsid w:val="2F4A530E"/>
    <w:rsid w:val="2F4B75B1"/>
    <w:rsid w:val="2F5C28C2"/>
    <w:rsid w:val="2F651B12"/>
    <w:rsid w:val="2F68699C"/>
    <w:rsid w:val="2F7070E5"/>
    <w:rsid w:val="2F755A15"/>
    <w:rsid w:val="2F834AD7"/>
    <w:rsid w:val="2F866DAF"/>
    <w:rsid w:val="2F8844F9"/>
    <w:rsid w:val="2F8D6403"/>
    <w:rsid w:val="2FA34F20"/>
    <w:rsid w:val="2FAC501B"/>
    <w:rsid w:val="2FB02979"/>
    <w:rsid w:val="2FB22CA0"/>
    <w:rsid w:val="2FBB6BC1"/>
    <w:rsid w:val="2FC03366"/>
    <w:rsid w:val="2FD23E16"/>
    <w:rsid w:val="2FE27656"/>
    <w:rsid w:val="2FFB336C"/>
    <w:rsid w:val="30091E78"/>
    <w:rsid w:val="300E1C02"/>
    <w:rsid w:val="300F0BC6"/>
    <w:rsid w:val="301B57BD"/>
    <w:rsid w:val="301C0574"/>
    <w:rsid w:val="301C54E7"/>
    <w:rsid w:val="30275F12"/>
    <w:rsid w:val="30354AD0"/>
    <w:rsid w:val="30384C79"/>
    <w:rsid w:val="3043156F"/>
    <w:rsid w:val="304738A2"/>
    <w:rsid w:val="30544CD1"/>
    <w:rsid w:val="305B0ABE"/>
    <w:rsid w:val="3064615C"/>
    <w:rsid w:val="30666A6A"/>
    <w:rsid w:val="30714293"/>
    <w:rsid w:val="3080393C"/>
    <w:rsid w:val="3087288E"/>
    <w:rsid w:val="30A12166"/>
    <w:rsid w:val="30A36987"/>
    <w:rsid w:val="30A64ADA"/>
    <w:rsid w:val="30BA68AE"/>
    <w:rsid w:val="30BA7E6B"/>
    <w:rsid w:val="30C44766"/>
    <w:rsid w:val="30C85944"/>
    <w:rsid w:val="30CA19FE"/>
    <w:rsid w:val="30CA537E"/>
    <w:rsid w:val="30D047F9"/>
    <w:rsid w:val="30D42A97"/>
    <w:rsid w:val="30D501D4"/>
    <w:rsid w:val="30E1564F"/>
    <w:rsid w:val="30E54FE6"/>
    <w:rsid w:val="30E8664A"/>
    <w:rsid w:val="310A31C0"/>
    <w:rsid w:val="31210BB1"/>
    <w:rsid w:val="31262507"/>
    <w:rsid w:val="31330173"/>
    <w:rsid w:val="314D3105"/>
    <w:rsid w:val="3150593A"/>
    <w:rsid w:val="31635BE3"/>
    <w:rsid w:val="31636D5A"/>
    <w:rsid w:val="31641007"/>
    <w:rsid w:val="31644B4A"/>
    <w:rsid w:val="316B4522"/>
    <w:rsid w:val="316E2211"/>
    <w:rsid w:val="316E4F5A"/>
    <w:rsid w:val="317738B2"/>
    <w:rsid w:val="317E6003"/>
    <w:rsid w:val="319B74FA"/>
    <w:rsid w:val="31A46D53"/>
    <w:rsid w:val="31A50B9C"/>
    <w:rsid w:val="31A82B82"/>
    <w:rsid w:val="31AF09D3"/>
    <w:rsid w:val="31B064FE"/>
    <w:rsid w:val="31C8770C"/>
    <w:rsid w:val="31D11DAD"/>
    <w:rsid w:val="31D648EA"/>
    <w:rsid w:val="31D84ADB"/>
    <w:rsid w:val="31DE6E0A"/>
    <w:rsid w:val="31E66E7E"/>
    <w:rsid w:val="31E7004C"/>
    <w:rsid w:val="31EC38DD"/>
    <w:rsid w:val="31EF67F9"/>
    <w:rsid w:val="3202678C"/>
    <w:rsid w:val="32126C45"/>
    <w:rsid w:val="32250B75"/>
    <w:rsid w:val="3225697D"/>
    <w:rsid w:val="32283F34"/>
    <w:rsid w:val="32340DB8"/>
    <w:rsid w:val="323E597C"/>
    <w:rsid w:val="3241701B"/>
    <w:rsid w:val="32452494"/>
    <w:rsid w:val="324D20CB"/>
    <w:rsid w:val="325B0FE6"/>
    <w:rsid w:val="32854478"/>
    <w:rsid w:val="32910C51"/>
    <w:rsid w:val="329462E9"/>
    <w:rsid w:val="32947A36"/>
    <w:rsid w:val="329D2012"/>
    <w:rsid w:val="32C03EF8"/>
    <w:rsid w:val="32C81A5F"/>
    <w:rsid w:val="32CB52DE"/>
    <w:rsid w:val="32DD0626"/>
    <w:rsid w:val="32E8374F"/>
    <w:rsid w:val="32EB316F"/>
    <w:rsid w:val="32EB591A"/>
    <w:rsid w:val="330005AC"/>
    <w:rsid w:val="330F6B11"/>
    <w:rsid w:val="3323670F"/>
    <w:rsid w:val="332C397C"/>
    <w:rsid w:val="332D7CE1"/>
    <w:rsid w:val="334F04DA"/>
    <w:rsid w:val="3363687C"/>
    <w:rsid w:val="33670A98"/>
    <w:rsid w:val="337057EE"/>
    <w:rsid w:val="33723D7B"/>
    <w:rsid w:val="337F567A"/>
    <w:rsid w:val="33807E3D"/>
    <w:rsid w:val="33836C49"/>
    <w:rsid w:val="339A5A99"/>
    <w:rsid w:val="33AD2BD0"/>
    <w:rsid w:val="33AD2C00"/>
    <w:rsid w:val="33CE3CE5"/>
    <w:rsid w:val="33D62118"/>
    <w:rsid w:val="33D939C5"/>
    <w:rsid w:val="33E34843"/>
    <w:rsid w:val="33ED762F"/>
    <w:rsid w:val="33FE27B0"/>
    <w:rsid w:val="34076784"/>
    <w:rsid w:val="34194776"/>
    <w:rsid w:val="341E7746"/>
    <w:rsid w:val="342323F8"/>
    <w:rsid w:val="34242A8F"/>
    <w:rsid w:val="34242DD3"/>
    <w:rsid w:val="3425197E"/>
    <w:rsid w:val="34277156"/>
    <w:rsid w:val="342A06C4"/>
    <w:rsid w:val="342C7F98"/>
    <w:rsid w:val="343F1880"/>
    <w:rsid w:val="3441046C"/>
    <w:rsid w:val="3442069E"/>
    <w:rsid w:val="344D4BBE"/>
    <w:rsid w:val="345319C9"/>
    <w:rsid w:val="345676E5"/>
    <w:rsid w:val="345E597F"/>
    <w:rsid w:val="3461791C"/>
    <w:rsid w:val="346E1088"/>
    <w:rsid w:val="347D41FC"/>
    <w:rsid w:val="34943763"/>
    <w:rsid w:val="34980849"/>
    <w:rsid w:val="34B66963"/>
    <w:rsid w:val="34D36666"/>
    <w:rsid w:val="34F90218"/>
    <w:rsid w:val="351235E8"/>
    <w:rsid w:val="351D0A29"/>
    <w:rsid w:val="3529272A"/>
    <w:rsid w:val="353772C3"/>
    <w:rsid w:val="35407A77"/>
    <w:rsid w:val="35426086"/>
    <w:rsid w:val="354833FF"/>
    <w:rsid w:val="35490324"/>
    <w:rsid w:val="35527ED3"/>
    <w:rsid w:val="356934AE"/>
    <w:rsid w:val="35757BCD"/>
    <w:rsid w:val="35786B9B"/>
    <w:rsid w:val="357C7345"/>
    <w:rsid w:val="358C3362"/>
    <w:rsid w:val="359369E2"/>
    <w:rsid w:val="3594667F"/>
    <w:rsid w:val="35BA6262"/>
    <w:rsid w:val="35CB6D05"/>
    <w:rsid w:val="35D06154"/>
    <w:rsid w:val="35D60949"/>
    <w:rsid w:val="35DC76A7"/>
    <w:rsid w:val="35E13004"/>
    <w:rsid w:val="35EE1795"/>
    <w:rsid w:val="35EF14F5"/>
    <w:rsid w:val="35FD57D6"/>
    <w:rsid w:val="36140187"/>
    <w:rsid w:val="36307945"/>
    <w:rsid w:val="36392384"/>
    <w:rsid w:val="3644584B"/>
    <w:rsid w:val="364B035D"/>
    <w:rsid w:val="365C4512"/>
    <w:rsid w:val="36637AA8"/>
    <w:rsid w:val="36780B29"/>
    <w:rsid w:val="367969C3"/>
    <w:rsid w:val="368871FB"/>
    <w:rsid w:val="369812C8"/>
    <w:rsid w:val="36A22655"/>
    <w:rsid w:val="36B019E1"/>
    <w:rsid w:val="36B43F1A"/>
    <w:rsid w:val="36C206A9"/>
    <w:rsid w:val="36D55D6B"/>
    <w:rsid w:val="36F04DE0"/>
    <w:rsid w:val="36F8489C"/>
    <w:rsid w:val="36F95DB6"/>
    <w:rsid w:val="370922E2"/>
    <w:rsid w:val="371357B7"/>
    <w:rsid w:val="37167C98"/>
    <w:rsid w:val="37203D48"/>
    <w:rsid w:val="3729199D"/>
    <w:rsid w:val="372F098C"/>
    <w:rsid w:val="37321D6A"/>
    <w:rsid w:val="373460A1"/>
    <w:rsid w:val="37525A19"/>
    <w:rsid w:val="37657199"/>
    <w:rsid w:val="376A3DBD"/>
    <w:rsid w:val="376B7B7F"/>
    <w:rsid w:val="37866CC0"/>
    <w:rsid w:val="378E769E"/>
    <w:rsid w:val="378F5A7E"/>
    <w:rsid w:val="37907A35"/>
    <w:rsid w:val="3793123B"/>
    <w:rsid w:val="379B616B"/>
    <w:rsid w:val="379D074C"/>
    <w:rsid w:val="37A063CC"/>
    <w:rsid w:val="37A147F9"/>
    <w:rsid w:val="37A17350"/>
    <w:rsid w:val="37A27B2D"/>
    <w:rsid w:val="37A37D2B"/>
    <w:rsid w:val="37A57288"/>
    <w:rsid w:val="37A854F2"/>
    <w:rsid w:val="37B32013"/>
    <w:rsid w:val="37C3124C"/>
    <w:rsid w:val="37D14649"/>
    <w:rsid w:val="37D512FF"/>
    <w:rsid w:val="37E537BE"/>
    <w:rsid w:val="37EB7526"/>
    <w:rsid w:val="37EC4E2B"/>
    <w:rsid w:val="37ED6241"/>
    <w:rsid w:val="37ED7A3F"/>
    <w:rsid w:val="37F00FC5"/>
    <w:rsid w:val="3806155D"/>
    <w:rsid w:val="380B04EE"/>
    <w:rsid w:val="380B6117"/>
    <w:rsid w:val="38124068"/>
    <w:rsid w:val="3812716A"/>
    <w:rsid w:val="38172D0E"/>
    <w:rsid w:val="38183972"/>
    <w:rsid w:val="381B5AFC"/>
    <w:rsid w:val="38251B90"/>
    <w:rsid w:val="38290817"/>
    <w:rsid w:val="382A1C82"/>
    <w:rsid w:val="382A7A6E"/>
    <w:rsid w:val="382D1181"/>
    <w:rsid w:val="38330DBB"/>
    <w:rsid w:val="38342582"/>
    <w:rsid w:val="383F00A7"/>
    <w:rsid w:val="384004B6"/>
    <w:rsid w:val="3841692B"/>
    <w:rsid w:val="3852064A"/>
    <w:rsid w:val="38571C58"/>
    <w:rsid w:val="38581A97"/>
    <w:rsid w:val="385B0E4C"/>
    <w:rsid w:val="387632D3"/>
    <w:rsid w:val="388C4149"/>
    <w:rsid w:val="38994363"/>
    <w:rsid w:val="38A0405F"/>
    <w:rsid w:val="38B53415"/>
    <w:rsid w:val="38BB3F25"/>
    <w:rsid w:val="38BB75B5"/>
    <w:rsid w:val="38BE388D"/>
    <w:rsid w:val="38D61E41"/>
    <w:rsid w:val="38DE1A7D"/>
    <w:rsid w:val="38F02280"/>
    <w:rsid w:val="38F147F2"/>
    <w:rsid w:val="38F40B69"/>
    <w:rsid w:val="39027323"/>
    <w:rsid w:val="39152B93"/>
    <w:rsid w:val="39227DA7"/>
    <w:rsid w:val="393F076E"/>
    <w:rsid w:val="394F0E2B"/>
    <w:rsid w:val="395F004C"/>
    <w:rsid w:val="396362C1"/>
    <w:rsid w:val="3969127A"/>
    <w:rsid w:val="396C66B8"/>
    <w:rsid w:val="39736CE6"/>
    <w:rsid w:val="397530E5"/>
    <w:rsid w:val="397664DD"/>
    <w:rsid w:val="397744A3"/>
    <w:rsid w:val="398971EA"/>
    <w:rsid w:val="398C3B7F"/>
    <w:rsid w:val="399203AA"/>
    <w:rsid w:val="39960536"/>
    <w:rsid w:val="399742A4"/>
    <w:rsid w:val="39AF176A"/>
    <w:rsid w:val="39CB668F"/>
    <w:rsid w:val="39D05D60"/>
    <w:rsid w:val="39D06EF8"/>
    <w:rsid w:val="39D834D9"/>
    <w:rsid w:val="39EE7A9E"/>
    <w:rsid w:val="39F050AE"/>
    <w:rsid w:val="39FF7EFD"/>
    <w:rsid w:val="3A021114"/>
    <w:rsid w:val="3A281DD1"/>
    <w:rsid w:val="3A313DDF"/>
    <w:rsid w:val="3A476E76"/>
    <w:rsid w:val="3A502ADD"/>
    <w:rsid w:val="3A550F4B"/>
    <w:rsid w:val="3A6164C2"/>
    <w:rsid w:val="3A624F9E"/>
    <w:rsid w:val="3A647C65"/>
    <w:rsid w:val="3A6C0DE5"/>
    <w:rsid w:val="3A6D320B"/>
    <w:rsid w:val="3A6D7E6C"/>
    <w:rsid w:val="3A6E2E52"/>
    <w:rsid w:val="3A70355D"/>
    <w:rsid w:val="3A7D49D9"/>
    <w:rsid w:val="3A9B16E9"/>
    <w:rsid w:val="3AAA60BB"/>
    <w:rsid w:val="3AAF6126"/>
    <w:rsid w:val="3AB1593F"/>
    <w:rsid w:val="3ABE6841"/>
    <w:rsid w:val="3ABE79AB"/>
    <w:rsid w:val="3ACC08B0"/>
    <w:rsid w:val="3ACC4283"/>
    <w:rsid w:val="3ACE5B99"/>
    <w:rsid w:val="3ACF5B21"/>
    <w:rsid w:val="3AD314C7"/>
    <w:rsid w:val="3AE248FA"/>
    <w:rsid w:val="3AEA1BFB"/>
    <w:rsid w:val="3AED6AC9"/>
    <w:rsid w:val="3AF94BB6"/>
    <w:rsid w:val="3B022F25"/>
    <w:rsid w:val="3B1704E7"/>
    <w:rsid w:val="3B177956"/>
    <w:rsid w:val="3B1E51EE"/>
    <w:rsid w:val="3B23481A"/>
    <w:rsid w:val="3B3757BB"/>
    <w:rsid w:val="3B3B78E3"/>
    <w:rsid w:val="3B3E0D00"/>
    <w:rsid w:val="3B605538"/>
    <w:rsid w:val="3B751BA4"/>
    <w:rsid w:val="3B841D62"/>
    <w:rsid w:val="3B882057"/>
    <w:rsid w:val="3B966D48"/>
    <w:rsid w:val="3B9F67BF"/>
    <w:rsid w:val="3BB21CB9"/>
    <w:rsid w:val="3BC1546A"/>
    <w:rsid w:val="3BCE73EE"/>
    <w:rsid w:val="3BD66A3C"/>
    <w:rsid w:val="3BDB0BDC"/>
    <w:rsid w:val="3BDF7DBF"/>
    <w:rsid w:val="3BFE6119"/>
    <w:rsid w:val="3C006118"/>
    <w:rsid w:val="3C0F2EDB"/>
    <w:rsid w:val="3C1C3D7E"/>
    <w:rsid w:val="3C2331F8"/>
    <w:rsid w:val="3C3420E0"/>
    <w:rsid w:val="3C3D38CC"/>
    <w:rsid w:val="3C457188"/>
    <w:rsid w:val="3C47058F"/>
    <w:rsid w:val="3C4B2BE6"/>
    <w:rsid w:val="3C4E0BE0"/>
    <w:rsid w:val="3C543D05"/>
    <w:rsid w:val="3C550487"/>
    <w:rsid w:val="3C602601"/>
    <w:rsid w:val="3C6276EB"/>
    <w:rsid w:val="3C64516F"/>
    <w:rsid w:val="3C6B4E92"/>
    <w:rsid w:val="3C6F2B98"/>
    <w:rsid w:val="3C7654DF"/>
    <w:rsid w:val="3C827292"/>
    <w:rsid w:val="3C876996"/>
    <w:rsid w:val="3C935E41"/>
    <w:rsid w:val="3CAD38B5"/>
    <w:rsid w:val="3CB163D2"/>
    <w:rsid w:val="3CD221EF"/>
    <w:rsid w:val="3CE9745B"/>
    <w:rsid w:val="3CEC2556"/>
    <w:rsid w:val="3CED4ADC"/>
    <w:rsid w:val="3CF62F92"/>
    <w:rsid w:val="3D0F2C67"/>
    <w:rsid w:val="3D235CB1"/>
    <w:rsid w:val="3D247BC8"/>
    <w:rsid w:val="3D2707CD"/>
    <w:rsid w:val="3D2F576D"/>
    <w:rsid w:val="3D374762"/>
    <w:rsid w:val="3D381B1A"/>
    <w:rsid w:val="3D3E2DB3"/>
    <w:rsid w:val="3D3E2EF3"/>
    <w:rsid w:val="3D3F246B"/>
    <w:rsid w:val="3D404CDE"/>
    <w:rsid w:val="3D714D9C"/>
    <w:rsid w:val="3D7333A9"/>
    <w:rsid w:val="3D827DBA"/>
    <w:rsid w:val="3D862B13"/>
    <w:rsid w:val="3D8B1CB7"/>
    <w:rsid w:val="3D9C7380"/>
    <w:rsid w:val="3DA2077B"/>
    <w:rsid w:val="3DA548B8"/>
    <w:rsid w:val="3DA70690"/>
    <w:rsid w:val="3DAE3B66"/>
    <w:rsid w:val="3DB50FFF"/>
    <w:rsid w:val="3DBA5CD6"/>
    <w:rsid w:val="3DC41D73"/>
    <w:rsid w:val="3E083824"/>
    <w:rsid w:val="3E12444F"/>
    <w:rsid w:val="3E1C32BB"/>
    <w:rsid w:val="3E29644F"/>
    <w:rsid w:val="3E365D04"/>
    <w:rsid w:val="3E457B84"/>
    <w:rsid w:val="3E5B4A96"/>
    <w:rsid w:val="3E5D1032"/>
    <w:rsid w:val="3E5F25DA"/>
    <w:rsid w:val="3E8C07FA"/>
    <w:rsid w:val="3E9560B7"/>
    <w:rsid w:val="3EB80272"/>
    <w:rsid w:val="3EBB0897"/>
    <w:rsid w:val="3EC66DC8"/>
    <w:rsid w:val="3EC967DD"/>
    <w:rsid w:val="3ECB7E24"/>
    <w:rsid w:val="3EE34B5E"/>
    <w:rsid w:val="3EE47E50"/>
    <w:rsid w:val="3EF10E76"/>
    <w:rsid w:val="3EF2616B"/>
    <w:rsid w:val="3EF40862"/>
    <w:rsid w:val="3EFB58EA"/>
    <w:rsid w:val="3F2F5F7C"/>
    <w:rsid w:val="3F31127B"/>
    <w:rsid w:val="3F31220B"/>
    <w:rsid w:val="3F3E1957"/>
    <w:rsid w:val="3F4024F1"/>
    <w:rsid w:val="3F4B39E1"/>
    <w:rsid w:val="3F4D7D24"/>
    <w:rsid w:val="3F5018BE"/>
    <w:rsid w:val="3F516B93"/>
    <w:rsid w:val="3F5558E0"/>
    <w:rsid w:val="3F6F3151"/>
    <w:rsid w:val="3F7E5908"/>
    <w:rsid w:val="3F826110"/>
    <w:rsid w:val="3F9D4B2D"/>
    <w:rsid w:val="3F9E48DF"/>
    <w:rsid w:val="3F9E53DB"/>
    <w:rsid w:val="3FAC6431"/>
    <w:rsid w:val="3FAD3644"/>
    <w:rsid w:val="3FB16418"/>
    <w:rsid w:val="3FB91F1E"/>
    <w:rsid w:val="3FBA4FB2"/>
    <w:rsid w:val="3FBC6DA1"/>
    <w:rsid w:val="3FC80EA0"/>
    <w:rsid w:val="3FD06369"/>
    <w:rsid w:val="3FD3331E"/>
    <w:rsid w:val="3FD462CB"/>
    <w:rsid w:val="3FD81185"/>
    <w:rsid w:val="3FDD4E17"/>
    <w:rsid w:val="3FDE711A"/>
    <w:rsid w:val="3FEF631E"/>
    <w:rsid w:val="3FF1670B"/>
    <w:rsid w:val="3FF63945"/>
    <w:rsid w:val="400D1A79"/>
    <w:rsid w:val="401364B0"/>
    <w:rsid w:val="40145165"/>
    <w:rsid w:val="401C35C1"/>
    <w:rsid w:val="4021297B"/>
    <w:rsid w:val="40224945"/>
    <w:rsid w:val="402B46BD"/>
    <w:rsid w:val="403B6638"/>
    <w:rsid w:val="404B6C01"/>
    <w:rsid w:val="40513061"/>
    <w:rsid w:val="405446C0"/>
    <w:rsid w:val="405A5E8D"/>
    <w:rsid w:val="406953FE"/>
    <w:rsid w:val="406D5354"/>
    <w:rsid w:val="408D4932"/>
    <w:rsid w:val="40A27F80"/>
    <w:rsid w:val="40A51E73"/>
    <w:rsid w:val="40B148F6"/>
    <w:rsid w:val="40B80747"/>
    <w:rsid w:val="40BB4C8F"/>
    <w:rsid w:val="40E61FD1"/>
    <w:rsid w:val="40FD559B"/>
    <w:rsid w:val="40FF45AC"/>
    <w:rsid w:val="4104473A"/>
    <w:rsid w:val="410C61D1"/>
    <w:rsid w:val="41230975"/>
    <w:rsid w:val="41270B4A"/>
    <w:rsid w:val="41300999"/>
    <w:rsid w:val="4130203D"/>
    <w:rsid w:val="413258C6"/>
    <w:rsid w:val="413D3C7B"/>
    <w:rsid w:val="413D4C93"/>
    <w:rsid w:val="41455C40"/>
    <w:rsid w:val="414F61FB"/>
    <w:rsid w:val="41566508"/>
    <w:rsid w:val="415822AF"/>
    <w:rsid w:val="415A48E7"/>
    <w:rsid w:val="41625935"/>
    <w:rsid w:val="416A7B1A"/>
    <w:rsid w:val="416B795B"/>
    <w:rsid w:val="41863A79"/>
    <w:rsid w:val="41904D52"/>
    <w:rsid w:val="41A21196"/>
    <w:rsid w:val="41A654B0"/>
    <w:rsid w:val="41A83335"/>
    <w:rsid w:val="41AF6369"/>
    <w:rsid w:val="41B90881"/>
    <w:rsid w:val="41C71BD7"/>
    <w:rsid w:val="41D1346C"/>
    <w:rsid w:val="41D323B8"/>
    <w:rsid w:val="41EB61F5"/>
    <w:rsid w:val="41EC07F5"/>
    <w:rsid w:val="4202448D"/>
    <w:rsid w:val="42026587"/>
    <w:rsid w:val="42132BCD"/>
    <w:rsid w:val="421601B0"/>
    <w:rsid w:val="42191A02"/>
    <w:rsid w:val="42200157"/>
    <w:rsid w:val="42356146"/>
    <w:rsid w:val="42383FB6"/>
    <w:rsid w:val="423B715F"/>
    <w:rsid w:val="424A4629"/>
    <w:rsid w:val="426A1EC4"/>
    <w:rsid w:val="426C1E75"/>
    <w:rsid w:val="42755200"/>
    <w:rsid w:val="42756FAE"/>
    <w:rsid w:val="42784CF1"/>
    <w:rsid w:val="4278598E"/>
    <w:rsid w:val="427A326D"/>
    <w:rsid w:val="428124BC"/>
    <w:rsid w:val="42817F32"/>
    <w:rsid w:val="4283086E"/>
    <w:rsid w:val="42837AAD"/>
    <w:rsid w:val="42837D37"/>
    <w:rsid w:val="42AA1D83"/>
    <w:rsid w:val="42B65547"/>
    <w:rsid w:val="42BC4BDD"/>
    <w:rsid w:val="42D31A8C"/>
    <w:rsid w:val="42D71A17"/>
    <w:rsid w:val="42F07EAF"/>
    <w:rsid w:val="430E1541"/>
    <w:rsid w:val="430E4474"/>
    <w:rsid w:val="43164C61"/>
    <w:rsid w:val="43276A9C"/>
    <w:rsid w:val="432D323D"/>
    <w:rsid w:val="43374301"/>
    <w:rsid w:val="43553A8B"/>
    <w:rsid w:val="435878E6"/>
    <w:rsid w:val="43595790"/>
    <w:rsid w:val="435F391F"/>
    <w:rsid w:val="43687997"/>
    <w:rsid w:val="436E45C4"/>
    <w:rsid w:val="438100D7"/>
    <w:rsid w:val="43965210"/>
    <w:rsid w:val="439770C4"/>
    <w:rsid w:val="43A83329"/>
    <w:rsid w:val="43AD04A2"/>
    <w:rsid w:val="43CA50F1"/>
    <w:rsid w:val="43EF4C65"/>
    <w:rsid w:val="4402062A"/>
    <w:rsid w:val="440545FC"/>
    <w:rsid w:val="440C6831"/>
    <w:rsid w:val="442112C6"/>
    <w:rsid w:val="443B31AB"/>
    <w:rsid w:val="443D58AA"/>
    <w:rsid w:val="44520B70"/>
    <w:rsid w:val="445552E9"/>
    <w:rsid w:val="44803190"/>
    <w:rsid w:val="44832363"/>
    <w:rsid w:val="4491328F"/>
    <w:rsid w:val="44945402"/>
    <w:rsid w:val="44946070"/>
    <w:rsid w:val="449973FB"/>
    <w:rsid w:val="44A241A9"/>
    <w:rsid w:val="44A27907"/>
    <w:rsid w:val="44A975F8"/>
    <w:rsid w:val="44B21C25"/>
    <w:rsid w:val="44B57B36"/>
    <w:rsid w:val="44CC6792"/>
    <w:rsid w:val="44CF71AB"/>
    <w:rsid w:val="44D725A8"/>
    <w:rsid w:val="44DC7671"/>
    <w:rsid w:val="44E27991"/>
    <w:rsid w:val="44EE3124"/>
    <w:rsid w:val="44EF4A48"/>
    <w:rsid w:val="44F2510F"/>
    <w:rsid w:val="44F5417B"/>
    <w:rsid w:val="44FA6926"/>
    <w:rsid w:val="45071A91"/>
    <w:rsid w:val="4514742D"/>
    <w:rsid w:val="4517434D"/>
    <w:rsid w:val="4523560D"/>
    <w:rsid w:val="45246F22"/>
    <w:rsid w:val="45281C6D"/>
    <w:rsid w:val="45312DE2"/>
    <w:rsid w:val="453248AC"/>
    <w:rsid w:val="453E7C19"/>
    <w:rsid w:val="454B2190"/>
    <w:rsid w:val="455235D7"/>
    <w:rsid w:val="4557347D"/>
    <w:rsid w:val="456244DA"/>
    <w:rsid w:val="456C2437"/>
    <w:rsid w:val="456E0204"/>
    <w:rsid w:val="45700811"/>
    <w:rsid w:val="457009C7"/>
    <w:rsid w:val="45765517"/>
    <w:rsid w:val="457D2A47"/>
    <w:rsid w:val="457F31B6"/>
    <w:rsid w:val="45A364CB"/>
    <w:rsid w:val="45B77A7F"/>
    <w:rsid w:val="45DB34EF"/>
    <w:rsid w:val="45E10B02"/>
    <w:rsid w:val="45E64357"/>
    <w:rsid w:val="45EC7EE1"/>
    <w:rsid w:val="45F97A3B"/>
    <w:rsid w:val="46063934"/>
    <w:rsid w:val="461E3FED"/>
    <w:rsid w:val="46217D67"/>
    <w:rsid w:val="46330D56"/>
    <w:rsid w:val="463D6E19"/>
    <w:rsid w:val="463E3B5B"/>
    <w:rsid w:val="46435FB5"/>
    <w:rsid w:val="465503CA"/>
    <w:rsid w:val="4664220A"/>
    <w:rsid w:val="46660B15"/>
    <w:rsid w:val="46690BD8"/>
    <w:rsid w:val="46845B8C"/>
    <w:rsid w:val="4685178A"/>
    <w:rsid w:val="469228F8"/>
    <w:rsid w:val="46942384"/>
    <w:rsid w:val="469F1224"/>
    <w:rsid w:val="469F1ACD"/>
    <w:rsid w:val="46A3775F"/>
    <w:rsid w:val="46A96BEB"/>
    <w:rsid w:val="46AF39B2"/>
    <w:rsid w:val="46C53F32"/>
    <w:rsid w:val="46D279E6"/>
    <w:rsid w:val="46D40D4A"/>
    <w:rsid w:val="46E81166"/>
    <w:rsid w:val="46F87B6E"/>
    <w:rsid w:val="47091192"/>
    <w:rsid w:val="4709292F"/>
    <w:rsid w:val="470B71A8"/>
    <w:rsid w:val="470F2BCE"/>
    <w:rsid w:val="470F3D44"/>
    <w:rsid w:val="47240C6D"/>
    <w:rsid w:val="47243E01"/>
    <w:rsid w:val="47320639"/>
    <w:rsid w:val="47340AD7"/>
    <w:rsid w:val="47347647"/>
    <w:rsid w:val="47360BFD"/>
    <w:rsid w:val="47383A0A"/>
    <w:rsid w:val="47592C3D"/>
    <w:rsid w:val="476C3FDF"/>
    <w:rsid w:val="476C76F8"/>
    <w:rsid w:val="47712C01"/>
    <w:rsid w:val="47821EA2"/>
    <w:rsid w:val="478943A0"/>
    <w:rsid w:val="47982347"/>
    <w:rsid w:val="479D6A29"/>
    <w:rsid w:val="47A0155D"/>
    <w:rsid w:val="47A404A7"/>
    <w:rsid w:val="47AA594C"/>
    <w:rsid w:val="47B40579"/>
    <w:rsid w:val="47B656EC"/>
    <w:rsid w:val="47BC0824"/>
    <w:rsid w:val="47BE3668"/>
    <w:rsid w:val="47C26110"/>
    <w:rsid w:val="47D91D8D"/>
    <w:rsid w:val="47E2114A"/>
    <w:rsid w:val="481848B0"/>
    <w:rsid w:val="48185DAA"/>
    <w:rsid w:val="481C76CB"/>
    <w:rsid w:val="48206B2D"/>
    <w:rsid w:val="4823062A"/>
    <w:rsid w:val="48251795"/>
    <w:rsid w:val="482B3464"/>
    <w:rsid w:val="482C2764"/>
    <w:rsid w:val="483D0E3D"/>
    <w:rsid w:val="48455675"/>
    <w:rsid w:val="48475C0D"/>
    <w:rsid w:val="48594C7C"/>
    <w:rsid w:val="48654968"/>
    <w:rsid w:val="487744A3"/>
    <w:rsid w:val="487A6593"/>
    <w:rsid w:val="48857523"/>
    <w:rsid w:val="488727EE"/>
    <w:rsid w:val="489E7B27"/>
    <w:rsid w:val="48A15577"/>
    <w:rsid w:val="48A51C8F"/>
    <w:rsid w:val="48A85977"/>
    <w:rsid w:val="48AC5B47"/>
    <w:rsid w:val="48CA06B1"/>
    <w:rsid w:val="48D367DD"/>
    <w:rsid w:val="48DF30BC"/>
    <w:rsid w:val="48E456B6"/>
    <w:rsid w:val="48F6071D"/>
    <w:rsid w:val="48FC665F"/>
    <w:rsid w:val="49057E75"/>
    <w:rsid w:val="491110C7"/>
    <w:rsid w:val="492437C3"/>
    <w:rsid w:val="49305D30"/>
    <w:rsid w:val="493F035C"/>
    <w:rsid w:val="4942011A"/>
    <w:rsid w:val="49494CF1"/>
    <w:rsid w:val="49523BA5"/>
    <w:rsid w:val="495A0630"/>
    <w:rsid w:val="495A212D"/>
    <w:rsid w:val="495D7F48"/>
    <w:rsid w:val="497636B1"/>
    <w:rsid w:val="4979492D"/>
    <w:rsid w:val="497A68DE"/>
    <w:rsid w:val="497B3923"/>
    <w:rsid w:val="497F305F"/>
    <w:rsid w:val="498B51B3"/>
    <w:rsid w:val="49934AA1"/>
    <w:rsid w:val="499B1040"/>
    <w:rsid w:val="49AA19C3"/>
    <w:rsid w:val="49AD523B"/>
    <w:rsid w:val="49B20AE8"/>
    <w:rsid w:val="49B836BD"/>
    <w:rsid w:val="49BE73C0"/>
    <w:rsid w:val="49C5081B"/>
    <w:rsid w:val="49C72786"/>
    <w:rsid w:val="49D659EA"/>
    <w:rsid w:val="49D96CC7"/>
    <w:rsid w:val="49E05B14"/>
    <w:rsid w:val="49F301B9"/>
    <w:rsid w:val="49FA3A3A"/>
    <w:rsid w:val="49FA46A4"/>
    <w:rsid w:val="4A072B32"/>
    <w:rsid w:val="4A2E1106"/>
    <w:rsid w:val="4A31365B"/>
    <w:rsid w:val="4A484FA8"/>
    <w:rsid w:val="4A4C47EF"/>
    <w:rsid w:val="4A54324A"/>
    <w:rsid w:val="4A543791"/>
    <w:rsid w:val="4A5455BF"/>
    <w:rsid w:val="4A767D68"/>
    <w:rsid w:val="4A807379"/>
    <w:rsid w:val="4A874006"/>
    <w:rsid w:val="4A937783"/>
    <w:rsid w:val="4A9A0F36"/>
    <w:rsid w:val="4A9E65FC"/>
    <w:rsid w:val="4AAB1D95"/>
    <w:rsid w:val="4AC14DA3"/>
    <w:rsid w:val="4AC76815"/>
    <w:rsid w:val="4AD417E9"/>
    <w:rsid w:val="4AD60F74"/>
    <w:rsid w:val="4AE40A60"/>
    <w:rsid w:val="4AE57227"/>
    <w:rsid w:val="4AEB0D99"/>
    <w:rsid w:val="4AF53B0E"/>
    <w:rsid w:val="4AF61EA3"/>
    <w:rsid w:val="4AFA6CB5"/>
    <w:rsid w:val="4B054C48"/>
    <w:rsid w:val="4B0610EB"/>
    <w:rsid w:val="4B0A3CE8"/>
    <w:rsid w:val="4B0E629F"/>
    <w:rsid w:val="4B1F0B17"/>
    <w:rsid w:val="4B2E7076"/>
    <w:rsid w:val="4B3F5018"/>
    <w:rsid w:val="4B4F78DE"/>
    <w:rsid w:val="4B502367"/>
    <w:rsid w:val="4B627E51"/>
    <w:rsid w:val="4B7D0A36"/>
    <w:rsid w:val="4B867F1B"/>
    <w:rsid w:val="4B92297F"/>
    <w:rsid w:val="4B970CC5"/>
    <w:rsid w:val="4B983A05"/>
    <w:rsid w:val="4B9E17CF"/>
    <w:rsid w:val="4BA202E8"/>
    <w:rsid w:val="4BA4465C"/>
    <w:rsid w:val="4BAC4A3A"/>
    <w:rsid w:val="4BC75102"/>
    <w:rsid w:val="4BD148BC"/>
    <w:rsid w:val="4BE551A5"/>
    <w:rsid w:val="4BE90EAA"/>
    <w:rsid w:val="4BF31821"/>
    <w:rsid w:val="4BF84D7B"/>
    <w:rsid w:val="4BFB53A4"/>
    <w:rsid w:val="4C006D89"/>
    <w:rsid w:val="4C05772D"/>
    <w:rsid w:val="4C073879"/>
    <w:rsid w:val="4C093533"/>
    <w:rsid w:val="4C0A5786"/>
    <w:rsid w:val="4C177155"/>
    <w:rsid w:val="4C266551"/>
    <w:rsid w:val="4C327CBE"/>
    <w:rsid w:val="4C367C84"/>
    <w:rsid w:val="4C391BB4"/>
    <w:rsid w:val="4C3F3658"/>
    <w:rsid w:val="4C4C6D30"/>
    <w:rsid w:val="4C4D2043"/>
    <w:rsid w:val="4C5C2AE1"/>
    <w:rsid w:val="4C644A74"/>
    <w:rsid w:val="4C6522B3"/>
    <w:rsid w:val="4C7670B0"/>
    <w:rsid w:val="4C814631"/>
    <w:rsid w:val="4C8C0BFE"/>
    <w:rsid w:val="4C927ECB"/>
    <w:rsid w:val="4CAF7BEB"/>
    <w:rsid w:val="4CB701C3"/>
    <w:rsid w:val="4CBB62EE"/>
    <w:rsid w:val="4CBD13AA"/>
    <w:rsid w:val="4CBF5559"/>
    <w:rsid w:val="4CCB1A59"/>
    <w:rsid w:val="4CD23083"/>
    <w:rsid w:val="4CD46DDD"/>
    <w:rsid w:val="4CD638BC"/>
    <w:rsid w:val="4CDE155A"/>
    <w:rsid w:val="4CDE35F6"/>
    <w:rsid w:val="4CE54D31"/>
    <w:rsid w:val="4CF97076"/>
    <w:rsid w:val="4D001445"/>
    <w:rsid w:val="4D1A39D4"/>
    <w:rsid w:val="4D243A3C"/>
    <w:rsid w:val="4D2C2C5D"/>
    <w:rsid w:val="4D31441A"/>
    <w:rsid w:val="4D3D7270"/>
    <w:rsid w:val="4D3F4582"/>
    <w:rsid w:val="4D626A8D"/>
    <w:rsid w:val="4D763298"/>
    <w:rsid w:val="4D7A36CB"/>
    <w:rsid w:val="4D7D19FF"/>
    <w:rsid w:val="4D7F2168"/>
    <w:rsid w:val="4D8B3B2A"/>
    <w:rsid w:val="4D9F465E"/>
    <w:rsid w:val="4DAE2CA7"/>
    <w:rsid w:val="4DB1031F"/>
    <w:rsid w:val="4DC22360"/>
    <w:rsid w:val="4DC338A0"/>
    <w:rsid w:val="4DC55F7E"/>
    <w:rsid w:val="4DCD2824"/>
    <w:rsid w:val="4DD110B1"/>
    <w:rsid w:val="4DD97B58"/>
    <w:rsid w:val="4DDD02CE"/>
    <w:rsid w:val="4DDE02CB"/>
    <w:rsid w:val="4E097634"/>
    <w:rsid w:val="4E141504"/>
    <w:rsid w:val="4E15494F"/>
    <w:rsid w:val="4E187038"/>
    <w:rsid w:val="4E213094"/>
    <w:rsid w:val="4E23222F"/>
    <w:rsid w:val="4E254A6D"/>
    <w:rsid w:val="4E2E0157"/>
    <w:rsid w:val="4E31577A"/>
    <w:rsid w:val="4E340E3B"/>
    <w:rsid w:val="4E380649"/>
    <w:rsid w:val="4E3B16C7"/>
    <w:rsid w:val="4E4B32B9"/>
    <w:rsid w:val="4E4F1C34"/>
    <w:rsid w:val="4E5A4A8A"/>
    <w:rsid w:val="4E6F5A5B"/>
    <w:rsid w:val="4E736F1E"/>
    <w:rsid w:val="4E791BD4"/>
    <w:rsid w:val="4E7F70F3"/>
    <w:rsid w:val="4E934B85"/>
    <w:rsid w:val="4EB86653"/>
    <w:rsid w:val="4EBD5F65"/>
    <w:rsid w:val="4EC76A41"/>
    <w:rsid w:val="4EE42493"/>
    <w:rsid w:val="4EE649A3"/>
    <w:rsid w:val="4EED611E"/>
    <w:rsid w:val="4EF04B35"/>
    <w:rsid w:val="4EF26892"/>
    <w:rsid w:val="4EF67834"/>
    <w:rsid w:val="4F0301D8"/>
    <w:rsid w:val="4F03752E"/>
    <w:rsid w:val="4F0749CA"/>
    <w:rsid w:val="4F0D38E9"/>
    <w:rsid w:val="4F14457A"/>
    <w:rsid w:val="4F3F13D1"/>
    <w:rsid w:val="4F4977F9"/>
    <w:rsid w:val="4F4A14B6"/>
    <w:rsid w:val="4F4C621D"/>
    <w:rsid w:val="4F4E1ED5"/>
    <w:rsid w:val="4F651443"/>
    <w:rsid w:val="4F734C9E"/>
    <w:rsid w:val="4F82105D"/>
    <w:rsid w:val="4F8F039F"/>
    <w:rsid w:val="4F951B89"/>
    <w:rsid w:val="4F995DC0"/>
    <w:rsid w:val="4F9C7D11"/>
    <w:rsid w:val="4FAF0DEE"/>
    <w:rsid w:val="4FB01EBB"/>
    <w:rsid w:val="4FB071BA"/>
    <w:rsid w:val="4FB92EA7"/>
    <w:rsid w:val="4FDC4D73"/>
    <w:rsid w:val="4FE8579E"/>
    <w:rsid w:val="4FF529BA"/>
    <w:rsid w:val="4FF5483E"/>
    <w:rsid w:val="4FFC3481"/>
    <w:rsid w:val="4FFC505C"/>
    <w:rsid w:val="4FFF692E"/>
    <w:rsid w:val="501157AB"/>
    <w:rsid w:val="502E5DD0"/>
    <w:rsid w:val="50354221"/>
    <w:rsid w:val="50384DE4"/>
    <w:rsid w:val="50386F62"/>
    <w:rsid w:val="50435FA1"/>
    <w:rsid w:val="509076AC"/>
    <w:rsid w:val="50972B52"/>
    <w:rsid w:val="509A6228"/>
    <w:rsid w:val="509A7863"/>
    <w:rsid w:val="509B6A5F"/>
    <w:rsid w:val="50BD28DE"/>
    <w:rsid w:val="50BF3B17"/>
    <w:rsid w:val="50CC06E1"/>
    <w:rsid w:val="50CE35ED"/>
    <w:rsid w:val="50D433E4"/>
    <w:rsid w:val="50D45BBF"/>
    <w:rsid w:val="50DC61AD"/>
    <w:rsid w:val="50DF0265"/>
    <w:rsid w:val="50DF477F"/>
    <w:rsid w:val="50E43AAD"/>
    <w:rsid w:val="50E766D3"/>
    <w:rsid w:val="510C493E"/>
    <w:rsid w:val="51167646"/>
    <w:rsid w:val="511741B1"/>
    <w:rsid w:val="51256043"/>
    <w:rsid w:val="512F0055"/>
    <w:rsid w:val="51363260"/>
    <w:rsid w:val="51386295"/>
    <w:rsid w:val="51425228"/>
    <w:rsid w:val="51452314"/>
    <w:rsid w:val="5148307D"/>
    <w:rsid w:val="516C0710"/>
    <w:rsid w:val="516D1148"/>
    <w:rsid w:val="51946D8F"/>
    <w:rsid w:val="51B4048D"/>
    <w:rsid w:val="51B64EEE"/>
    <w:rsid w:val="51C64F53"/>
    <w:rsid w:val="51D074FE"/>
    <w:rsid w:val="51D27066"/>
    <w:rsid w:val="51D95254"/>
    <w:rsid w:val="51EA0832"/>
    <w:rsid w:val="51EA0BE8"/>
    <w:rsid w:val="51EC7D1A"/>
    <w:rsid w:val="51EF653E"/>
    <w:rsid w:val="51F165DD"/>
    <w:rsid w:val="51F244EF"/>
    <w:rsid w:val="51F80A5F"/>
    <w:rsid w:val="520B1E4D"/>
    <w:rsid w:val="52142D1E"/>
    <w:rsid w:val="521D4AE6"/>
    <w:rsid w:val="5221294A"/>
    <w:rsid w:val="52352775"/>
    <w:rsid w:val="523C1766"/>
    <w:rsid w:val="52441093"/>
    <w:rsid w:val="52470EAD"/>
    <w:rsid w:val="524731FD"/>
    <w:rsid w:val="5247634D"/>
    <w:rsid w:val="525C595A"/>
    <w:rsid w:val="525E3A34"/>
    <w:rsid w:val="526309C2"/>
    <w:rsid w:val="527110B7"/>
    <w:rsid w:val="52727066"/>
    <w:rsid w:val="52781CF7"/>
    <w:rsid w:val="527A7D19"/>
    <w:rsid w:val="528E17D6"/>
    <w:rsid w:val="52AF73FC"/>
    <w:rsid w:val="52B707F2"/>
    <w:rsid w:val="52C065CE"/>
    <w:rsid w:val="52C53B74"/>
    <w:rsid w:val="52DC746B"/>
    <w:rsid w:val="52DE6338"/>
    <w:rsid w:val="52DF3B64"/>
    <w:rsid w:val="52E141EC"/>
    <w:rsid w:val="52EA7300"/>
    <w:rsid w:val="52F43F1F"/>
    <w:rsid w:val="52FA1D7A"/>
    <w:rsid w:val="530B5C1F"/>
    <w:rsid w:val="530C5712"/>
    <w:rsid w:val="53101253"/>
    <w:rsid w:val="531A207D"/>
    <w:rsid w:val="53202F66"/>
    <w:rsid w:val="5326466C"/>
    <w:rsid w:val="53305F49"/>
    <w:rsid w:val="53355410"/>
    <w:rsid w:val="5340295A"/>
    <w:rsid w:val="53432B32"/>
    <w:rsid w:val="534F1156"/>
    <w:rsid w:val="5353305C"/>
    <w:rsid w:val="535C3E1A"/>
    <w:rsid w:val="535C55F8"/>
    <w:rsid w:val="535C76D7"/>
    <w:rsid w:val="536656E4"/>
    <w:rsid w:val="53727C35"/>
    <w:rsid w:val="538708F0"/>
    <w:rsid w:val="53874D93"/>
    <w:rsid w:val="53907E88"/>
    <w:rsid w:val="5395352A"/>
    <w:rsid w:val="539C62D1"/>
    <w:rsid w:val="539D5347"/>
    <w:rsid w:val="539E4DF3"/>
    <w:rsid w:val="53A4137A"/>
    <w:rsid w:val="53A7451A"/>
    <w:rsid w:val="53A76688"/>
    <w:rsid w:val="53B20651"/>
    <w:rsid w:val="53B52A32"/>
    <w:rsid w:val="53B711D2"/>
    <w:rsid w:val="53B75B31"/>
    <w:rsid w:val="53D01A0B"/>
    <w:rsid w:val="53D53F01"/>
    <w:rsid w:val="53E26A0F"/>
    <w:rsid w:val="53E35FEF"/>
    <w:rsid w:val="53E9529F"/>
    <w:rsid w:val="53EC2E48"/>
    <w:rsid w:val="53EF0E79"/>
    <w:rsid w:val="53F15934"/>
    <w:rsid w:val="53FA7638"/>
    <w:rsid w:val="540D45B5"/>
    <w:rsid w:val="54102504"/>
    <w:rsid w:val="5411273D"/>
    <w:rsid w:val="541D07AF"/>
    <w:rsid w:val="541D74A6"/>
    <w:rsid w:val="54234B08"/>
    <w:rsid w:val="54335122"/>
    <w:rsid w:val="54424E4C"/>
    <w:rsid w:val="544337D2"/>
    <w:rsid w:val="545033D7"/>
    <w:rsid w:val="54615727"/>
    <w:rsid w:val="547A0454"/>
    <w:rsid w:val="54841066"/>
    <w:rsid w:val="549F1E28"/>
    <w:rsid w:val="54A67842"/>
    <w:rsid w:val="54AB1241"/>
    <w:rsid w:val="54B026F0"/>
    <w:rsid w:val="54B33E31"/>
    <w:rsid w:val="54B97FCE"/>
    <w:rsid w:val="54BC6BF4"/>
    <w:rsid w:val="54C44B61"/>
    <w:rsid w:val="54C82D61"/>
    <w:rsid w:val="54D06140"/>
    <w:rsid w:val="54DA5147"/>
    <w:rsid w:val="54E16739"/>
    <w:rsid w:val="54E44363"/>
    <w:rsid w:val="54E577FA"/>
    <w:rsid w:val="54EA75AB"/>
    <w:rsid w:val="54F91783"/>
    <w:rsid w:val="54FF3A0B"/>
    <w:rsid w:val="551513B5"/>
    <w:rsid w:val="5516017D"/>
    <w:rsid w:val="554172CF"/>
    <w:rsid w:val="55570E26"/>
    <w:rsid w:val="55574022"/>
    <w:rsid w:val="557B1A6F"/>
    <w:rsid w:val="5589244C"/>
    <w:rsid w:val="55901C1B"/>
    <w:rsid w:val="55A1027C"/>
    <w:rsid w:val="55B044A8"/>
    <w:rsid w:val="55B445E8"/>
    <w:rsid w:val="55C2735C"/>
    <w:rsid w:val="55C571C8"/>
    <w:rsid w:val="55D53071"/>
    <w:rsid w:val="55DC74D4"/>
    <w:rsid w:val="55E464CD"/>
    <w:rsid w:val="55EE3331"/>
    <w:rsid w:val="55EF345C"/>
    <w:rsid w:val="55F710B6"/>
    <w:rsid w:val="55F86E9A"/>
    <w:rsid w:val="561D2CFD"/>
    <w:rsid w:val="5622086D"/>
    <w:rsid w:val="5624337B"/>
    <w:rsid w:val="562E5426"/>
    <w:rsid w:val="56356B98"/>
    <w:rsid w:val="5637484F"/>
    <w:rsid w:val="563E3F00"/>
    <w:rsid w:val="564C5E20"/>
    <w:rsid w:val="56536834"/>
    <w:rsid w:val="565C1FAB"/>
    <w:rsid w:val="565E452F"/>
    <w:rsid w:val="565F6F89"/>
    <w:rsid w:val="5674524A"/>
    <w:rsid w:val="56781FDD"/>
    <w:rsid w:val="56836BFE"/>
    <w:rsid w:val="5684231F"/>
    <w:rsid w:val="568E5D67"/>
    <w:rsid w:val="56951BB6"/>
    <w:rsid w:val="56A6226C"/>
    <w:rsid w:val="56A82087"/>
    <w:rsid w:val="56A93313"/>
    <w:rsid w:val="56AE4C9C"/>
    <w:rsid w:val="56B220CD"/>
    <w:rsid w:val="56B24986"/>
    <w:rsid w:val="56B9128B"/>
    <w:rsid w:val="56BB6F37"/>
    <w:rsid w:val="56BC6214"/>
    <w:rsid w:val="56C147AD"/>
    <w:rsid w:val="56C430F6"/>
    <w:rsid w:val="56E0669A"/>
    <w:rsid w:val="56EE10A3"/>
    <w:rsid w:val="56F27AEA"/>
    <w:rsid w:val="56F44F15"/>
    <w:rsid w:val="56F67835"/>
    <w:rsid w:val="56F91B04"/>
    <w:rsid w:val="57096799"/>
    <w:rsid w:val="571E77BD"/>
    <w:rsid w:val="572E529B"/>
    <w:rsid w:val="573162A6"/>
    <w:rsid w:val="57387588"/>
    <w:rsid w:val="57397C3B"/>
    <w:rsid w:val="57454D4A"/>
    <w:rsid w:val="57476D14"/>
    <w:rsid w:val="574F26D2"/>
    <w:rsid w:val="57507EBF"/>
    <w:rsid w:val="575F3023"/>
    <w:rsid w:val="576308E1"/>
    <w:rsid w:val="57713D91"/>
    <w:rsid w:val="578C2C19"/>
    <w:rsid w:val="578E2FB3"/>
    <w:rsid w:val="57911F98"/>
    <w:rsid w:val="5793004E"/>
    <w:rsid w:val="57A6539A"/>
    <w:rsid w:val="57AB627A"/>
    <w:rsid w:val="57BF6D47"/>
    <w:rsid w:val="57C26850"/>
    <w:rsid w:val="57C93D34"/>
    <w:rsid w:val="57D11EF9"/>
    <w:rsid w:val="57D7665E"/>
    <w:rsid w:val="57DA32F2"/>
    <w:rsid w:val="57E24C8E"/>
    <w:rsid w:val="57E54EDF"/>
    <w:rsid w:val="57E63371"/>
    <w:rsid w:val="57E825BE"/>
    <w:rsid w:val="58054E74"/>
    <w:rsid w:val="5808751C"/>
    <w:rsid w:val="581012CD"/>
    <w:rsid w:val="58133074"/>
    <w:rsid w:val="581B1F4E"/>
    <w:rsid w:val="582B03E3"/>
    <w:rsid w:val="58313520"/>
    <w:rsid w:val="58352241"/>
    <w:rsid w:val="58354BFA"/>
    <w:rsid w:val="58386272"/>
    <w:rsid w:val="58421289"/>
    <w:rsid w:val="584C2CA9"/>
    <w:rsid w:val="585819EA"/>
    <w:rsid w:val="585B279E"/>
    <w:rsid w:val="585D4315"/>
    <w:rsid w:val="5865530E"/>
    <w:rsid w:val="58670CF0"/>
    <w:rsid w:val="588920EA"/>
    <w:rsid w:val="589E7C43"/>
    <w:rsid w:val="58A106A5"/>
    <w:rsid w:val="58AA742C"/>
    <w:rsid w:val="58B31B84"/>
    <w:rsid w:val="58B33F35"/>
    <w:rsid w:val="58B74216"/>
    <w:rsid w:val="58C3061C"/>
    <w:rsid w:val="58C41DEF"/>
    <w:rsid w:val="58C81FD1"/>
    <w:rsid w:val="58E511ED"/>
    <w:rsid w:val="58E55DE4"/>
    <w:rsid w:val="58F9574A"/>
    <w:rsid w:val="59000C94"/>
    <w:rsid w:val="59030A18"/>
    <w:rsid w:val="59034E27"/>
    <w:rsid w:val="590B59E7"/>
    <w:rsid w:val="591D168A"/>
    <w:rsid w:val="591F74C8"/>
    <w:rsid w:val="59230A0E"/>
    <w:rsid w:val="59295F2F"/>
    <w:rsid w:val="592D2AA4"/>
    <w:rsid w:val="593730A6"/>
    <w:rsid w:val="593E4146"/>
    <w:rsid w:val="59496AFB"/>
    <w:rsid w:val="595032A4"/>
    <w:rsid w:val="59595B34"/>
    <w:rsid w:val="595F3342"/>
    <w:rsid w:val="596213EC"/>
    <w:rsid w:val="5964405A"/>
    <w:rsid w:val="59784A15"/>
    <w:rsid w:val="597A7399"/>
    <w:rsid w:val="598D3FC6"/>
    <w:rsid w:val="59905C3D"/>
    <w:rsid w:val="59926854"/>
    <w:rsid w:val="59BC68F2"/>
    <w:rsid w:val="59C435DE"/>
    <w:rsid w:val="59DD0B37"/>
    <w:rsid w:val="59E41BD5"/>
    <w:rsid w:val="59ED164D"/>
    <w:rsid w:val="59FA4645"/>
    <w:rsid w:val="5A0B50DC"/>
    <w:rsid w:val="5A0D509A"/>
    <w:rsid w:val="5A2D5978"/>
    <w:rsid w:val="5A2E6D3F"/>
    <w:rsid w:val="5A54737F"/>
    <w:rsid w:val="5A6D24B6"/>
    <w:rsid w:val="5A7970AB"/>
    <w:rsid w:val="5A9654FD"/>
    <w:rsid w:val="5A9F2C05"/>
    <w:rsid w:val="5AA157BB"/>
    <w:rsid w:val="5AA96505"/>
    <w:rsid w:val="5AAC7D7D"/>
    <w:rsid w:val="5AB56847"/>
    <w:rsid w:val="5AB81CD6"/>
    <w:rsid w:val="5ABA22B0"/>
    <w:rsid w:val="5AC06B8E"/>
    <w:rsid w:val="5ACC4855"/>
    <w:rsid w:val="5AD627FB"/>
    <w:rsid w:val="5AD65EEA"/>
    <w:rsid w:val="5ADD7C96"/>
    <w:rsid w:val="5ADF1888"/>
    <w:rsid w:val="5AFB028D"/>
    <w:rsid w:val="5B0B6098"/>
    <w:rsid w:val="5B130E01"/>
    <w:rsid w:val="5B18088D"/>
    <w:rsid w:val="5B2D1569"/>
    <w:rsid w:val="5B311B0A"/>
    <w:rsid w:val="5B345A4A"/>
    <w:rsid w:val="5B3B75E6"/>
    <w:rsid w:val="5B43001F"/>
    <w:rsid w:val="5B4B0F66"/>
    <w:rsid w:val="5B591DBE"/>
    <w:rsid w:val="5B631C42"/>
    <w:rsid w:val="5B724FC6"/>
    <w:rsid w:val="5B744166"/>
    <w:rsid w:val="5B7C4BEC"/>
    <w:rsid w:val="5B8762EB"/>
    <w:rsid w:val="5B8C6F07"/>
    <w:rsid w:val="5B8F6A67"/>
    <w:rsid w:val="5B9300F2"/>
    <w:rsid w:val="5BA00806"/>
    <w:rsid w:val="5BA7240A"/>
    <w:rsid w:val="5BB64B33"/>
    <w:rsid w:val="5BB82598"/>
    <w:rsid w:val="5BC23C12"/>
    <w:rsid w:val="5BCB77E7"/>
    <w:rsid w:val="5BE8230B"/>
    <w:rsid w:val="5BE87F94"/>
    <w:rsid w:val="5BEF5C4B"/>
    <w:rsid w:val="5C0F2BFF"/>
    <w:rsid w:val="5C0F2DC3"/>
    <w:rsid w:val="5C107C30"/>
    <w:rsid w:val="5C264EE9"/>
    <w:rsid w:val="5C2E0664"/>
    <w:rsid w:val="5C30656F"/>
    <w:rsid w:val="5C401F83"/>
    <w:rsid w:val="5C473E4D"/>
    <w:rsid w:val="5C481F1F"/>
    <w:rsid w:val="5C514565"/>
    <w:rsid w:val="5C53683D"/>
    <w:rsid w:val="5C55076C"/>
    <w:rsid w:val="5C5F72ED"/>
    <w:rsid w:val="5C642F03"/>
    <w:rsid w:val="5C6A5252"/>
    <w:rsid w:val="5C7052C2"/>
    <w:rsid w:val="5C891260"/>
    <w:rsid w:val="5C9347A9"/>
    <w:rsid w:val="5C9E5013"/>
    <w:rsid w:val="5C9F08D4"/>
    <w:rsid w:val="5CA43C95"/>
    <w:rsid w:val="5CA768E6"/>
    <w:rsid w:val="5CC2690B"/>
    <w:rsid w:val="5CC30F42"/>
    <w:rsid w:val="5CD775AF"/>
    <w:rsid w:val="5CEC402B"/>
    <w:rsid w:val="5CED7EAB"/>
    <w:rsid w:val="5CEF76FB"/>
    <w:rsid w:val="5CF031A7"/>
    <w:rsid w:val="5CF40C2B"/>
    <w:rsid w:val="5CF52884"/>
    <w:rsid w:val="5D0E4876"/>
    <w:rsid w:val="5D1002F9"/>
    <w:rsid w:val="5D15688A"/>
    <w:rsid w:val="5D1706B9"/>
    <w:rsid w:val="5D1F3CE2"/>
    <w:rsid w:val="5D207DA3"/>
    <w:rsid w:val="5D3C3BD6"/>
    <w:rsid w:val="5D461F16"/>
    <w:rsid w:val="5D487158"/>
    <w:rsid w:val="5D4D63F4"/>
    <w:rsid w:val="5D4F6922"/>
    <w:rsid w:val="5D4F7B33"/>
    <w:rsid w:val="5D5932FD"/>
    <w:rsid w:val="5D5C1735"/>
    <w:rsid w:val="5D5F1D5C"/>
    <w:rsid w:val="5D6637F5"/>
    <w:rsid w:val="5D7C65AB"/>
    <w:rsid w:val="5D7C6FEB"/>
    <w:rsid w:val="5D8F228E"/>
    <w:rsid w:val="5D944335"/>
    <w:rsid w:val="5DA06AB1"/>
    <w:rsid w:val="5DB0299B"/>
    <w:rsid w:val="5DB21322"/>
    <w:rsid w:val="5DB36371"/>
    <w:rsid w:val="5DD66AB8"/>
    <w:rsid w:val="5DD874B9"/>
    <w:rsid w:val="5DF04A2B"/>
    <w:rsid w:val="5DF32A07"/>
    <w:rsid w:val="5DFD6560"/>
    <w:rsid w:val="5E011217"/>
    <w:rsid w:val="5E012408"/>
    <w:rsid w:val="5E114B41"/>
    <w:rsid w:val="5E292C53"/>
    <w:rsid w:val="5E516BAC"/>
    <w:rsid w:val="5E5321A2"/>
    <w:rsid w:val="5E6A778C"/>
    <w:rsid w:val="5E7A6EE1"/>
    <w:rsid w:val="5E7E5A5F"/>
    <w:rsid w:val="5E8E4D8F"/>
    <w:rsid w:val="5E9554D6"/>
    <w:rsid w:val="5E9B5B97"/>
    <w:rsid w:val="5EA1201C"/>
    <w:rsid w:val="5EAC18B3"/>
    <w:rsid w:val="5EB427B5"/>
    <w:rsid w:val="5EB5197B"/>
    <w:rsid w:val="5EB64AD6"/>
    <w:rsid w:val="5EC92914"/>
    <w:rsid w:val="5EF23DBA"/>
    <w:rsid w:val="5EFE716A"/>
    <w:rsid w:val="5F04726D"/>
    <w:rsid w:val="5F117C15"/>
    <w:rsid w:val="5F1A095A"/>
    <w:rsid w:val="5F216C8C"/>
    <w:rsid w:val="5F310079"/>
    <w:rsid w:val="5F315875"/>
    <w:rsid w:val="5F506FF2"/>
    <w:rsid w:val="5F5472AA"/>
    <w:rsid w:val="5F653C01"/>
    <w:rsid w:val="5F6E6685"/>
    <w:rsid w:val="5F757AB1"/>
    <w:rsid w:val="5F804321"/>
    <w:rsid w:val="5F9E48B3"/>
    <w:rsid w:val="5FA22499"/>
    <w:rsid w:val="5FA26564"/>
    <w:rsid w:val="5FC558CA"/>
    <w:rsid w:val="5FE75CE6"/>
    <w:rsid w:val="5FF2673A"/>
    <w:rsid w:val="5FF87FFC"/>
    <w:rsid w:val="5FF971C8"/>
    <w:rsid w:val="5FFF2BBD"/>
    <w:rsid w:val="60021FAE"/>
    <w:rsid w:val="60137F3F"/>
    <w:rsid w:val="6019030E"/>
    <w:rsid w:val="601C5C09"/>
    <w:rsid w:val="601E6EE1"/>
    <w:rsid w:val="60277B74"/>
    <w:rsid w:val="602E281B"/>
    <w:rsid w:val="603476CB"/>
    <w:rsid w:val="603A003B"/>
    <w:rsid w:val="603B4F3C"/>
    <w:rsid w:val="60614D83"/>
    <w:rsid w:val="6061684C"/>
    <w:rsid w:val="606D2574"/>
    <w:rsid w:val="606E537F"/>
    <w:rsid w:val="60704801"/>
    <w:rsid w:val="6071402D"/>
    <w:rsid w:val="60722FC1"/>
    <w:rsid w:val="60777FDD"/>
    <w:rsid w:val="607A17F1"/>
    <w:rsid w:val="60820545"/>
    <w:rsid w:val="608D5F23"/>
    <w:rsid w:val="608F5287"/>
    <w:rsid w:val="609F0ECD"/>
    <w:rsid w:val="60A87A87"/>
    <w:rsid w:val="60B63FDF"/>
    <w:rsid w:val="60BD79F5"/>
    <w:rsid w:val="60C10E77"/>
    <w:rsid w:val="60C6278F"/>
    <w:rsid w:val="60CF6AC6"/>
    <w:rsid w:val="60D164E3"/>
    <w:rsid w:val="60D44B80"/>
    <w:rsid w:val="60F90953"/>
    <w:rsid w:val="61386248"/>
    <w:rsid w:val="61471802"/>
    <w:rsid w:val="61545DBC"/>
    <w:rsid w:val="61570085"/>
    <w:rsid w:val="615D5386"/>
    <w:rsid w:val="617747C7"/>
    <w:rsid w:val="618047EF"/>
    <w:rsid w:val="6192496F"/>
    <w:rsid w:val="61A50120"/>
    <w:rsid w:val="61A84254"/>
    <w:rsid w:val="61AA2D08"/>
    <w:rsid w:val="61BA646B"/>
    <w:rsid w:val="61BF166B"/>
    <w:rsid w:val="61C529CB"/>
    <w:rsid w:val="61CB22EF"/>
    <w:rsid w:val="61DE3133"/>
    <w:rsid w:val="61E36CFA"/>
    <w:rsid w:val="61E437C9"/>
    <w:rsid w:val="61F82D30"/>
    <w:rsid w:val="62031A89"/>
    <w:rsid w:val="620D2909"/>
    <w:rsid w:val="62135AA2"/>
    <w:rsid w:val="62262FDD"/>
    <w:rsid w:val="622E342D"/>
    <w:rsid w:val="62327A2D"/>
    <w:rsid w:val="624125B1"/>
    <w:rsid w:val="624344A2"/>
    <w:rsid w:val="6244777B"/>
    <w:rsid w:val="625504B5"/>
    <w:rsid w:val="62643A48"/>
    <w:rsid w:val="62675503"/>
    <w:rsid w:val="62705E2E"/>
    <w:rsid w:val="62726C0F"/>
    <w:rsid w:val="62736B5C"/>
    <w:rsid w:val="62866F94"/>
    <w:rsid w:val="628B6FC0"/>
    <w:rsid w:val="629143E0"/>
    <w:rsid w:val="62922411"/>
    <w:rsid w:val="629B63E4"/>
    <w:rsid w:val="629C01A7"/>
    <w:rsid w:val="62AA63A9"/>
    <w:rsid w:val="62B66C46"/>
    <w:rsid w:val="62B9215C"/>
    <w:rsid w:val="62CF39FE"/>
    <w:rsid w:val="62D373D7"/>
    <w:rsid w:val="62DE3A95"/>
    <w:rsid w:val="62DE42A4"/>
    <w:rsid w:val="62EC2379"/>
    <w:rsid w:val="62F6612C"/>
    <w:rsid w:val="6301332E"/>
    <w:rsid w:val="63021D41"/>
    <w:rsid w:val="630C3D70"/>
    <w:rsid w:val="630D3B53"/>
    <w:rsid w:val="631739E1"/>
    <w:rsid w:val="63204C0B"/>
    <w:rsid w:val="632357AE"/>
    <w:rsid w:val="6325366C"/>
    <w:rsid w:val="633A2B35"/>
    <w:rsid w:val="633C1D53"/>
    <w:rsid w:val="63461398"/>
    <w:rsid w:val="634618F9"/>
    <w:rsid w:val="634F0D83"/>
    <w:rsid w:val="635C033B"/>
    <w:rsid w:val="6361133F"/>
    <w:rsid w:val="63620A31"/>
    <w:rsid w:val="63636CDD"/>
    <w:rsid w:val="636645CE"/>
    <w:rsid w:val="63705363"/>
    <w:rsid w:val="638D4B9E"/>
    <w:rsid w:val="639D68B9"/>
    <w:rsid w:val="63A454EE"/>
    <w:rsid w:val="63AA37AD"/>
    <w:rsid w:val="63AD1B5A"/>
    <w:rsid w:val="63B03AC2"/>
    <w:rsid w:val="63BC52B5"/>
    <w:rsid w:val="63C35930"/>
    <w:rsid w:val="63C83C7E"/>
    <w:rsid w:val="63CE4319"/>
    <w:rsid w:val="63E47218"/>
    <w:rsid w:val="63EC5AF3"/>
    <w:rsid w:val="63F61158"/>
    <w:rsid w:val="64055F8C"/>
    <w:rsid w:val="64100904"/>
    <w:rsid w:val="641F026E"/>
    <w:rsid w:val="644134F7"/>
    <w:rsid w:val="644F6260"/>
    <w:rsid w:val="64523CDD"/>
    <w:rsid w:val="64637EB9"/>
    <w:rsid w:val="64683A7A"/>
    <w:rsid w:val="64742735"/>
    <w:rsid w:val="6486050A"/>
    <w:rsid w:val="64874BF3"/>
    <w:rsid w:val="649A4BC6"/>
    <w:rsid w:val="64A64D5A"/>
    <w:rsid w:val="64B42789"/>
    <w:rsid w:val="64BD3434"/>
    <w:rsid w:val="64E96D2A"/>
    <w:rsid w:val="65091648"/>
    <w:rsid w:val="65113747"/>
    <w:rsid w:val="65180DF1"/>
    <w:rsid w:val="651E0B38"/>
    <w:rsid w:val="652051D7"/>
    <w:rsid w:val="652463CF"/>
    <w:rsid w:val="653346BC"/>
    <w:rsid w:val="65384185"/>
    <w:rsid w:val="653F239E"/>
    <w:rsid w:val="654B616B"/>
    <w:rsid w:val="654F0B7F"/>
    <w:rsid w:val="654F54C3"/>
    <w:rsid w:val="65585A79"/>
    <w:rsid w:val="6559709D"/>
    <w:rsid w:val="655D77BC"/>
    <w:rsid w:val="655E5079"/>
    <w:rsid w:val="65600071"/>
    <w:rsid w:val="656159AD"/>
    <w:rsid w:val="65637788"/>
    <w:rsid w:val="65665B1A"/>
    <w:rsid w:val="656B21B3"/>
    <w:rsid w:val="656E7A21"/>
    <w:rsid w:val="658158F0"/>
    <w:rsid w:val="658B50AB"/>
    <w:rsid w:val="65940197"/>
    <w:rsid w:val="659A0956"/>
    <w:rsid w:val="65A92786"/>
    <w:rsid w:val="65BE2C2B"/>
    <w:rsid w:val="65CF2304"/>
    <w:rsid w:val="65D606DA"/>
    <w:rsid w:val="65D75707"/>
    <w:rsid w:val="65EA2EBA"/>
    <w:rsid w:val="65F067C8"/>
    <w:rsid w:val="65F54D74"/>
    <w:rsid w:val="660A5ADC"/>
    <w:rsid w:val="660C7909"/>
    <w:rsid w:val="661549CB"/>
    <w:rsid w:val="661570B5"/>
    <w:rsid w:val="66254E02"/>
    <w:rsid w:val="662C053A"/>
    <w:rsid w:val="662F5CA4"/>
    <w:rsid w:val="66353B7A"/>
    <w:rsid w:val="663C67FC"/>
    <w:rsid w:val="66552ACF"/>
    <w:rsid w:val="66611474"/>
    <w:rsid w:val="66641611"/>
    <w:rsid w:val="666620E8"/>
    <w:rsid w:val="667C6A4B"/>
    <w:rsid w:val="668D5028"/>
    <w:rsid w:val="669265A4"/>
    <w:rsid w:val="6692787F"/>
    <w:rsid w:val="66962FF5"/>
    <w:rsid w:val="66A17AC3"/>
    <w:rsid w:val="66A556B4"/>
    <w:rsid w:val="66A62076"/>
    <w:rsid w:val="66A736A3"/>
    <w:rsid w:val="66AE50EE"/>
    <w:rsid w:val="66BA6DBC"/>
    <w:rsid w:val="66C33EDD"/>
    <w:rsid w:val="66D02CE6"/>
    <w:rsid w:val="66D47E98"/>
    <w:rsid w:val="66E906BA"/>
    <w:rsid w:val="66F17DE9"/>
    <w:rsid w:val="67072D42"/>
    <w:rsid w:val="670C36E8"/>
    <w:rsid w:val="67120532"/>
    <w:rsid w:val="67191E9B"/>
    <w:rsid w:val="671A250E"/>
    <w:rsid w:val="6725396E"/>
    <w:rsid w:val="67273371"/>
    <w:rsid w:val="672D5385"/>
    <w:rsid w:val="673953E1"/>
    <w:rsid w:val="67492634"/>
    <w:rsid w:val="674C32B4"/>
    <w:rsid w:val="6751773B"/>
    <w:rsid w:val="675334CD"/>
    <w:rsid w:val="675635B6"/>
    <w:rsid w:val="676266D7"/>
    <w:rsid w:val="67631A44"/>
    <w:rsid w:val="67726BA1"/>
    <w:rsid w:val="67806998"/>
    <w:rsid w:val="678E735D"/>
    <w:rsid w:val="679338AF"/>
    <w:rsid w:val="67935594"/>
    <w:rsid w:val="6794698A"/>
    <w:rsid w:val="679F6FDF"/>
    <w:rsid w:val="67A54BE1"/>
    <w:rsid w:val="67A63B59"/>
    <w:rsid w:val="67AE7D0C"/>
    <w:rsid w:val="67B51A77"/>
    <w:rsid w:val="67B6134C"/>
    <w:rsid w:val="67C1666E"/>
    <w:rsid w:val="67C84A0C"/>
    <w:rsid w:val="67D2593A"/>
    <w:rsid w:val="67D50383"/>
    <w:rsid w:val="67DB0DB2"/>
    <w:rsid w:val="67ED0579"/>
    <w:rsid w:val="67EE021A"/>
    <w:rsid w:val="67F85E08"/>
    <w:rsid w:val="68055F4C"/>
    <w:rsid w:val="6828730F"/>
    <w:rsid w:val="68304FEE"/>
    <w:rsid w:val="6833299C"/>
    <w:rsid w:val="683A537B"/>
    <w:rsid w:val="68464643"/>
    <w:rsid w:val="684E5A28"/>
    <w:rsid w:val="684F7F91"/>
    <w:rsid w:val="685C74BD"/>
    <w:rsid w:val="68674743"/>
    <w:rsid w:val="686B66BB"/>
    <w:rsid w:val="686D2566"/>
    <w:rsid w:val="68891559"/>
    <w:rsid w:val="689B2639"/>
    <w:rsid w:val="68C161FA"/>
    <w:rsid w:val="68CE36FE"/>
    <w:rsid w:val="68E355B5"/>
    <w:rsid w:val="68FC226C"/>
    <w:rsid w:val="68FE0EF4"/>
    <w:rsid w:val="69003F4D"/>
    <w:rsid w:val="69011409"/>
    <w:rsid w:val="69020A35"/>
    <w:rsid w:val="690861D7"/>
    <w:rsid w:val="690C41C8"/>
    <w:rsid w:val="692E2DEB"/>
    <w:rsid w:val="692E6446"/>
    <w:rsid w:val="693410C2"/>
    <w:rsid w:val="693B5DF2"/>
    <w:rsid w:val="69520B2D"/>
    <w:rsid w:val="69564B94"/>
    <w:rsid w:val="69635503"/>
    <w:rsid w:val="696A60B8"/>
    <w:rsid w:val="6978213B"/>
    <w:rsid w:val="697D287A"/>
    <w:rsid w:val="698F30BF"/>
    <w:rsid w:val="699252C4"/>
    <w:rsid w:val="69B91BB0"/>
    <w:rsid w:val="69BC4B05"/>
    <w:rsid w:val="69C47D40"/>
    <w:rsid w:val="69C75A92"/>
    <w:rsid w:val="69C96803"/>
    <w:rsid w:val="69CB7E06"/>
    <w:rsid w:val="69CF3912"/>
    <w:rsid w:val="69D22FB6"/>
    <w:rsid w:val="69D529A5"/>
    <w:rsid w:val="69DF102E"/>
    <w:rsid w:val="69E72F67"/>
    <w:rsid w:val="69EE2341"/>
    <w:rsid w:val="69EF32BA"/>
    <w:rsid w:val="69F506C2"/>
    <w:rsid w:val="69FB51B1"/>
    <w:rsid w:val="6A0003EB"/>
    <w:rsid w:val="6A122386"/>
    <w:rsid w:val="6A1441A8"/>
    <w:rsid w:val="6A1516D5"/>
    <w:rsid w:val="6A1E67AC"/>
    <w:rsid w:val="6A234BA9"/>
    <w:rsid w:val="6A290983"/>
    <w:rsid w:val="6A3F6B54"/>
    <w:rsid w:val="6A401A6E"/>
    <w:rsid w:val="6A53354A"/>
    <w:rsid w:val="6A643918"/>
    <w:rsid w:val="6A742635"/>
    <w:rsid w:val="6A800472"/>
    <w:rsid w:val="6A88588B"/>
    <w:rsid w:val="6A971908"/>
    <w:rsid w:val="6AC25DF9"/>
    <w:rsid w:val="6AC344AB"/>
    <w:rsid w:val="6AC74B79"/>
    <w:rsid w:val="6ACD35C3"/>
    <w:rsid w:val="6ACD6953"/>
    <w:rsid w:val="6AD9086C"/>
    <w:rsid w:val="6AF26023"/>
    <w:rsid w:val="6AFD5F8B"/>
    <w:rsid w:val="6AFF1A6F"/>
    <w:rsid w:val="6B0705B7"/>
    <w:rsid w:val="6B252A70"/>
    <w:rsid w:val="6B315878"/>
    <w:rsid w:val="6B342B76"/>
    <w:rsid w:val="6B412D55"/>
    <w:rsid w:val="6B443DFD"/>
    <w:rsid w:val="6B44530E"/>
    <w:rsid w:val="6B6146D7"/>
    <w:rsid w:val="6B62716F"/>
    <w:rsid w:val="6B6F1407"/>
    <w:rsid w:val="6B77378C"/>
    <w:rsid w:val="6B7A20E5"/>
    <w:rsid w:val="6B8267D6"/>
    <w:rsid w:val="6B836525"/>
    <w:rsid w:val="6B8A3AE3"/>
    <w:rsid w:val="6B8E5E0F"/>
    <w:rsid w:val="6B9320D0"/>
    <w:rsid w:val="6B94738E"/>
    <w:rsid w:val="6B9E3D5A"/>
    <w:rsid w:val="6BA3608B"/>
    <w:rsid w:val="6BB316A8"/>
    <w:rsid w:val="6BBD6335"/>
    <w:rsid w:val="6BBE00B1"/>
    <w:rsid w:val="6BCC1351"/>
    <w:rsid w:val="6BCC5F09"/>
    <w:rsid w:val="6BCF19E8"/>
    <w:rsid w:val="6BDB09F1"/>
    <w:rsid w:val="6BE1187F"/>
    <w:rsid w:val="6BEC6745"/>
    <w:rsid w:val="6BF306BC"/>
    <w:rsid w:val="6BF82A20"/>
    <w:rsid w:val="6BF84911"/>
    <w:rsid w:val="6BFB1187"/>
    <w:rsid w:val="6BFC613F"/>
    <w:rsid w:val="6C046080"/>
    <w:rsid w:val="6C057667"/>
    <w:rsid w:val="6C0D7689"/>
    <w:rsid w:val="6C151967"/>
    <w:rsid w:val="6C17564B"/>
    <w:rsid w:val="6C20758D"/>
    <w:rsid w:val="6C2D5D33"/>
    <w:rsid w:val="6C382CCF"/>
    <w:rsid w:val="6C3D385C"/>
    <w:rsid w:val="6C3D727F"/>
    <w:rsid w:val="6C461BD7"/>
    <w:rsid w:val="6C481C7D"/>
    <w:rsid w:val="6C4E5FF7"/>
    <w:rsid w:val="6C5D1BEC"/>
    <w:rsid w:val="6C67038E"/>
    <w:rsid w:val="6C680DF7"/>
    <w:rsid w:val="6C6B0FDD"/>
    <w:rsid w:val="6C6F7725"/>
    <w:rsid w:val="6C824A7F"/>
    <w:rsid w:val="6C881929"/>
    <w:rsid w:val="6C9B697D"/>
    <w:rsid w:val="6CAD1860"/>
    <w:rsid w:val="6CB5605B"/>
    <w:rsid w:val="6CC23418"/>
    <w:rsid w:val="6CC968AE"/>
    <w:rsid w:val="6CCE55B8"/>
    <w:rsid w:val="6CE04B3F"/>
    <w:rsid w:val="6CE3610E"/>
    <w:rsid w:val="6CE50A39"/>
    <w:rsid w:val="6CE73508"/>
    <w:rsid w:val="6D0116FF"/>
    <w:rsid w:val="6D0E4E53"/>
    <w:rsid w:val="6D257FA0"/>
    <w:rsid w:val="6D2867F4"/>
    <w:rsid w:val="6D2B0053"/>
    <w:rsid w:val="6D3109DD"/>
    <w:rsid w:val="6D385E8E"/>
    <w:rsid w:val="6D492838"/>
    <w:rsid w:val="6D4C7937"/>
    <w:rsid w:val="6D4D4500"/>
    <w:rsid w:val="6D545394"/>
    <w:rsid w:val="6D5E2269"/>
    <w:rsid w:val="6D6550CD"/>
    <w:rsid w:val="6D750BE9"/>
    <w:rsid w:val="6D756AFC"/>
    <w:rsid w:val="6D761CA9"/>
    <w:rsid w:val="6D7E46BA"/>
    <w:rsid w:val="6D815FE9"/>
    <w:rsid w:val="6D851CF8"/>
    <w:rsid w:val="6D8617C0"/>
    <w:rsid w:val="6D9927F6"/>
    <w:rsid w:val="6DA05709"/>
    <w:rsid w:val="6DAF4996"/>
    <w:rsid w:val="6DB309AE"/>
    <w:rsid w:val="6DB445F1"/>
    <w:rsid w:val="6DBB3EA3"/>
    <w:rsid w:val="6DD418DB"/>
    <w:rsid w:val="6DE7202A"/>
    <w:rsid w:val="6DF57072"/>
    <w:rsid w:val="6DF929CB"/>
    <w:rsid w:val="6E07364A"/>
    <w:rsid w:val="6E0A4B71"/>
    <w:rsid w:val="6E1141AF"/>
    <w:rsid w:val="6E134175"/>
    <w:rsid w:val="6E207763"/>
    <w:rsid w:val="6E23688A"/>
    <w:rsid w:val="6E243AD1"/>
    <w:rsid w:val="6E290AC9"/>
    <w:rsid w:val="6E2F7B85"/>
    <w:rsid w:val="6E312989"/>
    <w:rsid w:val="6E3A45C4"/>
    <w:rsid w:val="6E3C2380"/>
    <w:rsid w:val="6E407470"/>
    <w:rsid w:val="6E452C68"/>
    <w:rsid w:val="6E4E6868"/>
    <w:rsid w:val="6E533F7A"/>
    <w:rsid w:val="6E575151"/>
    <w:rsid w:val="6E63661D"/>
    <w:rsid w:val="6E647D14"/>
    <w:rsid w:val="6E662F9A"/>
    <w:rsid w:val="6E6C0741"/>
    <w:rsid w:val="6E6F110A"/>
    <w:rsid w:val="6E7B381F"/>
    <w:rsid w:val="6E84057F"/>
    <w:rsid w:val="6E8D5196"/>
    <w:rsid w:val="6E92178E"/>
    <w:rsid w:val="6E990217"/>
    <w:rsid w:val="6EA103B3"/>
    <w:rsid w:val="6EA9260F"/>
    <w:rsid w:val="6EB25F57"/>
    <w:rsid w:val="6EB3160E"/>
    <w:rsid w:val="6EB72579"/>
    <w:rsid w:val="6EBB71B9"/>
    <w:rsid w:val="6EBD16DE"/>
    <w:rsid w:val="6EC46886"/>
    <w:rsid w:val="6ED722D3"/>
    <w:rsid w:val="6ED8076A"/>
    <w:rsid w:val="6EDB56AB"/>
    <w:rsid w:val="6EDE1966"/>
    <w:rsid w:val="6F15429C"/>
    <w:rsid w:val="6F162CBE"/>
    <w:rsid w:val="6F164952"/>
    <w:rsid w:val="6F254250"/>
    <w:rsid w:val="6F274BD9"/>
    <w:rsid w:val="6F496AF0"/>
    <w:rsid w:val="6F50368E"/>
    <w:rsid w:val="6F6C576E"/>
    <w:rsid w:val="6F9953BF"/>
    <w:rsid w:val="6F9F69BD"/>
    <w:rsid w:val="6FA75F3B"/>
    <w:rsid w:val="6FAA050C"/>
    <w:rsid w:val="6FB3213A"/>
    <w:rsid w:val="6FC45463"/>
    <w:rsid w:val="6FCA19B3"/>
    <w:rsid w:val="6FCD6038"/>
    <w:rsid w:val="6FCD7C56"/>
    <w:rsid w:val="6FD4657B"/>
    <w:rsid w:val="6FE21319"/>
    <w:rsid w:val="6FEA551E"/>
    <w:rsid w:val="6FEC3203"/>
    <w:rsid w:val="6FEE49DF"/>
    <w:rsid w:val="6FF07A46"/>
    <w:rsid w:val="7001184F"/>
    <w:rsid w:val="70052E70"/>
    <w:rsid w:val="7018492D"/>
    <w:rsid w:val="7029760B"/>
    <w:rsid w:val="702F2F5C"/>
    <w:rsid w:val="703616DA"/>
    <w:rsid w:val="70393C48"/>
    <w:rsid w:val="703C6F9E"/>
    <w:rsid w:val="7043460C"/>
    <w:rsid w:val="704A532F"/>
    <w:rsid w:val="705356DC"/>
    <w:rsid w:val="70657DB3"/>
    <w:rsid w:val="706E686D"/>
    <w:rsid w:val="707F2C23"/>
    <w:rsid w:val="70837478"/>
    <w:rsid w:val="708625A6"/>
    <w:rsid w:val="7094419B"/>
    <w:rsid w:val="709A517F"/>
    <w:rsid w:val="709B74E7"/>
    <w:rsid w:val="70B053F2"/>
    <w:rsid w:val="70C745CA"/>
    <w:rsid w:val="70CA731C"/>
    <w:rsid w:val="70D54400"/>
    <w:rsid w:val="70DE11D1"/>
    <w:rsid w:val="70E227FA"/>
    <w:rsid w:val="70E65EF4"/>
    <w:rsid w:val="70F378D8"/>
    <w:rsid w:val="70FB2A96"/>
    <w:rsid w:val="710906A2"/>
    <w:rsid w:val="710E3FA6"/>
    <w:rsid w:val="7121319C"/>
    <w:rsid w:val="71281A02"/>
    <w:rsid w:val="7128723C"/>
    <w:rsid w:val="712F7D1E"/>
    <w:rsid w:val="71602316"/>
    <w:rsid w:val="7164222A"/>
    <w:rsid w:val="71652041"/>
    <w:rsid w:val="71727514"/>
    <w:rsid w:val="717F0F19"/>
    <w:rsid w:val="7186296C"/>
    <w:rsid w:val="71A3703D"/>
    <w:rsid w:val="71A614C1"/>
    <w:rsid w:val="71A672B3"/>
    <w:rsid w:val="71B83415"/>
    <w:rsid w:val="71BB6A1B"/>
    <w:rsid w:val="71C67C28"/>
    <w:rsid w:val="71D27C42"/>
    <w:rsid w:val="71D8736F"/>
    <w:rsid w:val="71EC5676"/>
    <w:rsid w:val="71F02557"/>
    <w:rsid w:val="71F57420"/>
    <w:rsid w:val="71FD0B25"/>
    <w:rsid w:val="720009F5"/>
    <w:rsid w:val="721C238E"/>
    <w:rsid w:val="723C3CA1"/>
    <w:rsid w:val="723C4321"/>
    <w:rsid w:val="724179B2"/>
    <w:rsid w:val="72514AA9"/>
    <w:rsid w:val="72537D3F"/>
    <w:rsid w:val="725851FA"/>
    <w:rsid w:val="725D51E5"/>
    <w:rsid w:val="72666FF4"/>
    <w:rsid w:val="726E1563"/>
    <w:rsid w:val="72832922"/>
    <w:rsid w:val="72966EF6"/>
    <w:rsid w:val="72A3393B"/>
    <w:rsid w:val="72A72905"/>
    <w:rsid w:val="72AB5F51"/>
    <w:rsid w:val="72B12A07"/>
    <w:rsid w:val="72B64126"/>
    <w:rsid w:val="72C35D7C"/>
    <w:rsid w:val="72CE2C6F"/>
    <w:rsid w:val="72D117E4"/>
    <w:rsid w:val="72D13AAB"/>
    <w:rsid w:val="73040185"/>
    <w:rsid w:val="73093C3A"/>
    <w:rsid w:val="730F0DC8"/>
    <w:rsid w:val="732D45D8"/>
    <w:rsid w:val="732F7F24"/>
    <w:rsid w:val="7330098A"/>
    <w:rsid w:val="7338447B"/>
    <w:rsid w:val="73386CDE"/>
    <w:rsid w:val="733A2F0B"/>
    <w:rsid w:val="73445B44"/>
    <w:rsid w:val="735247FA"/>
    <w:rsid w:val="7356403E"/>
    <w:rsid w:val="7358488A"/>
    <w:rsid w:val="735A6C75"/>
    <w:rsid w:val="735D6897"/>
    <w:rsid w:val="736211D7"/>
    <w:rsid w:val="736F539C"/>
    <w:rsid w:val="736F7BF6"/>
    <w:rsid w:val="73796F15"/>
    <w:rsid w:val="7382755B"/>
    <w:rsid w:val="738D7543"/>
    <w:rsid w:val="73920EBF"/>
    <w:rsid w:val="73C36635"/>
    <w:rsid w:val="73C53042"/>
    <w:rsid w:val="73C655E6"/>
    <w:rsid w:val="73C85B40"/>
    <w:rsid w:val="73DC65DE"/>
    <w:rsid w:val="73DE006D"/>
    <w:rsid w:val="73EE1318"/>
    <w:rsid w:val="73F25CD2"/>
    <w:rsid w:val="73F531FC"/>
    <w:rsid w:val="74000587"/>
    <w:rsid w:val="740753EA"/>
    <w:rsid w:val="740759EF"/>
    <w:rsid w:val="740B0CE1"/>
    <w:rsid w:val="741C4C2C"/>
    <w:rsid w:val="74264B66"/>
    <w:rsid w:val="74270202"/>
    <w:rsid w:val="74390E30"/>
    <w:rsid w:val="743C1812"/>
    <w:rsid w:val="74400707"/>
    <w:rsid w:val="74464405"/>
    <w:rsid w:val="74552E14"/>
    <w:rsid w:val="746D093B"/>
    <w:rsid w:val="746D7236"/>
    <w:rsid w:val="747829A3"/>
    <w:rsid w:val="7482049D"/>
    <w:rsid w:val="74A4534E"/>
    <w:rsid w:val="74A92964"/>
    <w:rsid w:val="74AE053B"/>
    <w:rsid w:val="74AE497F"/>
    <w:rsid w:val="74B40F75"/>
    <w:rsid w:val="74B8349E"/>
    <w:rsid w:val="74C7348F"/>
    <w:rsid w:val="74CA4D8E"/>
    <w:rsid w:val="74D20D57"/>
    <w:rsid w:val="74D448E6"/>
    <w:rsid w:val="74D6127F"/>
    <w:rsid w:val="74DA48CB"/>
    <w:rsid w:val="74E4488E"/>
    <w:rsid w:val="74EB12E2"/>
    <w:rsid w:val="74F63D2B"/>
    <w:rsid w:val="74FF7D24"/>
    <w:rsid w:val="750202C6"/>
    <w:rsid w:val="7529258B"/>
    <w:rsid w:val="7531637E"/>
    <w:rsid w:val="75406B93"/>
    <w:rsid w:val="754461E9"/>
    <w:rsid w:val="75464E6C"/>
    <w:rsid w:val="754B2930"/>
    <w:rsid w:val="754C32EF"/>
    <w:rsid w:val="75512E98"/>
    <w:rsid w:val="755E49C7"/>
    <w:rsid w:val="756121CE"/>
    <w:rsid w:val="756175B3"/>
    <w:rsid w:val="756B150E"/>
    <w:rsid w:val="756C3BE8"/>
    <w:rsid w:val="757201D7"/>
    <w:rsid w:val="75734C41"/>
    <w:rsid w:val="75740016"/>
    <w:rsid w:val="75873F57"/>
    <w:rsid w:val="75966E30"/>
    <w:rsid w:val="759E6BB6"/>
    <w:rsid w:val="75B92F4B"/>
    <w:rsid w:val="75C32A24"/>
    <w:rsid w:val="75CC5D7A"/>
    <w:rsid w:val="75DB4355"/>
    <w:rsid w:val="75DE36EB"/>
    <w:rsid w:val="75E11452"/>
    <w:rsid w:val="75E46588"/>
    <w:rsid w:val="75E47376"/>
    <w:rsid w:val="75EA601A"/>
    <w:rsid w:val="75EA7B3C"/>
    <w:rsid w:val="75EB345E"/>
    <w:rsid w:val="75EB64AE"/>
    <w:rsid w:val="75F357CF"/>
    <w:rsid w:val="75F42BDC"/>
    <w:rsid w:val="75F61BD9"/>
    <w:rsid w:val="75FF0C10"/>
    <w:rsid w:val="760D5A92"/>
    <w:rsid w:val="761E62F4"/>
    <w:rsid w:val="76277FE4"/>
    <w:rsid w:val="764A3BDF"/>
    <w:rsid w:val="764B6F6B"/>
    <w:rsid w:val="766A201E"/>
    <w:rsid w:val="766A5022"/>
    <w:rsid w:val="767D4FA6"/>
    <w:rsid w:val="768F1197"/>
    <w:rsid w:val="769905AB"/>
    <w:rsid w:val="76AD4308"/>
    <w:rsid w:val="76B13D04"/>
    <w:rsid w:val="76C43A85"/>
    <w:rsid w:val="76CE200B"/>
    <w:rsid w:val="76D637B8"/>
    <w:rsid w:val="76DB7B62"/>
    <w:rsid w:val="76E51777"/>
    <w:rsid w:val="76E84BB7"/>
    <w:rsid w:val="76EF57FC"/>
    <w:rsid w:val="76FB7EBF"/>
    <w:rsid w:val="77101B8D"/>
    <w:rsid w:val="77125CF7"/>
    <w:rsid w:val="7715464B"/>
    <w:rsid w:val="7715521D"/>
    <w:rsid w:val="771A4CEB"/>
    <w:rsid w:val="772068F0"/>
    <w:rsid w:val="77213709"/>
    <w:rsid w:val="77240AC8"/>
    <w:rsid w:val="7730706F"/>
    <w:rsid w:val="77583471"/>
    <w:rsid w:val="775C3D3A"/>
    <w:rsid w:val="7767181A"/>
    <w:rsid w:val="77692174"/>
    <w:rsid w:val="777C771C"/>
    <w:rsid w:val="77845807"/>
    <w:rsid w:val="77862AE9"/>
    <w:rsid w:val="7787268A"/>
    <w:rsid w:val="77886F3F"/>
    <w:rsid w:val="7798707D"/>
    <w:rsid w:val="77A1326E"/>
    <w:rsid w:val="77A50B42"/>
    <w:rsid w:val="77A553D2"/>
    <w:rsid w:val="77A85155"/>
    <w:rsid w:val="77BA19CC"/>
    <w:rsid w:val="77D3324D"/>
    <w:rsid w:val="77E35C91"/>
    <w:rsid w:val="77ED12CB"/>
    <w:rsid w:val="78176B40"/>
    <w:rsid w:val="7832164A"/>
    <w:rsid w:val="783756D8"/>
    <w:rsid w:val="784548FD"/>
    <w:rsid w:val="784D5376"/>
    <w:rsid w:val="7850730F"/>
    <w:rsid w:val="785256D4"/>
    <w:rsid w:val="785B62BD"/>
    <w:rsid w:val="785C6067"/>
    <w:rsid w:val="785D12CF"/>
    <w:rsid w:val="7864712D"/>
    <w:rsid w:val="78676109"/>
    <w:rsid w:val="786C5ECD"/>
    <w:rsid w:val="78713DC6"/>
    <w:rsid w:val="7875726B"/>
    <w:rsid w:val="78761059"/>
    <w:rsid w:val="787B21CF"/>
    <w:rsid w:val="788A6608"/>
    <w:rsid w:val="788B5B3C"/>
    <w:rsid w:val="788D71B5"/>
    <w:rsid w:val="788E7995"/>
    <w:rsid w:val="7891184F"/>
    <w:rsid w:val="78922694"/>
    <w:rsid w:val="78996DBE"/>
    <w:rsid w:val="78A83025"/>
    <w:rsid w:val="78AB74F2"/>
    <w:rsid w:val="78AD3BCE"/>
    <w:rsid w:val="78CD77AD"/>
    <w:rsid w:val="78DC6FD3"/>
    <w:rsid w:val="78E44104"/>
    <w:rsid w:val="78F244AB"/>
    <w:rsid w:val="78F31F9D"/>
    <w:rsid w:val="79023A1B"/>
    <w:rsid w:val="79064DC8"/>
    <w:rsid w:val="79096FE3"/>
    <w:rsid w:val="790F42F5"/>
    <w:rsid w:val="7947720A"/>
    <w:rsid w:val="794E0284"/>
    <w:rsid w:val="794E6E52"/>
    <w:rsid w:val="795E3198"/>
    <w:rsid w:val="7960221C"/>
    <w:rsid w:val="79667D10"/>
    <w:rsid w:val="79797A13"/>
    <w:rsid w:val="79844575"/>
    <w:rsid w:val="7999766A"/>
    <w:rsid w:val="79A657D9"/>
    <w:rsid w:val="79A76852"/>
    <w:rsid w:val="79AE7695"/>
    <w:rsid w:val="79BD6A5B"/>
    <w:rsid w:val="79BF0612"/>
    <w:rsid w:val="79C043E4"/>
    <w:rsid w:val="79D6443C"/>
    <w:rsid w:val="79D67B11"/>
    <w:rsid w:val="79DD5C5F"/>
    <w:rsid w:val="79E022F0"/>
    <w:rsid w:val="79E61C7D"/>
    <w:rsid w:val="79E61F64"/>
    <w:rsid w:val="79E7193B"/>
    <w:rsid w:val="79F37011"/>
    <w:rsid w:val="7A0422BF"/>
    <w:rsid w:val="7A06746E"/>
    <w:rsid w:val="7A26329A"/>
    <w:rsid w:val="7A2D0961"/>
    <w:rsid w:val="7A2E5279"/>
    <w:rsid w:val="7A2F4268"/>
    <w:rsid w:val="7A321FF1"/>
    <w:rsid w:val="7A3731F1"/>
    <w:rsid w:val="7A387A99"/>
    <w:rsid w:val="7A526DB4"/>
    <w:rsid w:val="7A6F0D4B"/>
    <w:rsid w:val="7A6F14D6"/>
    <w:rsid w:val="7A812A0C"/>
    <w:rsid w:val="7A9324AC"/>
    <w:rsid w:val="7A9329A8"/>
    <w:rsid w:val="7AA67684"/>
    <w:rsid w:val="7AAB1DDD"/>
    <w:rsid w:val="7ABE675F"/>
    <w:rsid w:val="7AC2252D"/>
    <w:rsid w:val="7AC64AA5"/>
    <w:rsid w:val="7AD55EE5"/>
    <w:rsid w:val="7AE120B4"/>
    <w:rsid w:val="7AE407BB"/>
    <w:rsid w:val="7AF1471D"/>
    <w:rsid w:val="7AF760A2"/>
    <w:rsid w:val="7B036E36"/>
    <w:rsid w:val="7B0E76AA"/>
    <w:rsid w:val="7B0F1047"/>
    <w:rsid w:val="7B1B7F1C"/>
    <w:rsid w:val="7B1F1AD8"/>
    <w:rsid w:val="7B2432C5"/>
    <w:rsid w:val="7B2F4988"/>
    <w:rsid w:val="7B37531C"/>
    <w:rsid w:val="7B38234C"/>
    <w:rsid w:val="7B38603E"/>
    <w:rsid w:val="7B3F7B7E"/>
    <w:rsid w:val="7B4156BF"/>
    <w:rsid w:val="7B481D63"/>
    <w:rsid w:val="7B4B5CF1"/>
    <w:rsid w:val="7B4C3C9C"/>
    <w:rsid w:val="7B5A3695"/>
    <w:rsid w:val="7B5F3097"/>
    <w:rsid w:val="7B6F2CBD"/>
    <w:rsid w:val="7B7664D6"/>
    <w:rsid w:val="7B8423DF"/>
    <w:rsid w:val="7B911884"/>
    <w:rsid w:val="7B923767"/>
    <w:rsid w:val="7B9513A5"/>
    <w:rsid w:val="7B961172"/>
    <w:rsid w:val="7BA5383F"/>
    <w:rsid w:val="7BAE46B5"/>
    <w:rsid w:val="7BB21B83"/>
    <w:rsid w:val="7BB56EDB"/>
    <w:rsid w:val="7BBA1B21"/>
    <w:rsid w:val="7BCE645D"/>
    <w:rsid w:val="7BCF17F1"/>
    <w:rsid w:val="7BD535D9"/>
    <w:rsid w:val="7BDE779C"/>
    <w:rsid w:val="7BE349AD"/>
    <w:rsid w:val="7BFA6A35"/>
    <w:rsid w:val="7C004F06"/>
    <w:rsid w:val="7C133880"/>
    <w:rsid w:val="7C1F59DF"/>
    <w:rsid w:val="7C22159C"/>
    <w:rsid w:val="7C292698"/>
    <w:rsid w:val="7C3216E4"/>
    <w:rsid w:val="7C3E4A65"/>
    <w:rsid w:val="7C52777D"/>
    <w:rsid w:val="7C6302CE"/>
    <w:rsid w:val="7C63117D"/>
    <w:rsid w:val="7C6A15B3"/>
    <w:rsid w:val="7C6F0CC8"/>
    <w:rsid w:val="7C7B541B"/>
    <w:rsid w:val="7C7B7792"/>
    <w:rsid w:val="7C894768"/>
    <w:rsid w:val="7CA51C63"/>
    <w:rsid w:val="7CA968E2"/>
    <w:rsid w:val="7CAA5868"/>
    <w:rsid w:val="7CB17827"/>
    <w:rsid w:val="7CBD7742"/>
    <w:rsid w:val="7CBE2D25"/>
    <w:rsid w:val="7CC77745"/>
    <w:rsid w:val="7CCA791B"/>
    <w:rsid w:val="7CCE4312"/>
    <w:rsid w:val="7CD10CE6"/>
    <w:rsid w:val="7CDB185C"/>
    <w:rsid w:val="7CE145AF"/>
    <w:rsid w:val="7CE24B17"/>
    <w:rsid w:val="7CEC1655"/>
    <w:rsid w:val="7CFF029C"/>
    <w:rsid w:val="7CFF0476"/>
    <w:rsid w:val="7D084252"/>
    <w:rsid w:val="7D0B4A10"/>
    <w:rsid w:val="7D170ECC"/>
    <w:rsid w:val="7D2211D5"/>
    <w:rsid w:val="7D230B9C"/>
    <w:rsid w:val="7D230DDA"/>
    <w:rsid w:val="7D2E15C4"/>
    <w:rsid w:val="7D313822"/>
    <w:rsid w:val="7D322549"/>
    <w:rsid w:val="7D3F7108"/>
    <w:rsid w:val="7D480840"/>
    <w:rsid w:val="7D4F7738"/>
    <w:rsid w:val="7D681FB0"/>
    <w:rsid w:val="7D6E4F8F"/>
    <w:rsid w:val="7D792545"/>
    <w:rsid w:val="7D80447E"/>
    <w:rsid w:val="7D8D3C0F"/>
    <w:rsid w:val="7D8F646F"/>
    <w:rsid w:val="7D8F73EC"/>
    <w:rsid w:val="7DA63533"/>
    <w:rsid w:val="7DAE36ED"/>
    <w:rsid w:val="7DBA1577"/>
    <w:rsid w:val="7DC41B68"/>
    <w:rsid w:val="7DD51B1D"/>
    <w:rsid w:val="7DE306DC"/>
    <w:rsid w:val="7DE56361"/>
    <w:rsid w:val="7DED6A26"/>
    <w:rsid w:val="7DF578FC"/>
    <w:rsid w:val="7DF83B5E"/>
    <w:rsid w:val="7E077E2B"/>
    <w:rsid w:val="7E14502D"/>
    <w:rsid w:val="7E177366"/>
    <w:rsid w:val="7E192701"/>
    <w:rsid w:val="7E1A1E2A"/>
    <w:rsid w:val="7E301A00"/>
    <w:rsid w:val="7E30358C"/>
    <w:rsid w:val="7E416C42"/>
    <w:rsid w:val="7E4B4E4C"/>
    <w:rsid w:val="7E513BFE"/>
    <w:rsid w:val="7E532EA4"/>
    <w:rsid w:val="7E6767C8"/>
    <w:rsid w:val="7E7933A7"/>
    <w:rsid w:val="7E7F355E"/>
    <w:rsid w:val="7E84666E"/>
    <w:rsid w:val="7E8B6218"/>
    <w:rsid w:val="7E936BF6"/>
    <w:rsid w:val="7E950C0E"/>
    <w:rsid w:val="7EA128FE"/>
    <w:rsid w:val="7EA228B9"/>
    <w:rsid w:val="7EA8381C"/>
    <w:rsid w:val="7EAC24D5"/>
    <w:rsid w:val="7EAD464A"/>
    <w:rsid w:val="7ED2433A"/>
    <w:rsid w:val="7EDD32DF"/>
    <w:rsid w:val="7EE92554"/>
    <w:rsid w:val="7EE96406"/>
    <w:rsid w:val="7EF2506C"/>
    <w:rsid w:val="7EF90044"/>
    <w:rsid w:val="7EFA0C37"/>
    <w:rsid w:val="7F091AE8"/>
    <w:rsid w:val="7F1E14B1"/>
    <w:rsid w:val="7F1E22B4"/>
    <w:rsid w:val="7F2A2B60"/>
    <w:rsid w:val="7F327C03"/>
    <w:rsid w:val="7F40042C"/>
    <w:rsid w:val="7F4212B7"/>
    <w:rsid w:val="7F4C286A"/>
    <w:rsid w:val="7F4D213E"/>
    <w:rsid w:val="7F537595"/>
    <w:rsid w:val="7F57133E"/>
    <w:rsid w:val="7F592F57"/>
    <w:rsid w:val="7F5B2634"/>
    <w:rsid w:val="7F6C724C"/>
    <w:rsid w:val="7F710522"/>
    <w:rsid w:val="7F77418F"/>
    <w:rsid w:val="7F7B6CAB"/>
    <w:rsid w:val="7F8444E7"/>
    <w:rsid w:val="7F89240C"/>
    <w:rsid w:val="7F8F791E"/>
    <w:rsid w:val="7FAF3EC4"/>
    <w:rsid w:val="7FB06048"/>
    <w:rsid w:val="7FB34697"/>
    <w:rsid w:val="7FB84398"/>
    <w:rsid w:val="7FC20D7E"/>
    <w:rsid w:val="7FC57185"/>
    <w:rsid w:val="7FCB5E84"/>
    <w:rsid w:val="7FE55525"/>
    <w:rsid w:val="7FE62E46"/>
    <w:rsid w:val="7FE9235B"/>
    <w:rsid w:val="7FFE39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nhideWhenUsed="0" w:uiPriority="9" w:semiHidden="0" w:name="heading 5"/>
    <w:lsdException w:qFormat="1" w:unhideWhenUsed="0" w:uiPriority="9" w:semiHidden="0" w:name="heading 6"/>
    <w:lsdException w:qFormat="1" w:unhideWhenUsed="0" w:uiPriority="9" w:semiHidden="0" w:name="heading 7"/>
    <w:lsdException w:qFormat="1" w:unhideWhenUsed="0" w:uiPriority="9" w:semiHidden="0" w:name="heading 8"/>
    <w:lsdException w:qFormat="1" w:unhideWhenUsed="0" w:uiPriority="9" w:semiHidden="0" w:name="heading 9"/>
    <w:lsdException w:qFormat="1" w:uiPriority="99" w:semiHidden="0" w:name="index 1"/>
    <w:lsdException w:qFormat="1" w:uiPriority="99" w:semiHidden="0" w:name="index 2"/>
    <w:lsdException w:qFormat="1" w:uiPriority="99" w:semiHidden="0" w:name="index 3"/>
    <w:lsdException w:qFormat="1" w:uiPriority="99" w:semiHidden="0" w:name="index 4"/>
    <w:lsdException w:qFormat="1" w:uiPriority="99" w:semiHidden="0" w:name="index 5"/>
    <w:lsdException w:qFormat="1" w:uiPriority="99" w:semiHidden="0" w:name="index 6"/>
    <w:lsdException w:qFormat="1" w:uiPriority="99" w:semiHidden="0" w:name="index 7"/>
    <w:lsdException w:qFormat="1" w:uiPriority="99" w:semiHidden="0" w:name="index 8"/>
    <w:lsdException w:qFormat="1" w:uiPriority="99"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qFormat="1" w:uiPriority="99" w:semiHidden="0" w:name="footnote text"/>
    <w:lsdException w:qFormat="1" w:unhideWhenUsed="0" w:uiPriority="99" w:semiHidden="0" w:name="annotation text"/>
    <w:lsdException w:qFormat="1" w:uiPriority="99" w:semiHidden="0" w:name="header"/>
    <w:lsdException w:qFormat="1" w:uiPriority="99" w:semiHidden="0" w:name="footer"/>
    <w:lsdException w:qFormat="1" w:uiPriority="99" w:semiHidden="0" w:name="index heading"/>
    <w:lsdException w:qFormat="1" w:unhideWhenUsed="0" w:uiPriority="35" w:semiHidden="0" w:name="caption"/>
    <w:lsdException w:qFormat="1" w:uiPriority="99" w:semiHidden="0" w:name="table of figures"/>
    <w:lsdException w:qFormat="1" w:uiPriority="99" w:semiHidden="0" w:name="envelope address"/>
    <w:lsdException w:qFormat="1" w:uiPriority="99" w:semiHidden="0"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qFormat="1" w:uiPriority="99" w:semiHidden="0" w:name="endnote text"/>
    <w:lsdException w:qFormat="1" w:uiPriority="99" w:semiHidden="0" w:name="table of authorities"/>
    <w:lsdException w:qFormat="1" w:uiPriority="99" w:semiHidden="0" w:name="macro"/>
    <w:lsdException w:qFormat="1" w:uiPriority="99" w:semiHidden="0" w:name="toa heading"/>
    <w:lsdException w:qFormat="1" w:unhideWhenUsed="0" w:uiPriority="0" w:semiHidden="0" w:name="List"/>
    <w:lsdException w:qFormat="1" w:uiPriority="99" w:semiHidden="0" w:name="List Bullet"/>
    <w:lsdException w:qFormat="1" w:uiPriority="99" w:semiHidden="0" w:name="List Number"/>
    <w:lsdException w:qFormat="1" w:uiPriority="99" w:semiHidden="0" w:name="List 2"/>
    <w:lsdException w:qFormat="1" w:unhideWhenUsed="0" w:uiPriority="99" w:semiHidden="0" w:name="List 3"/>
    <w:lsdException w:qFormat="1" w:uiPriority="99" w:semiHidden="0" w:name="List 4"/>
    <w:lsdException w:qFormat="1" w:uiPriority="99" w:semiHidden="0" w:name="List 5"/>
    <w:lsdException w:qFormat="1" w:uiPriority="99" w:semiHidden="0" w:name="List Bullet 2"/>
    <w:lsdException w:qFormat="1" w:uiPriority="99" w:semiHidden="0" w:name="List Bullet 3"/>
    <w:lsdException w:qFormat="1" w:uiPriority="99" w:semiHidden="0" w:name="List Bullet 4"/>
    <w:lsdException w:qFormat="1" w:uiPriority="99" w:semiHidden="0" w:name="List Bullet 5"/>
    <w:lsdException w:qFormat="1" w:uiPriority="99" w:semiHidden="0" w:name="List Number 2"/>
    <w:lsdException w:qFormat="1" w:uiPriority="99" w:semiHidden="0" w:name="List Number 3"/>
    <w:lsdException w:qFormat="1" w:uiPriority="99" w:semiHidden="0" w:name="List Number 4"/>
    <w:lsdException w:qFormat="1" w:uiPriority="99" w:semiHidden="0" w:name="List Number 5"/>
    <w:lsdException w:qFormat="1" w:unhideWhenUsed="0" w:uiPriority="10" w:semiHidden="0" w:name="Title"/>
    <w:lsdException w:qFormat="1" w:uiPriority="99" w:semiHidden="0" w:name="Closing"/>
    <w:lsdException w:qFormat="1" w:uiPriority="99" w:semiHidden="0" w:name="Signature"/>
    <w:lsdException w:qFormat="1" w:uiPriority="1" w:name="Default Paragraph Font"/>
    <w:lsdException w:qFormat="1" w:unhideWhenUsed="0" w:uiPriority="99" w:semiHidden="0" w:name="Body Text"/>
    <w:lsdException w:qFormat="1" w:unhideWhenUsed="0" w:uiPriority="99" w:semiHidden="0" w:name="Body Text Indent"/>
    <w:lsdException w:qFormat="1" w:uiPriority="99" w:semiHidden="0" w:name="List Continue"/>
    <w:lsdException w:qFormat="1" w:uiPriority="99" w:semiHidden="0" w:name="List Continue 2"/>
    <w:lsdException w:qFormat="1" w:uiPriority="99" w:semiHidden="0" w:name="List Continue 3"/>
    <w:lsdException w:qFormat="1" w:uiPriority="99" w:semiHidden="0" w:name="List Continue 4"/>
    <w:lsdException w:qFormat="1" w:uiPriority="99" w:semiHidden="0" w:name="List Continue 5"/>
    <w:lsdException w:qFormat="1" w:uiPriority="99" w:semiHidden="0" w:name="Message Header"/>
    <w:lsdException w:qFormat="1" w:unhideWhenUsed="0" w:uiPriority="11" w:semiHidden="0" w:name="Subtitle"/>
    <w:lsdException w:qFormat="1" w:uiPriority="99" w:semiHidden="0" w:name="Salutation"/>
    <w:lsdException w:qFormat="1" w:unhideWhenUsed="0" w:uiPriority="0" w:semiHidden="0" w:name="Date"/>
    <w:lsdException w:qFormat="1" w:uiPriority="0" w:semiHidden="0" w:name="Body Text First Indent"/>
    <w:lsdException w:qFormat="1" w:uiPriority="0" w:semiHidden="0" w:name="Body Text First Indent 2"/>
    <w:lsdException w:qFormat="1" w:uiPriority="99" w:semiHidden="0" w:name="Note Heading"/>
    <w:lsdException w:qFormat="1" w:uiPriority="99" w:semiHidden="0" w:name="Body Text 2"/>
    <w:lsdException w:qFormat="1" w:uiPriority="99" w:semiHidden="0" w:name="Body Text 3"/>
    <w:lsdException w:qFormat="1" w:unhideWhenUsed="0" w:uiPriority="99" w:semiHidden="0" w:name="Body Text Indent 2"/>
    <w:lsdException w:qFormat="1" w:unhideWhenUsed="0" w:uiPriority="0" w:semiHidden="0" w:name="Body Text Indent 3"/>
    <w:lsdException w:qFormat="1" w:uiPriority="0" w:semiHidden="0" w:name="Block Text"/>
    <w:lsdException w:qFormat="1" w:uiPriority="99" w:semiHidden="0" w:name="Hyperlink"/>
    <w:lsdException w:qFormat="1" w:unhideWhenUsed="0" w:uiPriority="99" w:semiHidden="0" w:name="FollowedHyperlink"/>
    <w:lsdException w:qFormat="1" w:unhideWhenUsed="0" w:uiPriority="0" w:semiHidden="0" w:name="Strong"/>
    <w:lsdException w:qFormat="1" w:unhideWhenUsed="0" w:uiPriority="0" w:semiHidden="0" w:name="Emphasis"/>
    <w:lsdException w:qFormat="1" w:unhideWhenUsed="0" w:uiPriority="99" w:semiHidden="0" w:name="Document Map"/>
    <w:lsdException w:qFormat="1" w:unhideWhenUsed="0" w:uiPriority="0" w:semiHidden="0" w:name="Plain Text"/>
    <w:lsdException w:qFormat="1" w:uiPriority="99" w:semiHidden="0" w:name="E-mail Signature"/>
    <w:lsdException w:qFormat="1" w:unhideWhenUsed="0" w:uiPriority="99" w:semiHidden="0" w:name="Normal (Web)"/>
    <w:lsdException w:uiPriority="99" w:name="HTML Acronym"/>
    <w:lsdException w:qFormat="1" w:uiPriority="99" w:semiHidden="0" w:name="HTML Address"/>
    <w:lsdException w:uiPriority="99" w:name="HTML Cite"/>
    <w:lsdException w:uiPriority="99" w:name="HTML Code"/>
    <w:lsdException w:uiPriority="99" w:name="HTML Definition"/>
    <w:lsdException w:uiPriority="99" w:name="HTML Keyboard"/>
    <w:lsdException w:qFormat="1" w:uiPriority="99"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99" w:semiHidden="0" w:name="annotation subject"/>
    <w:lsdException w:qFormat="1" w:unhideWhenUsed="0" w:uiPriority="0" w:semiHidden="0"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qFormat="1" w:unhideWhenUsed="0" w:uiPriority="0" w:semiHidden="0"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39" w:semiHidden="0" w:name="Table Grid"/>
    <w:lsdException w:qFormat="1" w:unhideWhenUsed="0" w:uiPriority="0" w:semiHidden="0" w:name="Table Theme"/>
    <w:lsdException w:qFormat="1" w:unhideWhenUsed="0"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qFormat="1" w:unhideWhenUsed="0" w:uiPriority="99" w:semiHidden="0" w:name="Quote"/>
    <w:lsdException w:qFormat="1" w:unhideWhenUsed="0" w:uiPriority="99"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sz w:val="21"/>
      <w:lang w:val="en-US" w:eastAsia="zh-CN" w:bidi="ar-SA"/>
    </w:rPr>
  </w:style>
  <w:style w:type="paragraph" w:styleId="3">
    <w:name w:val="heading 1"/>
    <w:basedOn w:val="1"/>
    <w:next w:val="1"/>
    <w:link w:val="130"/>
    <w:qFormat/>
    <w:uiPriority w:val="9"/>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4">
    <w:name w:val="heading 2"/>
    <w:basedOn w:val="1"/>
    <w:next w:val="1"/>
    <w:link w:val="131"/>
    <w:qFormat/>
    <w:uiPriority w:val="9"/>
    <w:pPr>
      <w:pBdr>
        <w:bottom w:val="none" w:color="622423" w:sz="0" w:space="0"/>
      </w:pBdr>
      <w:spacing w:line="360" w:lineRule="auto"/>
      <w:outlineLvl w:val="1"/>
    </w:pPr>
    <w:rPr>
      <w:b/>
      <w:caps/>
      <w:color w:val="000000"/>
      <w:spacing w:val="17"/>
      <w:sz w:val="30"/>
      <w:lang w:eastAsia="zh-TW"/>
    </w:rPr>
  </w:style>
  <w:style w:type="paragraph" w:styleId="5">
    <w:name w:val="heading 3"/>
    <w:basedOn w:val="1"/>
    <w:next w:val="1"/>
    <w:link w:val="132"/>
    <w:qFormat/>
    <w:uiPriority w:val="9"/>
    <w:pPr>
      <w:keepLines/>
      <w:widowControl/>
      <w:adjustRightInd w:val="0"/>
      <w:snapToGrid w:val="0"/>
      <w:textAlignment w:val="baseline"/>
      <w:outlineLvl w:val="2"/>
    </w:pPr>
    <w:rPr>
      <w:b/>
      <w:bCs/>
      <w:spacing w:val="11"/>
      <w:kern w:val="18"/>
      <w:sz w:val="28"/>
      <w:szCs w:val="28"/>
      <w:lang w:eastAsia="zh-TW"/>
    </w:rPr>
  </w:style>
  <w:style w:type="paragraph" w:styleId="6">
    <w:name w:val="heading 4"/>
    <w:basedOn w:val="1"/>
    <w:next w:val="1"/>
    <w:link w:val="133"/>
    <w:qFormat/>
    <w:uiPriority w:val="9"/>
    <w:pPr>
      <w:keepNext/>
      <w:keepLines/>
      <w:spacing w:line="360" w:lineRule="auto"/>
      <w:outlineLvl w:val="3"/>
    </w:pPr>
    <w:rPr>
      <w:rFonts w:ascii="Calibri" w:hAnsi="Calibri"/>
      <w:b/>
      <w:sz w:val="28"/>
      <w:lang w:eastAsia="zh-TW"/>
    </w:rPr>
  </w:style>
  <w:style w:type="paragraph" w:styleId="7">
    <w:name w:val="heading 5"/>
    <w:basedOn w:val="1"/>
    <w:next w:val="1"/>
    <w:link w:val="134"/>
    <w:qFormat/>
    <w:uiPriority w:val="9"/>
    <w:pPr>
      <w:keepNext/>
      <w:keepLines/>
      <w:adjustRightInd w:val="0"/>
      <w:spacing w:before="280" w:after="290" w:line="376" w:lineRule="auto"/>
      <w:textAlignment w:val="baseline"/>
      <w:outlineLvl w:val="4"/>
    </w:pPr>
    <w:rPr>
      <w:rFonts w:ascii="Calibri" w:hAnsi="Calibri" w:eastAsia="Times New Roman"/>
      <w:b/>
      <w:bCs/>
      <w:sz w:val="28"/>
      <w:szCs w:val="28"/>
      <w:lang w:eastAsia="zh-TW"/>
    </w:rPr>
  </w:style>
  <w:style w:type="paragraph" w:styleId="8">
    <w:name w:val="heading 6"/>
    <w:basedOn w:val="1"/>
    <w:next w:val="1"/>
    <w:link w:val="135"/>
    <w:qFormat/>
    <w:uiPriority w:val="9"/>
    <w:pPr>
      <w:keepNext/>
      <w:keepLines/>
      <w:adjustRightInd w:val="0"/>
      <w:spacing w:before="240" w:after="64" w:line="320" w:lineRule="auto"/>
      <w:textAlignment w:val="baseline"/>
      <w:outlineLvl w:val="5"/>
    </w:pPr>
    <w:rPr>
      <w:rFonts w:ascii="Cambria" w:hAnsi="Cambria"/>
      <w:b/>
      <w:bCs/>
      <w:sz w:val="24"/>
      <w:lang w:eastAsia="zh-TW"/>
    </w:rPr>
  </w:style>
  <w:style w:type="paragraph" w:styleId="9">
    <w:name w:val="heading 7"/>
    <w:basedOn w:val="1"/>
    <w:next w:val="1"/>
    <w:link w:val="136"/>
    <w:qFormat/>
    <w:uiPriority w:val="9"/>
    <w:pPr>
      <w:keepNext/>
      <w:keepLines/>
      <w:adjustRightInd w:val="0"/>
      <w:spacing w:before="240" w:after="64" w:line="320" w:lineRule="auto"/>
      <w:textAlignment w:val="baseline"/>
      <w:outlineLvl w:val="6"/>
    </w:pPr>
    <w:rPr>
      <w:rFonts w:ascii="Calibri" w:hAnsi="Calibri" w:eastAsia="Times New Roman"/>
      <w:b/>
      <w:bCs/>
      <w:sz w:val="24"/>
      <w:lang w:eastAsia="zh-TW"/>
    </w:rPr>
  </w:style>
  <w:style w:type="paragraph" w:styleId="10">
    <w:name w:val="heading 8"/>
    <w:basedOn w:val="1"/>
    <w:next w:val="1"/>
    <w:link w:val="137"/>
    <w:qFormat/>
    <w:uiPriority w:val="9"/>
    <w:pPr>
      <w:keepNext/>
      <w:keepLines/>
      <w:adjustRightInd w:val="0"/>
      <w:spacing w:before="240" w:after="64" w:line="320" w:lineRule="auto"/>
      <w:textAlignment w:val="baseline"/>
      <w:outlineLvl w:val="7"/>
    </w:pPr>
    <w:rPr>
      <w:rFonts w:ascii="Cambria" w:hAnsi="Cambria"/>
      <w:sz w:val="24"/>
      <w:lang w:eastAsia="zh-TW"/>
    </w:rPr>
  </w:style>
  <w:style w:type="paragraph" w:styleId="11">
    <w:name w:val="heading 9"/>
    <w:basedOn w:val="1"/>
    <w:next w:val="1"/>
    <w:link w:val="138"/>
    <w:qFormat/>
    <w:uiPriority w:val="9"/>
    <w:pPr>
      <w:keepNext/>
      <w:keepLines/>
      <w:adjustRightInd w:val="0"/>
      <w:spacing w:before="240" w:after="64" w:line="320" w:lineRule="auto"/>
      <w:textAlignment w:val="baseline"/>
      <w:outlineLvl w:val="8"/>
    </w:pPr>
    <w:rPr>
      <w:rFonts w:ascii="Cambria" w:hAnsi="Cambria"/>
      <w:lang w:eastAsia="zh-TW"/>
    </w:rPr>
  </w:style>
  <w:style w:type="character" w:default="1" w:styleId="98">
    <w:name w:val="Default Paragraph Font"/>
    <w:semiHidden/>
    <w:unhideWhenUsed/>
    <w:qFormat/>
    <w:uiPriority w:val="1"/>
  </w:style>
  <w:style w:type="table" w:default="1" w:styleId="92">
    <w:name w:val="Normal Table"/>
    <w:semiHidden/>
    <w:unhideWhenUsed/>
    <w:qFormat/>
    <w:uiPriority w:val="99"/>
    <w:tblPr>
      <w:tblCellMar>
        <w:top w:w="0" w:type="dxa"/>
        <w:left w:w="108" w:type="dxa"/>
        <w:bottom w:w="0" w:type="dxa"/>
        <w:right w:w="108" w:type="dxa"/>
      </w:tblCellMar>
    </w:tblPr>
  </w:style>
  <w:style w:type="paragraph" w:styleId="2">
    <w:name w:val="macro"/>
    <w:link w:val="129"/>
    <w:unhideWhenUsed/>
    <w:qFormat/>
    <w:uiPriority w:val="99"/>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adjustRightInd w:val="0"/>
      <w:snapToGrid w:val="0"/>
      <w:textAlignment w:val="baseline"/>
    </w:pPr>
    <w:rPr>
      <w:rFonts w:ascii="Courier New" w:hAnsi="Courier New" w:eastAsia="宋体" w:cs="Times New Roman"/>
      <w:kern w:val="2"/>
      <w:sz w:val="24"/>
      <w:szCs w:val="24"/>
      <w:lang w:val="en-US" w:eastAsia="zh-TW" w:bidi="ar-SA"/>
    </w:rPr>
  </w:style>
  <w:style w:type="paragraph" w:styleId="12">
    <w:name w:val="List 3"/>
    <w:basedOn w:val="1"/>
    <w:next w:val="1"/>
    <w:qFormat/>
    <w:uiPriority w:val="99"/>
    <w:pPr>
      <w:ind w:left="100" w:leftChars="400" w:hanging="200" w:hangingChars="200"/>
    </w:pPr>
    <w:rPr>
      <w:rFonts w:ascii="Calibri" w:hAnsi="Calibri"/>
      <w:lang w:eastAsia="zh-TW"/>
    </w:rPr>
  </w:style>
  <w:style w:type="paragraph" w:styleId="13">
    <w:name w:val="toc 7"/>
    <w:basedOn w:val="1"/>
    <w:next w:val="1"/>
    <w:unhideWhenUsed/>
    <w:qFormat/>
    <w:uiPriority w:val="39"/>
    <w:pPr>
      <w:ind w:left="2520" w:leftChars="1200"/>
    </w:pPr>
    <w:rPr>
      <w:rFonts w:ascii="Calibri" w:hAnsi="Calibri"/>
      <w:szCs w:val="22"/>
    </w:rPr>
  </w:style>
  <w:style w:type="paragraph" w:styleId="14">
    <w:name w:val="List Number 2"/>
    <w:basedOn w:val="1"/>
    <w:unhideWhenUsed/>
    <w:qFormat/>
    <w:uiPriority w:val="99"/>
    <w:pPr>
      <w:numPr>
        <w:ilvl w:val="0"/>
        <w:numId w:val="1"/>
      </w:numPr>
      <w:tabs>
        <w:tab w:val="left" w:pos="780"/>
      </w:tabs>
      <w:adjustRightInd w:val="0"/>
      <w:spacing w:line="360" w:lineRule="auto"/>
      <w:contextualSpacing/>
      <w:textAlignment w:val="baseline"/>
    </w:pPr>
    <w:rPr>
      <w:rFonts w:ascii="Calibri" w:hAnsi="Calibri" w:eastAsia="Times New Roman"/>
      <w:sz w:val="24"/>
      <w:szCs w:val="22"/>
    </w:rPr>
  </w:style>
  <w:style w:type="paragraph" w:styleId="15">
    <w:name w:val="table of authorities"/>
    <w:basedOn w:val="1"/>
    <w:next w:val="1"/>
    <w:unhideWhenUsed/>
    <w:qFormat/>
    <w:uiPriority w:val="99"/>
    <w:pPr>
      <w:adjustRightInd w:val="0"/>
      <w:spacing w:line="360" w:lineRule="auto"/>
      <w:ind w:left="420" w:leftChars="200"/>
      <w:textAlignment w:val="baseline"/>
    </w:pPr>
    <w:rPr>
      <w:rFonts w:ascii="Calibri" w:hAnsi="Calibri" w:eastAsia="Times New Roman"/>
      <w:sz w:val="24"/>
      <w:szCs w:val="22"/>
    </w:rPr>
  </w:style>
  <w:style w:type="paragraph" w:styleId="16">
    <w:name w:val="Note Heading"/>
    <w:basedOn w:val="1"/>
    <w:next w:val="1"/>
    <w:link w:val="140"/>
    <w:unhideWhenUsed/>
    <w:qFormat/>
    <w:uiPriority w:val="99"/>
    <w:pPr>
      <w:adjustRightInd w:val="0"/>
      <w:spacing w:line="360" w:lineRule="auto"/>
      <w:jc w:val="center"/>
      <w:textAlignment w:val="baseline"/>
    </w:pPr>
    <w:rPr>
      <w:rFonts w:eastAsia="Times New Roman"/>
      <w:sz w:val="24"/>
      <w:szCs w:val="22"/>
    </w:rPr>
  </w:style>
  <w:style w:type="paragraph" w:styleId="17">
    <w:name w:val="List Bullet 4"/>
    <w:basedOn w:val="1"/>
    <w:unhideWhenUsed/>
    <w:qFormat/>
    <w:uiPriority w:val="99"/>
    <w:pPr>
      <w:numPr>
        <w:ilvl w:val="0"/>
        <w:numId w:val="2"/>
      </w:numPr>
      <w:tabs>
        <w:tab w:val="left" w:pos="1620"/>
      </w:tabs>
      <w:adjustRightInd w:val="0"/>
      <w:spacing w:line="360" w:lineRule="auto"/>
      <w:contextualSpacing/>
      <w:textAlignment w:val="baseline"/>
    </w:pPr>
    <w:rPr>
      <w:rFonts w:ascii="Calibri" w:hAnsi="Calibri" w:eastAsia="Times New Roman"/>
      <w:sz w:val="24"/>
      <w:szCs w:val="22"/>
    </w:rPr>
  </w:style>
  <w:style w:type="paragraph" w:styleId="18">
    <w:name w:val="index 8"/>
    <w:basedOn w:val="1"/>
    <w:next w:val="1"/>
    <w:unhideWhenUsed/>
    <w:qFormat/>
    <w:uiPriority w:val="99"/>
    <w:pPr>
      <w:adjustRightInd w:val="0"/>
      <w:spacing w:line="360" w:lineRule="auto"/>
      <w:ind w:left="1400" w:leftChars="1400"/>
      <w:textAlignment w:val="baseline"/>
    </w:pPr>
    <w:rPr>
      <w:rFonts w:ascii="Calibri" w:hAnsi="Calibri" w:eastAsia="Times New Roman"/>
      <w:sz w:val="24"/>
      <w:szCs w:val="22"/>
    </w:rPr>
  </w:style>
  <w:style w:type="paragraph" w:styleId="19">
    <w:name w:val="E-mail Signature"/>
    <w:basedOn w:val="1"/>
    <w:next w:val="20"/>
    <w:link w:val="142"/>
    <w:unhideWhenUsed/>
    <w:qFormat/>
    <w:uiPriority w:val="99"/>
    <w:pPr>
      <w:adjustRightInd w:val="0"/>
      <w:spacing w:line="360" w:lineRule="auto"/>
      <w:textAlignment w:val="baseline"/>
    </w:pPr>
    <w:rPr>
      <w:rFonts w:eastAsia="Times New Roman"/>
      <w:sz w:val="24"/>
      <w:szCs w:val="22"/>
    </w:rPr>
  </w:style>
  <w:style w:type="paragraph" w:customStyle="1" w:styleId="20">
    <w:name w:val="文章"/>
    <w:next w:val="21"/>
    <w:qFormat/>
    <w:uiPriority w:val="0"/>
    <w:pPr>
      <w:ind w:firstLine="480"/>
      <w:jc w:val="center"/>
    </w:pPr>
    <w:rPr>
      <w:rFonts w:ascii="Times New Roman" w:hAnsi="Times New Roman" w:eastAsia="宋体" w:cs="Times New Roman"/>
      <w:kern w:val="2"/>
      <w:sz w:val="26"/>
      <w:szCs w:val="22"/>
      <w:lang w:val="en-US" w:eastAsia="zh-CN" w:bidi="ar-SA"/>
    </w:rPr>
  </w:style>
  <w:style w:type="paragraph" w:styleId="21">
    <w:name w:val="List"/>
    <w:basedOn w:val="1"/>
    <w:next w:val="1"/>
    <w:qFormat/>
    <w:uiPriority w:val="0"/>
    <w:pPr>
      <w:ind w:left="200" w:hanging="200" w:hangingChars="200"/>
    </w:pPr>
    <w:rPr>
      <w:rFonts w:ascii="Calibri" w:hAnsi="Calibri"/>
      <w:lang w:eastAsia="zh-TW"/>
    </w:rPr>
  </w:style>
  <w:style w:type="paragraph" w:styleId="22">
    <w:name w:val="List Number"/>
    <w:basedOn w:val="1"/>
    <w:unhideWhenUsed/>
    <w:qFormat/>
    <w:uiPriority w:val="99"/>
    <w:pPr>
      <w:numPr>
        <w:ilvl w:val="0"/>
        <w:numId w:val="3"/>
      </w:numPr>
      <w:tabs>
        <w:tab w:val="left" w:pos="360"/>
      </w:tabs>
      <w:adjustRightInd w:val="0"/>
      <w:spacing w:line="360" w:lineRule="auto"/>
      <w:contextualSpacing/>
      <w:textAlignment w:val="baseline"/>
    </w:pPr>
    <w:rPr>
      <w:rFonts w:ascii="Calibri" w:hAnsi="Calibri" w:eastAsia="Times New Roman"/>
      <w:sz w:val="24"/>
      <w:szCs w:val="22"/>
    </w:rPr>
  </w:style>
  <w:style w:type="paragraph" w:styleId="23">
    <w:name w:val="Normal Indent"/>
    <w:basedOn w:val="1"/>
    <w:next w:val="1"/>
    <w:link w:val="143"/>
    <w:qFormat/>
    <w:uiPriority w:val="0"/>
    <w:pPr>
      <w:ind w:firstLine="420"/>
    </w:pPr>
    <w:rPr>
      <w:sz w:val="28"/>
      <w:szCs w:val="28"/>
      <w:lang w:eastAsia="zh-TW"/>
    </w:rPr>
  </w:style>
  <w:style w:type="paragraph" w:styleId="24">
    <w:name w:val="caption"/>
    <w:basedOn w:val="1"/>
    <w:next w:val="1"/>
    <w:link w:val="144"/>
    <w:qFormat/>
    <w:uiPriority w:val="35"/>
    <w:pPr>
      <w:adjustRightInd w:val="0"/>
      <w:spacing w:line="360" w:lineRule="auto"/>
      <w:textAlignment w:val="baseline"/>
    </w:pPr>
    <w:rPr>
      <w:rFonts w:ascii="Cambria" w:hAnsi="Cambria" w:eastAsia="黑体"/>
      <w:sz w:val="20"/>
    </w:rPr>
  </w:style>
  <w:style w:type="paragraph" w:styleId="25">
    <w:name w:val="index 5"/>
    <w:basedOn w:val="1"/>
    <w:next w:val="1"/>
    <w:unhideWhenUsed/>
    <w:qFormat/>
    <w:uiPriority w:val="99"/>
    <w:pPr>
      <w:adjustRightInd w:val="0"/>
      <w:spacing w:line="360" w:lineRule="auto"/>
      <w:ind w:left="800" w:leftChars="800"/>
      <w:textAlignment w:val="baseline"/>
    </w:pPr>
    <w:rPr>
      <w:rFonts w:ascii="Calibri" w:hAnsi="Calibri" w:eastAsia="Times New Roman"/>
      <w:sz w:val="24"/>
      <w:szCs w:val="22"/>
    </w:rPr>
  </w:style>
  <w:style w:type="paragraph" w:styleId="26">
    <w:name w:val="List Bullet"/>
    <w:basedOn w:val="1"/>
    <w:unhideWhenUsed/>
    <w:qFormat/>
    <w:uiPriority w:val="99"/>
    <w:pPr>
      <w:numPr>
        <w:ilvl w:val="0"/>
        <w:numId w:val="4"/>
      </w:numPr>
      <w:tabs>
        <w:tab w:val="left" w:pos="360"/>
      </w:tabs>
      <w:adjustRightInd w:val="0"/>
      <w:spacing w:line="360" w:lineRule="auto"/>
      <w:contextualSpacing/>
      <w:textAlignment w:val="baseline"/>
    </w:pPr>
    <w:rPr>
      <w:rFonts w:ascii="Calibri" w:hAnsi="Calibri" w:eastAsia="Times New Roman"/>
      <w:sz w:val="24"/>
      <w:szCs w:val="22"/>
    </w:rPr>
  </w:style>
  <w:style w:type="paragraph" w:styleId="27">
    <w:name w:val="envelope address"/>
    <w:basedOn w:val="1"/>
    <w:unhideWhenUsed/>
    <w:qFormat/>
    <w:uiPriority w:val="99"/>
    <w:pPr>
      <w:framePr w:w="7920" w:h="1980" w:hRule="exact" w:hSpace="180" w:wrap="around" w:vAnchor="margin" w:hAnchor="page" w:xAlign="center" w:yAlign="bottom"/>
      <w:adjustRightInd w:val="0"/>
      <w:snapToGrid w:val="0"/>
      <w:spacing w:line="360" w:lineRule="auto"/>
      <w:ind w:left="100" w:leftChars="1400"/>
      <w:textAlignment w:val="baseline"/>
    </w:pPr>
    <w:rPr>
      <w:rFonts w:ascii="Cambria" w:hAnsi="Cambria"/>
      <w:sz w:val="24"/>
    </w:rPr>
  </w:style>
  <w:style w:type="paragraph" w:styleId="28">
    <w:name w:val="Document Map"/>
    <w:basedOn w:val="1"/>
    <w:link w:val="146"/>
    <w:qFormat/>
    <w:uiPriority w:val="99"/>
    <w:rPr>
      <w:rFonts w:ascii="宋体" w:hAnsi="Calibri"/>
      <w:sz w:val="18"/>
      <w:szCs w:val="18"/>
      <w:lang w:eastAsia="zh-TW"/>
    </w:rPr>
  </w:style>
  <w:style w:type="paragraph" w:styleId="29">
    <w:name w:val="toa heading"/>
    <w:basedOn w:val="1"/>
    <w:next w:val="1"/>
    <w:unhideWhenUsed/>
    <w:qFormat/>
    <w:uiPriority w:val="99"/>
    <w:pPr>
      <w:adjustRightInd w:val="0"/>
      <w:spacing w:before="120" w:line="360" w:lineRule="auto"/>
      <w:textAlignment w:val="baseline"/>
    </w:pPr>
    <w:rPr>
      <w:rFonts w:ascii="Cambria" w:hAnsi="Cambria"/>
      <w:sz w:val="24"/>
    </w:rPr>
  </w:style>
  <w:style w:type="paragraph" w:styleId="30">
    <w:name w:val="annotation text"/>
    <w:basedOn w:val="1"/>
    <w:link w:val="148"/>
    <w:qFormat/>
    <w:uiPriority w:val="99"/>
    <w:pPr>
      <w:jc w:val="left"/>
    </w:pPr>
    <w:rPr>
      <w:sz w:val="24"/>
    </w:rPr>
  </w:style>
  <w:style w:type="paragraph" w:styleId="31">
    <w:name w:val="index 6"/>
    <w:basedOn w:val="1"/>
    <w:next w:val="1"/>
    <w:unhideWhenUsed/>
    <w:qFormat/>
    <w:uiPriority w:val="99"/>
    <w:pPr>
      <w:adjustRightInd w:val="0"/>
      <w:spacing w:line="360" w:lineRule="auto"/>
      <w:ind w:left="1000" w:leftChars="1000"/>
      <w:textAlignment w:val="baseline"/>
    </w:pPr>
    <w:rPr>
      <w:rFonts w:ascii="Calibri" w:hAnsi="Calibri" w:eastAsia="Times New Roman"/>
      <w:sz w:val="24"/>
      <w:szCs w:val="22"/>
    </w:rPr>
  </w:style>
  <w:style w:type="paragraph" w:styleId="32">
    <w:name w:val="Salutation"/>
    <w:basedOn w:val="1"/>
    <w:next w:val="1"/>
    <w:link w:val="150"/>
    <w:unhideWhenUsed/>
    <w:qFormat/>
    <w:uiPriority w:val="99"/>
    <w:pPr>
      <w:adjustRightInd w:val="0"/>
      <w:spacing w:line="360" w:lineRule="auto"/>
      <w:textAlignment w:val="baseline"/>
    </w:pPr>
    <w:rPr>
      <w:rFonts w:eastAsia="Times New Roman"/>
      <w:sz w:val="24"/>
      <w:szCs w:val="22"/>
    </w:rPr>
  </w:style>
  <w:style w:type="paragraph" w:styleId="33">
    <w:name w:val="Body Text 3"/>
    <w:basedOn w:val="1"/>
    <w:link w:val="152"/>
    <w:unhideWhenUsed/>
    <w:qFormat/>
    <w:uiPriority w:val="99"/>
    <w:pPr>
      <w:adjustRightInd w:val="0"/>
      <w:spacing w:after="120" w:line="360" w:lineRule="auto"/>
      <w:textAlignment w:val="baseline"/>
    </w:pPr>
    <w:rPr>
      <w:rFonts w:eastAsia="Times New Roman"/>
      <w:sz w:val="16"/>
      <w:szCs w:val="16"/>
    </w:rPr>
  </w:style>
  <w:style w:type="paragraph" w:styleId="34">
    <w:name w:val="Closing"/>
    <w:basedOn w:val="1"/>
    <w:link w:val="154"/>
    <w:unhideWhenUsed/>
    <w:qFormat/>
    <w:uiPriority w:val="99"/>
    <w:pPr>
      <w:adjustRightInd w:val="0"/>
      <w:spacing w:line="360" w:lineRule="auto"/>
      <w:ind w:left="100" w:leftChars="2100"/>
      <w:textAlignment w:val="baseline"/>
    </w:pPr>
    <w:rPr>
      <w:rFonts w:eastAsia="Times New Roman"/>
      <w:sz w:val="24"/>
      <w:szCs w:val="22"/>
    </w:rPr>
  </w:style>
  <w:style w:type="paragraph" w:styleId="35">
    <w:name w:val="List Bullet 3"/>
    <w:basedOn w:val="1"/>
    <w:unhideWhenUsed/>
    <w:qFormat/>
    <w:uiPriority w:val="99"/>
    <w:pPr>
      <w:numPr>
        <w:ilvl w:val="0"/>
        <w:numId w:val="5"/>
      </w:numPr>
      <w:tabs>
        <w:tab w:val="left" w:pos="1200"/>
      </w:tabs>
      <w:adjustRightInd w:val="0"/>
      <w:spacing w:line="360" w:lineRule="auto"/>
      <w:contextualSpacing/>
      <w:textAlignment w:val="baseline"/>
    </w:pPr>
    <w:rPr>
      <w:rFonts w:ascii="Calibri" w:hAnsi="Calibri" w:eastAsia="Times New Roman"/>
      <w:sz w:val="24"/>
      <w:szCs w:val="22"/>
    </w:rPr>
  </w:style>
  <w:style w:type="paragraph" w:styleId="36">
    <w:name w:val="Body Text"/>
    <w:basedOn w:val="1"/>
    <w:link w:val="156"/>
    <w:qFormat/>
    <w:uiPriority w:val="99"/>
    <w:pPr>
      <w:widowControl/>
      <w:snapToGrid w:val="0"/>
      <w:spacing w:before="60" w:after="160" w:line="259" w:lineRule="auto"/>
      <w:ind w:right="113"/>
    </w:pPr>
    <w:rPr>
      <w:sz w:val="18"/>
    </w:rPr>
  </w:style>
  <w:style w:type="paragraph" w:styleId="37">
    <w:name w:val="Body Text Indent"/>
    <w:basedOn w:val="1"/>
    <w:link w:val="158"/>
    <w:qFormat/>
    <w:uiPriority w:val="99"/>
    <w:pPr>
      <w:spacing w:after="120"/>
      <w:ind w:left="420" w:leftChars="200"/>
    </w:pPr>
    <w:rPr>
      <w:sz w:val="24"/>
    </w:rPr>
  </w:style>
  <w:style w:type="paragraph" w:styleId="38">
    <w:name w:val="List Number 3"/>
    <w:basedOn w:val="1"/>
    <w:unhideWhenUsed/>
    <w:qFormat/>
    <w:uiPriority w:val="99"/>
    <w:pPr>
      <w:numPr>
        <w:ilvl w:val="0"/>
        <w:numId w:val="6"/>
      </w:numPr>
      <w:tabs>
        <w:tab w:val="left" w:pos="1200"/>
      </w:tabs>
      <w:adjustRightInd w:val="0"/>
      <w:spacing w:line="360" w:lineRule="auto"/>
      <w:contextualSpacing/>
      <w:textAlignment w:val="baseline"/>
    </w:pPr>
    <w:rPr>
      <w:rFonts w:ascii="Calibri" w:hAnsi="Calibri" w:eastAsia="Times New Roman"/>
      <w:sz w:val="24"/>
      <w:szCs w:val="22"/>
    </w:rPr>
  </w:style>
  <w:style w:type="paragraph" w:styleId="39">
    <w:name w:val="List 2"/>
    <w:basedOn w:val="1"/>
    <w:unhideWhenUsed/>
    <w:qFormat/>
    <w:uiPriority w:val="99"/>
    <w:pPr>
      <w:adjustRightInd w:val="0"/>
      <w:spacing w:line="360" w:lineRule="auto"/>
      <w:ind w:left="100" w:leftChars="200" w:hanging="200" w:hangingChars="200"/>
      <w:contextualSpacing/>
      <w:textAlignment w:val="baseline"/>
    </w:pPr>
    <w:rPr>
      <w:rFonts w:ascii="Calibri" w:hAnsi="Calibri" w:eastAsia="Times New Roman"/>
      <w:sz w:val="24"/>
      <w:szCs w:val="22"/>
    </w:rPr>
  </w:style>
  <w:style w:type="paragraph" w:styleId="40">
    <w:name w:val="List Continue"/>
    <w:basedOn w:val="1"/>
    <w:unhideWhenUsed/>
    <w:qFormat/>
    <w:uiPriority w:val="99"/>
    <w:pPr>
      <w:adjustRightInd w:val="0"/>
      <w:spacing w:after="120" w:line="360" w:lineRule="auto"/>
      <w:ind w:left="420" w:leftChars="200"/>
      <w:contextualSpacing/>
      <w:textAlignment w:val="baseline"/>
    </w:pPr>
    <w:rPr>
      <w:rFonts w:ascii="Calibri" w:hAnsi="Calibri" w:eastAsia="Times New Roman"/>
      <w:sz w:val="24"/>
      <w:szCs w:val="22"/>
    </w:rPr>
  </w:style>
  <w:style w:type="paragraph" w:styleId="41">
    <w:name w:val="Block Text"/>
    <w:basedOn w:val="1"/>
    <w:unhideWhenUsed/>
    <w:qFormat/>
    <w:uiPriority w:val="0"/>
    <w:pPr>
      <w:adjustRightInd w:val="0"/>
      <w:snapToGrid w:val="0"/>
      <w:spacing w:before="180" w:line="380" w:lineRule="atLeast"/>
      <w:ind w:left="142" w:right="170" w:firstLine="476"/>
      <w:textAlignment w:val="baseline"/>
    </w:pPr>
    <w:rPr>
      <w:rFonts w:ascii="Calibri" w:hAnsi="Calibri" w:eastAsia="Times New Roman"/>
      <w:sz w:val="24"/>
    </w:rPr>
  </w:style>
  <w:style w:type="paragraph" w:styleId="42">
    <w:name w:val="List Bullet 2"/>
    <w:basedOn w:val="1"/>
    <w:next w:val="43"/>
    <w:unhideWhenUsed/>
    <w:qFormat/>
    <w:uiPriority w:val="99"/>
    <w:pPr>
      <w:numPr>
        <w:ilvl w:val="0"/>
        <w:numId w:val="7"/>
      </w:numPr>
      <w:tabs>
        <w:tab w:val="left" w:pos="780"/>
      </w:tabs>
      <w:adjustRightInd w:val="0"/>
      <w:spacing w:line="360" w:lineRule="auto"/>
      <w:contextualSpacing/>
      <w:textAlignment w:val="baseline"/>
    </w:pPr>
    <w:rPr>
      <w:rFonts w:ascii="Calibri" w:hAnsi="Calibri" w:eastAsia="Times New Roman"/>
      <w:sz w:val="24"/>
      <w:szCs w:val="22"/>
    </w:rPr>
  </w:style>
  <w:style w:type="paragraph" w:customStyle="1" w:styleId="43">
    <w:name w:val="xl70"/>
    <w:basedOn w:val="1"/>
    <w:next w:val="44"/>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sz w:val="20"/>
    </w:rPr>
  </w:style>
  <w:style w:type="paragraph" w:customStyle="1" w:styleId="44">
    <w:name w:val="正文缩进1"/>
    <w:basedOn w:val="1"/>
    <w:next w:val="45"/>
    <w:qFormat/>
    <w:uiPriority w:val="0"/>
    <w:pPr>
      <w:spacing w:before="156" w:beforeLines="50" w:after="156" w:afterLines="50"/>
      <w:ind w:firstLine="1048" w:firstLineChars="435"/>
      <w:jc w:val="center"/>
    </w:pPr>
    <w:rPr>
      <w:rFonts w:ascii="宋体" w:hAnsi="宋体"/>
      <w:b/>
      <w:bCs/>
      <w:color w:val="000000"/>
      <w:kern w:val="24"/>
      <w:sz w:val="24"/>
    </w:rPr>
  </w:style>
  <w:style w:type="paragraph" w:customStyle="1" w:styleId="45">
    <w:name w:val="td1"/>
    <w:basedOn w:val="1"/>
    <w:next w:val="1"/>
    <w:qFormat/>
    <w:uiPriority w:val="0"/>
    <w:pPr>
      <w:widowControl/>
      <w:spacing w:before="280" w:after="280" w:line="300" w:lineRule="atLeast"/>
      <w:ind w:firstLine="200"/>
    </w:pPr>
    <w:rPr>
      <w:color w:val="000000"/>
      <w:sz w:val="18"/>
    </w:rPr>
  </w:style>
  <w:style w:type="paragraph" w:styleId="46">
    <w:name w:val="HTML Address"/>
    <w:basedOn w:val="1"/>
    <w:link w:val="160"/>
    <w:unhideWhenUsed/>
    <w:qFormat/>
    <w:uiPriority w:val="99"/>
    <w:pPr>
      <w:adjustRightInd w:val="0"/>
      <w:spacing w:line="360" w:lineRule="auto"/>
      <w:textAlignment w:val="baseline"/>
    </w:pPr>
    <w:rPr>
      <w:rFonts w:eastAsia="Times New Roman"/>
      <w:i/>
      <w:iCs/>
      <w:sz w:val="24"/>
      <w:szCs w:val="22"/>
    </w:rPr>
  </w:style>
  <w:style w:type="paragraph" w:styleId="47">
    <w:name w:val="index 4"/>
    <w:basedOn w:val="1"/>
    <w:next w:val="1"/>
    <w:unhideWhenUsed/>
    <w:qFormat/>
    <w:uiPriority w:val="99"/>
    <w:pPr>
      <w:adjustRightInd w:val="0"/>
      <w:spacing w:line="360" w:lineRule="auto"/>
      <w:ind w:left="600" w:leftChars="600"/>
      <w:textAlignment w:val="baseline"/>
    </w:pPr>
    <w:rPr>
      <w:rFonts w:ascii="Calibri" w:hAnsi="Calibri" w:eastAsia="Times New Roman"/>
      <w:sz w:val="24"/>
      <w:szCs w:val="22"/>
    </w:rPr>
  </w:style>
  <w:style w:type="paragraph" w:styleId="48">
    <w:name w:val="toc 5"/>
    <w:basedOn w:val="1"/>
    <w:next w:val="1"/>
    <w:unhideWhenUsed/>
    <w:qFormat/>
    <w:uiPriority w:val="39"/>
    <w:pPr>
      <w:ind w:left="1680" w:leftChars="800"/>
    </w:pPr>
    <w:rPr>
      <w:rFonts w:ascii="Calibri" w:hAnsi="Calibri"/>
      <w:szCs w:val="22"/>
    </w:rPr>
  </w:style>
  <w:style w:type="paragraph" w:styleId="49">
    <w:name w:val="toc 3"/>
    <w:basedOn w:val="1"/>
    <w:next w:val="1"/>
    <w:qFormat/>
    <w:uiPriority w:val="39"/>
    <w:pPr>
      <w:ind w:left="840" w:leftChars="400"/>
    </w:pPr>
    <w:rPr>
      <w:rFonts w:ascii="Calibri" w:hAnsi="Calibri"/>
      <w:lang w:eastAsia="zh-TW"/>
    </w:rPr>
  </w:style>
  <w:style w:type="paragraph" w:styleId="50">
    <w:name w:val="Plain Text"/>
    <w:basedOn w:val="1"/>
    <w:next w:val="51"/>
    <w:link w:val="162"/>
    <w:qFormat/>
    <w:uiPriority w:val="0"/>
    <w:rPr>
      <w:rFonts w:ascii="宋体" w:hAnsi="Courier New"/>
      <w:lang w:eastAsia="zh-TW"/>
    </w:rPr>
  </w:style>
  <w:style w:type="paragraph" w:styleId="51">
    <w:name w:val="toc 1"/>
    <w:basedOn w:val="1"/>
    <w:next w:val="1"/>
    <w:qFormat/>
    <w:uiPriority w:val="39"/>
    <w:rPr>
      <w:rFonts w:ascii="Calibri" w:hAnsi="Calibri"/>
      <w:lang w:eastAsia="zh-TW"/>
    </w:rPr>
  </w:style>
  <w:style w:type="paragraph" w:styleId="52">
    <w:name w:val="List Bullet 5"/>
    <w:basedOn w:val="1"/>
    <w:unhideWhenUsed/>
    <w:qFormat/>
    <w:uiPriority w:val="99"/>
    <w:pPr>
      <w:numPr>
        <w:ilvl w:val="0"/>
        <w:numId w:val="8"/>
      </w:numPr>
      <w:tabs>
        <w:tab w:val="left" w:pos="2040"/>
      </w:tabs>
      <w:adjustRightInd w:val="0"/>
      <w:spacing w:line="360" w:lineRule="auto"/>
      <w:contextualSpacing/>
      <w:textAlignment w:val="baseline"/>
    </w:pPr>
    <w:rPr>
      <w:rFonts w:ascii="Calibri" w:hAnsi="Calibri" w:eastAsia="Times New Roman"/>
      <w:sz w:val="24"/>
      <w:szCs w:val="22"/>
    </w:rPr>
  </w:style>
  <w:style w:type="paragraph" w:styleId="53">
    <w:name w:val="List Number 4"/>
    <w:basedOn w:val="1"/>
    <w:unhideWhenUsed/>
    <w:qFormat/>
    <w:uiPriority w:val="99"/>
    <w:pPr>
      <w:numPr>
        <w:ilvl w:val="0"/>
        <w:numId w:val="9"/>
      </w:numPr>
      <w:tabs>
        <w:tab w:val="left" w:pos="1620"/>
      </w:tabs>
      <w:adjustRightInd w:val="0"/>
      <w:spacing w:line="360" w:lineRule="auto"/>
      <w:contextualSpacing/>
      <w:textAlignment w:val="baseline"/>
    </w:pPr>
    <w:rPr>
      <w:rFonts w:ascii="Calibri" w:hAnsi="Calibri" w:eastAsia="Times New Roman"/>
      <w:sz w:val="24"/>
      <w:szCs w:val="22"/>
    </w:rPr>
  </w:style>
  <w:style w:type="paragraph" w:styleId="54">
    <w:name w:val="toc 8"/>
    <w:basedOn w:val="1"/>
    <w:next w:val="1"/>
    <w:unhideWhenUsed/>
    <w:qFormat/>
    <w:uiPriority w:val="39"/>
    <w:pPr>
      <w:ind w:left="2940" w:leftChars="1400"/>
    </w:pPr>
    <w:rPr>
      <w:rFonts w:ascii="Calibri" w:hAnsi="Calibri"/>
      <w:szCs w:val="22"/>
    </w:rPr>
  </w:style>
  <w:style w:type="paragraph" w:styleId="55">
    <w:name w:val="index 3"/>
    <w:basedOn w:val="1"/>
    <w:next w:val="1"/>
    <w:unhideWhenUsed/>
    <w:qFormat/>
    <w:uiPriority w:val="99"/>
    <w:pPr>
      <w:adjustRightInd w:val="0"/>
      <w:spacing w:line="360" w:lineRule="auto"/>
      <w:ind w:left="400" w:leftChars="400"/>
      <w:textAlignment w:val="baseline"/>
    </w:pPr>
    <w:rPr>
      <w:rFonts w:ascii="Calibri" w:hAnsi="Calibri" w:eastAsia="Times New Roman"/>
      <w:sz w:val="24"/>
      <w:szCs w:val="22"/>
    </w:rPr>
  </w:style>
  <w:style w:type="paragraph" w:styleId="56">
    <w:name w:val="Date"/>
    <w:basedOn w:val="1"/>
    <w:next w:val="1"/>
    <w:link w:val="164"/>
    <w:qFormat/>
    <w:uiPriority w:val="0"/>
    <w:pPr>
      <w:ind w:left="100" w:leftChars="2500"/>
    </w:pPr>
    <w:rPr>
      <w:sz w:val="24"/>
    </w:rPr>
  </w:style>
  <w:style w:type="paragraph" w:styleId="57">
    <w:name w:val="Body Text Indent 2"/>
    <w:basedOn w:val="1"/>
    <w:link w:val="166"/>
    <w:qFormat/>
    <w:uiPriority w:val="99"/>
    <w:pPr>
      <w:adjustRightInd w:val="0"/>
      <w:spacing w:before="60" w:after="120" w:line="480" w:lineRule="auto"/>
      <w:ind w:left="420" w:leftChars="200" w:firstLine="539"/>
    </w:pPr>
    <w:rPr>
      <w:rFonts w:ascii="Calibri" w:hAnsi="Calibri"/>
    </w:rPr>
  </w:style>
  <w:style w:type="paragraph" w:styleId="58">
    <w:name w:val="endnote text"/>
    <w:basedOn w:val="1"/>
    <w:link w:val="168"/>
    <w:unhideWhenUsed/>
    <w:qFormat/>
    <w:uiPriority w:val="99"/>
    <w:pPr>
      <w:adjustRightInd w:val="0"/>
      <w:snapToGrid w:val="0"/>
      <w:spacing w:line="360" w:lineRule="auto"/>
      <w:jc w:val="left"/>
      <w:textAlignment w:val="baseline"/>
    </w:pPr>
    <w:rPr>
      <w:rFonts w:eastAsia="Times New Roman"/>
      <w:sz w:val="24"/>
      <w:szCs w:val="22"/>
    </w:rPr>
  </w:style>
  <w:style w:type="paragraph" w:styleId="59">
    <w:name w:val="List Continue 5"/>
    <w:basedOn w:val="1"/>
    <w:unhideWhenUsed/>
    <w:qFormat/>
    <w:uiPriority w:val="99"/>
    <w:pPr>
      <w:adjustRightInd w:val="0"/>
      <w:spacing w:after="120" w:line="360" w:lineRule="auto"/>
      <w:ind w:left="2100" w:leftChars="1000"/>
      <w:contextualSpacing/>
      <w:textAlignment w:val="baseline"/>
    </w:pPr>
    <w:rPr>
      <w:rFonts w:ascii="Calibri" w:hAnsi="Calibri" w:eastAsia="Times New Roman"/>
      <w:sz w:val="24"/>
      <w:szCs w:val="22"/>
    </w:rPr>
  </w:style>
  <w:style w:type="paragraph" w:styleId="60">
    <w:name w:val="Balloon Text"/>
    <w:basedOn w:val="1"/>
    <w:link w:val="170"/>
    <w:qFormat/>
    <w:uiPriority w:val="99"/>
    <w:rPr>
      <w:sz w:val="18"/>
    </w:rPr>
  </w:style>
  <w:style w:type="paragraph" w:styleId="61">
    <w:name w:val="footer"/>
    <w:basedOn w:val="1"/>
    <w:link w:val="118"/>
    <w:unhideWhenUsed/>
    <w:qFormat/>
    <w:uiPriority w:val="99"/>
    <w:pPr>
      <w:tabs>
        <w:tab w:val="center" w:pos="4153"/>
        <w:tab w:val="right" w:pos="8306"/>
      </w:tabs>
      <w:snapToGrid w:val="0"/>
      <w:jc w:val="left"/>
    </w:pPr>
    <w:rPr>
      <w:sz w:val="18"/>
      <w:szCs w:val="18"/>
    </w:rPr>
  </w:style>
  <w:style w:type="paragraph" w:styleId="62">
    <w:name w:val="envelope return"/>
    <w:basedOn w:val="1"/>
    <w:unhideWhenUsed/>
    <w:qFormat/>
    <w:uiPriority w:val="99"/>
    <w:pPr>
      <w:adjustRightInd w:val="0"/>
      <w:snapToGrid w:val="0"/>
      <w:spacing w:line="360" w:lineRule="auto"/>
      <w:textAlignment w:val="baseline"/>
    </w:pPr>
    <w:rPr>
      <w:rFonts w:ascii="Cambria" w:hAnsi="Cambria"/>
      <w:sz w:val="24"/>
      <w:szCs w:val="22"/>
    </w:rPr>
  </w:style>
  <w:style w:type="paragraph" w:styleId="63">
    <w:name w:val="header"/>
    <w:basedOn w:val="1"/>
    <w:link w:val="117"/>
    <w:unhideWhenUsed/>
    <w:qFormat/>
    <w:uiPriority w:val="99"/>
    <w:pPr>
      <w:pBdr>
        <w:bottom w:val="single" w:color="auto" w:sz="6" w:space="1"/>
      </w:pBdr>
      <w:tabs>
        <w:tab w:val="center" w:pos="4153"/>
        <w:tab w:val="right" w:pos="8306"/>
      </w:tabs>
      <w:snapToGrid w:val="0"/>
      <w:jc w:val="center"/>
    </w:pPr>
    <w:rPr>
      <w:sz w:val="18"/>
      <w:szCs w:val="18"/>
    </w:rPr>
  </w:style>
  <w:style w:type="paragraph" w:styleId="64">
    <w:name w:val="Signature"/>
    <w:basedOn w:val="1"/>
    <w:link w:val="174"/>
    <w:unhideWhenUsed/>
    <w:qFormat/>
    <w:uiPriority w:val="99"/>
    <w:pPr>
      <w:adjustRightInd w:val="0"/>
      <w:spacing w:line="360" w:lineRule="auto"/>
      <w:ind w:left="100" w:leftChars="2100"/>
      <w:textAlignment w:val="baseline"/>
    </w:pPr>
    <w:rPr>
      <w:rFonts w:eastAsia="Times New Roman"/>
      <w:sz w:val="24"/>
      <w:szCs w:val="22"/>
    </w:rPr>
  </w:style>
  <w:style w:type="paragraph" w:styleId="65">
    <w:name w:val="List Continue 4"/>
    <w:basedOn w:val="1"/>
    <w:unhideWhenUsed/>
    <w:qFormat/>
    <w:uiPriority w:val="99"/>
    <w:pPr>
      <w:adjustRightInd w:val="0"/>
      <w:spacing w:after="120" w:line="360" w:lineRule="auto"/>
      <w:ind w:left="1680" w:leftChars="800"/>
      <w:contextualSpacing/>
      <w:textAlignment w:val="baseline"/>
    </w:pPr>
    <w:rPr>
      <w:rFonts w:ascii="Calibri" w:hAnsi="Calibri" w:eastAsia="Times New Roman"/>
      <w:sz w:val="24"/>
      <w:szCs w:val="22"/>
    </w:rPr>
  </w:style>
  <w:style w:type="paragraph" w:styleId="66">
    <w:name w:val="toc 4"/>
    <w:basedOn w:val="1"/>
    <w:next w:val="1"/>
    <w:qFormat/>
    <w:uiPriority w:val="39"/>
    <w:pPr>
      <w:ind w:left="1260" w:leftChars="600"/>
    </w:pPr>
    <w:rPr>
      <w:rFonts w:ascii="Calibri" w:hAnsi="Calibri"/>
      <w:lang w:eastAsia="zh-TW"/>
    </w:rPr>
  </w:style>
  <w:style w:type="paragraph" w:styleId="67">
    <w:name w:val="index heading"/>
    <w:basedOn w:val="1"/>
    <w:next w:val="68"/>
    <w:unhideWhenUsed/>
    <w:qFormat/>
    <w:uiPriority w:val="99"/>
    <w:pPr>
      <w:adjustRightInd w:val="0"/>
      <w:spacing w:line="360" w:lineRule="auto"/>
      <w:textAlignment w:val="baseline"/>
    </w:pPr>
    <w:rPr>
      <w:rFonts w:ascii="Cambria" w:hAnsi="Cambria"/>
      <w:b/>
      <w:bCs/>
      <w:sz w:val="24"/>
      <w:szCs w:val="22"/>
    </w:rPr>
  </w:style>
  <w:style w:type="paragraph" w:styleId="68">
    <w:name w:val="index 1"/>
    <w:basedOn w:val="1"/>
    <w:next w:val="1"/>
    <w:unhideWhenUsed/>
    <w:qFormat/>
    <w:uiPriority w:val="99"/>
  </w:style>
  <w:style w:type="paragraph" w:styleId="69">
    <w:name w:val="Subtitle"/>
    <w:basedOn w:val="1"/>
    <w:next w:val="1"/>
    <w:link w:val="176"/>
    <w:qFormat/>
    <w:uiPriority w:val="11"/>
    <w:pPr>
      <w:spacing w:before="120" w:after="120"/>
      <w:outlineLvl w:val="1"/>
    </w:pPr>
    <w:rPr>
      <w:rFonts w:ascii="宋体" w:hAnsi="宋体"/>
      <w:b/>
      <w:bCs/>
      <w:kern w:val="28"/>
      <w:sz w:val="28"/>
      <w:lang w:eastAsia="zh-TW"/>
    </w:rPr>
  </w:style>
  <w:style w:type="paragraph" w:styleId="70">
    <w:name w:val="List Number 5"/>
    <w:basedOn w:val="1"/>
    <w:unhideWhenUsed/>
    <w:qFormat/>
    <w:uiPriority w:val="99"/>
    <w:pPr>
      <w:numPr>
        <w:ilvl w:val="0"/>
        <w:numId w:val="10"/>
      </w:numPr>
      <w:tabs>
        <w:tab w:val="left" w:pos="2040"/>
      </w:tabs>
      <w:adjustRightInd w:val="0"/>
      <w:spacing w:line="360" w:lineRule="auto"/>
      <w:contextualSpacing/>
      <w:textAlignment w:val="baseline"/>
    </w:pPr>
    <w:rPr>
      <w:rFonts w:ascii="Calibri" w:hAnsi="Calibri" w:eastAsia="Times New Roman"/>
      <w:sz w:val="24"/>
      <w:szCs w:val="22"/>
    </w:rPr>
  </w:style>
  <w:style w:type="paragraph" w:styleId="71">
    <w:name w:val="footnote text"/>
    <w:basedOn w:val="1"/>
    <w:link w:val="178"/>
    <w:unhideWhenUsed/>
    <w:qFormat/>
    <w:uiPriority w:val="99"/>
    <w:pPr>
      <w:adjustRightInd w:val="0"/>
      <w:snapToGrid w:val="0"/>
      <w:spacing w:line="360" w:lineRule="auto"/>
      <w:jc w:val="left"/>
      <w:textAlignment w:val="baseline"/>
    </w:pPr>
    <w:rPr>
      <w:rFonts w:eastAsia="Times New Roman"/>
      <w:sz w:val="18"/>
      <w:szCs w:val="18"/>
    </w:rPr>
  </w:style>
  <w:style w:type="paragraph" w:styleId="72">
    <w:name w:val="toc 6"/>
    <w:basedOn w:val="1"/>
    <w:next w:val="1"/>
    <w:unhideWhenUsed/>
    <w:qFormat/>
    <w:uiPriority w:val="39"/>
    <w:pPr>
      <w:ind w:left="2100" w:leftChars="1000"/>
    </w:pPr>
    <w:rPr>
      <w:rFonts w:ascii="Calibri" w:hAnsi="Calibri"/>
      <w:szCs w:val="22"/>
    </w:rPr>
  </w:style>
  <w:style w:type="paragraph" w:styleId="73">
    <w:name w:val="List 5"/>
    <w:basedOn w:val="1"/>
    <w:unhideWhenUsed/>
    <w:qFormat/>
    <w:uiPriority w:val="99"/>
    <w:pPr>
      <w:adjustRightInd w:val="0"/>
      <w:spacing w:line="360" w:lineRule="auto"/>
      <w:ind w:left="100" w:leftChars="800" w:hanging="200" w:hangingChars="200"/>
      <w:contextualSpacing/>
      <w:textAlignment w:val="baseline"/>
    </w:pPr>
    <w:rPr>
      <w:rFonts w:ascii="Calibri" w:hAnsi="Calibri" w:eastAsia="Times New Roman"/>
      <w:sz w:val="24"/>
      <w:szCs w:val="22"/>
    </w:rPr>
  </w:style>
  <w:style w:type="paragraph" w:styleId="74">
    <w:name w:val="Body Text Indent 3"/>
    <w:basedOn w:val="1"/>
    <w:link w:val="180"/>
    <w:qFormat/>
    <w:uiPriority w:val="0"/>
    <w:pPr>
      <w:spacing w:after="120"/>
      <w:ind w:left="420" w:leftChars="200"/>
    </w:pPr>
    <w:rPr>
      <w:sz w:val="16"/>
      <w:szCs w:val="16"/>
      <w:lang w:eastAsia="zh-TW"/>
    </w:rPr>
  </w:style>
  <w:style w:type="paragraph" w:styleId="75">
    <w:name w:val="index 7"/>
    <w:basedOn w:val="1"/>
    <w:next w:val="1"/>
    <w:unhideWhenUsed/>
    <w:qFormat/>
    <w:uiPriority w:val="99"/>
    <w:pPr>
      <w:adjustRightInd w:val="0"/>
      <w:spacing w:line="360" w:lineRule="auto"/>
      <w:ind w:left="1200" w:leftChars="1200"/>
      <w:textAlignment w:val="baseline"/>
    </w:pPr>
    <w:rPr>
      <w:rFonts w:ascii="Calibri" w:hAnsi="Calibri" w:eastAsia="Times New Roman"/>
      <w:sz w:val="24"/>
      <w:szCs w:val="22"/>
    </w:rPr>
  </w:style>
  <w:style w:type="paragraph" w:styleId="76">
    <w:name w:val="index 9"/>
    <w:basedOn w:val="1"/>
    <w:next w:val="1"/>
    <w:unhideWhenUsed/>
    <w:qFormat/>
    <w:uiPriority w:val="99"/>
    <w:pPr>
      <w:adjustRightInd w:val="0"/>
      <w:spacing w:line="360" w:lineRule="auto"/>
      <w:ind w:left="1600" w:leftChars="1600"/>
      <w:textAlignment w:val="baseline"/>
    </w:pPr>
    <w:rPr>
      <w:rFonts w:ascii="Calibri" w:hAnsi="Calibri" w:eastAsia="Times New Roman"/>
      <w:sz w:val="24"/>
      <w:szCs w:val="22"/>
    </w:rPr>
  </w:style>
  <w:style w:type="paragraph" w:styleId="77">
    <w:name w:val="table of figures"/>
    <w:basedOn w:val="1"/>
    <w:next w:val="1"/>
    <w:unhideWhenUsed/>
    <w:qFormat/>
    <w:uiPriority w:val="99"/>
    <w:pPr>
      <w:adjustRightInd w:val="0"/>
      <w:spacing w:line="360" w:lineRule="auto"/>
      <w:ind w:left="200" w:leftChars="200" w:hanging="200" w:hangingChars="200"/>
      <w:textAlignment w:val="baseline"/>
    </w:pPr>
    <w:rPr>
      <w:rFonts w:ascii="Calibri" w:hAnsi="Calibri" w:eastAsia="Times New Roman"/>
      <w:sz w:val="24"/>
      <w:szCs w:val="22"/>
    </w:rPr>
  </w:style>
  <w:style w:type="paragraph" w:styleId="78">
    <w:name w:val="toc 2"/>
    <w:basedOn w:val="1"/>
    <w:next w:val="19"/>
    <w:qFormat/>
    <w:uiPriority w:val="39"/>
    <w:pPr>
      <w:ind w:left="420" w:leftChars="200"/>
    </w:pPr>
    <w:rPr>
      <w:rFonts w:ascii="Calibri" w:hAnsi="Calibri"/>
      <w:lang w:eastAsia="zh-TW"/>
    </w:rPr>
  </w:style>
  <w:style w:type="paragraph" w:styleId="79">
    <w:name w:val="toc 9"/>
    <w:basedOn w:val="1"/>
    <w:next w:val="1"/>
    <w:unhideWhenUsed/>
    <w:qFormat/>
    <w:uiPriority w:val="39"/>
    <w:pPr>
      <w:ind w:left="3360" w:leftChars="1600"/>
    </w:pPr>
    <w:rPr>
      <w:rFonts w:ascii="Calibri" w:hAnsi="Calibri"/>
      <w:szCs w:val="22"/>
    </w:rPr>
  </w:style>
  <w:style w:type="paragraph" w:styleId="80">
    <w:name w:val="Body Text 2"/>
    <w:basedOn w:val="1"/>
    <w:link w:val="182"/>
    <w:unhideWhenUsed/>
    <w:qFormat/>
    <w:uiPriority w:val="99"/>
    <w:pPr>
      <w:adjustRightInd w:val="0"/>
      <w:spacing w:after="120" w:line="480" w:lineRule="auto"/>
      <w:textAlignment w:val="baseline"/>
    </w:pPr>
    <w:rPr>
      <w:sz w:val="24"/>
      <w:szCs w:val="22"/>
    </w:rPr>
  </w:style>
  <w:style w:type="paragraph" w:styleId="81">
    <w:name w:val="List 4"/>
    <w:basedOn w:val="1"/>
    <w:unhideWhenUsed/>
    <w:qFormat/>
    <w:uiPriority w:val="99"/>
    <w:pPr>
      <w:adjustRightInd w:val="0"/>
      <w:spacing w:line="360" w:lineRule="auto"/>
      <w:ind w:left="100" w:leftChars="600" w:hanging="200" w:hangingChars="200"/>
      <w:contextualSpacing/>
      <w:textAlignment w:val="baseline"/>
    </w:pPr>
    <w:rPr>
      <w:rFonts w:ascii="Calibri" w:hAnsi="Calibri" w:eastAsia="Times New Roman"/>
      <w:sz w:val="24"/>
      <w:szCs w:val="22"/>
    </w:rPr>
  </w:style>
  <w:style w:type="paragraph" w:styleId="82">
    <w:name w:val="List Continue 2"/>
    <w:basedOn w:val="1"/>
    <w:unhideWhenUsed/>
    <w:qFormat/>
    <w:uiPriority w:val="99"/>
    <w:pPr>
      <w:adjustRightInd w:val="0"/>
      <w:spacing w:after="120" w:line="360" w:lineRule="auto"/>
      <w:ind w:left="840" w:leftChars="400"/>
      <w:contextualSpacing/>
      <w:textAlignment w:val="baseline"/>
    </w:pPr>
    <w:rPr>
      <w:rFonts w:ascii="Calibri" w:hAnsi="Calibri" w:eastAsia="Times New Roman"/>
      <w:sz w:val="24"/>
      <w:szCs w:val="22"/>
    </w:rPr>
  </w:style>
  <w:style w:type="paragraph" w:styleId="83">
    <w:name w:val="Message Header"/>
    <w:basedOn w:val="1"/>
    <w:link w:val="184"/>
    <w:unhideWhenUsed/>
    <w:qFormat/>
    <w:uiPriority w:val="99"/>
    <w:pPr>
      <w:pBdr>
        <w:top w:val="single" w:color="auto" w:sz="6" w:space="1"/>
        <w:left w:val="single" w:color="auto" w:sz="6" w:space="1"/>
        <w:bottom w:val="single" w:color="auto" w:sz="6" w:space="1"/>
        <w:right w:val="single" w:color="auto" w:sz="6" w:space="1"/>
      </w:pBdr>
      <w:shd w:val="pct20" w:color="auto" w:fill="auto"/>
      <w:adjustRightInd w:val="0"/>
      <w:spacing w:line="360" w:lineRule="auto"/>
      <w:ind w:left="1080" w:leftChars="500" w:hanging="1080" w:hangingChars="500"/>
      <w:textAlignment w:val="baseline"/>
    </w:pPr>
    <w:rPr>
      <w:rFonts w:ascii="Cambria" w:hAnsi="Cambria"/>
      <w:sz w:val="24"/>
    </w:rPr>
  </w:style>
  <w:style w:type="paragraph" w:styleId="84">
    <w:name w:val="HTML Preformatted"/>
    <w:basedOn w:val="1"/>
    <w:link w:val="186"/>
    <w:unhideWhenUsed/>
    <w:qFormat/>
    <w:uiPriority w:val="99"/>
    <w:pPr>
      <w:adjustRightInd w:val="0"/>
      <w:spacing w:line="360" w:lineRule="auto"/>
      <w:textAlignment w:val="baseline"/>
    </w:pPr>
    <w:rPr>
      <w:rFonts w:ascii="Courier New" w:hAnsi="Courier New" w:eastAsia="Times New Roman" w:cs="Courier New"/>
      <w:sz w:val="20"/>
    </w:rPr>
  </w:style>
  <w:style w:type="paragraph" w:styleId="85">
    <w:name w:val="Normal (Web)"/>
    <w:basedOn w:val="1"/>
    <w:link w:val="187"/>
    <w:qFormat/>
    <w:uiPriority w:val="99"/>
    <w:pPr>
      <w:widowControl/>
      <w:spacing w:before="100" w:beforeAutospacing="1" w:after="100" w:afterAutospacing="1"/>
      <w:jc w:val="left"/>
    </w:pPr>
    <w:rPr>
      <w:rFonts w:ascii="宋体" w:hAnsi="宋体"/>
      <w:sz w:val="24"/>
    </w:rPr>
  </w:style>
  <w:style w:type="paragraph" w:styleId="86">
    <w:name w:val="List Continue 3"/>
    <w:basedOn w:val="1"/>
    <w:unhideWhenUsed/>
    <w:qFormat/>
    <w:uiPriority w:val="99"/>
    <w:pPr>
      <w:adjustRightInd w:val="0"/>
      <w:spacing w:after="120" w:line="360" w:lineRule="auto"/>
      <w:ind w:left="1260" w:leftChars="600"/>
      <w:contextualSpacing/>
      <w:textAlignment w:val="baseline"/>
    </w:pPr>
    <w:rPr>
      <w:rFonts w:ascii="Calibri" w:hAnsi="Calibri" w:eastAsia="Times New Roman"/>
      <w:sz w:val="24"/>
      <w:szCs w:val="22"/>
    </w:rPr>
  </w:style>
  <w:style w:type="paragraph" w:styleId="87">
    <w:name w:val="index 2"/>
    <w:basedOn w:val="1"/>
    <w:next w:val="1"/>
    <w:unhideWhenUsed/>
    <w:qFormat/>
    <w:uiPriority w:val="99"/>
    <w:pPr>
      <w:adjustRightInd w:val="0"/>
      <w:spacing w:line="360" w:lineRule="auto"/>
      <w:ind w:left="200" w:leftChars="200"/>
      <w:textAlignment w:val="baseline"/>
    </w:pPr>
    <w:rPr>
      <w:rFonts w:ascii="Calibri" w:hAnsi="Calibri" w:eastAsia="Times New Roman"/>
      <w:sz w:val="24"/>
      <w:szCs w:val="22"/>
    </w:rPr>
  </w:style>
  <w:style w:type="paragraph" w:styleId="88">
    <w:name w:val="Title"/>
    <w:basedOn w:val="1"/>
    <w:next w:val="1"/>
    <w:link w:val="189"/>
    <w:qFormat/>
    <w:uiPriority w:val="10"/>
    <w:pPr>
      <w:adjustRightInd w:val="0"/>
      <w:spacing w:line="360" w:lineRule="auto"/>
      <w:jc w:val="left"/>
      <w:textAlignment w:val="baseline"/>
      <w:outlineLvl w:val="2"/>
    </w:pPr>
    <w:rPr>
      <w:b/>
      <w:bCs/>
      <w:sz w:val="24"/>
      <w:szCs w:val="32"/>
    </w:rPr>
  </w:style>
  <w:style w:type="paragraph" w:styleId="89">
    <w:name w:val="annotation subject"/>
    <w:basedOn w:val="30"/>
    <w:next w:val="30"/>
    <w:link w:val="191"/>
    <w:qFormat/>
    <w:uiPriority w:val="99"/>
    <w:rPr>
      <w:b/>
    </w:rPr>
  </w:style>
  <w:style w:type="paragraph" w:styleId="90">
    <w:name w:val="Body Text First Indent"/>
    <w:basedOn w:val="36"/>
    <w:link w:val="193"/>
    <w:unhideWhenUsed/>
    <w:qFormat/>
    <w:uiPriority w:val="0"/>
    <w:pPr>
      <w:widowControl w:val="0"/>
      <w:adjustRightInd w:val="0"/>
      <w:snapToGrid/>
      <w:spacing w:before="0" w:after="120" w:line="360" w:lineRule="auto"/>
      <w:ind w:right="0" w:firstLine="420" w:firstLineChars="100"/>
      <w:textAlignment w:val="baseline"/>
    </w:pPr>
    <w:rPr>
      <w:rFonts w:eastAsia="Times New Roman"/>
      <w:kern w:val="2"/>
      <w:sz w:val="24"/>
      <w:szCs w:val="22"/>
    </w:rPr>
  </w:style>
  <w:style w:type="paragraph" w:styleId="91">
    <w:name w:val="Body Text First Indent 2"/>
    <w:basedOn w:val="37"/>
    <w:link w:val="195"/>
    <w:unhideWhenUsed/>
    <w:qFormat/>
    <w:uiPriority w:val="0"/>
    <w:pPr>
      <w:adjustRightInd w:val="0"/>
      <w:spacing w:line="360" w:lineRule="auto"/>
      <w:ind w:firstLine="420" w:firstLineChars="200"/>
      <w:textAlignment w:val="baseline"/>
    </w:pPr>
    <w:rPr>
      <w:kern w:val="2"/>
      <w:sz w:val="21"/>
      <w:szCs w:val="21"/>
      <w:lang w:eastAsia="zh-TW"/>
    </w:rPr>
  </w:style>
  <w:style w:type="table" w:styleId="93">
    <w:name w:val="Table Grid"/>
    <w:basedOn w:val="92"/>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94">
    <w:name w:val="Table Theme"/>
    <w:basedOn w:val="9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95">
    <w:name w:val="Table Simple 1"/>
    <w:basedOn w:val="92"/>
    <w:qFormat/>
    <w:uiPriority w:val="0"/>
    <w:pPr>
      <w:widowControl w:val="0"/>
      <w:spacing w:line="360" w:lineRule="auto"/>
      <w:ind w:left="-2" w:leftChars="-1" w:firstLine="456" w:firstLineChars="190"/>
      <w:jc w:val="both"/>
    </w:pPr>
    <w:tblPr>
      <w:jc w:val="center"/>
      <w:tblBorders>
        <w:top w:val="single" w:color="008000" w:sz="18" w:space="0"/>
        <w:bottom w:val="single" w:color="008000" w:sz="18" w:space="0"/>
      </w:tblBorders>
    </w:tblPr>
    <w:trPr>
      <w:jc w:val="center"/>
    </w:trPr>
    <w:tcPr>
      <w:shd w:val="clear" w:color="auto" w:fill="auto"/>
    </w:tcPr>
    <w:tblStylePr w:type="firstRow">
      <w:tblPr/>
      <w:tcPr>
        <w:tcBorders>
          <w:top w:val="nil"/>
          <w:left w:val="nil"/>
          <w:bottom w:val="single" w:color="008000" w:sz="6" w:space="0"/>
          <w:right w:val="nil"/>
          <w:insideH w:val="nil"/>
          <w:insideV w:val="nil"/>
          <w:tl2br w:val="nil"/>
          <w:tr2bl w:val="nil"/>
        </w:tcBorders>
      </w:tcPr>
    </w:tblStylePr>
    <w:tblStylePr w:type="lastRow">
      <w:tblPr/>
      <w:tcPr>
        <w:tcBorders>
          <w:top w:val="single" w:color="008000" w:sz="6" w:space="0"/>
          <w:left w:val="nil"/>
          <w:bottom w:val="nil"/>
          <w:right w:val="nil"/>
          <w:insideH w:val="nil"/>
          <w:insideV w:val="nil"/>
          <w:tl2br w:val="nil"/>
          <w:tr2bl w:val="nil"/>
        </w:tcBorders>
      </w:tcPr>
    </w:tblStylePr>
  </w:style>
  <w:style w:type="table" w:styleId="96">
    <w:name w:val="Table Grid 1"/>
    <w:basedOn w:val="92"/>
    <w:qFormat/>
    <w:uiPriority w:val="0"/>
    <w:rPr>
      <w:rFonts w:ascii="Calibri" w:hAnsi="Calibri"/>
    </w:r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color="000000" w:sz="6" w:space="0"/>
          <w:tr2bl w:val="nil"/>
        </w:tcBorders>
      </w:tcPr>
    </w:tblStylePr>
  </w:style>
  <w:style w:type="table" w:styleId="97">
    <w:name w:val="Light List Accent 4"/>
    <w:basedOn w:val="92"/>
    <w:unhideWhenUsed/>
    <w:qFormat/>
    <w:uiPriority w:val="61"/>
    <w:tblPr>
      <w:tblBorders>
        <w:top w:val="single" w:color="FFC000" w:sz="8" w:space="0"/>
        <w:left w:val="single" w:color="FFC000" w:sz="8" w:space="0"/>
        <w:bottom w:val="single" w:color="FFC000" w:sz="8" w:space="0"/>
        <w:right w:val="single" w:color="FFC000" w:sz="8" w:space="0"/>
      </w:tblBorders>
    </w:tblPr>
    <w:tblStylePr w:type="firstRow">
      <w:pPr>
        <w:spacing w:before="0" w:after="0" w:line="240" w:lineRule="auto"/>
      </w:pPr>
      <w:rPr>
        <w:b/>
        <w:bCs/>
        <w:color w:val="FFFFFF"/>
      </w:rPr>
      <w:tblPr/>
      <w:tcPr>
        <w:shd w:val="clear" w:color="auto" w:fill="FFC000"/>
      </w:tcPr>
    </w:tblStylePr>
    <w:tblStylePr w:type="lastRow">
      <w:pPr>
        <w:spacing w:before="0" w:after="0" w:line="240" w:lineRule="auto"/>
      </w:pPr>
      <w:rPr>
        <w:b/>
        <w:bCs/>
      </w:rPr>
      <w:tblPr/>
      <w:tcPr>
        <w:tcBorders>
          <w:top w:val="double" w:color="FFC000" w:sz="6" w:space="0"/>
          <w:left w:val="single" w:color="FFC000" w:sz="8" w:space="0"/>
          <w:bottom w:val="single" w:color="FFC000" w:sz="8" w:space="0"/>
          <w:right w:val="single" w:color="FFC000" w:sz="8" w:space="0"/>
          <w:insideH w:val="nil"/>
          <w:insideV w:val="nil"/>
          <w:tl2br w:val="nil"/>
          <w:tr2bl w:val="nil"/>
        </w:tcBorders>
      </w:tcPr>
    </w:tblStylePr>
    <w:tblStylePr w:type="firstCol">
      <w:rPr>
        <w:b/>
        <w:bCs/>
      </w:rPr>
    </w:tblStylePr>
    <w:tblStylePr w:type="lastCol">
      <w:rPr>
        <w:b/>
        <w:bCs/>
      </w:rPr>
    </w:tblStylePr>
    <w:tblStylePr w:type="band1Vert">
      <w:tblPr/>
      <w:tcPr>
        <w:tcBorders>
          <w:top w:val="single" w:color="FFC000" w:sz="8" w:space="0"/>
          <w:left w:val="single" w:color="FFC000" w:sz="8" w:space="0"/>
          <w:bottom w:val="single" w:color="FFC000" w:sz="8" w:space="0"/>
          <w:right w:val="single" w:color="FFC000" w:sz="8" w:space="0"/>
          <w:insideH w:val="nil"/>
          <w:insideV w:val="nil"/>
          <w:tl2br w:val="nil"/>
          <w:tr2bl w:val="nil"/>
        </w:tcBorders>
      </w:tcPr>
    </w:tblStylePr>
    <w:tblStylePr w:type="band1Horz">
      <w:tblPr/>
      <w:tcPr>
        <w:tcBorders>
          <w:top w:val="single" w:color="FFC000" w:sz="8" w:space="0"/>
          <w:left w:val="single" w:color="FFC000" w:sz="8" w:space="0"/>
          <w:bottom w:val="single" w:color="FFC000" w:sz="8" w:space="0"/>
          <w:right w:val="single" w:color="FFC000" w:sz="8" w:space="0"/>
          <w:insideH w:val="nil"/>
          <w:insideV w:val="nil"/>
          <w:tl2br w:val="nil"/>
          <w:tr2bl w:val="nil"/>
        </w:tcBorders>
      </w:tcPr>
    </w:tblStylePr>
  </w:style>
  <w:style w:type="character" w:styleId="99">
    <w:name w:val="Strong"/>
    <w:qFormat/>
    <w:uiPriority w:val="0"/>
    <w:rPr>
      <w:b/>
    </w:rPr>
  </w:style>
  <w:style w:type="character" w:styleId="100">
    <w:name w:val="page number"/>
    <w:qFormat/>
    <w:uiPriority w:val="0"/>
  </w:style>
  <w:style w:type="character" w:styleId="101">
    <w:name w:val="FollowedHyperlink"/>
    <w:qFormat/>
    <w:uiPriority w:val="99"/>
    <w:rPr>
      <w:color w:val="800080"/>
      <w:u w:val="single"/>
    </w:rPr>
  </w:style>
  <w:style w:type="character" w:styleId="102">
    <w:name w:val="Emphasis"/>
    <w:qFormat/>
    <w:uiPriority w:val="0"/>
    <w:rPr>
      <w:i/>
      <w:iCs/>
    </w:rPr>
  </w:style>
  <w:style w:type="character" w:styleId="103">
    <w:name w:val="Hyperlink"/>
    <w:unhideWhenUsed/>
    <w:qFormat/>
    <w:uiPriority w:val="99"/>
    <w:rPr>
      <w:color w:val="0563C1"/>
      <w:u w:val="single"/>
    </w:rPr>
  </w:style>
  <w:style w:type="character" w:styleId="104">
    <w:name w:val="annotation reference"/>
    <w:qFormat/>
    <w:uiPriority w:val="0"/>
    <w:rPr>
      <w:sz w:val="21"/>
    </w:rPr>
  </w:style>
  <w:style w:type="paragraph" w:customStyle="1" w:styleId="105">
    <w:name w:val="环评正文"/>
    <w:basedOn w:val="1"/>
    <w:qFormat/>
    <w:uiPriority w:val="0"/>
    <w:pPr>
      <w:adjustRightInd w:val="0"/>
      <w:snapToGrid w:val="0"/>
      <w:spacing w:line="360" w:lineRule="auto"/>
      <w:ind w:firstLine="420" w:firstLineChars="200"/>
      <w:jc w:val="left"/>
      <w:textAlignment w:val="baseline"/>
    </w:pPr>
    <w:rPr>
      <w:color w:val="000000" w:themeColor="text1"/>
      <w14:textFill>
        <w14:solidFill>
          <w14:schemeClr w14:val="tx1"/>
        </w14:solidFill>
      </w14:textFill>
    </w:rPr>
  </w:style>
  <w:style w:type="paragraph" w:customStyle="1" w:styleId="106">
    <w:name w:val="Default"/>
    <w:basedOn w:val="107"/>
    <w:next w:val="12"/>
    <w:qFormat/>
    <w:uiPriority w:val="0"/>
    <w:pPr>
      <w:widowControl w:val="0"/>
      <w:autoSpaceDE w:val="0"/>
      <w:autoSpaceDN w:val="0"/>
    </w:pPr>
    <w:rPr>
      <w:rFonts w:hAnsi="Calibri"/>
      <w:color w:val="000000"/>
      <w:szCs w:val="24"/>
    </w:rPr>
  </w:style>
  <w:style w:type="paragraph" w:customStyle="1" w:styleId="107">
    <w:name w:val="纯文本1"/>
    <w:basedOn w:val="1"/>
    <w:next w:val="50"/>
    <w:qFormat/>
    <w:uiPriority w:val="0"/>
    <w:pPr>
      <w:widowControl/>
      <w:adjustRightInd w:val="0"/>
      <w:jc w:val="left"/>
    </w:pPr>
    <w:rPr>
      <w:rFonts w:ascii="宋体" w:hAnsi="Courier New" w:cs="宋体"/>
      <w:sz w:val="24"/>
    </w:rPr>
  </w:style>
  <w:style w:type="paragraph" w:customStyle="1" w:styleId="108">
    <w:name w:val="正文 首行缩进:  2 字符"/>
    <w:basedOn w:val="1"/>
    <w:qFormat/>
    <w:uiPriority w:val="0"/>
    <w:pPr>
      <w:suppressAutoHyphens/>
      <w:ind w:firstLine="579" w:firstLineChars="200"/>
    </w:pPr>
    <w:rPr>
      <w:rFonts w:cs="宋体"/>
      <w:kern w:val="1"/>
      <w:lang w:eastAsia="ar-SA"/>
    </w:rPr>
  </w:style>
  <w:style w:type="paragraph" w:customStyle="1" w:styleId="109">
    <w:name w:val="样式35"/>
    <w:basedOn w:val="110"/>
    <w:next w:val="114"/>
    <w:qFormat/>
    <w:uiPriority w:val="0"/>
    <w:pPr>
      <w:widowControl/>
      <w:tabs>
        <w:tab w:val="left" w:pos="0"/>
        <w:tab w:val="left" w:pos="360"/>
        <w:tab w:val="left" w:pos="480"/>
        <w:tab w:val="left" w:pos="540"/>
        <w:tab w:val="left" w:pos="567"/>
        <w:tab w:val="left" w:pos="720"/>
      </w:tabs>
      <w:spacing w:line="312" w:lineRule="auto"/>
      <w:ind w:firstLine="567"/>
    </w:pPr>
    <w:rPr>
      <w:rFonts w:ascii="宋体"/>
      <w:sz w:val="28"/>
      <w:szCs w:val="22"/>
    </w:rPr>
  </w:style>
  <w:style w:type="paragraph" w:customStyle="1" w:styleId="110">
    <w:name w:val="样式26"/>
    <w:basedOn w:val="111"/>
    <w:qFormat/>
    <w:uiPriority w:val="0"/>
    <w:pPr>
      <w:tabs>
        <w:tab w:val="left" w:pos="0"/>
        <w:tab w:val="left" w:pos="360"/>
        <w:tab w:val="left" w:pos="480"/>
        <w:tab w:val="left" w:pos="540"/>
        <w:tab w:val="left" w:pos="567"/>
        <w:tab w:val="left" w:pos="720"/>
      </w:tabs>
    </w:pPr>
  </w:style>
  <w:style w:type="paragraph" w:customStyle="1" w:styleId="111">
    <w:name w:val="样式21"/>
    <w:basedOn w:val="112"/>
    <w:qFormat/>
    <w:uiPriority w:val="0"/>
    <w:pPr>
      <w:tabs>
        <w:tab w:val="left" w:pos="360"/>
        <w:tab w:val="left" w:pos="480"/>
        <w:tab w:val="left" w:pos="540"/>
        <w:tab w:val="left" w:pos="720"/>
      </w:tabs>
      <w:spacing w:beforeLines="50" w:afterLines="50" w:line="360" w:lineRule="auto"/>
      <w:ind w:left="720" w:hanging="720"/>
      <w:outlineLvl w:val="2"/>
    </w:pPr>
    <w:rPr>
      <w:rFonts w:eastAsia="MS Mincho"/>
      <w:sz w:val="24"/>
      <w:szCs w:val="32"/>
    </w:rPr>
  </w:style>
  <w:style w:type="paragraph" w:customStyle="1" w:styleId="112">
    <w:name w:val="样式5"/>
    <w:basedOn w:val="113"/>
    <w:qFormat/>
    <w:uiPriority w:val="0"/>
    <w:pPr>
      <w:tabs>
        <w:tab w:val="left" w:pos="480"/>
      </w:tabs>
      <w:ind w:left="482" w:firstLine="0" w:firstLineChars="0"/>
    </w:pPr>
    <w:rPr>
      <w:lang w:eastAsia="zh-CN"/>
    </w:rPr>
  </w:style>
  <w:style w:type="paragraph" w:customStyle="1" w:styleId="113">
    <w:name w:val="样式12"/>
    <w:basedOn w:val="7"/>
    <w:qFormat/>
    <w:uiPriority w:val="0"/>
    <w:pPr>
      <w:tabs>
        <w:tab w:val="left" w:pos="480"/>
      </w:tabs>
      <w:ind w:firstLine="200" w:firstLineChars="200"/>
    </w:pPr>
    <w:rPr>
      <w:rFonts w:ascii="Times New Roman" w:hAnsi="Times New Roman" w:eastAsia="宋体"/>
    </w:rPr>
  </w:style>
  <w:style w:type="paragraph" w:customStyle="1" w:styleId="114">
    <w:name w:val="font6"/>
    <w:basedOn w:val="1"/>
    <w:next w:val="78"/>
    <w:qFormat/>
    <w:uiPriority w:val="0"/>
    <w:pPr>
      <w:widowControl/>
      <w:spacing w:before="100" w:after="100"/>
      <w:jc w:val="left"/>
    </w:pPr>
    <w:rPr>
      <w:rFonts w:hint="eastAsia" w:ascii="宋体" w:hAnsi="宋体"/>
      <w:sz w:val="20"/>
    </w:rPr>
  </w:style>
  <w:style w:type="paragraph" w:customStyle="1" w:styleId="115">
    <w:name w:val="样式2"/>
    <w:basedOn w:val="4"/>
    <w:next w:val="1"/>
    <w:qFormat/>
    <w:uiPriority w:val="0"/>
    <w:pPr>
      <w:keepNext/>
      <w:keepLines/>
      <w:pBdr>
        <w:bottom w:val="none" w:color="auto" w:sz="0" w:space="0"/>
      </w:pBdr>
      <w:spacing w:before="100" w:beforeAutospacing="1" w:after="100" w:afterAutospacing="1"/>
      <w:ind w:left="3685" w:hanging="425"/>
      <w:jc w:val="left"/>
    </w:pPr>
    <w:rPr>
      <w:rFonts w:eastAsia="黑体"/>
      <w:caps w:val="0"/>
      <w:color w:val="auto"/>
      <w:spacing w:val="0"/>
      <w:sz w:val="32"/>
      <w:szCs w:val="28"/>
      <w:lang w:eastAsia="zh-CN"/>
    </w:rPr>
  </w:style>
  <w:style w:type="paragraph" w:customStyle="1" w:styleId="116">
    <w:name w:val="样式3"/>
    <w:basedOn w:val="6"/>
    <w:next w:val="91"/>
    <w:qFormat/>
    <w:uiPriority w:val="0"/>
    <w:pPr>
      <w:tabs>
        <w:tab w:val="left" w:pos="864"/>
      </w:tabs>
      <w:spacing w:before="280" w:after="290" w:line="376" w:lineRule="auto"/>
      <w:ind w:left="864" w:hanging="864"/>
    </w:pPr>
    <w:rPr>
      <w:rFonts w:ascii="Arial" w:hAnsi="Arial"/>
      <w:b w:val="0"/>
      <w:bCs/>
      <w:sz w:val="24"/>
      <w:szCs w:val="28"/>
      <w:lang w:eastAsia="zh-CN"/>
    </w:rPr>
  </w:style>
  <w:style w:type="character" w:customStyle="1" w:styleId="117">
    <w:name w:val="页眉 字符"/>
    <w:basedOn w:val="98"/>
    <w:link w:val="63"/>
    <w:qFormat/>
    <w:uiPriority w:val="99"/>
    <w:rPr>
      <w:sz w:val="18"/>
      <w:szCs w:val="18"/>
    </w:rPr>
  </w:style>
  <w:style w:type="character" w:customStyle="1" w:styleId="118">
    <w:name w:val="页脚 字符"/>
    <w:basedOn w:val="98"/>
    <w:link w:val="61"/>
    <w:qFormat/>
    <w:uiPriority w:val="99"/>
    <w:rPr>
      <w:sz w:val="18"/>
      <w:szCs w:val="18"/>
    </w:rPr>
  </w:style>
  <w:style w:type="character" w:customStyle="1" w:styleId="119">
    <w:name w:val="标题 1 字符"/>
    <w:basedOn w:val="98"/>
    <w:qFormat/>
    <w:uiPriority w:val="9"/>
    <w:rPr>
      <w:rFonts w:ascii="Times New Roman" w:hAnsi="Times New Roman" w:eastAsia="宋体" w:cs="Times New Roman"/>
      <w:b/>
      <w:bCs/>
      <w:kern w:val="44"/>
      <w:sz w:val="44"/>
      <w:szCs w:val="44"/>
    </w:rPr>
  </w:style>
  <w:style w:type="character" w:customStyle="1" w:styleId="120">
    <w:name w:val="标题 2 字符"/>
    <w:basedOn w:val="98"/>
    <w:qFormat/>
    <w:uiPriority w:val="9"/>
    <w:rPr>
      <w:rFonts w:asciiTheme="majorHAnsi" w:hAnsiTheme="majorHAnsi" w:eastAsiaTheme="majorEastAsia" w:cstheme="majorBidi"/>
      <w:b/>
      <w:bCs/>
      <w:sz w:val="32"/>
      <w:szCs w:val="32"/>
    </w:rPr>
  </w:style>
  <w:style w:type="character" w:customStyle="1" w:styleId="121">
    <w:name w:val="标题 3 字符"/>
    <w:basedOn w:val="98"/>
    <w:qFormat/>
    <w:uiPriority w:val="9"/>
    <w:rPr>
      <w:rFonts w:ascii="Times New Roman" w:hAnsi="Times New Roman" w:eastAsia="宋体" w:cs="Times New Roman"/>
      <w:b/>
      <w:bCs/>
      <w:sz w:val="32"/>
      <w:szCs w:val="32"/>
    </w:rPr>
  </w:style>
  <w:style w:type="character" w:customStyle="1" w:styleId="122">
    <w:name w:val="标题 4 字符"/>
    <w:basedOn w:val="98"/>
    <w:qFormat/>
    <w:uiPriority w:val="9"/>
    <w:rPr>
      <w:rFonts w:asciiTheme="majorHAnsi" w:hAnsiTheme="majorHAnsi" w:eastAsiaTheme="majorEastAsia" w:cstheme="majorBidi"/>
      <w:b/>
      <w:bCs/>
      <w:sz w:val="28"/>
      <w:szCs w:val="28"/>
    </w:rPr>
  </w:style>
  <w:style w:type="character" w:customStyle="1" w:styleId="123">
    <w:name w:val="标题 5 字符"/>
    <w:basedOn w:val="98"/>
    <w:qFormat/>
    <w:uiPriority w:val="9"/>
    <w:rPr>
      <w:rFonts w:ascii="Times New Roman" w:hAnsi="Times New Roman" w:eastAsia="宋体" w:cs="Times New Roman"/>
      <w:b/>
      <w:bCs/>
      <w:sz w:val="28"/>
      <w:szCs w:val="28"/>
    </w:rPr>
  </w:style>
  <w:style w:type="character" w:customStyle="1" w:styleId="124">
    <w:name w:val="标题 6 字符"/>
    <w:basedOn w:val="98"/>
    <w:qFormat/>
    <w:uiPriority w:val="9"/>
    <w:rPr>
      <w:rFonts w:asciiTheme="majorHAnsi" w:hAnsiTheme="majorHAnsi" w:eastAsiaTheme="majorEastAsia" w:cstheme="majorBidi"/>
      <w:b/>
      <w:bCs/>
      <w:sz w:val="24"/>
      <w:szCs w:val="24"/>
    </w:rPr>
  </w:style>
  <w:style w:type="character" w:customStyle="1" w:styleId="125">
    <w:name w:val="标题 7 字符"/>
    <w:basedOn w:val="98"/>
    <w:qFormat/>
    <w:uiPriority w:val="9"/>
    <w:rPr>
      <w:rFonts w:ascii="Times New Roman" w:hAnsi="Times New Roman" w:eastAsia="宋体" w:cs="Times New Roman"/>
      <w:b/>
      <w:bCs/>
      <w:sz w:val="24"/>
      <w:szCs w:val="24"/>
    </w:rPr>
  </w:style>
  <w:style w:type="character" w:customStyle="1" w:styleId="126">
    <w:name w:val="标题 8 字符"/>
    <w:basedOn w:val="98"/>
    <w:qFormat/>
    <w:uiPriority w:val="9"/>
    <w:rPr>
      <w:rFonts w:asciiTheme="majorHAnsi" w:hAnsiTheme="majorHAnsi" w:eastAsiaTheme="majorEastAsia" w:cstheme="majorBidi"/>
      <w:sz w:val="24"/>
      <w:szCs w:val="24"/>
    </w:rPr>
  </w:style>
  <w:style w:type="character" w:customStyle="1" w:styleId="127">
    <w:name w:val="标题 9 字符"/>
    <w:basedOn w:val="98"/>
    <w:qFormat/>
    <w:uiPriority w:val="9"/>
    <w:rPr>
      <w:rFonts w:asciiTheme="majorHAnsi" w:hAnsiTheme="majorHAnsi" w:eastAsiaTheme="majorEastAsia" w:cstheme="majorBidi"/>
      <w:szCs w:val="21"/>
    </w:rPr>
  </w:style>
  <w:style w:type="character" w:customStyle="1" w:styleId="128">
    <w:name w:val="宏文本 字符"/>
    <w:basedOn w:val="98"/>
    <w:qFormat/>
    <w:uiPriority w:val="99"/>
    <w:rPr>
      <w:rFonts w:ascii="Courier New" w:hAnsi="Courier New" w:eastAsia="宋体" w:cs="Courier New"/>
      <w:sz w:val="24"/>
      <w:szCs w:val="24"/>
    </w:rPr>
  </w:style>
  <w:style w:type="character" w:customStyle="1" w:styleId="129">
    <w:name w:val="宏文本 字符1"/>
    <w:link w:val="2"/>
    <w:qFormat/>
    <w:uiPriority w:val="99"/>
    <w:rPr>
      <w:rFonts w:ascii="Courier New" w:hAnsi="Courier New" w:eastAsia="宋体" w:cs="Times New Roman"/>
      <w:sz w:val="24"/>
      <w:szCs w:val="24"/>
      <w:lang w:eastAsia="zh-TW"/>
    </w:rPr>
  </w:style>
  <w:style w:type="character" w:customStyle="1" w:styleId="130">
    <w:name w:val="标题 1 字符1"/>
    <w:link w:val="3"/>
    <w:qFormat/>
    <w:uiPriority w:val="9"/>
    <w:rPr>
      <w:rFonts w:ascii="Times New Roman" w:hAnsi="Times New Roman" w:eastAsia="黑体" w:cs="Times New Roman"/>
      <w:b/>
      <w:bCs/>
      <w:color w:val="000000"/>
      <w:kern w:val="44"/>
      <w:sz w:val="30"/>
      <w:szCs w:val="30"/>
    </w:rPr>
  </w:style>
  <w:style w:type="character" w:customStyle="1" w:styleId="131">
    <w:name w:val="标题 2 字符1"/>
    <w:link w:val="4"/>
    <w:qFormat/>
    <w:uiPriority w:val="9"/>
    <w:rPr>
      <w:rFonts w:ascii="Times New Roman" w:hAnsi="Times New Roman" w:eastAsia="宋体" w:cs="Times New Roman"/>
      <w:b/>
      <w:caps/>
      <w:color w:val="000000"/>
      <w:spacing w:val="17"/>
      <w:kern w:val="0"/>
      <w:sz w:val="30"/>
      <w:szCs w:val="24"/>
      <w:lang w:eastAsia="zh-TW"/>
    </w:rPr>
  </w:style>
  <w:style w:type="character" w:customStyle="1" w:styleId="132">
    <w:name w:val="标题 3 字符1"/>
    <w:link w:val="5"/>
    <w:qFormat/>
    <w:uiPriority w:val="9"/>
    <w:rPr>
      <w:rFonts w:ascii="Times New Roman" w:hAnsi="Times New Roman" w:eastAsia="宋体" w:cs="Times New Roman"/>
      <w:b/>
      <w:bCs/>
      <w:spacing w:val="11"/>
      <w:kern w:val="18"/>
      <w:sz w:val="28"/>
      <w:szCs w:val="28"/>
      <w:lang w:eastAsia="zh-TW"/>
    </w:rPr>
  </w:style>
  <w:style w:type="character" w:customStyle="1" w:styleId="133">
    <w:name w:val="标题 4 字符1"/>
    <w:link w:val="6"/>
    <w:qFormat/>
    <w:uiPriority w:val="9"/>
    <w:rPr>
      <w:rFonts w:ascii="Calibri" w:hAnsi="Calibri" w:eastAsia="宋体" w:cs="Times New Roman"/>
      <w:b/>
      <w:sz w:val="28"/>
      <w:szCs w:val="21"/>
      <w:lang w:eastAsia="zh-TW"/>
    </w:rPr>
  </w:style>
  <w:style w:type="character" w:customStyle="1" w:styleId="134">
    <w:name w:val="标题 5 字符1"/>
    <w:link w:val="7"/>
    <w:qFormat/>
    <w:uiPriority w:val="9"/>
    <w:rPr>
      <w:rFonts w:ascii="Calibri" w:hAnsi="Calibri" w:eastAsia="Times New Roman" w:cs="Times New Roman"/>
      <w:b/>
      <w:bCs/>
      <w:sz w:val="28"/>
      <w:szCs w:val="28"/>
      <w:lang w:eastAsia="zh-TW"/>
    </w:rPr>
  </w:style>
  <w:style w:type="character" w:customStyle="1" w:styleId="135">
    <w:name w:val="标题 6 字符1"/>
    <w:link w:val="8"/>
    <w:qFormat/>
    <w:uiPriority w:val="9"/>
    <w:rPr>
      <w:rFonts w:ascii="Cambria" w:hAnsi="Cambria" w:eastAsia="宋体" w:cs="Times New Roman"/>
      <w:b/>
      <w:bCs/>
      <w:sz w:val="24"/>
      <w:szCs w:val="24"/>
      <w:lang w:eastAsia="zh-TW"/>
    </w:rPr>
  </w:style>
  <w:style w:type="character" w:customStyle="1" w:styleId="136">
    <w:name w:val="标题 7 字符1"/>
    <w:link w:val="9"/>
    <w:qFormat/>
    <w:uiPriority w:val="9"/>
    <w:rPr>
      <w:rFonts w:ascii="Calibri" w:hAnsi="Calibri" w:eastAsia="Times New Roman" w:cs="Times New Roman"/>
      <w:b/>
      <w:bCs/>
      <w:sz w:val="24"/>
      <w:szCs w:val="24"/>
      <w:lang w:eastAsia="zh-TW"/>
    </w:rPr>
  </w:style>
  <w:style w:type="character" w:customStyle="1" w:styleId="137">
    <w:name w:val="标题 8 字符1"/>
    <w:link w:val="10"/>
    <w:qFormat/>
    <w:uiPriority w:val="9"/>
    <w:rPr>
      <w:rFonts w:ascii="Cambria" w:hAnsi="Cambria" w:eastAsia="宋体" w:cs="Times New Roman"/>
      <w:sz w:val="24"/>
      <w:szCs w:val="24"/>
      <w:lang w:eastAsia="zh-TW"/>
    </w:rPr>
  </w:style>
  <w:style w:type="character" w:customStyle="1" w:styleId="138">
    <w:name w:val="标题 9 字符1"/>
    <w:link w:val="11"/>
    <w:qFormat/>
    <w:uiPriority w:val="9"/>
    <w:rPr>
      <w:rFonts w:ascii="Cambria" w:hAnsi="Cambria" w:eastAsia="宋体" w:cs="Times New Roman"/>
      <w:szCs w:val="21"/>
      <w:lang w:eastAsia="zh-TW"/>
    </w:rPr>
  </w:style>
  <w:style w:type="character" w:customStyle="1" w:styleId="139">
    <w:name w:val="注释标题 字符"/>
    <w:basedOn w:val="98"/>
    <w:qFormat/>
    <w:uiPriority w:val="99"/>
    <w:rPr>
      <w:rFonts w:ascii="Times New Roman" w:hAnsi="Times New Roman" w:eastAsia="宋体" w:cs="Times New Roman"/>
      <w:szCs w:val="24"/>
    </w:rPr>
  </w:style>
  <w:style w:type="character" w:customStyle="1" w:styleId="140">
    <w:name w:val="注释标题 字符1"/>
    <w:link w:val="16"/>
    <w:qFormat/>
    <w:uiPriority w:val="99"/>
    <w:rPr>
      <w:rFonts w:ascii="Times New Roman" w:hAnsi="Times New Roman" w:eastAsia="Times New Roman" w:cs="Times New Roman"/>
      <w:sz w:val="24"/>
    </w:rPr>
  </w:style>
  <w:style w:type="character" w:customStyle="1" w:styleId="141">
    <w:name w:val="电子邮件签名 字符"/>
    <w:basedOn w:val="98"/>
    <w:qFormat/>
    <w:uiPriority w:val="99"/>
    <w:rPr>
      <w:rFonts w:ascii="Times New Roman" w:hAnsi="Times New Roman" w:eastAsia="宋体" w:cs="Times New Roman"/>
      <w:szCs w:val="24"/>
    </w:rPr>
  </w:style>
  <w:style w:type="character" w:customStyle="1" w:styleId="142">
    <w:name w:val="电子邮件签名 字符1"/>
    <w:link w:val="19"/>
    <w:qFormat/>
    <w:uiPriority w:val="99"/>
    <w:rPr>
      <w:rFonts w:ascii="Times New Roman" w:hAnsi="Times New Roman" w:eastAsia="Times New Roman" w:cs="Times New Roman"/>
      <w:sz w:val="24"/>
    </w:rPr>
  </w:style>
  <w:style w:type="character" w:customStyle="1" w:styleId="143">
    <w:name w:val="正文缩进 字符1"/>
    <w:link w:val="23"/>
    <w:qFormat/>
    <w:uiPriority w:val="0"/>
    <w:rPr>
      <w:rFonts w:ascii="Times New Roman" w:hAnsi="Times New Roman" w:eastAsia="宋体" w:cs="Times New Roman"/>
      <w:sz w:val="28"/>
      <w:szCs w:val="28"/>
      <w:lang w:eastAsia="zh-TW"/>
    </w:rPr>
  </w:style>
  <w:style w:type="character" w:customStyle="1" w:styleId="144">
    <w:name w:val="题注 字符"/>
    <w:link w:val="24"/>
    <w:qFormat/>
    <w:uiPriority w:val="35"/>
    <w:rPr>
      <w:rFonts w:ascii="Cambria" w:hAnsi="Cambria" w:eastAsia="黑体" w:cs="Times New Roman"/>
      <w:sz w:val="20"/>
      <w:szCs w:val="20"/>
    </w:rPr>
  </w:style>
  <w:style w:type="character" w:customStyle="1" w:styleId="145">
    <w:name w:val="文档结构图 字符"/>
    <w:basedOn w:val="98"/>
    <w:qFormat/>
    <w:uiPriority w:val="99"/>
    <w:rPr>
      <w:rFonts w:ascii="Microsoft YaHei UI" w:hAnsi="Times New Roman" w:eastAsia="Microsoft YaHei UI" w:cs="Times New Roman"/>
      <w:sz w:val="18"/>
      <w:szCs w:val="18"/>
    </w:rPr>
  </w:style>
  <w:style w:type="character" w:customStyle="1" w:styleId="146">
    <w:name w:val="文档结构图 字符1"/>
    <w:link w:val="28"/>
    <w:qFormat/>
    <w:uiPriority w:val="99"/>
    <w:rPr>
      <w:rFonts w:ascii="宋体" w:hAnsi="Calibri" w:eastAsia="宋体" w:cs="Times New Roman"/>
      <w:sz w:val="18"/>
      <w:szCs w:val="18"/>
      <w:lang w:eastAsia="zh-TW"/>
    </w:rPr>
  </w:style>
  <w:style w:type="character" w:customStyle="1" w:styleId="147">
    <w:name w:val="批注文字 字符"/>
    <w:basedOn w:val="98"/>
    <w:semiHidden/>
    <w:qFormat/>
    <w:uiPriority w:val="99"/>
    <w:rPr>
      <w:rFonts w:ascii="Times New Roman" w:hAnsi="Times New Roman" w:eastAsia="宋体" w:cs="Times New Roman"/>
      <w:szCs w:val="24"/>
    </w:rPr>
  </w:style>
  <w:style w:type="character" w:customStyle="1" w:styleId="148">
    <w:name w:val="批注文字 字符2"/>
    <w:link w:val="30"/>
    <w:qFormat/>
    <w:locked/>
    <w:uiPriority w:val="99"/>
    <w:rPr>
      <w:rFonts w:ascii="Times New Roman" w:hAnsi="Times New Roman" w:eastAsia="宋体" w:cs="Times New Roman"/>
      <w:kern w:val="0"/>
      <w:sz w:val="24"/>
      <w:szCs w:val="20"/>
    </w:rPr>
  </w:style>
  <w:style w:type="character" w:customStyle="1" w:styleId="149">
    <w:name w:val="称呼 字符"/>
    <w:basedOn w:val="98"/>
    <w:qFormat/>
    <w:uiPriority w:val="99"/>
    <w:rPr>
      <w:rFonts w:ascii="Times New Roman" w:hAnsi="Times New Roman" w:eastAsia="宋体" w:cs="Times New Roman"/>
      <w:szCs w:val="24"/>
    </w:rPr>
  </w:style>
  <w:style w:type="character" w:customStyle="1" w:styleId="150">
    <w:name w:val="称呼 字符1"/>
    <w:link w:val="32"/>
    <w:qFormat/>
    <w:uiPriority w:val="99"/>
    <w:rPr>
      <w:rFonts w:ascii="Times New Roman" w:hAnsi="Times New Roman" w:eastAsia="Times New Roman" w:cs="Times New Roman"/>
      <w:sz w:val="24"/>
    </w:rPr>
  </w:style>
  <w:style w:type="character" w:customStyle="1" w:styleId="151">
    <w:name w:val="正文文本 3 字符"/>
    <w:basedOn w:val="98"/>
    <w:qFormat/>
    <w:uiPriority w:val="99"/>
    <w:rPr>
      <w:rFonts w:ascii="Times New Roman" w:hAnsi="Times New Roman" w:eastAsia="宋体" w:cs="Times New Roman"/>
      <w:sz w:val="16"/>
      <w:szCs w:val="16"/>
    </w:rPr>
  </w:style>
  <w:style w:type="character" w:customStyle="1" w:styleId="152">
    <w:name w:val="正文文本 3 字符1"/>
    <w:link w:val="33"/>
    <w:qFormat/>
    <w:uiPriority w:val="99"/>
    <w:rPr>
      <w:rFonts w:ascii="Times New Roman" w:hAnsi="Times New Roman" w:eastAsia="Times New Roman" w:cs="Times New Roman"/>
      <w:sz w:val="16"/>
      <w:szCs w:val="16"/>
    </w:rPr>
  </w:style>
  <w:style w:type="character" w:customStyle="1" w:styleId="153">
    <w:name w:val="结束语 字符"/>
    <w:basedOn w:val="98"/>
    <w:qFormat/>
    <w:uiPriority w:val="99"/>
    <w:rPr>
      <w:rFonts w:ascii="Times New Roman" w:hAnsi="Times New Roman" w:eastAsia="宋体" w:cs="Times New Roman"/>
      <w:szCs w:val="24"/>
    </w:rPr>
  </w:style>
  <w:style w:type="character" w:customStyle="1" w:styleId="154">
    <w:name w:val="结束语 字符1"/>
    <w:link w:val="34"/>
    <w:qFormat/>
    <w:uiPriority w:val="99"/>
    <w:rPr>
      <w:rFonts w:ascii="Times New Roman" w:hAnsi="Times New Roman" w:eastAsia="Times New Roman" w:cs="Times New Roman"/>
      <w:sz w:val="24"/>
    </w:rPr>
  </w:style>
  <w:style w:type="character" w:customStyle="1" w:styleId="155">
    <w:name w:val="正文文本 字符"/>
    <w:basedOn w:val="98"/>
    <w:semiHidden/>
    <w:qFormat/>
    <w:uiPriority w:val="99"/>
    <w:rPr>
      <w:rFonts w:ascii="Times New Roman" w:hAnsi="Times New Roman" w:eastAsia="宋体" w:cs="Times New Roman"/>
      <w:szCs w:val="24"/>
    </w:rPr>
  </w:style>
  <w:style w:type="character" w:customStyle="1" w:styleId="156">
    <w:name w:val="正文文本 字符2"/>
    <w:link w:val="36"/>
    <w:qFormat/>
    <w:locked/>
    <w:uiPriority w:val="99"/>
    <w:rPr>
      <w:rFonts w:ascii="Times New Roman" w:hAnsi="Times New Roman" w:eastAsia="宋体" w:cs="Times New Roman"/>
      <w:kern w:val="0"/>
      <w:sz w:val="18"/>
      <w:szCs w:val="20"/>
    </w:rPr>
  </w:style>
  <w:style w:type="character" w:customStyle="1" w:styleId="157">
    <w:name w:val="正文文本缩进 字符"/>
    <w:basedOn w:val="98"/>
    <w:semiHidden/>
    <w:qFormat/>
    <w:uiPriority w:val="99"/>
    <w:rPr>
      <w:rFonts w:ascii="Times New Roman" w:hAnsi="Times New Roman" w:eastAsia="宋体" w:cs="Times New Roman"/>
      <w:szCs w:val="24"/>
    </w:rPr>
  </w:style>
  <w:style w:type="character" w:customStyle="1" w:styleId="158">
    <w:name w:val="正文文本缩进 字符1"/>
    <w:link w:val="37"/>
    <w:qFormat/>
    <w:locked/>
    <w:uiPriority w:val="99"/>
    <w:rPr>
      <w:rFonts w:ascii="Times New Roman" w:hAnsi="Times New Roman" w:eastAsia="宋体" w:cs="Times New Roman"/>
      <w:kern w:val="0"/>
      <w:sz w:val="24"/>
      <w:szCs w:val="20"/>
    </w:rPr>
  </w:style>
  <w:style w:type="character" w:customStyle="1" w:styleId="159">
    <w:name w:val="HTML 地址 字符"/>
    <w:basedOn w:val="98"/>
    <w:qFormat/>
    <w:uiPriority w:val="99"/>
    <w:rPr>
      <w:rFonts w:ascii="Times New Roman" w:hAnsi="Times New Roman" w:eastAsia="宋体" w:cs="Times New Roman"/>
      <w:i/>
      <w:iCs/>
      <w:szCs w:val="24"/>
    </w:rPr>
  </w:style>
  <w:style w:type="character" w:customStyle="1" w:styleId="160">
    <w:name w:val="HTML 地址 字符1"/>
    <w:link w:val="46"/>
    <w:qFormat/>
    <w:uiPriority w:val="99"/>
    <w:rPr>
      <w:rFonts w:ascii="Times New Roman" w:hAnsi="Times New Roman" w:eastAsia="Times New Roman" w:cs="Times New Roman"/>
      <w:i/>
      <w:iCs/>
      <w:sz w:val="24"/>
    </w:rPr>
  </w:style>
  <w:style w:type="character" w:customStyle="1" w:styleId="161">
    <w:name w:val="纯文本 字符"/>
    <w:basedOn w:val="98"/>
    <w:qFormat/>
    <w:uiPriority w:val="0"/>
    <w:rPr>
      <w:rFonts w:hAnsi="Courier New" w:cs="Courier New" w:asciiTheme="minorEastAsia"/>
      <w:szCs w:val="24"/>
    </w:rPr>
  </w:style>
  <w:style w:type="character" w:customStyle="1" w:styleId="162">
    <w:name w:val="纯文本 字符1"/>
    <w:link w:val="50"/>
    <w:qFormat/>
    <w:uiPriority w:val="0"/>
    <w:rPr>
      <w:rFonts w:ascii="宋体" w:hAnsi="Courier New" w:eastAsia="宋体" w:cs="Times New Roman"/>
      <w:szCs w:val="21"/>
      <w:lang w:eastAsia="zh-TW"/>
    </w:rPr>
  </w:style>
  <w:style w:type="character" w:customStyle="1" w:styleId="163">
    <w:name w:val="日期 字符"/>
    <w:basedOn w:val="98"/>
    <w:qFormat/>
    <w:uiPriority w:val="0"/>
    <w:rPr>
      <w:rFonts w:ascii="Times New Roman" w:hAnsi="Times New Roman" w:eastAsia="宋体" w:cs="Times New Roman"/>
      <w:szCs w:val="24"/>
    </w:rPr>
  </w:style>
  <w:style w:type="character" w:customStyle="1" w:styleId="164">
    <w:name w:val="日期 字符1"/>
    <w:link w:val="56"/>
    <w:qFormat/>
    <w:locked/>
    <w:uiPriority w:val="0"/>
    <w:rPr>
      <w:rFonts w:ascii="Times New Roman" w:hAnsi="Times New Roman" w:eastAsia="宋体" w:cs="Times New Roman"/>
      <w:kern w:val="0"/>
      <w:sz w:val="24"/>
      <w:szCs w:val="20"/>
    </w:rPr>
  </w:style>
  <w:style w:type="character" w:customStyle="1" w:styleId="165">
    <w:name w:val="正文文本缩进 2 字符"/>
    <w:basedOn w:val="98"/>
    <w:qFormat/>
    <w:uiPriority w:val="99"/>
    <w:rPr>
      <w:rFonts w:ascii="Times New Roman" w:hAnsi="Times New Roman" w:eastAsia="宋体" w:cs="Times New Roman"/>
      <w:szCs w:val="24"/>
    </w:rPr>
  </w:style>
  <w:style w:type="character" w:customStyle="1" w:styleId="166">
    <w:name w:val="正文文本缩进 2 字符1"/>
    <w:link w:val="57"/>
    <w:qFormat/>
    <w:uiPriority w:val="99"/>
    <w:rPr>
      <w:rFonts w:ascii="Calibri" w:hAnsi="Calibri" w:eastAsia="宋体" w:cs="Times New Roman"/>
      <w:szCs w:val="21"/>
    </w:rPr>
  </w:style>
  <w:style w:type="character" w:customStyle="1" w:styleId="167">
    <w:name w:val="尾注文本 字符"/>
    <w:basedOn w:val="98"/>
    <w:qFormat/>
    <w:uiPriority w:val="99"/>
    <w:rPr>
      <w:rFonts w:ascii="Times New Roman" w:hAnsi="Times New Roman" w:eastAsia="宋体" w:cs="Times New Roman"/>
      <w:szCs w:val="24"/>
    </w:rPr>
  </w:style>
  <w:style w:type="character" w:customStyle="1" w:styleId="168">
    <w:name w:val="尾注文本 字符1"/>
    <w:link w:val="58"/>
    <w:qFormat/>
    <w:uiPriority w:val="99"/>
    <w:rPr>
      <w:rFonts w:ascii="Times New Roman" w:hAnsi="Times New Roman" w:eastAsia="Times New Roman" w:cs="Times New Roman"/>
      <w:sz w:val="24"/>
    </w:rPr>
  </w:style>
  <w:style w:type="character" w:customStyle="1" w:styleId="169">
    <w:name w:val="批注框文本 字符"/>
    <w:basedOn w:val="98"/>
    <w:semiHidden/>
    <w:qFormat/>
    <w:uiPriority w:val="99"/>
    <w:rPr>
      <w:rFonts w:ascii="Times New Roman" w:hAnsi="Times New Roman" w:eastAsia="宋体" w:cs="Times New Roman"/>
      <w:sz w:val="18"/>
      <w:szCs w:val="18"/>
    </w:rPr>
  </w:style>
  <w:style w:type="character" w:customStyle="1" w:styleId="170">
    <w:name w:val="批注框文本 字符1"/>
    <w:link w:val="60"/>
    <w:qFormat/>
    <w:locked/>
    <w:uiPriority w:val="99"/>
    <w:rPr>
      <w:rFonts w:ascii="Times New Roman" w:hAnsi="Times New Roman" w:eastAsia="宋体" w:cs="Times New Roman"/>
      <w:kern w:val="0"/>
      <w:sz w:val="18"/>
      <w:szCs w:val="20"/>
    </w:rPr>
  </w:style>
  <w:style w:type="character" w:customStyle="1" w:styleId="171">
    <w:name w:val="页脚 Char2"/>
    <w:qFormat/>
    <w:locked/>
    <w:uiPriority w:val="99"/>
    <w:rPr>
      <w:sz w:val="18"/>
    </w:rPr>
  </w:style>
  <w:style w:type="character" w:customStyle="1" w:styleId="172">
    <w:name w:val="页眉 Char2"/>
    <w:qFormat/>
    <w:locked/>
    <w:uiPriority w:val="99"/>
    <w:rPr>
      <w:sz w:val="18"/>
    </w:rPr>
  </w:style>
  <w:style w:type="character" w:customStyle="1" w:styleId="173">
    <w:name w:val="签名 字符"/>
    <w:basedOn w:val="98"/>
    <w:qFormat/>
    <w:uiPriority w:val="99"/>
    <w:rPr>
      <w:rFonts w:ascii="Times New Roman" w:hAnsi="Times New Roman" w:eastAsia="宋体" w:cs="Times New Roman"/>
      <w:szCs w:val="24"/>
    </w:rPr>
  </w:style>
  <w:style w:type="character" w:customStyle="1" w:styleId="174">
    <w:name w:val="签名 字符1"/>
    <w:link w:val="64"/>
    <w:qFormat/>
    <w:uiPriority w:val="99"/>
    <w:rPr>
      <w:rFonts w:ascii="Times New Roman" w:hAnsi="Times New Roman" w:eastAsia="Times New Roman" w:cs="Times New Roman"/>
      <w:sz w:val="24"/>
    </w:rPr>
  </w:style>
  <w:style w:type="character" w:customStyle="1" w:styleId="175">
    <w:name w:val="副标题 字符"/>
    <w:basedOn w:val="98"/>
    <w:qFormat/>
    <w:uiPriority w:val="11"/>
    <w:rPr>
      <w:b/>
      <w:bCs/>
      <w:kern w:val="28"/>
      <w:sz w:val="32"/>
      <w:szCs w:val="32"/>
    </w:rPr>
  </w:style>
  <w:style w:type="character" w:customStyle="1" w:styleId="176">
    <w:name w:val="副标题 字符3"/>
    <w:link w:val="69"/>
    <w:qFormat/>
    <w:uiPriority w:val="11"/>
    <w:rPr>
      <w:rFonts w:ascii="宋体" w:hAnsi="宋体" w:eastAsia="宋体" w:cs="Times New Roman"/>
      <w:b/>
      <w:bCs/>
      <w:kern w:val="28"/>
      <w:sz w:val="28"/>
      <w:szCs w:val="21"/>
      <w:lang w:eastAsia="zh-TW"/>
    </w:rPr>
  </w:style>
  <w:style w:type="character" w:customStyle="1" w:styleId="177">
    <w:name w:val="脚注文本 字符"/>
    <w:basedOn w:val="98"/>
    <w:qFormat/>
    <w:uiPriority w:val="99"/>
    <w:rPr>
      <w:rFonts w:ascii="Times New Roman" w:hAnsi="Times New Roman" w:eastAsia="宋体" w:cs="Times New Roman"/>
      <w:sz w:val="18"/>
      <w:szCs w:val="18"/>
    </w:rPr>
  </w:style>
  <w:style w:type="character" w:customStyle="1" w:styleId="178">
    <w:name w:val="脚注文本 字符1"/>
    <w:link w:val="71"/>
    <w:qFormat/>
    <w:uiPriority w:val="99"/>
    <w:rPr>
      <w:rFonts w:ascii="Times New Roman" w:hAnsi="Times New Roman" w:eastAsia="Times New Roman" w:cs="Times New Roman"/>
      <w:sz w:val="18"/>
      <w:szCs w:val="18"/>
    </w:rPr>
  </w:style>
  <w:style w:type="character" w:customStyle="1" w:styleId="179">
    <w:name w:val="正文文本缩进 3 字符"/>
    <w:basedOn w:val="98"/>
    <w:qFormat/>
    <w:uiPriority w:val="0"/>
    <w:rPr>
      <w:rFonts w:ascii="Times New Roman" w:hAnsi="Times New Roman" w:eastAsia="宋体" w:cs="Times New Roman"/>
      <w:sz w:val="16"/>
      <w:szCs w:val="16"/>
    </w:rPr>
  </w:style>
  <w:style w:type="character" w:customStyle="1" w:styleId="180">
    <w:name w:val="正文文本缩进 3 字符1"/>
    <w:link w:val="74"/>
    <w:qFormat/>
    <w:uiPriority w:val="0"/>
    <w:rPr>
      <w:rFonts w:ascii="Times New Roman" w:hAnsi="Times New Roman" w:eastAsia="宋体" w:cs="Times New Roman"/>
      <w:sz w:val="16"/>
      <w:szCs w:val="16"/>
      <w:lang w:eastAsia="zh-TW"/>
    </w:rPr>
  </w:style>
  <w:style w:type="character" w:customStyle="1" w:styleId="181">
    <w:name w:val="正文文本 2 字符"/>
    <w:basedOn w:val="98"/>
    <w:qFormat/>
    <w:uiPriority w:val="99"/>
    <w:rPr>
      <w:rFonts w:ascii="Times New Roman" w:hAnsi="Times New Roman" w:eastAsia="宋体" w:cs="Times New Roman"/>
      <w:szCs w:val="24"/>
    </w:rPr>
  </w:style>
  <w:style w:type="character" w:customStyle="1" w:styleId="182">
    <w:name w:val="正文文本 2 字符1"/>
    <w:link w:val="80"/>
    <w:qFormat/>
    <w:uiPriority w:val="99"/>
    <w:rPr>
      <w:rFonts w:ascii="Times New Roman" w:hAnsi="Times New Roman" w:eastAsia="宋体" w:cs="Times New Roman"/>
      <w:sz w:val="24"/>
    </w:rPr>
  </w:style>
  <w:style w:type="character" w:customStyle="1" w:styleId="183">
    <w:name w:val="信息标题 字符"/>
    <w:basedOn w:val="98"/>
    <w:qFormat/>
    <w:uiPriority w:val="99"/>
    <w:rPr>
      <w:rFonts w:asciiTheme="majorHAnsi" w:hAnsiTheme="majorHAnsi" w:eastAsiaTheme="majorEastAsia" w:cstheme="majorBidi"/>
      <w:sz w:val="24"/>
      <w:szCs w:val="24"/>
      <w:shd w:val="pct20" w:color="auto" w:fill="auto"/>
    </w:rPr>
  </w:style>
  <w:style w:type="character" w:customStyle="1" w:styleId="184">
    <w:name w:val="信息标题 字符1"/>
    <w:link w:val="83"/>
    <w:qFormat/>
    <w:uiPriority w:val="99"/>
    <w:rPr>
      <w:rFonts w:ascii="Cambria" w:hAnsi="Cambria" w:eastAsia="宋体" w:cs="Times New Roman"/>
      <w:sz w:val="24"/>
      <w:szCs w:val="24"/>
      <w:shd w:val="pct20" w:color="auto" w:fill="auto"/>
    </w:rPr>
  </w:style>
  <w:style w:type="character" w:customStyle="1" w:styleId="185">
    <w:name w:val="HTML 预设格式 字符"/>
    <w:basedOn w:val="98"/>
    <w:qFormat/>
    <w:uiPriority w:val="99"/>
    <w:rPr>
      <w:rFonts w:ascii="Courier New" w:hAnsi="Courier New" w:eastAsia="宋体" w:cs="Courier New"/>
      <w:sz w:val="20"/>
      <w:szCs w:val="20"/>
    </w:rPr>
  </w:style>
  <w:style w:type="character" w:customStyle="1" w:styleId="186">
    <w:name w:val="HTML 预设格式 字符1"/>
    <w:link w:val="84"/>
    <w:qFormat/>
    <w:uiPriority w:val="99"/>
    <w:rPr>
      <w:rFonts w:ascii="Courier New" w:hAnsi="Courier New" w:eastAsia="Times New Roman" w:cs="Courier New"/>
      <w:sz w:val="20"/>
      <w:szCs w:val="20"/>
    </w:rPr>
  </w:style>
  <w:style w:type="character" w:customStyle="1" w:styleId="187">
    <w:name w:val="普通(网站) 字符"/>
    <w:link w:val="85"/>
    <w:qFormat/>
    <w:locked/>
    <w:uiPriority w:val="99"/>
    <w:rPr>
      <w:rFonts w:ascii="宋体" w:hAnsi="宋体" w:eastAsia="宋体" w:cs="Times New Roman"/>
      <w:kern w:val="0"/>
      <w:sz w:val="24"/>
      <w:szCs w:val="20"/>
    </w:rPr>
  </w:style>
  <w:style w:type="character" w:customStyle="1" w:styleId="188">
    <w:name w:val="标题 字符"/>
    <w:basedOn w:val="98"/>
    <w:qFormat/>
    <w:uiPriority w:val="10"/>
    <w:rPr>
      <w:rFonts w:asciiTheme="majorHAnsi" w:hAnsiTheme="majorHAnsi" w:eastAsiaTheme="majorEastAsia" w:cstheme="majorBidi"/>
      <w:b/>
      <w:bCs/>
      <w:sz w:val="32"/>
      <w:szCs w:val="32"/>
    </w:rPr>
  </w:style>
  <w:style w:type="character" w:customStyle="1" w:styleId="189">
    <w:name w:val="标题 字符3"/>
    <w:link w:val="88"/>
    <w:qFormat/>
    <w:uiPriority w:val="10"/>
    <w:rPr>
      <w:rFonts w:ascii="Times New Roman" w:hAnsi="Times New Roman" w:eastAsia="宋体" w:cs="Times New Roman"/>
      <w:b/>
      <w:bCs/>
      <w:sz w:val="24"/>
      <w:szCs w:val="32"/>
    </w:rPr>
  </w:style>
  <w:style w:type="character" w:customStyle="1" w:styleId="190">
    <w:name w:val="批注主题 字符"/>
    <w:basedOn w:val="147"/>
    <w:semiHidden/>
    <w:qFormat/>
    <w:uiPriority w:val="99"/>
    <w:rPr>
      <w:rFonts w:ascii="Times New Roman" w:hAnsi="Times New Roman" w:eastAsia="宋体" w:cs="Times New Roman"/>
      <w:b/>
      <w:bCs/>
      <w:szCs w:val="24"/>
    </w:rPr>
  </w:style>
  <w:style w:type="character" w:customStyle="1" w:styleId="191">
    <w:name w:val="批注主题 字符1"/>
    <w:link w:val="89"/>
    <w:qFormat/>
    <w:locked/>
    <w:uiPriority w:val="99"/>
    <w:rPr>
      <w:rFonts w:ascii="Times New Roman" w:hAnsi="Times New Roman" w:eastAsia="宋体" w:cs="Times New Roman"/>
      <w:b/>
      <w:kern w:val="0"/>
      <w:sz w:val="24"/>
      <w:szCs w:val="20"/>
    </w:rPr>
  </w:style>
  <w:style w:type="character" w:customStyle="1" w:styleId="192">
    <w:name w:val="正文首行缩进 字符"/>
    <w:basedOn w:val="155"/>
    <w:qFormat/>
    <w:uiPriority w:val="99"/>
    <w:rPr>
      <w:rFonts w:ascii="Times New Roman" w:hAnsi="Times New Roman" w:eastAsia="宋体" w:cs="Times New Roman"/>
      <w:szCs w:val="24"/>
    </w:rPr>
  </w:style>
  <w:style w:type="character" w:customStyle="1" w:styleId="193">
    <w:name w:val="正文首行缩进 字符1"/>
    <w:link w:val="90"/>
    <w:qFormat/>
    <w:uiPriority w:val="0"/>
    <w:rPr>
      <w:rFonts w:ascii="Times New Roman" w:hAnsi="Times New Roman" w:eastAsia="Times New Roman" w:cs="Times New Roman"/>
      <w:sz w:val="24"/>
    </w:rPr>
  </w:style>
  <w:style w:type="character" w:customStyle="1" w:styleId="194">
    <w:name w:val="正文首行缩进 2 字符"/>
    <w:basedOn w:val="157"/>
    <w:qFormat/>
    <w:uiPriority w:val="0"/>
    <w:rPr>
      <w:rFonts w:ascii="Times New Roman" w:hAnsi="Times New Roman" w:eastAsia="宋体" w:cs="Times New Roman"/>
      <w:szCs w:val="24"/>
    </w:rPr>
  </w:style>
  <w:style w:type="character" w:customStyle="1" w:styleId="195">
    <w:name w:val="正文首行缩进 2 字符1"/>
    <w:link w:val="91"/>
    <w:qFormat/>
    <w:uiPriority w:val="0"/>
    <w:rPr>
      <w:rFonts w:ascii="Times New Roman" w:hAnsi="Times New Roman" w:eastAsia="宋体" w:cs="Times New Roman"/>
      <w:szCs w:val="21"/>
      <w:lang w:eastAsia="zh-TW"/>
    </w:rPr>
  </w:style>
  <w:style w:type="character" w:customStyle="1" w:styleId="196">
    <w:name w:val="正文文本 字符1"/>
    <w:semiHidden/>
    <w:qFormat/>
    <w:uiPriority w:val="1"/>
    <w:rPr>
      <w:rFonts w:ascii="Times New Roman" w:hAnsi="Times New Roman" w:eastAsia="宋体"/>
      <w:sz w:val="24"/>
    </w:rPr>
  </w:style>
  <w:style w:type="character" w:customStyle="1" w:styleId="197">
    <w:name w:val="表格 Char"/>
    <w:link w:val="198"/>
    <w:qFormat/>
    <w:locked/>
    <w:uiPriority w:val="0"/>
    <w:rPr>
      <w:rFonts w:ascii="宋体"/>
    </w:rPr>
  </w:style>
  <w:style w:type="paragraph" w:customStyle="1" w:styleId="198">
    <w:name w:val="表格"/>
    <w:basedOn w:val="1"/>
    <w:next w:val="1"/>
    <w:link w:val="197"/>
    <w:qFormat/>
    <w:uiPriority w:val="0"/>
    <w:pPr>
      <w:adjustRightInd w:val="0"/>
      <w:snapToGrid w:val="0"/>
      <w:spacing w:beforeLines="10" w:afterLines="10" w:line="259" w:lineRule="auto"/>
      <w:jc w:val="center"/>
    </w:pPr>
    <w:rPr>
      <w:rFonts w:ascii="宋体" w:hAnsiTheme="minorHAnsi" w:eastAsiaTheme="minorEastAsia" w:cstheme="minorBidi"/>
      <w:szCs w:val="22"/>
    </w:rPr>
  </w:style>
  <w:style w:type="character" w:customStyle="1" w:styleId="199">
    <w:name w:val="批注文字 字符1"/>
    <w:semiHidden/>
    <w:qFormat/>
    <w:uiPriority w:val="99"/>
    <w:rPr>
      <w:rFonts w:ascii="Times New Roman" w:hAnsi="Times New Roman" w:eastAsia="宋体"/>
      <w:sz w:val="24"/>
    </w:rPr>
  </w:style>
  <w:style w:type="paragraph" w:customStyle="1" w:styleId="200">
    <w:name w:val="正文_1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201">
    <w:name w:val="普通(网站)2"/>
    <w:basedOn w:val="1"/>
    <w:qFormat/>
    <w:uiPriority w:val="0"/>
    <w:pPr>
      <w:widowControl/>
      <w:spacing w:before="100" w:beforeAutospacing="1" w:after="100" w:afterAutospacing="1"/>
      <w:jc w:val="left"/>
    </w:pPr>
    <w:rPr>
      <w:rFonts w:ascii="宋体" w:hAnsi="宋体"/>
      <w:sz w:val="24"/>
    </w:rPr>
  </w:style>
  <w:style w:type="character" w:customStyle="1" w:styleId="202">
    <w:name w:val="表格名称. Char Char"/>
    <w:link w:val="203"/>
    <w:qFormat/>
    <w:uiPriority w:val="0"/>
    <w:rPr>
      <w:rFonts w:eastAsia="黑体"/>
      <w:sz w:val="24"/>
      <w:szCs w:val="24"/>
    </w:rPr>
  </w:style>
  <w:style w:type="paragraph" w:customStyle="1" w:styleId="203">
    <w:name w:val="表格名称."/>
    <w:basedOn w:val="1"/>
    <w:link w:val="202"/>
    <w:qFormat/>
    <w:uiPriority w:val="0"/>
    <w:pPr>
      <w:keepNext/>
      <w:tabs>
        <w:tab w:val="left" w:pos="1260"/>
      </w:tabs>
      <w:spacing w:line="480" w:lineRule="exact"/>
      <w:jc w:val="center"/>
    </w:pPr>
    <w:rPr>
      <w:rFonts w:eastAsia="黑体" w:asciiTheme="minorHAnsi" w:hAnsiTheme="minorHAnsi" w:cstheme="minorBidi"/>
      <w:sz w:val="24"/>
    </w:rPr>
  </w:style>
  <w:style w:type="character" w:customStyle="1" w:styleId="204">
    <w:name w:val="宗兴正文 Char Char"/>
    <w:link w:val="205"/>
    <w:qFormat/>
    <w:uiPriority w:val="0"/>
    <w:rPr>
      <w:rFonts w:ascii="宋体" w:hAnsi="宋体"/>
      <w:sz w:val="24"/>
      <w:szCs w:val="24"/>
    </w:rPr>
  </w:style>
  <w:style w:type="paragraph" w:customStyle="1" w:styleId="205">
    <w:name w:val="宗兴正文"/>
    <w:basedOn w:val="1"/>
    <w:link w:val="204"/>
    <w:qFormat/>
    <w:uiPriority w:val="0"/>
    <w:pPr>
      <w:spacing w:before="93" w:after="93" w:line="360" w:lineRule="auto"/>
      <w:ind w:firstLine="480" w:firstLineChars="200"/>
      <w:jc w:val="left"/>
    </w:pPr>
    <w:rPr>
      <w:rFonts w:ascii="宋体" w:hAnsi="宋体" w:eastAsiaTheme="minorEastAsia" w:cstheme="minorBidi"/>
      <w:sz w:val="24"/>
    </w:rPr>
  </w:style>
  <w:style w:type="character" w:customStyle="1" w:styleId="206">
    <w:name w:val="fn org"/>
    <w:qFormat/>
    <w:uiPriority w:val="0"/>
  </w:style>
  <w:style w:type="character" w:customStyle="1" w:styleId="207">
    <w:name w:val="表格文字 Char1"/>
    <w:qFormat/>
    <w:uiPriority w:val="0"/>
    <w:rPr>
      <w:sz w:val="21"/>
      <w:szCs w:val="20"/>
    </w:rPr>
  </w:style>
  <w:style w:type="character" w:customStyle="1" w:styleId="208">
    <w:name w:val="表格字体 Char"/>
    <w:qFormat/>
    <w:uiPriority w:val="0"/>
    <w:rPr>
      <w:rFonts w:ascii="Arial" w:hAnsi="Arial" w:eastAsia="宋体" w:cs="宋体"/>
      <w:kern w:val="2"/>
      <w:sz w:val="21"/>
      <w:lang w:val="en-US" w:eastAsia="zh-CN" w:bidi="ar-SA"/>
    </w:rPr>
  </w:style>
  <w:style w:type="character" w:customStyle="1" w:styleId="209">
    <w:name w:val="样式 表格文字. + Times New Roman1 Char Char"/>
    <w:link w:val="210"/>
    <w:qFormat/>
    <w:uiPriority w:val="0"/>
  </w:style>
  <w:style w:type="paragraph" w:customStyle="1" w:styleId="210">
    <w:name w:val="样式 表格文字. + Times New Roman1"/>
    <w:basedOn w:val="211"/>
    <w:link w:val="209"/>
    <w:qFormat/>
    <w:uiPriority w:val="0"/>
    <w:pPr>
      <w:textAlignment w:val="center"/>
    </w:pPr>
    <w:rPr>
      <w:rFonts w:asciiTheme="minorHAnsi" w:hAnsiTheme="minorHAnsi" w:eastAsiaTheme="minorEastAsia" w:cstheme="minorBidi"/>
      <w:kern w:val="2"/>
      <w:sz w:val="21"/>
      <w:szCs w:val="22"/>
    </w:rPr>
  </w:style>
  <w:style w:type="paragraph" w:customStyle="1" w:styleId="211">
    <w:name w:val="表格文字."/>
    <w:basedOn w:val="1"/>
    <w:link w:val="212"/>
    <w:qFormat/>
    <w:uiPriority w:val="0"/>
    <w:pPr>
      <w:keepNext/>
      <w:autoSpaceDE w:val="0"/>
      <w:autoSpaceDN w:val="0"/>
      <w:adjustRightInd w:val="0"/>
      <w:jc w:val="center"/>
      <w:textAlignment w:val="baseline"/>
    </w:pPr>
    <w:rPr>
      <w:sz w:val="20"/>
    </w:rPr>
  </w:style>
  <w:style w:type="character" w:customStyle="1" w:styleId="212">
    <w:name w:val="表格文字. Char Char"/>
    <w:link w:val="211"/>
    <w:qFormat/>
    <w:uiPriority w:val="0"/>
    <w:rPr>
      <w:rFonts w:ascii="Times New Roman" w:hAnsi="Times New Roman" w:eastAsia="宋体" w:cs="Times New Roman"/>
      <w:kern w:val="0"/>
      <w:sz w:val="20"/>
      <w:szCs w:val="21"/>
    </w:rPr>
  </w:style>
  <w:style w:type="character" w:customStyle="1" w:styleId="213">
    <w:name w:val="报告 Char"/>
    <w:link w:val="214"/>
    <w:qFormat/>
    <w:locked/>
    <w:uiPriority w:val="0"/>
    <w:rPr>
      <w:sz w:val="24"/>
      <w:szCs w:val="24"/>
    </w:rPr>
  </w:style>
  <w:style w:type="paragraph" w:customStyle="1" w:styleId="214">
    <w:name w:val="报告"/>
    <w:basedOn w:val="1"/>
    <w:link w:val="213"/>
    <w:qFormat/>
    <w:uiPriority w:val="0"/>
    <w:pPr>
      <w:overflowPunct w:val="0"/>
      <w:autoSpaceDE w:val="0"/>
      <w:autoSpaceDN w:val="0"/>
      <w:adjustRightInd w:val="0"/>
      <w:spacing w:beforeLines="20" w:afterLines="20" w:line="440" w:lineRule="atLeast"/>
      <w:ind w:firstLine="200" w:firstLineChars="200"/>
      <w:textAlignment w:val="baseline"/>
    </w:pPr>
    <w:rPr>
      <w:rFonts w:asciiTheme="minorHAnsi" w:hAnsiTheme="minorHAnsi" w:eastAsiaTheme="minorEastAsia" w:cstheme="minorBidi"/>
      <w:sz w:val="24"/>
    </w:rPr>
  </w:style>
  <w:style w:type="character" w:customStyle="1" w:styleId="215">
    <w:name w:val="black91"/>
    <w:qFormat/>
    <w:uiPriority w:val="0"/>
    <w:rPr>
      <w:color w:val="000000"/>
      <w:sz w:val="18"/>
      <w:szCs w:val="18"/>
      <w:u w:val="none"/>
    </w:rPr>
  </w:style>
  <w:style w:type="character" w:customStyle="1" w:styleId="216">
    <w:name w:val="Char Char Char Char Char"/>
    <w:qFormat/>
    <w:uiPriority w:val="0"/>
    <w:rPr>
      <w:rFonts w:eastAsia="宋体"/>
      <w:b/>
      <w:sz w:val="21"/>
      <w:szCs w:val="21"/>
      <w:lang w:val="en-US" w:eastAsia="zh-CN" w:bidi="ar-SA"/>
    </w:rPr>
  </w:style>
  <w:style w:type="character" w:customStyle="1" w:styleId="217">
    <w:name w:val="二级标题 Char Char"/>
    <w:qFormat/>
    <w:uiPriority w:val="0"/>
    <w:rPr>
      <w:rFonts w:ascii="Arial" w:hAnsi="Arial" w:eastAsia="黑体"/>
      <w:kern w:val="2"/>
      <w:sz w:val="30"/>
      <w:szCs w:val="32"/>
      <w:lang w:val="en-US" w:eastAsia="zh-CN" w:bidi="ar-SA"/>
    </w:rPr>
  </w:style>
  <w:style w:type="character" w:customStyle="1" w:styleId="218">
    <w:name w:val="正文文本缩进 Char"/>
    <w:qFormat/>
    <w:uiPriority w:val="0"/>
    <w:rPr>
      <w:kern w:val="2"/>
      <w:sz w:val="21"/>
      <w:szCs w:val="21"/>
      <w:lang w:eastAsia="zh-TW"/>
    </w:rPr>
  </w:style>
  <w:style w:type="character" w:customStyle="1" w:styleId="219">
    <w:name w:val="样式 标题四. Char Char"/>
    <w:link w:val="220"/>
    <w:qFormat/>
    <w:uiPriority w:val="0"/>
    <w:rPr>
      <w:sz w:val="24"/>
      <w:szCs w:val="24"/>
    </w:rPr>
  </w:style>
  <w:style w:type="paragraph" w:customStyle="1" w:styleId="220">
    <w:name w:val="样式 标题四."/>
    <w:basedOn w:val="1"/>
    <w:link w:val="219"/>
    <w:qFormat/>
    <w:uiPriority w:val="0"/>
    <w:pPr>
      <w:keepNext/>
      <w:spacing w:line="480" w:lineRule="exact"/>
      <w:ind w:firstLine="471"/>
      <w:outlineLvl w:val="3"/>
    </w:pPr>
    <w:rPr>
      <w:rFonts w:asciiTheme="minorHAnsi" w:hAnsiTheme="minorHAnsi" w:eastAsiaTheme="minorEastAsia" w:cstheme="minorBidi"/>
      <w:sz w:val="24"/>
    </w:rPr>
  </w:style>
  <w:style w:type="character" w:customStyle="1" w:styleId="221">
    <w:name w:val="表格字体 Char Char"/>
    <w:link w:val="222"/>
    <w:qFormat/>
    <w:uiPriority w:val="0"/>
    <w:rPr>
      <w:rFonts w:ascii="Arial" w:hAnsi="Arial"/>
    </w:rPr>
  </w:style>
  <w:style w:type="paragraph" w:customStyle="1" w:styleId="222">
    <w:name w:val="表格字体"/>
    <w:basedOn w:val="1"/>
    <w:link w:val="221"/>
    <w:qFormat/>
    <w:uiPriority w:val="0"/>
    <w:pPr>
      <w:adjustRightInd w:val="0"/>
      <w:jc w:val="center"/>
      <w:textAlignment w:val="baseline"/>
    </w:pPr>
    <w:rPr>
      <w:rFonts w:ascii="Arial" w:hAnsi="Arial" w:eastAsiaTheme="minorEastAsia" w:cstheme="minorBidi"/>
      <w:szCs w:val="22"/>
    </w:rPr>
  </w:style>
  <w:style w:type="character" w:customStyle="1" w:styleId="223">
    <w:name w:val="标题3 Char Char"/>
    <w:qFormat/>
    <w:uiPriority w:val="0"/>
    <w:rPr>
      <w:b/>
      <w:bCs/>
      <w:kern w:val="2"/>
      <w:sz w:val="28"/>
      <w:szCs w:val="28"/>
    </w:rPr>
  </w:style>
  <w:style w:type="character" w:customStyle="1" w:styleId="224">
    <w:name w:val="Char Char Char1 Char Char"/>
    <w:link w:val="225"/>
    <w:qFormat/>
    <w:uiPriority w:val="0"/>
    <w:rPr>
      <w:sz w:val="24"/>
    </w:rPr>
  </w:style>
  <w:style w:type="paragraph" w:customStyle="1" w:styleId="225">
    <w:name w:val="Char Char Char1 Char"/>
    <w:basedOn w:val="1"/>
    <w:link w:val="224"/>
    <w:qFormat/>
    <w:uiPriority w:val="0"/>
    <w:pPr>
      <w:adjustRightInd w:val="0"/>
      <w:spacing w:line="360" w:lineRule="auto"/>
    </w:pPr>
    <w:rPr>
      <w:rFonts w:asciiTheme="minorHAnsi" w:hAnsiTheme="minorHAnsi" w:eastAsiaTheme="minorEastAsia" w:cstheme="minorBidi"/>
      <w:sz w:val="24"/>
      <w:szCs w:val="22"/>
    </w:rPr>
  </w:style>
  <w:style w:type="character" w:customStyle="1" w:styleId="226">
    <w:name w:val="表格标题新 Char"/>
    <w:link w:val="227"/>
    <w:qFormat/>
    <w:locked/>
    <w:uiPriority w:val="0"/>
    <w:rPr>
      <w:rFonts w:ascii="仿宋_GB2312" w:eastAsia="黑体"/>
      <w:b/>
      <w:color w:val="FF0000"/>
      <w:spacing w:val="4"/>
      <w:kern w:val="18"/>
      <w:sz w:val="24"/>
      <w:szCs w:val="24"/>
    </w:rPr>
  </w:style>
  <w:style w:type="paragraph" w:customStyle="1" w:styleId="227">
    <w:name w:val="表格标题新"/>
    <w:basedOn w:val="228"/>
    <w:link w:val="226"/>
    <w:qFormat/>
    <w:uiPriority w:val="0"/>
    <w:pPr>
      <w:tabs>
        <w:tab w:val="left" w:pos="0"/>
      </w:tabs>
      <w:spacing w:beforeLines="50"/>
      <w:ind w:firstLine="562"/>
    </w:pPr>
    <w:rPr>
      <w:rFonts w:eastAsia="黑体" w:hAnsiTheme="minorHAnsi" w:cstheme="minorBidi"/>
      <w:b/>
      <w:color w:val="FF0000"/>
    </w:rPr>
  </w:style>
  <w:style w:type="paragraph" w:customStyle="1" w:styleId="228">
    <w:name w:val="表格内文字"/>
    <w:basedOn w:val="1"/>
    <w:link w:val="229"/>
    <w:qFormat/>
    <w:uiPriority w:val="0"/>
    <w:pPr>
      <w:tabs>
        <w:tab w:val="left" w:pos="0"/>
      </w:tabs>
      <w:adjustRightInd w:val="0"/>
      <w:snapToGrid w:val="0"/>
      <w:jc w:val="center"/>
    </w:pPr>
    <w:rPr>
      <w:rFonts w:ascii="仿宋_GB2312" w:eastAsia="仿宋_GB2312"/>
      <w:spacing w:val="4"/>
      <w:kern w:val="18"/>
      <w:sz w:val="24"/>
    </w:rPr>
  </w:style>
  <w:style w:type="character" w:customStyle="1" w:styleId="229">
    <w:name w:val="表格内文字 Char"/>
    <w:link w:val="228"/>
    <w:qFormat/>
    <w:uiPriority w:val="0"/>
    <w:rPr>
      <w:rFonts w:ascii="仿宋_GB2312" w:hAnsi="Times New Roman" w:eastAsia="仿宋_GB2312" w:cs="Times New Roman"/>
      <w:spacing w:val="4"/>
      <w:kern w:val="18"/>
      <w:sz w:val="24"/>
      <w:szCs w:val="24"/>
    </w:rPr>
  </w:style>
  <w:style w:type="character" w:customStyle="1" w:styleId="230">
    <w:name w:val="正文文本缩进 Char1"/>
    <w:qFormat/>
    <w:uiPriority w:val="0"/>
  </w:style>
  <w:style w:type="character" w:customStyle="1" w:styleId="231">
    <w:name w:val="H5 Char"/>
    <w:qFormat/>
    <w:uiPriority w:val="0"/>
    <w:rPr>
      <w:rFonts w:ascii="Times New Roman" w:hAnsi="Times New Roman" w:eastAsia="宋体" w:cs="Times New Roman"/>
      <w:b/>
      <w:bCs/>
      <w:sz w:val="28"/>
      <w:szCs w:val="28"/>
    </w:rPr>
  </w:style>
  <w:style w:type="character" w:customStyle="1" w:styleId="232">
    <w:name w:val="尾注文本 Char1"/>
    <w:qFormat/>
    <w:uiPriority w:val="0"/>
    <w:rPr>
      <w:kern w:val="2"/>
      <w:sz w:val="21"/>
      <w:szCs w:val="21"/>
      <w:lang w:eastAsia="zh-TW"/>
    </w:rPr>
  </w:style>
  <w:style w:type="character" w:customStyle="1" w:styleId="233">
    <w:name w:val="表格000 Char Char"/>
    <w:qFormat/>
    <w:uiPriority w:val="0"/>
    <w:rPr>
      <w:kern w:val="11"/>
      <w:sz w:val="21"/>
      <w:szCs w:val="21"/>
    </w:rPr>
  </w:style>
  <w:style w:type="character" w:customStyle="1" w:styleId="234">
    <w:name w:val="默认段落字体 Para Char Char Char Char Char"/>
    <w:link w:val="235"/>
    <w:qFormat/>
    <w:uiPriority w:val="0"/>
    <w:rPr>
      <w:szCs w:val="24"/>
    </w:rPr>
  </w:style>
  <w:style w:type="paragraph" w:customStyle="1" w:styleId="235">
    <w:name w:val="默认段落字体 Para Char Char Char Char"/>
    <w:basedOn w:val="1"/>
    <w:link w:val="234"/>
    <w:qFormat/>
    <w:uiPriority w:val="0"/>
    <w:rPr>
      <w:rFonts w:asciiTheme="minorHAnsi" w:hAnsiTheme="minorHAnsi" w:eastAsiaTheme="minorEastAsia" w:cstheme="minorBidi"/>
    </w:rPr>
  </w:style>
  <w:style w:type="character" w:customStyle="1" w:styleId="236">
    <w:name w:val="font01"/>
    <w:qFormat/>
    <w:uiPriority w:val="0"/>
    <w:rPr>
      <w:rFonts w:hint="default" w:ascii="Times New Roman" w:hAnsi="Times New Roman" w:cs="Times New Roman"/>
      <w:color w:val="000000"/>
      <w:sz w:val="18"/>
      <w:szCs w:val="18"/>
      <w:u w:val="none"/>
    </w:rPr>
  </w:style>
  <w:style w:type="character" w:customStyle="1" w:styleId="237">
    <w:name w:val="A0"/>
    <w:qFormat/>
    <w:uiPriority w:val="0"/>
    <w:rPr>
      <w:rFonts w:cs="Sim Sun"/>
      <w:color w:val="000000"/>
      <w:sz w:val="28"/>
      <w:szCs w:val="28"/>
    </w:rPr>
  </w:style>
  <w:style w:type="character" w:customStyle="1" w:styleId="238">
    <w:name w:val="表格第一行 Char"/>
    <w:link w:val="239"/>
    <w:qFormat/>
    <w:locked/>
    <w:uiPriority w:val="0"/>
    <w:rPr>
      <w:szCs w:val="21"/>
    </w:rPr>
  </w:style>
  <w:style w:type="paragraph" w:customStyle="1" w:styleId="239">
    <w:name w:val="表格第一行"/>
    <w:basedOn w:val="1"/>
    <w:link w:val="238"/>
    <w:qFormat/>
    <w:uiPriority w:val="0"/>
    <w:pPr>
      <w:jc w:val="center"/>
    </w:pPr>
    <w:rPr>
      <w:rFonts w:asciiTheme="minorHAnsi" w:hAnsiTheme="minorHAnsi" w:eastAsiaTheme="minorEastAsia" w:cstheme="minorBidi"/>
    </w:rPr>
  </w:style>
  <w:style w:type="character" w:customStyle="1" w:styleId="240">
    <w:name w:val="样式 题注 + 黑色 Char"/>
    <w:link w:val="241"/>
    <w:qFormat/>
    <w:uiPriority w:val="0"/>
    <w:rPr>
      <w:rFonts w:ascii="宋体" w:hAnsi="宋体" w:cs="Arial"/>
      <w:color w:val="000000"/>
      <w:sz w:val="24"/>
    </w:rPr>
  </w:style>
  <w:style w:type="paragraph" w:customStyle="1" w:styleId="241">
    <w:name w:val="样式 题注 + 黑色"/>
    <w:basedOn w:val="24"/>
    <w:link w:val="240"/>
    <w:qFormat/>
    <w:uiPriority w:val="0"/>
    <w:pPr>
      <w:widowControl/>
      <w:adjustRightInd/>
      <w:snapToGrid w:val="0"/>
      <w:spacing w:before="152" w:after="160"/>
      <w:ind w:firstLine="475" w:firstLineChars="198"/>
      <w:textAlignment w:val="auto"/>
    </w:pPr>
    <w:rPr>
      <w:rFonts w:ascii="宋体" w:hAnsi="宋体" w:cs="Arial" w:eastAsiaTheme="minorEastAsia"/>
      <w:color w:val="000000"/>
      <w:sz w:val="24"/>
      <w:szCs w:val="22"/>
    </w:rPr>
  </w:style>
  <w:style w:type="character" w:customStyle="1" w:styleId="242">
    <w:name w:val="正文文本缩进 2 Char1"/>
    <w:qFormat/>
    <w:uiPriority w:val="0"/>
    <w:rPr>
      <w:rFonts w:hint="eastAsia" w:ascii="宋体" w:hAnsi="宋体" w:eastAsia="宋体" w:cs="宋体"/>
      <w:sz w:val="24"/>
      <w:szCs w:val="24"/>
    </w:rPr>
  </w:style>
  <w:style w:type="character" w:customStyle="1" w:styleId="243">
    <w:name w:val="font41"/>
    <w:qFormat/>
    <w:uiPriority w:val="0"/>
    <w:rPr>
      <w:rFonts w:hint="default" w:ascii="Times New Roman" w:hAnsi="Times New Roman" w:cs="Times New Roman"/>
      <w:b/>
      <w:bCs/>
      <w:color w:val="000000"/>
      <w:sz w:val="21"/>
      <w:szCs w:val="21"/>
      <w:u w:val="none"/>
    </w:rPr>
  </w:style>
  <w:style w:type="character" w:customStyle="1" w:styleId="244">
    <w:name w:val="样式 正 文 + Times New Roman Char Char"/>
    <w:link w:val="245"/>
    <w:qFormat/>
    <w:uiPriority w:val="0"/>
    <w:rPr>
      <w:rFonts w:ascii="Arial" w:hAnsi="Arial" w:eastAsia="Times New Roman"/>
      <w:sz w:val="24"/>
    </w:rPr>
  </w:style>
  <w:style w:type="paragraph" w:customStyle="1" w:styleId="245">
    <w:name w:val="样式 正 文 + Times New Roman"/>
    <w:basedOn w:val="246"/>
    <w:link w:val="244"/>
    <w:qFormat/>
    <w:uiPriority w:val="0"/>
    <w:rPr>
      <w:rFonts w:ascii="Arial" w:hAnsi="Arial" w:eastAsia="Times New Roman" w:cstheme="minorBidi"/>
    </w:rPr>
  </w:style>
  <w:style w:type="paragraph" w:customStyle="1" w:styleId="246">
    <w:name w:val="正 文"/>
    <w:link w:val="247"/>
    <w:qFormat/>
    <w:uiPriority w:val="0"/>
    <w:pPr>
      <w:widowControl w:val="0"/>
      <w:spacing w:line="480" w:lineRule="exact"/>
      <w:ind w:firstLine="471"/>
      <w:jc w:val="both"/>
    </w:pPr>
    <w:rPr>
      <w:rFonts w:ascii="Times New Roman" w:hAnsi="Times New Roman" w:eastAsia="宋体" w:cs="Times New Roman"/>
      <w:kern w:val="2"/>
      <w:sz w:val="24"/>
      <w:szCs w:val="22"/>
      <w:lang w:val="en-US" w:eastAsia="zh-CN" w:bidi="ar-SA"/>
    </w:rPr>
  </w:style>
  <w:style w:type="character" w:customStyle="1" w:styleId="247">
    <w:name w:val="正 文 Char"/>
    <w:link w:val="246"/>
    <w:qFormat/>
    <w:uiPriority w:val="0"/>
    <w:rPr>
      <w:rFonts w:ascii="Times New Roman" w:hAnsi="Times New Roman" w:eastAsia="宋体" w:cs="Times New Roman"/>
      <w:sz w:val="24"/>
    </w:rPr>
  </w:style>
  <w:style w:type="character" w:customStyle="1" w:styleId="248">
    <w:name w:val="应正文 Char"/>
    <w:link w:val="249"/>
    <w:qFormat/>
    <w:uiPriority w:val="0"/>
    <w:rPr>
      <w:sz w:val="24"/>
      <w:szCs w:val="28"/>
    </w:rPr>
  </w:style>
  <w:style w:type="paragraph" w:customStyle="1" w:styleId="249">
    <w:name w:val="应正文"/>
    <w:basedOn w:val="1"/>
    <w:link w:val="248"/>
    <w:qFormat/>
    <w:uiPriority w:val="0"/>
    <w:pPr>
      <w:spacing w:line="360" w:lineRule="auto"/>
      <w:ind w:firstLine="200" w:firstLineChars="200"/>
    </w:pPr>
    <w:rPr>
      <w:rFonts w:asciiTheme="minorHAnsi" w:hAnsiTheme="minorHAnsi" w:eastAsiaTheme="minorEastAsia" w:cstheme="minorBidi"/>
      <w:sz w:val="24"/>
      <w:szCs w:val="28"/>
    </w:rPr>
  </w:style>
  <w:style w:type="character" w:customStyle="1" w:styleId="250">
    <w:name w:val="font51"/>
    <w:qFormat/>
    <w:uiPriority w:val="0"/>
    <w:rPr>
      <w:rFonts w:hint="eastAsia" w:ascii="宋体" w:hAnsi="宋体" w:eastAsia="宋体" w:cs="宋体"/>
      <w:b/>
      <w:color w:val="000000"/>
      <w:sz w:val="21"/>
      <w:szCs w:val="21"/>
      <w:u w:val="none"/>
    </w:rPr>
  </w:style>
  <w:style w:type="character" w:customStyle="1" w:styleId="251">
    <w:name w:val="style2"/>
    <w:qFormat/>
    <w:uiPriority w:val="0"/>
  </w:style>
  <w:style w:type="character" w:customStyle="1" w:styleId="252">
    <w:name w:val="宏文本 Char1"/>
    <w:qFormat/>
    <w:uiPriority w:val="0"/>
    <w:rPr>
      <w:rFonts w:ascii="Courier New" w:hAnsi="Courier New" w:cs="Courier New"/>
      <w:kern w:val="2"/>
      <w:sz w:val="24"/>
      <w:szCs w:val="24"/>
      <w:lang w:eastAsia="zh-TW"/>
    </w:rPr>
  </w:style>
  <w:style w:type="character" w:customStyle="1" w:styleId="253">
    <w:name w:val="font31"/>
    <w:qFormat/>
    <w:uiPriority w:val="0"/>
    <w:rPr>
      <w:rFonts w:hint="default" w:ascii="Times New Roman" w:hAnsi="Times New Roman" w:cs="Times New Roman"/>
      <w:b/>
      <w:color w:val="000000"/>
      <w:sz w:val="21"/>
      <w:szCs w:val="21"/>
      <w:u w:val="none"/>
    </w:rPr>
  </w:style>
  <w:style w:type="character" w:customStyle="1" w:styleId="254">
    <w:name w:val="图片 Char Char"/>
    <w:qFormat/>
    <w:uiPriority w:val="0"/>
    <w:rPr>
      <w:rFonts w:ascii="黑体" w:hAnsi="Arial" w:eastAsia="黑体"/>
      <w:snapToGrid w:val="0"/>
      <w:color w:val="000000"/>
      <w:sz w:val="24"/>
    </w:rPr>
  </w:style>
  <w:style w:type="character" w:customStyle="1" w:styleId="255">
    <w:name w:val="四级标题 Char Char"/>
    <w:qFormat/>
    <w:uiPriority w:val="0"/>
    <w:rPr>
      <w:rFonts w:ascii="Arial" w:hAnsi="Arial" w:eastAsia="宋体" w:cs="Times New Roman"/>
      <w:b/>
      <w:snapToGrid w:val="0"/>
      <w:kern w:val="2"/>
      <w:sz w:val="24"/>
      <w:szCs w:val="24"/>
      <w:lang w:val="zh-CN" w:eastAsia="zh-CN" w:bidi="ar-SA"/>
    </w:rPr>
  </w:style>
  <w:style w:type="character" w:customStyle="1" w:styleId="256">
    <w:name w:val="二级标题 Char"/>
    <w:link w:val="257"/>
    <w:qFormat/>
    <w:uiPriority w:val="0"/>
    <w:rPr>
      <w:b/>
      <w:bCs/>
      <w:sz w:val="32"/>
      <w:szCs w:val="32"/>
    </w:rPr>
  </w:style>
  <w:style w:type="paragraph" w:customStyle="1" w:styleId="257">
    <w:name w:val="二级标题"/>
    <w:basedOn w:val="1"/>
    <w:link w:val="256"/>
    <w:qFormat/>
    <w:uiPriority w:val="0"/>
    <w:pPr>
      <w:keepNext/>
      <w:adjustRightInd w:val="0"/>
      <w:snapToGrid w:val="0"/>
      <w:spacing w:beforeLines="50" w:afterLines="50" w:line="360" w:lineRule="auto"/>
      <w:ind w:left="418" w:hanging="418" w:hangingChars="130"/>
      <w:outlineLvl w:val="1"/>
    </w:pPr>
    <w:rPr>
      <w:rFonts w:asciiTheme="minorHAnsi" w:hAnsiTheme="minorHAnsi" w:eastAsiaTheme="minorEastAsia" w:cstheme="minorBidi"/>
      <w:b/>
      <w:bCs/>
      <w:sz w:val="32"/>
      <w:szCs w:val="32"/>
    </w:rPr>
  </w:style>
  <w:style w:type="character" w:customStyle="1" w:styleId="258">
    <w:name w:val="正文lly Char Char"/>
    <w:link w:val="259"/>
    <w:qFormat/>
    <w:uiPriority w:val="0"/>
    <w:rPr>
      <w:sz w:val="24"/>
      <w:szCs w:val="24"/>
    </w:rPr>
  </w:style>
  <w:style w:type="paragraph" w:customStyle="1" w:styleId="259">
    <w:name w:val="正文lly"/>
    <w:basedOn w:val="1"/>
    <w:next w:val="1"/>
    <w:link w:val="258"/>
    <w:qFormat/>
    <w:uiPriority w:val="0"/>
    <w:pPr>
      <w:adjustRightInd w:val="0"/>
      <w:snapToGrid w:val="0"/>
      <w:spacing w:line="360" w:lineRule="auto"/>
      <w:ind w:firstLine="480" w:firstLineChars="200"/>
    </w:pPr>
    <w:rPr>
      <w:rFonts w:asciiTheme="minorHAnsi" w:hAnsiTheme="minorHAnsi" w:eastAsiaTheme="minorEastAsia" w:cstheme="minorBidi"/>
      <w:sz w:val="24"/>
    </w:rPr>
  </w:style>
  <w:style w:type="character" w:customStyle="1" w:styleId="260">
    <w:name w:val="title14"/>
    <w:qFormat/>
    <w:uiPriority w:val="0"/>
  </w:style>
  <w:style w:type="character" w:customStyle="1" w:styleId="261">
    <w:name w:val="样式 Times New Roman 四号 行距: 固定值 25 磅 Char Char"/>
    <w:link w:val="262"/>
    <w:qFormat/>
    <w:uiPriority w:val="0"/>
    <w:rPr>
      <w:sz w:val="24"/>
      <w:szCs w:val="24"/>
    </w:rPr>
  </w:style>
  <w:style w:type="paragraph" w:customStyle="1" w:styleId="262">
    <w:name w:val="样式 Times New Roman 四号 行距: 固定值 25 磅"/>
    <w:basedOn w:val="1"/>
    <w:link w:val="261"/>
    <w:qFormat/>
    <w:uiPriority w:val="0"/>
    <w:pPr>
      <w:spacing w:line="500" w:lineRule="exact"/>
      <w:ind w:firstLine="480" w:firstLineChars="200"/>
      <w:jc w:val="center"/>
    </w:pPr>
    <w:rPr>
      <w:rFonts w:asciiTheme="minorHAnsi" w:hAnsiTheme="minorHAnsi" w:eastAsiaTheme="minorEastAsia" w:cstheme="minorBidi"/>
      <w:sz w:val="24"/>
    </w:rPr>
  </w:style>
  <w:style w:type="character" w:customStyle="1" w:styleId="263">
    <w:name w:val="标题 3 Char1"/>
    <w:qFormat/>
    <w:uiPriority w:val="0"/>
    <w:rPr>
      <w:rFonts w:ascii="黑体" w:hAnsi="宋体" w:eastAsia="黑体"/>
      <w:color w:val="000000"/>
      <w:kern w:val="2"/>
      <w:sz w:val="24"/>
      <w:szCs w:val="24"/>
      <w:lang w:val="en-US" w:eastAsia="zh-CN" w:bidi="ar-SA"/>
    </w:rPr>
  </w:style>
  <w:style w:type="character" w:customStyle="1" w:styleId="264">
    <w:name w:val="表格标题 Char Char"/>
    <w:qFormat/>
    <w:uiPriority w:val="0"/>
    <w:rPr>
      <w:rFonts w:ascii="仿宋_GB2312" w:eastAsia="仿宋_GB2312" w:cs="仿宋_GB2312"/>
      <w:color w:val="000000"/>
      <w:sz w:val="24"/>
      <w:szCs w:val="24"/>
      <w:lang w:val="zh-CN"/>
    </w:rPr>
  </w:style>
  <w:style w:type="character" w:customStyle="1" w:styleId="265">
    <w:name w:val="表头 Char Char Char Char"/>
    <w:link w:val="266"/>
    <w:qFormat/>
    <w:uiPriority w:val="0"/>
    <w:rPr>
      <w:rFonts w:eastAsia="黑体"/>
      <w:kern w:val="24"/>
      <w:sz w:val="24"/>
    </w:rPr>
  </w:style>
  <w:style w:type="paragraph" w:customStyle="1" w:styleId="266">
    <w:name w:val="表头 Char Char"/>
    <w:basedOn w:val="1"/>
    <w:link w:val="265"/>
    <w:qFormat/>
    <w:uiPriority w:val="0"/>
    <w:pPr>
      <w:tabs>
        <w:tab w:val="left" w:pos="1021"/>
      </w:tabs>
      <w:spacing w:before="60" w:line="400" w:lineRule="exact"/>
      <w:jc w:val="center"/>
    </w:pPr>
    <w:rPr>
      <w:rFonts w:eastAsia="黑体" w:asciiTheme="minorHAnsi" w:hAnsiTheme="minorHAnsi" w:cstheme="minorBidi"/>
      <w:kern w:val="24"/>
      <w:sz w:val="24"/>
      <w:szCs w:val="22"/>
    </w:rPr>
  </w:style>
  <w:style w:type="character" w:customStyle="1" w:styleId="267">
    <w:name w:val="电子邮件签名 Char1"/>
    <w:qFormat/>
    <w:uiPriority w:val="0"/>
    <w:rPr>
      <w:kern w:val="2"/>
      <w:sz w:val="21"/>
      <w:szCs w:val="21"/>
      <w:lang w:eastAsia="zh-TW"/>
    </w:rPr>
  </w:style>
  <w:style w:type="character" w:customStyle="1" w:styleId="268">
    <w:name w:val="clsfontdeepgray12"/>
    <w:qFormat/>
    <w:uiPriority w:val="0"/>
  </w:style>
  <w:style w:type="character" w:customStyle="1" w:styleId="269">
    <w:name w:val="未处理的提及1"/>
    <w:unhideWhenUsed/>
    <w:qFormat/>
    <w:uiPriority w:val="99"/>
    <w:rPr>
      <w:color w:val="605E5C"/>
      <w:shd w:val="clear" w:color="auto" w:fill="E1DFDD"/>
    </w:rPr>
  </w:style>
  <w:style w:type="character" w:customStyle="1" w:styleId="270">
    <w:name w:val="表格名称+ Char Char"/>
    <w:link w:val="271"/>
    <w:qFormat/>
    <w:uiPriority w:val="0"/>
  </w:style>
  <w:style w:type="paragraph" w:customStyle="1" w:styleId="271">
    <w:name w:val="表格名称+"/>
    <w:basedOn w:val="272"/>
    <w:link w:val="270"/>
    <w:qFormat/>
    <w:uiPriority w:val="0"/>
    <w:rPr>
      <w:rFonts w:asciiTheme="minorHAnsi" w:hAnsiTheme="minorHAnsi" w:eastAsiaTheme="minorEastAsia" w:cstheme="minorBidi"/>
      <w:snapToGrid/>
      <w:kern w:val="2"/>
      <w:sz w:val="21"/>
      <w:szCs w:val="22"/>
      <w:lang w:val="en-US"/>
    </w:rPr>
  </w:style>
  <w:style w:type="paragraph" w:customStyle="1" w:styleId="272">
    <w:name w:val="表格名称"/>
    <w:basedOn w:val="1"/>
    <w:link w:val="273"/>
    <w:qFormat/>
    <w:uiPriority w:val="0"/>
    <w:pPr>
      <w:widowControl/>
      <w:wordWrap w:val="0"/>
      <w:topLinePunct/>
      <w:adjustRightInd w:val="0"/>
      <w:snapToGrid w:val="0"/>
      <w:spacing w:line="480" w:lineRule="exact"/>
      <w:ind w:firstLine="471"/>
    </w:pPr>
    <w:rPr>
      <w:rFonts w:eastAsia="黑体"/>
      <w:snapToGrid w:val="0"/>
      <w:kern w:val="28"/>
      <w:sz w:val="24"/>
      <w:lang w:val="eu-ES"/>
    </w:rPr>
  </w:style>
  <w:style w:type="character" w:customStyle="1" w:styleId="273">
    <w:name w:val="表格名称 Char Char"/>
    <w:link w:val="272"/>
    <w:qFormat/>
    <w:uiPriority w:val="0"/>
    <w:rPr>
      <w:rFonts w:ascii="Times New Roman" w:hAnsi="Times New Roman" w:eastAsia="黑体" w:cs="Times New Roman"/>
      <w:snapToGrid w:val="0"/>
      <w:kern w:val="28"/>
      <w:sz w:val="24"/>
      <w:szCs w:val="24"/>
      <w:lang w:val="eu-ES"/>
    </w:rPr>
  </w:style>
  <w:style w:type="character" w:customStyle="1" w:styleId="274">
    <w:name w:val="表格000 Char"/>
    <w:link w:val="275"/>
    <w:qFormat/>
    <w:uiPriority w:val="0"/>
    <w:rPr>
      <w:rFonts w:hAnsi="宋体"/>
      <w:color w:val="000000"/>
      <w:szCs w:val="21"/>
    </w:rPr>
  </w:style>
  <w:style w:type="paragraph" w:customStyle="1" w:styleId="275">
    <w:name w:val="表格000"/>
    <w:basedOn w:val="1"/>
    <w:link w:val="274"/>
    <w:qFormat/>
    <w:uiPriority w:val="0"/>
    <w:pPr>
      <w:adjustRightInd w:val="0"/>
      <w:snapToGrid w:val="0"/>
      <w:jc w:val="center"/>
    </w:pPr>
    <w:rPr>
      <w:rFonts w:hAnsi="宋体" w:asciiTheme="minorHAnsi" w:eastAsiaTheme="minorEastAsia" w:cstheme="minorBidi"/>
      <w:color w:val="000000"/>
    </w:rPr>
  </w:style>
  <w:style w:type="character" w:customStyle="1" w:styleId="276">
    <w:name w:val="正文文本 3 Char1"/>
    <w:qFormat/>
    <w:uiPriority w:val="0"/>
    <w:rPr>
      <w:kern w:val="2"/>
      <w:sz w:val="16"/>
      <w:szCs w:val="16"/>
      <w:lang w:eastAsia="zh-TW"/>
    </w:rPr>
  </w:style>
  <w:style w:type="character" w:customStyle="1" w:styleId="277">
    <w:name w:val="日期 Char"/>
    <w:qFormat/>
    <w:uiPriority w:val="0"/>
    <w:rPr>
      <w:kern w:val="2"/>
      <w:sz w:val="21"/>
    </w:rPr>
  </w:style>
  <w:style w:type="character" w:customStyle="1" w:styleId="278">
    <w:name w:val="正文样式 Char"/>
    <w:link w:val="279"/>
    <w:qFormat/>
    <w:uiPriority w:val="0"/>
    <w:rPr>
      <w:rFonts w:ascii="宋体"/>
      <w:sz w:val="24"/>
      <w:lang w:val="en-GB"/>
    </w:rPr>
  </w:style>
  <w:style w:type="paragraph" w:customStyle="1" w:styleId="279">
    <w:name w:val="正文样式"/>
    <w:basedOn w:val="1"/>
    <w:link w:val="278"/>
    <w:qFormat/>
    <w:uiPriority w:val="0"/>
    <w:pPr>
      <w:spacing w:line="312" w:lineRule="auto"/>
      <w:ind w:firstLine="230" w:firstLineChars="230"/>
    </w:pPr>
    <w:rPr>
      <w:rFonts w:ascii="宋体" w:hAnsiTheme="minorHAnsi" w:eastAsiaTheme="minorEastAsia" w:cstheme="minorBidi"/>
      <w:sz w:val="24"/>
      <w:szCs w:val="22"/>
      <w:lang w:val="en-GB"/>
    </w:rPr>
  </w:style>
  <w:style w:type="character" w:customStyle="1" w:styleId="280">
    <w:name w:val="正文. Char Char"/>
    <w:link w:val="281"/>
    <w:qFormat/>
    <w:uiPriority w:val="0"/>
    <w:rPr>
      <w:rFonts w:hAnsi="t"/>
      <w:sz w:val="24"/>
    </w:rPr>
  </w:style>
  <w:style w:type="paragraph" w:customStyle="1" w:styleId="281">
    <w:name w:val="正文."/>
    <w:basedOn w:val="246"/>
    <w:link w:val="280"/>
    <w:qFormat/>
    <w:uiPriority w:val="0"/>
    <w:rPr>
      <w:rFonts w:hAnsi="t" w:asciiTheme="minorHAnsi" w:eastAsiaTheme="minorEastAsia" w:cstheme="minorBidi"/>
    </w:rPr>
  </w:style>
  <w:style w:type="character" w:customStyle="1" w:styleId="282">
    <w:name w:val="font21"/>
    <w:qFormat/>
    <w:uiPriority w:val="0"/>
    <w:rPr>
      <w:rFonts w:hint="default" w:ascii="Times New Roman" w:hAnsi="Times New Roman" w:cs="Times New Roman"/>
      <w:color w:val="000000"/>
      <w:sz w:val="21"/>
      <w:szCs w:val="21"/>
      <w:u w:val="none"/>
    </w:rPr>
  </w:style>
  <w:style w:type="character" w:customStyle="1" w:styleId="283">
    <w:name w:val="word21"/>
    <w:qFormat/>
    <w:uiPriority w:val="0"/>
    <w:rPr>
      <w:color w:val="000000"/>
      <w:sz w:val="18"/>
      <w:u w:val="none"/>
    </w:rPr>
  </w:style>
  <w:style w:type="character" w:customStyle="1" w:styleId="284">
    <w:name w:val="样式4 Char"/>
    <w:link w:val="285"/>
    <w:qFormat/>
    <w:uiPriority w:val="0"/>
    <w:rPr>
      <w:sz w:val="24"/>
      <w:szCs w:val="24"/>
    </w:rPr>
  </w:style>
  <w:style w:type="paragraph" w:customStyle="1" w:styleId="285">
    <w:name w:val="样式4"/>
    <w:basedOn w:val="1"/>
    <w:link w:val="284"/>
    <w:qFormat/>
    <w:uiPriority w:val="0"/>
    <w:pPr>
      <w:spacing w:line="360" w:lineRule="auto"/>
      <w:ind w:firstLine="480"/>
    </w:pPr>
    <w:rPr>
      <w:rFonts w:asciiTheme="minorHAnsi" w:hAnsiTheme="minorHAnsi" w:eastAsiaTheme="minorEastAsia" w:cstheme="minorBidi"/>
      <w:sz w:val="24"/>
    </w:rPr>
  </w:style>
  <w:style w:type="character" w:customStyle="1" w:styleId="286">
    <w:name w:val="tupian Char"/>
    <w:link w:val="287"/>
    <w:qFormat/>
    <w:uiPriority w:val="0"/>
    <w:rPr>
      <w:rFonts w:ascii="Arial" w:hAnsi="黑体" w:eastAsia="黑体" w:cs="Arial"/>
      <w:sz w:val="24"/>
      <w:szCs w:val="24"/>
    </w:rPr>
  </w:style>
  <w:style w:type="paragraph" w:customStyle="1" w:styleId="287">
    <w:name w:val="tupian"/>
    <w:basedOn w:val="1"/>
    <w:link w:val="286"/>
    <w:qFormat/>
    <w:uiPriority w:val="0"/>
    <w:pPr>
      <w:ind w:firstLine="471"/>
      <w:jc w:val="center"/>
    </w:pPr>
    <w:rPr>
      <w:rFonts w:ascii="Arial" w:hAnsi="黑体" w:eastAsia="黑体" w:cs="Arial"/>
      <w:sz w:val="24"/>
    </w:rPr>
  </w:style>
  <w:style w:type="character" w:customStyle="1" w:styleId="288">
    <w:name w:val="报告表格内中 Char Char"/>
    <w:link w:val="289"/>
    <w:qFormat/>
    <w:uiPriority w:val="0"/>
    <w:rPr>
      <w:rFonts w:ascii="宋体" w:hAnsi="宋体"/>
      <w:sz w:val="24"/>
      <w:szCs w:val="24"/>
    </w:rPr>
  </w:style>
  <w:style w:type="paragraph" w:customStyle="1" w:styleId="289">
    <w:name w:val="报告表格内中"/>
    <w:basedOn w:val="1"/>
    <w:link w:val="288"/>
    <w:qFormat/>
    <w:uiPriority w:val="0"/>
    <w:pPr>
      <w:adjustRightInd w:val="0"/>
      <w:spacing w:before="100" w:beforeAutospacing="1"/>
      <w:jc w:val="center"/>
      <w:textAlignment w:val="baseline"/>
    </w:pPr>
    <w:rPr>
      <w:rFonts w:ascii="宋体" w:hAnsi="宋体" w:eastAsiaTheme="minorEastAsia" w:cstheme="minorBidi"/>
      <w:sz w:val="24"/>
    </w:rPr>
  </w:style>
  <w:style w:type="character" w:customStyle="1" w:styleId="290">
    <w:name w:val="样式 小四 首行缩进:  0.85 厘米 行距: 1.5 倍行距 Char"/>
    <w:qFormat/>
    <w:uiPriority w:val="0"/>
    <w:rPr>
      <w:rFonts w:cs="宋体"/>
      <w:kern w:val="2"/>
      <w:sz w:val="24"/>
      <w:lang w:val="en-US" w:eastAsia="zh-CN" w:bidi="ar-SA"/>
    </w:rPr>
  </w:style>
  <w:style w:type="character" w:customStyle="1" w:styleId="291">
    <w:name w:val="表格题名 Char Char"/>
    <w:link w:val="292"/>
    <w:qFormat/>
    <w:uiPriority w:val="0"/>
    <w:rPr>
      <w:rFonts w:ascii="黑体" w:eastAsia="黑体"/>
      <w:b/>
    </w:rPr>
  </w:style>
  <w:style w:type="paragraph" w:customStyle="1" w:styleId="292">
    <w:name w:val="表格题名"/>
    <w:basedOn w:val="1"/>
    <w:link w:val="291"/>
    <w:qFormat/>
    <w:uiPriority w:val="0"/>
    <w:pPr>
      <w:adjustRightInd w:val="0"/>
      <w:jc w:val="center"/>
    </w:pPr>
    <w:rPr>
      <w:rFonts w:ascii="黑体" w:eastAsia="黑体" w:hAnsiTheme="minorHAnsi" w:cstheme="minorBidi"/>
      <w:b/>
      <w:szCs w:val="22"/>
    </w:rPr>
  </w:style>
  <w:style w:type="character" w:customStyle="1" w:styleId="293">
    <w:name w:val="正文文本 Char1"/>
    <w:qFormat/>
    <w:uiPriority w:val="0"/>
    <w:rPr>
      <w:rFonts w:ascii="Times New Roman" w:hAnsi="Times New Roman" w:eastAsia="宋体" w:cs="Times New Roman"/>
      <w:szCs w:val="21"/>
      <w:lang w:eastAsia="zh-TW"/>
    </w:rPr>
  </w:style>
  <w:style w:type="character" w:customStyle="1" w:styleId="294">
    <w:name w:val="txt021"/>
    <w:qFormat/>
    <w:uiPriority w:val="0"/>
    <w:rPr>
      <w:color w:val="333333"/>
      <w:sz w:val="18"/>
      <w:szCs w:val="18"/>
      <w:u w:val="none"/>
    </w:rPr>
  </w:style>
  <w:style w:type="character" w:customStyle="1" w:styleId="295">
    <w:name w:val="123 Char Char"/>
    <w:link w:val="296"/>
    <w:qFormat/>
    <w:uiPriority w:val="0"/>
    <w:rPr>
      <w:rFonts w:hAnsi="宋体"/>
      <w:sz w:val="24"/>
      <w:szCs w:val="24"/>
    </w:rPr>
  </w:style>
  <w:style w:type="paragraph" w:customStyle="1" w:styleId="296">
    <w:name w:val="123"/>
    <w:basedOn w:val="1"/>
    <w:link w:val="295"/>
    <w:qFormat/>
    <w:uiPriority w:val="0"/>
    <w:pPr>
      <w:spacing w:line="480" w:lineRule="exact"/>
      <w:ind w:firstLine="480" w:firstLineChars="200"/>
      <w:jc w:val="center"/>
    </w:pPr>
    <w:rPr>
      <w:rFonts w:hAnsi="宋体" w:asciiTheme="minorHAnsi" w:eastAsiaTheme="minorEastAsia" w:cstheme="minorBidi"/>
      <w:sz w:val="24"/>
    </w:rPr>
  </w:style>
  <w:style w:type="character" w:customStyle="1" w:styleId="297">
    <w:name w:val="签名 Char1"/>
    <w:qFormat/>
    <w:uiPriority w:val="0"/>
    <w:rPr>
      <w:kern w:val="2"/>
      <w:sz w:val="21"/>
      <w:szCs w:val="21"/>
      <w:lang w:eastAsia="zh-TW"/>
    </w:rPr>
  </w:style>
  <w:style w:type="character" w:customStyle="1" w:styleId="298">
    <w:name w:val="color1"/>
    <w:qFormat/>
    <w:uiPriority w:val="0"/>
    <w:rPr>
      <w:color w:val="333333"/>
    </w:rPr>
  </w:style>
  <w:style w:type="character" w:customStyle="1" w:styleId="299">
    <w:name w:val="表格文字1 Char Char"/>
    <w:link w:val="300"/>
    <w:qFormat/>
    <w:uiPriority w:val="0"/>
    <w:rPr>
      <w:rFonts w:ascii="Arial" w:hAnsi="Arial"/>
      <w:color w:val="000000"/>
      <w:kern w:val="28"/>
      <w:szCs w:val="21"/>
      <w:lang w:val="eu-ES"/>
    </w:rPr>
  </w:style>
  <w:style w:type="paragraph" w:customStyle="1" w:styleId="300">
    <w:name w:val="表格文字1"/>
    <w:basedOn w:val="1"/>
    <w:link w:val="299"/>
    <w:qFormat/>
    <w:uiPriority w:val="0"/>
    <w:pPr>
      <w:adjustRightInd w:val="0"/>
      <w:snapToGrid w:val="0"/>
      <w:spacing w:line="360" w:lineRule="auto"/>
      <w:jc w:val="center"/>
    </w:pPr>
    <w:rPr>
      <w:rFonts w:ascii="Arial" w:hAnsi="Arial" w:eastAsiaTheme="minorEastAsia" w:cstheme="minorBidi"/>
      <w:color w:val="000000"/>
      <w:kern w:val="28"/>
      <w:lang w:val="eu-ES"/>
    </w:rPr>
  </w:style>
  <w:style w:type="character" w:customStyle="1" w:styleId="301">
    <w:name w:val="结束语 Char1"/>
    <w:qFormat/>
    <w:uiPriority w:val="0"/>
    <w:rPr>
      <w:kern w:val="2"/>
      <w:sz w:val="21"/>
      <w:szCs w:val="21"/>
      <w:lang w:eastAsia="zh-TW"/>
    </w:rPr>
  </w:style>
  <w:style w:type="character" w:customStyle="1" w:styleId="302">
    <w:name w:val="pass"/>
    <w:qFormat/>
    <w:uiPriority w:val="0"/>
    <w:rPr>
      <w:color w:val="D50512"/>
    </w:rPr>
  </w:style>
  <w:style w:type="character" w:customStyle="1" w:styleId="303">
    <w:name w:val="样式 表格文字 + Char Char"/>
    <w:link w:val="304"/>
    <w:qFormat/>
    <w:uiPriority w:val="0"/>
    <w:rPr>
      <w:color w:val="000000"/>
      <w:szCs w:val="21"/>
      <w:lang w:val="eu-ES"/>
    </w:rPr>
  </w:style>
  <w:style w:type="paragraph" w:customStyle="1" w:styleId="304">
    <w:name w:val="样式 表格文字 +"/>
    <w:basedOn w:val="50"/>
    <w:link w:val="303"/>
    <w:qFormat/>
    <w:uiPriority w:val="0"/>
    <w:pPr>
      <w:adjustRightInd w:val="0"/>
      <w:snapToGrid w:val="0"/>
      <w:spacing w:line="360" w:lineRule="auto"/>
      <w:jc w:val="center"/>
    </w:pPr>
    <w:rPr>
      <w:rFonts w:asciiTheme="minorHAnsi" w:hAnsiTheme="minorHAnsi" w:eastAsiaTheme="minorEastAsia" w:cstheme="minorBidi"/>
      <w:color w:val="000000"/>
      <w:lang w:val="eu-ES" w:eastAsia="zh-CN"/>
    </w:rPr>
  </w:style>
  <w:style w:type="character" w:customStyle="1" w:styleId="305">
    <w:name w:val="表格正文 Char"/>
    <w:qFormat/>
    <w:uiPriority w:val="0"/>
    <w:rPr>
      <w:rFonts w:eastAsia="宋体"/>
      <w:kern w:val="2"/>
      <w:sz w:val="21"/>
      <w:szCs w:val="24"/>
      <w:lang w:val="en-US" w:eastAsia="zh-CN" w:bidi="ar-SA"/>
    </w:rPr>
  </w:style>
  <w:style w:type="character" w:customStyle="1" w:styleId="306">
    <w:name w:val="even Char Char"/>
    <w:qFormat/>
    <w:uiPriority w:val="0"/>
    <w:rPr>
      <w:sz w:val="18"/>
      <w:szCs w:val="18"/>
    </w:rPr>
  </w:style>
  <w:style w:type="character" w:customStyle="1" w:styleId="307">
    <w:name w:val="明显引用 Char1"/>
    <w:qFormat/>
    <w:uiPriority w:val="99"/>
    <w:rPr>
      <w:b/>
      <w:bCs/>
      <w:i/>
      <w:iCs/>
      <w:color w:val="4F81BD"/>
      <w:kern w:val="2"/>
      <w:sz w:val="21"/>
      <w:szCs w:val="21"/>
      <w:lang w:eastAsia="zh-TW"/>
    </w:rPr>
  </w:style>
  <w:style w:type="character" w:customStyle="1" w:styleId="308">
    <w:name w:val="正文 + 首行缩进:  2 字符 Char"/>
    <w:link w:val="309"/>
    <w:qFormat/>
    <w:uiPriority w:val="0"/>
    <w:rPr>
      <w:rFonts w:cs="宋体"/>
      <w:sz w:val="24"/>
    </w:rPr>
  </w:style>
  <w:style w:type="paragraph" w:customStyle="1" w:styleId="309">
    <w:name w:val="正文 + 首行缩进:  2 字符"/>
    <w:basedOn w:val="1"/>
    <w:link w:val="308"/>
    <w:qFormat/>
    <w:uiPriority w:val="0"/>
    <w:pPr>
      <w:spacing w:line="360" w:lineRule="auto"/>
      <w:ind w:firstLine="480" w:firstLineChars="200"/>
    </w:pPr>
    <w:rPr>
      <w:rFonts w:cs="宋体" w:asciiTheme="minorHAnsi" w:hAnsiTheme="minorHAnsi" w:eastAsiaTheme="minorEastAsia"/>
      <w:sz w:val="24"/>
      <w:szCs w:val="22"/>
    </w:rPr>
  </w:style>
  <w:style w:type="character" w:customStyle="1" w:styleId="310">
    <w:name w:val="font71"/>
    <w:qFormat/>
    <w:uiPriority w:val="0"/>
    <w:rPr>
      <w:rFonts w:hint="eastAsia" w:ascii="宋体" w:hAnsi="宋体" w:eastAsia="宋体"/>
      <w:b/>
      <w:bCs/>
      <w:color w:val="000000"/>
      <w:sz w:val="20"/>
      <w:szCs w:val="20"/>
      <w:u w:val="none"/>
    </w:rPr>
  </w:style>
  <w:style w:type="character" w:customStyle="1" w:styleId="311">
    <w:name w:val="表格正式格式 Char Char"/>
    <w:link w:val="312"/>
    <w:qFormat/>
    <w:uiPriority w:val="0"/>
    <w:rPr>
      <w:szCs w:val="21"/>
    </w:rPr>
  </w:style>
  <w:style w:type="paragraph" w:customStyle="1" w:styleId="312">
    <w:name w:val="表格正式格式"/>
    <w:basedOn w:val="1"/>
    <w:link w:val="311"/>
    <w:qFormat/>
    <w:uiPriority w:val="0"/>
    <w:pPr>
      <w:adjustRightInd w:val="0"/>
      <w:snapToGrid w:val="0"/>
      <w:spacing w:line="300" w:lineRule="auto"/>
      <w:jc w:val="center"/>
      <w:textAlignment w:val="baseline"/>
    </w:pPr>
    <w:rPr>
      <w:rFonts w:asciiTheme="minorHAnsi" w:hAnsiTheme="minorHAnsi" w:eastAsiaTheme="minorEastAsia" w:cstheme="minorBidi"/>
    </w:rPr>
  </w:style>
  <w:style w:type="character" w:customStyle="1" w:styleId="313">
    <w:name w:val="正文 xie Char Char"/>
    <w:link w:val="314"/>
    <w:qFormat/>
    <w:uiPriority w:val="0"/>
    <w:rPr>
      <w:bCs/>
      <w:sz w:val="24"/>
      <w:szCs w:val="21"/>
    </w:rPr>
  </w:style>
  <w:style w:type="paragraph" w:customStyle="1" w:styleId="314">
    <w:name w:val="正文 xie"/>
    <w:basedOn w:val="1"/>
    <w:link w:val="313"/>
    <w:qFormat/>
    <w:uiPriority w:val="0"/>
    <w:pPr>
      <w:spacing w:line="480" w:lineRule="exact"/>
      <w:ind w:firstLine="480"/>
      <w:jc w:val="center"/>
    </w:pPr>
    <w:rPr>
      <w:rFonts w:asciiTheme="minorHAnsi" w:hAnsiTheme="minorHAnsi" w:eastAsiaTheme="minorEastAsia" w:cstheme="minorBidi"/>
      <w:bCs/>
      <w:sz w:val="24"/>
    </w:rPr>
  </w:style>
  <w:style w:type="character" w:customStyle="1" w:styleId="315">
    <w:name w:val="公式 Char"/>
    <w:qFormat/>
    <w:uiPriority w:val="0"/>
    <w:rPr>
      <w:rFonts w:ascii="宋体"/>
      <w:sz w:val="24"/>
    </w:rPr>
  </w:style>
  <w:style w:type="character" w:customStyle="1" w:styleId="316">
    <w:name w:val="正文首行缩进 Char1"/>
    <w:qFormat/>
    <w:uiPriority w:val="0"/>
  </w:style>
  <w:style w:type="character" w:customStyle="1" w:styleId="317">
    <w:name w:val="正文文本 Char"/>
    <w:qFormat/>
    <w:uiPriority w:val="99"/>
    <w:rPr>
      <w:rFonts w:ascii="Calibri" w:hAnsi="Calibri"/>
      <w:kern w:val="2"/>
      <w:sz w:val="21"/>
      <w:szCs w:val="21"/>
      <w:lang w:eastAsia="zh-TW"/>
    </w:rPr>
  </w:style>
  <w:style w:type="character" w:customStyle="1" w:styleId="318">
    <w:name w:val="批注文字 Char"/>
    <w:qFormat/>
    <w:uiPriority w:val="0"/>
    <w:rPr>
      <w:rFonts w:ascii="Calibri" w:hAnsi="Calibri"/>
      <w:kern w:val="2"/>
      <w:sz w:val="21"/>
      <w:szCs w:val="21"/>
      <w:lang w:eastAsia="zh-TW"/>
    </w:rPr>
  </w:style>
  <w:style w:type="character" w:customStyle="1" w:styleId="319">
    <w:name w:val="样式 第3级标题 + (中文) 宋体 Char Char"/>
    <w:link w:val="320"/>
    <w:qFormat/>
    <w:uiPriority w:val="0"/>
    <w:rPr>
      <w:b/>
      <w:bCs/>
      <w:sz w:val="30"/>
      <w:szCs w:val="30"/>
    </w:rPr>
  </w:style>
  <w:style w:type="paragraph" w:customStyle="1" w:styleId="320">
    <w:name w:val="样式 第3级标题 + (中文) 宋体"/>
    <w:basedOn w:val="1"/>
    <w:link w:val="319"/>
    <w:qFormat/>
    <w:uiPriority w:val="0"/>
    <w:pPr>
      <w:keepNext/>
      <w:keepLines/>
      <w:tabs>
        <w:tab w:val="left" w:pos="720"/>
      </w:tabs>
      <w:spacing w:beforeLines="50" w:afterLines="50" w:line="440" w:lineRule="exact"/>
      <w:ind w:left="720" w:hanging="720"/>
      <w:outlineLvl w:val="2"/>
    </w:pPr>
    <w:rPr>
      <w:rFonts w:asciiTheme="minorHAnsi" w:hAnsiTheme="minorHAnsi" w:eastAsiaTheme="minorEastAsia" w:cstheme="minorBidi"/>
      <w:b/>
      <w:bCs/>
      <w:sz w:val="30"/>
      <w:szCs w:val="30"/>
    </w:rPr>
  </w:style>
  <w:style w:type="character" w:customStyle="1" w:styleId="321">
    <w:name w:val="信息标题 Char1"/>
    <w:qFormat/>
    <w:uiPriority w:val="0"/>
    <w:rPr>
      <w:rFonts w:ascii="Cambria" w:hAnsi="Cambria" w:eastAsia="宋体" w:cs="Times New Roman"/>
      <w:kern w:val="2"/>
      <w:sz w:val="24"/>
      <w:szCs w:val="24"/>
      <w:shd w:val="pct20" w:color="auto" w:fill="auto"/>
      <w:lang w:eastAsia="zh-TW"/>
    </w:rPr>
  </w:style>
  <w:style w:type="character" w:customStyle="1" w:styleId="322">
    <w:name w:val="表名 Char"/>
    <w:link w:val="323"/>
    <w:qFormat/>
    <w:uiPriority w:val="0"/>
    <w:rPr>
      <w:rFonts w:hAnsi="宋体"/>
      <w:b/>
      <w:szCs w:val="21"/>
    </w:rPr>
  </w:style>
  <w:style w:type="paragraph" w:customStyle="1" w:styleId="323">
    <w:name w:val="表名"/>
    <w:basedOn w:val="1"/>
    <w:link w:val="322"/>
    <w:qFormat/>
    <w:uiPriority w:val="0"/>
    <w:pPr>
      <w:adjustRightInd w:val="0"/>
      <w:snapToGrid w:val="0"/>
      <w:ind w:left="420"/>
      <w:jc w:val="center"/>
    </w:pPr>
    <w:rPr>
      <w:rFonts w:hAnsi="宋体" w:asciiTheme="minorHAnsi" w:eastAsiaTheme="minorEastAsia" w:cstheme="minorBidi"/>
      <w:b/>
    </w:rPr>
  </w:style>
  <w:style w:type="character" w:customStyle="1" w:styleId="324">
    <w:name w:val="日期 Char1"/>
    <w:qFormat/>
    <w:uiPriority w:val="0"/>
    <w:rPr>
      <w:kern w:val="2"/>
      <w:sz w:val="21"/>
      <w:szCs w:val="21"/>
      <w:lang w:eastAsia="zh-TW"/>
    </w:rPr>
  </w:style>
  <w:style w:type="character" w:customStyle="1" w:styleId="325">
    <w:name w:val="正文文本 2 Char1"/>
    <w:qFormat/>
    <w:uiPriority w:val="0"/>
    <w:rPr>
      <w:kern w:val="2"/>
      <w:sz w:val="21"/>
      <w:szCs w:val="21"/>
      <w:lang w:eastAsia="zh-TW"/>
    </w:rPr>
  </w:style>
  <w:style w:type="character" w:customStyle="1" w:styleId="326">
    <w:name w:val="H2 Char"/>
    <w:qFormat/>
    <w:uiPriority w:val="0"/>
    <w:rPr>
      <w:rFonts w:ascii="宋体" w:hAnsi="Arial" w:eastAsia="宋体"/>
      <w:b/>
      <w:sz w:val="24"/>
      <w:lang w:val="en-US" w:eastAsia="zh-CN" w:bidi="ar-SA"/>
    </w:rPr>
  </w:style>
  <w:style w:type="character" w:customStyle="1" w:styleId="327">
    <w:name w:val="biao1"/>
    <w:qFormat/>
    <w:uiPriority w:val="0"/>
  </w:style>
  <w:style w:type="character" w:customStyle="1" w:styleId="328">
    <w:name w:val="公式 Char Char"/>
    <w:link w:val="329"/>
    <w:qFormat/>
    <w:uiPriority w:val="0"/>
    <w:rPr>
      <w:bCs/>
      <w:color w:val="000000"/>
      <w:szCs w:val="32"/>
    </w:rPr>
  </w:style>
  <w:style w:type="paragraph" w:customStyle="1" w:styleId="329">
    <w:name w:val="公式"/>
    <w:basedOn w:val="1"/>
    <w:link w:val="328"/>
    <w:qFormat/>
    <w:uiPriority w:val="0"/>
    <w:pPr>
      <w:keepLines/>
      <w:topLinePunct/>
      <w:adjustRightInd w:val="0"/>
      <w:spacing w:line="360" w:lineRule="auto"/>
      <w:ind w:firstLine="471"/>
      <w:textAlignment w:val="baseline"/>
    </w:pPr>
    <w:rPr>
      <w:rFonts w:asciiTheme="minorHAnsi" w:hAnsiTheme="minorHAnsi" w:eastAsiaTheme="minorEastAsia" w:cstheme="minorBidi"/>
      <w:bCs/>
      <w:color w:val="000000"/>
      <w:szCs w:val="32"/>
    </w:rPr>
  </w:style>
  <w:style w:type="character" w:customStyle="1" w:styleId="330">
    <w:name w:val="样式 样式 题注 + 加粗 + Times New Roman 行距: 单倍行距 Char Char"/>
    <w:link w:val="331"/>
    <w:qFormat/>
    <w:uiPriority w:val="0"/>
    <w:rPr>
      <w:rFonts w:eastAsia="黑体"/>
      <w:sz w:val="24"/>
    </w:rPr>
  </w:style>
  <w:style w:type="paragraph" w:customStyle="1" w:styleId="331">
    <w:name w:val="样式 样式 题注 + 加粗 + Times New Roman 行距: 单倍行距"/>
    <w:basedOn w:val="1"/>
    <w:link w:val="330"/>
    <w:qFormat/>
    <w:uiPriority w:val="0"/>
    <w:pPr>
      <w:adjustRightInd w:val="0"/>
      <w:spacing w:before="152" w:after="160"/>
      <w:jc w:val="center"/>
      <w:textAlignment w:val="baseline"/>
    </w:pPr>
    <w:rPr>
      <w:rFonts w:eastAsia="黑体" w:asciiTheme="minorHAnsi" w:hAnsiTheme="minorHAnsi" w:cstheme="minorBidi"/>
      <w:sz w:val="24"/>
      <w:szCs w:val="22"/>
    </w:rPr>
  </w:style>
  <w:style w:type="character" w:customStyle="1" w:styleId="332">
    <w:name w:val="标题 Char1"/>
    <w:qFormat/>
    <w:uiPriority w:val="0"/>
    <w:rPr>
      <w:rFonts w:ascii="Cambria" w:hAnsi="Cambria" w:cs="Times New Roman"/>
      <w:b/>
      <w:bCs/>
      <w:kern w:val="2"/>
      <w:sz w:val="32"/>
      <w:szCs w:val="32"/>
      <w:lang w:eastAsia="zh-TW"/>
    </w:rPr>
  </w:style>
  <w:style w:type="character" w:customStyle="1" w:styleId="333">
    <w:name w:val="文档结构图 Char1"/>
    <w:semiHidden/>
    <w:qFormat/>
    <w:uiPriority w:val="99"/>
    <w:rPr>
      <w:rFonts w:ascii="Microsoft YaHei UI" w:hAnsi="Times New Roman" w:eastAsia="Microsoft YaHei UI" w:cs="Times New Roman"/>
      <w:sz w:val="18"/>
      <w:szCs w:val="18"/>
      <w:lang w:eastAsia="zh-TW"/>
    </w:rPr>
  </w:style>
  <w:style w:type="character" w:customStyle="1" w:styleId="334">
    <w:name w:val="表头 Char"/>
    <w:link w:val="335"/>
    <w:qFormat/>
    <w:uiPriority w:val="0"/>
    <w:rPr>
      <w:b/>
      <w:spacing w:val="4"/>
      <w:lang w:eastAsia="zh-TW"/>
    </w:rPr>
  </w:style>
  <w:style w:type="paragraph" w:customStyle="1" w:styleId="335">
    <w:name w:val="表头"/>
    <w:basedOn w:val="12"/>
    <w:next w:val="1"/>
    <w:link w:val="334"/>
    <w:qFormat/>
    <w:uiPriority w:val="0"/>
    <w:pPr>
      <w:keepNext/>
      <w:ind w:left="880" w:leftChars="0" w:hanging="880"/>
      <w:jc w:val="center"/>
      <w:textAlignment w:val="baseline"/>
    </w:pPr>
    <w:rPr>
      <w:rFonts w:asciiTheme="minorHAnsi" w:hAnsiTheme="minorHAnsi" w:eastAsiaTheme="minorEastAsia" w:cstheme="minorBidi"/>
      <w:b/>
      <w:spacing w:val="4"/>
      <w:szCs w:val="22"/>
    </w:rPr>
  </w:style>
  <w:style w:type="character" w:customStyle="1" w:styleId="336">
    <w:name w:val="批注主题 Char"/>
    <w:qFormat/>
    <w:uiPriority w:val="0"/>
  </w:style>
  <w:style w:type="character" w:customStyle="1" w:styleId="337">
    <w:name w:val="页脚 Char"/>
    <w:qFormat/>
    <w:uiPriority w:val="99"/>
    <w:rPr>
      <w:kern w:val="2"/>
      <w:sz w:val="18"/>
      <w:szCs w:val="18"/>
      <w:lang w:eastAsia="zh-TW"/>
    </w:rPr>
  </w:style>
  <w:style w:type="character" w:customStyle="1" w:styleId="338">
    <w:name w:val="样式44 Char"/>
    <w:link w:val="339"/>
    <w:qFormat/>
    <w:uiPriority w:val="0"/>
    <w:rPr>
      <w:color w:val="000000"/>
      <w:sz w:val="24"/>
    </w:rPr>
  </w:style>
  <w:style w:type="paragraph" w:customStyle="1" w:styleId="339">
    <w:name w:val="样式44"/>
    <w:basedOn w:val="1"/>
    <w:link w:val="338"/>
    <w:qFormat/>
    <w:uiPriority w:val="0"/>
    <w:pPr>
      <w:spacing w:before="120" w:after="120" w:line="360" w:lineRule="auto"/>
      <w:ind w:firstLine="480" w:firstLineChars="200"/>
    </w:pPr>
    <w:rPr>
      <w:rFonts w:asciiTheme="minorHAnsi" w:hAnsiTheme="minorHAnsi" w:eastAsiaTheme="minorEastAsia" w:cstheme="minorBidi"/>
      <w:color w:val="000000"/>
      <w:sz w:val="24"/>
      <w:szCs w:val="22"/>
    </w:rPr>
  </w:style>
  <w:style w:type="character" w:customStyle="1" w:styleId="340">
    <w:name w:val="weby"/>
    <w:qFormat/>
    <w:uiPriority w:val="0"/>
  </w:style>
  <w:style w:type="character" w:customStyle="1" w:styleId="341">
    <w:name w:val="font61"/>
    <w:qFormat/>
    <w:uiPriority w:val="0"/>
    <w:rPr>
      <w:rFonts w:hint="default" w:ascii="Times New Roman" w:hAnsi="Times New Roman" w:cs="Times New Roman"/>
      <w:color w:val="000000"/>
      <w:sz w:val="21"/>
      <w:szCs w:val="21"/>
      <w:u w:val="none"/>
    </w:rPr>
  </w:style>
  <w:style w:type="character" w:customStyle="1" w:styleId="342">
    <w:name w:val="报告正文 Char Char Char Char"/>
    <w:qFormat/>
    <w:uiPriority w:val="0"/>
    <w:rPr>
      <w:rFonts w:ascii="宋体" w:hAnsi="宋体" w:cs="宋体"/>
      <w:sz w:val="24"/>
      <w:szCs w:val="24"/>
    </w:rPr>
  </w:style>
  <w:style w:type="character" w:customStyle="1" w:styleId="343">
    <w:name w:val="p5"/>
    <w:qFormat/>
    <w:uiPriority w:val="0"/>
  </w:style>
  <w:style w:type="character" w:customStyle="1" w:styleId="344">
    <w:name w:val="样式1 Char"/>
    <w:link w:val="345"/>
    <w:qFormat/>
    <w:uiPriority w:val="0"/>
    <w:rPr>
      <w:rFonts w:hAnsi="Roman"/>
      <w:color w:val="000000"/>
      <w:spacing w:val="-1"/>
      <w:kern w:val="30"/>
      <w:position w:val="-1"/>
      <w:sz w:val="30"/>
      <w:szCs w:val="21"/>
    </w:rPr>
  </w:style>
  <w:style w:type="paragraph" w:customStyle="1" w:styleId="345">
    <w:name w:val="样式1"/>
    <w:link w:val="344"/>
    <w:qFormat/>
    <w:uiPriority w:val="0"/>
    <w:pPr>
      <w:widowControl w:val="0"/>
      <w:autoSpaceDE w:val="0"/>
      <w:autoSpaceDN w:val="0"/>
      <w:adjustRightInd w:val="0"/>
    </w:pPr>
    <w:rPr>
      <w:rFonts w:hAnsi="Roman" w:asciiTheme="minorHAnsi" w:eastAsiaTheme="minorEastAsia" w:cstheme="minorBidi"/>
      <w:color w:val="000000"/>
      <w:spacing w:val="-1"/>
      <w:kern w:val="30"/>
      <w:position w:val="-1"/>
      <w:sz w:val="30"/>
      <w:szCs w:val="21"/>
      <w:lang w:val="en-US" w:eastAsia="zh-CN" w:bidi="ar-SA"/>
    </w:rPr>
  </w:style>
  <w:style w:type="character" w:customStyle="1" w:styleId="346">
    <w:name w:val="注解文字 Char Char"/>
    <w:link w:val="347"/>
    <w:qFormat/>
    <w:uiPriority w:val="0"/>
    <w:rPr>
      <w:rFonts w:ascii="Arial" w:hAnsi="Arial"/>
      <w:color w:val="000000"/>
      <w:lang w:val="eu-ES"/>
    </w:rPr>
  </w:style>
  <w:style w:type="paragraph" w:customStyle="1" w:styleId="347">
    <w:name w:val="注解文字"/>
    <w:basedOn w:val="1"/>
    <w:link w:val="346"/>
    <w:qFormat/>
    <w:uiPriority w:val="0"/>
    <w:pPr>
      <w:ind w:left="-180" w:leftChars="-75" w:right="-199" w:rightChars="-83" w:firstLine="19" w:firstLineChars="9"/>
      <w:jc w:val="center"/>
    </w:pPr>
    <w:rPr>
      <w:rFonts w:ascii="Arial" w:hAnsi="Arial" w:eastAsiaTheme="minorEastAsia" w:cstheme="minorBidi"/>
      <w:color w:val="000000"/>
      <w:szCs w:val="22"/>
      <w:lang w:val="eu-ES"/>
    </w:rPr>
  </w:style>
  <w:style w:type="character" w:customStyle="1" w:styleId="348">
    <w:name w:val="样式 正 文 + 宋体 Char Char"/>
    <w:link w:val="349"/>
    <w:qFormat/>
    <w:uiPriority w:val="0"/>
    <w:rPr>
      <w:rFonts w:ascii="Arial" w:hAnsi="Arial" w:eastAsia="Times New Roman" w:cs="Arial"/>
      <w:sz w:val="24"/>
    </w:rPr>
  </w:style>
  <w:style w:type="paragraph" w:customStyle="1" w:styleId="349">
    <w:name w:val="样式 正 文 + 宋体"/>
    <w:basedOn w:val="246"/>
    <w:link w:val="348"/>
    <w:qFormat/>
    <w:uiPriority w:val="0"/>
    <w:pPr>
      <w:ind w:firstLine="480"/>
    </w:pPr>
    <w:rPr>
      <w:rFonts w:ascii="Arial" w:hAnsi="Arial" w:eastAsia="Times New Roman" w:cs="Arial"/>
    </w:rPr>
  </w:style>
  <w:style w:type="character" w:customStyle="1" w:styleId="350">
    <w:name w:val="font2"/>
    <w:qFormat/>
    <w:uiPriority w:val="0"/>
    <w:rPr>
      <w:rFonts w:hint="eastAsia" w:ascii="宋体" w:hAnsi="宋体" w:eastAsia="宋体"/>
      <w:color w:val="000000"/>
      <w:sz w:val="24"/>
      <w:szCs w:val="24"/>
    </w:rPr>
  </w:style>
  <w:style w:type="character" w:customStyle="1" w:styleId="351">
    <w:name w:val="样式 首行缩进:  2 字符1 Char Char"/>
    <w:link w:val="352"/>
    <w:qFormat/>
    <w:uiPriority w:val="0"/>
    <w:rPr>
      <w:sz w:val="24"/>
      <w:szCs w:val="24"/>
    </w:rPr>
  </w:style>
  <w:style w:type="paragraph" w:customStyle="1" w:styleId="352">
    <w:name w:val="样式 首行缩进:  2 字符1 Char"/>
    <w:basedOn w:val="1"/>
    <w:link w:val="351"/>
    <w:qFormat/>
    <w:uiPriority w:val="0"/>
    <w:pPr>
      <w:tabs>
        <w:tab w:val="left" w:pos="1094"/>
        <w:tab w:val="left" w:pos="1244"/>
      </w:tabs>
      <w:snapToGrid w:val="0"/>
      <w:spacing w:line="360" w:lineRule="auto"/>
      <w:ind w:firstLine="480" w:firstLineChars="200"/>
    </w:pPr>
    <w:rPr>
      <w:rFonts w:asciiTheme="minorHAnsi" w:hAnsiTheme="minorHAnsi" w:eastAsiaTheme="minorEastAsia" w:cstheme="minorBidi"/>
      <w:sz w:val="24"/>
    </w:rPr>
  </w:style>
  <w:style w:type="character" w:customStyle="1" w:styleId="353">
    <w:name w:val="red1"/>
    <w:qFormat/>
    <w:uiPriority w:val="0"/>
    <w:rPr>
      <w:color w:val="CC0000"/>
      <w:sz w:val="18"/>
      <w:szCs w:val="18"/>
      <w:u w:val="none"/>
    </w:rPr>
  </w:style>
  <w:style w:type="character" w:customStyle="1" w:styleId="354">
    <w:name w:val="页眉 Char"/>
    <w:qFormat/>
    <w:uiPriority w:val="99"/>
    <w:rPr>
      <w:kern w:val="2"/>
      <w:sz w:val="18"/>
      <w:szCs w:val="18"/>
      <w:lang w:eastAsia="zh-TW"/>
    </w:rPr>
  </w:style>
  <w:style w:type="character" w:customStyle="1" w:styleId="355">
    <w:name w:val="引用 字符3"/>
    <w:link w:val="356"/>
    <w:qFormat/>
    <w:uiPriority w:val="99"/>
    <w:rPr>
      <w:rFonts w:eastAsia="Times New Roman"/>
      <w:i/>
      <w:iCs/>
      <w:color w:val="000000"/>
      <w:sz w:val="24"/>
    </w:rPr>
  </w:style>
  <w:style w:type="paragraph" w:styleId="356">
    <w:name w:val="Quote"/>
    <w:basedOn w:val="1"/>
    <w:next w:val="1"/>
    <w:link w:val="355"/>
    <w:qFormat/>
    <w:uiPriority w:val="99"/>
    <w:pPr>
      <w:adjustRightInd w:val="0"/>
      <w:spacing w:line="360" w:lineRule="auto"/>
      <w:textAlignment w:val="baseline"/>
    </w:pPr>
    <w:rPr>
      <w:rFonts w:eastAsia="Times New Roman" w:asciiTheme="minorHAnsi" w:hAnsiTheme="minorHAnsi" w:cstheme="minorBidi"/>
      <w:i/>
      <w:iCs/>
      <w:color w:val="000000"/>
      <w:sz w:val="24"/>
      <w:szCs w:val="22"/>
    </w:rPr>
  </w:style>
  <w:style w:type="character" w:customStyle="1" w:styleId="357">
    <w:name w:val="引用 字符"/>
    <w:basedOn w:val="98"/>
    <w:qFormat/>
    <w:uiPriority w:val="99"/>
    <w:rPr>
      <w:rFonts w:ascii="Times New Roman" w:hAnsi="Times New Roman" w:eastAsia="宋体" w:cs="Times New Roman"/>
      <w:i/>
      <w:iCs/>
      <w:color w:val="404040" w:themeColor="text1" w:themeTint="BF"/>
      <w:szCs w:val="24"/>
      <w14:textFill>
        <w14:solidFill>
          <w14:schemeClr w14:val="tx1">
            <w14:lumMod w14:val="75000"/>
            <w14:lumOff w14:val="25000"/>
          </w14:schemeClr>
        </w14:solidFill>
      </w14:textFill>
    </w:rPr>
  </w:style>
  <w:style w:type="character" w:customStyle="1" w:styleId="358">
    <w:name w:val="表格文字1 Char"/>
    <w:qFormat/>
    <w:uiPriority w:val="0"/>
    <w:rPr>
      <w:rFonts w:ascii="宋体" w:hAnsi="Courier New" w:eastAsia="宋体" w:cs="Courier New"/>
      <w:kern w:val="2"/>
      <w:sz w:val="21"/>
      <w:szCs w:val="21"/>
      <w:lang w:val="en-US" w:eastAsia="zh-CN" w:bidi="ar-SA"/>
    </w:rPr>
  </w:style>
  <w:style w:type="character" w:customStyle="1" w:styleId="359">
    <w:name w:val="正文样式 Char Char"/>
    <w:qFormat/>
    <w:uiPriority w:val="0"/>
    <w:rPr>
      <w:rFonts w:ascii="宋体" w:hAnsi="宋体"/>
      <w:snapToGrid w:val="0"/>
      <w:kern w:val="2"/>
      <w:sz w:val="24"/>
      <w:szCs w:val="24"/>
      <w:lang w:val="en-US" w:eastAsia="zh-CN" w:bidi="ar-SA"/>
    </w:rPr>
  </w:style>
  <w:style w:type="character" w:customStyle="1" w:styleId="360">
    <w:name w:val="javascript1"/>
    <w:qFormat/>
    <w:uiPriority w:val="0"/>
    <w:rPr>
      <w:rFonts w:hint="default" w:ascii="Tahoma" w:hAnsi="Tahoma" w:cs="Tahoma"/>
      <w:sz w:val="18"/>
      <w:szCs w:val="18"/>
    </w:rPr>
  </w:style>
  <w:style w:type="character" w:customStyle="1" w:styleId="361">
    <w:name w:val="zhenwen141"/>
    <w:qFormat/>
    <w:uiPriority w:val="0"/>
    <w:rPr>
      <w:rFonts w:hint="default" w:ascii="ˎ̥" w:hAnsi="ˎ̥"/>
      <w:sz w:val="23"/>
      <w:szCs w:val="23"/>
    </w:rPr>
  </w:style>
  <w:style w:type="character" w:customStyle="1" w:styleId="362">
    <w:name w:val="样式1 Char Char"/>
    <w:qFormat/>
    <w:uiPriority w:val="0"/>
    <w:rPr>
      <w:b/>
      <w:bCs/>
      <w:kern w:val="44"/>
      <w:sz w:val="44"/>
      <w:szCs w:val="44"/>
    </w:rPr>
  </w:style>
  <w:style w:type="character" w:customStyle="1" w:styleId="363">
    <w:name w:val="报告正文 Char Char Char Char Char"/>
    <w:link w:val="364"/>
    <w:qFormat/>
    <w:uiPriority w:val="0"/>
    <w:rPr>
      <w:rFonts w:ascii="宋体"/>
      <w:sz w:val="24"/>
    </w:rPr>
  </w:style>
  <w:style w:type="paragraph" w:customStyle="1" w:styleId="364">
    <w:name w:val="报告正文 Char Char"/>
    <w:basedOn w:val="1"/>
    <w:link w:val="363"/>
    <w:qFormat/>
    <w:uiPriority w:val="0"/>
    <w:pPr>
      <w:adjustRightInd w:val="0"/>
      <w:snapToGrid w:val="0"/>
      <w:spacing w:line="360" w:lineRule="auto"/>
      <w:ind w:firstLine="200" w:firstLineChars="200"/>
    </w:pPr>
    <w:rPr>
      <w:rFonts w:ascii="宋体" w:hAnsiTheme="minorHAnsi" w:eastAsiaTheme="minorEastAsia" w:cstheme="minorBidi"/>
      <w:sz w:val="24"/>
      <w:szCs w:val="22"/>
    </w:rPr>
  </w:style>
  <w:style w:type="character" w:customStyle="1" w:styleId="365">
    <w:name w:val="表格文字01 Char Char"/>
    <w:link w:val="366"/>
    <w:qFormat/>
    <w:uiPriority w:val="0"/>
    <w:rPr>
      <w:rFonts w:ascii="Arial" w:hAnsi="Arial"/>
      <w:color w:val="000000"/>
    </w:rPr>
  </w:style>
  <w:style w:type="paragraph" w:customStyle="1" w:styleId="366">
    <w:name w:val="表格文字01"/>
    <w:basedOn w:val="1"/>
    <w:link w:val="365"/>
    <w:qFormat/>
    <w:uiPriority w:val="0"/>
    <w:pPr>
      <w:wordWrap w:val="0"/>
      <w:overflowPunct w:val="0"/>
      <w:topLinePunct/>
      <w:jc w:val="center"/>
    </w:pPr>
    <w:rPr>
      <w:rFonts w:ascii="Arial" w:hAnsi="Arial" w:eastAsiaTheme="minorEastAsia" w:cstheme="minorBidi"/>
      <w:color w:val="000000"/>
      <w:szCs w:val="22"/>
    </w:rPr>
  </w:style>
  <w:style w:type="character" w:customStyle="1" w:styleId="367">
    <w:name w:val="陆晶 正文 Char Char Char"/>
    <w:link w:val="368"/>
    <w:qFormat/>
    <w:uiPriority w:val="0"/>
    <w:rPr>
      <w:sz w:val="24"/>
      <w:szCs w:val="18"/>
    </w:rPr>
  </w:style>
  <w:style w:type="paragraph" w:customStyle="1" w:styleId="368">
    <w:name w:val="陆晶 正文 Char Char"/>
    <w:basedOn w:val="1"/>
    <w:link w:val="367"/>
    <w:qFormat/>
    <w:uiPriority w:val="0"/>
    <w:pPr>
      <w:snapToGrid w:val="0"/>
      <w:spacing w:line="360" w:lineRule="auto"/>
      <w:ind w:firstLine="480" w:firstLineChars="200"/>
      <w:jc w:val="left"/>
    </w:pPr>
    <w:rPr>
      <w:rFonts w:asciiTheme="minorHAnsi" w:hAnsiTheme="minorHAnsi" w:eastAsiaTheme="minorEastAsia" w:cstheme="minorBidi"/>
      <w:sz w:val="24"/>
      <w:szCs w:val="18"/>
    </w:rPr>
  </w:style>
  <w:style w:type="character" w:customStyle="1" w:styleId="369">
    <w:name w:val="样式 正文文本 + 宋体 四号 Char"/>
    <w:qFormat/>
    <w:uiPriority w:val="0"/>
    <w:rPr>
      <w:rFonts w:ascii="宋体" w:hAnsi="宋体" w:eastAsia="宋体"/>
      <w:spacing w:val="20"/>
      <w:kern w:val="28"/>
      <w:position w:val="2"/>
      <w:sz w:val="28"/>
      <w:lang w:val="en-US" w:eastAsia="zh-CN" w:bidi="ar-SA"/>
    </w:rPr>
  </w:style>
  <w:style w:type="character" w:customStyle="1" w:styleId="370">
    <w:name w:val="content_11"/>
    <w:qFormat/>
    <w:uiPriority w:val="0"/>
    <w:rPr>
      <w:color w:val="333333"/>
      <w:sz w:val="18"/>
      <w:szCs w:val="18"/>
    </w:rPr>
  </w:style>
  <w:style w:type="character" w:customStyle="1" w:styleId="371">
    <w:name w:val="表格标题1 Char Char"/>
    <w:link w:val="372"/>
    <w:qFormat/>
    <w:uiPriority w:val="0"/>
    <w:rPr>
      <w:szCs w:val="21"/>
    </w:rPr>
  </w:style>
  <w:style w:type="paragraph" w:customStyle="1" w:styleId="372">
    <w:name w:val="表格标题1 Char"/>
    <w:basedOn w:val="1"/>
    <w:next w:val="1"/>
    <w:link w:val="371"/>
    <w:qFormat/>
    <w:uiPriority w:val="0"/>
    <w:pPr>
      <w:keepNext/>
      <w:spacing w:line="360" w:lineRule="auto"/>
      <w:jc w:val="center"/>
    </w:pPr>
    <w:rPr>
      <w:rFonts w:asciiTheme="minorHAnsi" w:hAnsiTheme="minorHAnsi" w:eastAsiaTheme="minorEastAsia" w:cstheme="minorBidi"/>
    </w:rPr>
  </w:style>
  <w:style w:type="character" w:customStyle="1" w:styleId="373">
    <w:name w:val="spelle"/>
    <w:qFormat/>
    <w:uiPriority w:val="0"/>
  </w:style>
  <w:style w:type="character" w:customStyle="1" w:styleId="374">
    <w:name w:val="段落 Char Char"/>
    <w:link w:val="375"/>
    <w:qFormat/>
    <w:uiPriority w:val="0"/>
    <w:rPr>
      <w:rFonts w:ascii="宋体" w:hAnsi="宋体"/>
      <w:sz w:val="28"/>
    </w:rPr>
  </w:style>
  <w:style w:type="paragraph" w:customStyle="1" w:styleId="375">
    <w:name w:val="段落"/>
    <w:basedOn w:val="1"/>
    <w:link w:val="374"/>
    <w:qFormat/>
    <w:uiPriority w:val="0"/>
    <w:pPr>
      <w:adjustRightInd w:val="0"/>
      <w:snapToGrid w:val="0"/>
      <w:spacing w:line="300" w:lineRule="auto"/>
      <w:ind w:firstLine="539"/>
    </w:pPr>
    <w:rPr>
      <w:rFonts w:ascii="宋体" w:hAnsi="宋体" w:eastAsiaTheme="minorEastAsia" w:cstheme="minorBidi"/>
      <w:sz w:val="28"/>
      <w:szCs w:val="22"/>
    </w:rPr>
  </w:style>
  <w:style w:type="character" w:customStyle="1" w:styleId="376">
    <w:name w:val="表格 Char Char"/>
    <w:qFormat/>
    <w:uiPriority w:val="0"/>
    <w:rPr>
      <w:rFonts w:eastAsia="楷体_GB2312"/>
      <w:kern w:val="11"/>
      <w:sz w:val="24"/>
      <w:lang w:val="en-US" w:eastAsia="zh-CN" w:bidi="ar-SA"/>
    </w:rPr>
  </w:style>
  <w:style w:type="character" w:customStyle="1" w:styleId="377">
    <w:name w:val="样式 小四 首行缩进:  0.85 厘米 行距: 1.5 倍行距 Char Char"/>
    <w:link w:val="378"/>
    <w:qFormat/>
    <w:uiPriority w:val="0"/>
    <w:rPr>
      <w:sz w:val="24"/>
    </w:rPr>
  </w:style>
  <w:style w:type="paragraph" w:customStyle="1" w:styleId="378">
    <w:name w:val="样式 小四 首行缩进:  0.85 厘米 行距: 1.5 倍行距"/>
    <w:basedOn w:val="1"/>
    <w:link w:val="377"/>
    <w:qFormat/>
    <w:uiPriority w:val="0"/>
    <w:pPr>
      <w:adjustRightInd w:val="0"/>
      <w:spacing w:line="360" w:lineRule="auto"/>
      <w:ind w:firstLine="480"/>
      <w:textAlignment w:val="baseline"/>
    </w:pPr>
    <w:rPr>
      <w:rFonts w:asciiTheme="minorHAnsi" w:hAnsiTheme="minorHAnsi" w:eastAsiaTheme="minorEastAsia" w:cstheme="minorBidi"/>
      <w:sz w:val="24"/>
      <w:szCs w:val="22"/>
    </w:rPr>
  </w:style>
  <w:style w:type="character" w:customStyle="1" w:styleId="379">
    <w:name w:val="批注框文本 Char1"/>
    <w:semiHidden/>
    <w:qFormat/>
    <w:uiPriority w:val="99"/>
    <w:rPr>
      <w:rFonts w:ascii="Times New Roman" w:hAnsi="Times New Roman" w:eastAsia="宋体" w:cs="Times New Roman"/>
      <w:sz w:val="18"/>
      <w:szCs w:val="18"/>
      <w:lang w:eastAsia="zh-TW"/>
    </w:rPr>
  </w:style>
  <w:style w:type="character" w:customStyle="1" w:styleId="380">
    <w:name w:val="正文+小四，黑色 Char Char"/>
    <w:link w:val="381"/>
    <w:qFormat/>
    <w:uiPriority w:val="0"/>
    <w:rPr>
      <w:rFonts w:ascii="宋体" w:hAnsi="宋体"/>
      <w:sz w:val="24"/>
    </w:rPr>
  </w:style>
  <w:style w:type="paragraph" w:customStyle="1" w:styleId="381">
    <w:name w:val="正文+小四，黑色"/>
    <w:basedOn w:val="1"/>
    <w:link w:val="380"/>
    <w:qFormat/>
    <w:uiPriority w:val="0"/>
    <w:pPr>
      <w:snapToGrid w:val="0"/>
      <w:spacing w:line="300" w:lineRule="auto"/>
      <w:ind w:firstLine="492" w:firstLineChars="205"/>
    </w:pPr>
    <w:rPr>
      <w:rFonts w:ascii="宋体" w:hAnsi="宋体" w:eastAsiaTheme="minorEastAsia" w:cstheme="minorBidi"/>
      <w:sz w:val="24"/>
      <w:szCs w:val="22"/>
    </w:rPr>
  </w:style>
  <w:style w:type="character" w:customStyle="1" w:styleId="382">
    <w:name w:val="样式 正 文 Char Char"/>
    <w:link w:val="383"/>
    <w:qFormat/>
    <w:uiPriority w:val="0"/>
    <w:rPr>
      <w:rFonts w:ascii="Arial" w:hAnsi="Arial" w:eastAsia="Times New Roman"/>
      <w:sz w:val="24"/>
    </w:rPr>
  </w:style>
  <w:style w:type="paragraph" w:customStyle="1" w:styleId="383">
    <w:name w:val="样式 正 文"/>
    <w:basedOn w:val="246"/>
    <w:link w:val="382"/>
    <w:qFormat/>
    <w:uiPriority w:val="0"/>
    <w:rPr>
      <w:rFonts w:ascii="Arial" w:hAnsi="Arial" w:eastAsia="Times New Roman" w:cstheme="minorBidi"/>
    </w:rPr>
  </w:style>
  <w:style w:type="character" w:customStyle="1" w:styleId="384">
    <w:name w:val="font11"/>
    <w:qFormat/>
    <w:uiPriority w:val="0"/>
    <w:rPr>
      <w:rFonts w:hint="eastAsia" w:ascii="宋体" w:hAnsi="宋体" w:eastAsia="宋体" w:cs="宋体"/>
      <w:color w:val="000000"/>
      <w:sz w:val="18"/>
      <w:szCs w:val="18"/>
      <w:u w:val="none"/>
    </w:rPr>
  </w:style>
  <w:style w:type="character" w:customStyle="1" w:styleId="385">
    <w:name w:val="15"/>
    <w:qFormat/>
    <w:uiPriority w:val="0"/>
    <w:rPr>
      <w:rFonts w:hint="default" w:ascii="Times New Roman" w:hAnsi="Times New Roman" w:cs="Times New Roman"/>
      <w:i/>
      <w:iCs/>
      <w:color w:val="000000"/>
      <w:sz w:val="21"/>
      <w:szCs w:val="21"/>
    </w:rPr>
  </w:style>
  <w:style w:type="character" w:customStyle="1" w:styleId="386">
    <w:name w:val="自动4 Char Char"/>
    <w:link w:val="387"/>
    <w:qFormat/>
    <w:uiPriority w:val="0"/>
    <w:rPr>
      <w:rFonts w:ascii="宋体" w:hAnsi="宋体"/>
      <w:bCs/>
      <w:color w:val="000000"/>
      <w:sz w:val="24"/>
      <w:szCs w:val="24"/>
    </w:rPr>
  </w:style>
  <w:style w:type="paragraph" w:customStyle="1" w:styleId="387">
    <w:name w:val="自动4"/>
    <w:basedOn w:val="1"/>
    <w:link w:val="386"/>
    <w:qFormat/>
    <w:uiPriority w:val="0"/>
    <w:pPr>
      <w:keepNext/>
      <w:keepLines/>
      <w:spacing w:before="120" w:after="120" w:line="360" w:lineRule="auto"/>
      <w:outlineLvl w:val="3"/>
    </w:pPr>
    <w:rPr>
      <w:rFonts w:ascii="宋体" w:hAnsi="宋体" w:eastAsiaTheme="minorEastAsia" w:cstheme="minorBidi"/>
      <w:bCs/>
      <w:color w:val="000000"/>
      <w:sz w:val="24"/>
    </w:rPr>
  </w:style>
  <w:style w:type="character" w:customStyle="1" w:styleId="388">
    <w:name w:val="消息标题标签"/>
    <w:qFormat/>
    <w:uiPriority w:val="0"/>
    <w:rPr>
      <w:rFonts w:ascii="Arial" w:hAnsi="Arial"/>
      <w:b/>
      <w:spacing w:val="-4"/>
      <w:sz w:val="18"/>
      <w:lang w:eastAsia="zh-CN"/>
    </w:rPr>
  </w:style>
  <w:style w:type="character" w:customStyle="1" w:styleId="389">
    <w:name w:val="引用 Char1"/>
    <w:qFormat/>
    <w:uiPriority w:val="99"/>
    <w:rPr>
      <w:i/>
      <w:iCs/>
      <w:color w:val="000000"/>
      <w:kern w:val="2"/>
      <w:sz w:val="21"/>
      <w:szCs w:val="21"/>
      <w:lang w:eastAsia="zh-TW"/>
    </w:rPr>
  </w:style>
  <w:style w:type="character" w:customStyle="1" w:styleId="390">
    <w:name w:val="一级标题 Char"/>
    <w:link w:val="391"/>
    <w:qFormat/>
    <w:uiPriority w:val="0"/>
    <w:rPr>
      <w:rFonts w:ascii="黑体" w:hAnsi="黑体" w:eastAsia="黑体"/>
      <w:sz w:val="44"/>
      <w:szCs w:val="24"/>
    </w:rPr>
  </w:style>
  <w:style w:type="paragraph" w:customStyle="1" w:styleId="391">
    <w:name w:val="一级标题"/>
    <w:basedOn w:val="1"/>
    <w:link w:val="390"/>
    <w:qFormat/>
    <w:uiPriority w:val="0"/>
    <w:pPr>
      <w:pageBreakBefore/>
      <w:spacing w:beforeLines="100" w:afterLines="50" w:line="560" w:lineRule="atLeast"/>
      <w:ind w:firstLine="471"/>
      <w:jc w:val="center"/>
      <w:outlineLvl w:val="0"/>
    </w:pPr>
    <w:rPr>
      <w:rFonts w:ascii="黑体" w:hAnsi="黑体" w:eastAsia="黑体" w:cstheme="minorBidi"/>
      <w:sz w:val="44"/>
    </w:rPr>
  </w:style>
  <w:style w:type="character" w:customStyle="1" w:styleId="392">
    <w:name w:val="样式 样式 Times New Roman 四号 首行缩进:  0.93 厘米 行距: 固定值 25 磅 + 宋体 Char Char"/>
    <w:link w:val="393"/>
    <w:qFormat/>
    <w:uiPriority w:val="0"/>
    <w:rPr>
      <w:rFonts w:ascii="宋体" w:hAnsi="宋体"/>
      <w:sz w:val="24"/>
    </w:rPr>
  </w:style>
  <w:style w:type="paragraph" w:customStyle="1" w:styleId="393">
    <w:name w:val="样式 样式 Times New Roman 四号 首行缩进:  0.93 厘米 行距: 固定值 25 磅 + 宋体"/>
    <w:basedOn w:val="394"/>
    <w:link w:val="392"/>
    <w:qFormat/>
    <w:uiPriority w:val="0"/>
    <w:rPr>
      <w:rFonts w:ascii="宋体" w:hAnsi="宋体" w:eastAsiaTheme="minorEastAsia" w:cstheme="minorBidi"/>
      <w:kern w:val="2"/>
      <w:szCs w:val="22"/>
    </w:rPr>
  </w:style>
  <w:style w:type="paragraph" w:customStyle="1" w:styleId="394">
    <w:name w:val="样式 Times New Roman 四号 首行缩进:  0.93 厘米 行距: 固定值 25 磅"/>
    <w:basedOn w:val="1"/>
    <w:link w:val="395"/>
    <w:qFormat/>
    <w:uiPriority w:val="0"/>
    <w:pPr>
      <w:spacing w:line="500" w:lineRule="exact"/>
      <w:ind w:firstLine="527"/>
      <w:jc w:val="center"/>
    </w:pPr>
    <w:rPr>
      <w:sz w:val="24"/>
    </w:rPr>
  </w:style>
  <w:style w:type="character" w:customStyle="1" w:styleId="395">
    <w:name w:val="样式 Times New Roman 四号 首行缩进:  0.93 厘米 行距: 固定值 25 磅 Char Char"/>
    <w:link w:val="394"/>
    <w:qFormat/>
    <w:uiPriority w:val="0"/>
    <w:rPr>
      <w:rFonts w:ascii="Times New Roman" w:hAnsi="Times New Roman" w:eastAsia="宋体" w:cs="Times New Roman"/>
      <w:kern w:val="0"/>
      <w:sz w:val="24"/>
      <w:szCs w:val="20"/>
    </w:rPr>
  </w:style>
  <w:style w:type="character" w:customStyle="1" w:styleId="396">
    <w:name w:val="样式 标题 2 + 非加粗 Char Char"/>
    <w:link w:val="397"/>
    <w:qFormat/>
    <w:uiPriority w:val="0"/>
    <w:rPr>
      <w:rFonts w:eastAsia="黑体"/>
      <w:b/>
      <w:sz w:val="24"/>
    </w:rPr>
  </w:style>
  <w:style w:type="paragraph" w:customStyle="1" w:styleId="397">
    <w:name w:val="样式 标题 2 + 非加粗"/>
    <w:basedOn w:val="4"/>
    <w:link w:val="396"/>
    <w:qFormat/>
    <w:uiPriority w:val="0"/>
    <w:pPr>
      <w:keepNext/>
      <w:keepLines/>
      <w:pBdr>
        <w:bottom w:val="none" w:color="auto" w:sz="0" w:space="0"/>
      </w:pBdr>
      <w:spacing w:line="312" w:lineRule="auto"/>
      <w:ind w:left="3685" w:hanging="425"/>
      <w:jc w:val="left"/>
    </w:pPr>
    <w:rPr>
      <w:rFonts w:eastAsia="黑体" w:asciiTheme="minorHAnsi" w:hAnsiTheme="minorHAnsi" w:cstheme="minorBidi"/>
      <w:caps w:val="0"/>
      <w:color w:val="auto"/>
      <w:spacing w:val="0"/>
      <w:kern w:val="2"/>
      <w:sz w:val="24"/>
      <w:szCs w:val="22"/>
      <w:lang w:eastAsia="zh-CN"/>
    </w:rPr>
  </w:style>
  <w:style w:type="character" w:customStyle="1" w:styleId="398">
    <w:name w:val="样式 标题 1Head 1wsa一、标题 111h1标题2标题 1 CharPart'Document1.标题... Char"/>
    <w:link w:val="399"/>
    <w:qFormat/>
    <w:uiPriority w:val="0"/>
    <w:rPr>
      <w:rFonts w:ascii="Impact" w:hAnsi="Impact" w:eastAsia="隶书"/>
      <w:b/>
      <w:bCs/>
      <w:shadow/>
      <w:kern w:val="44"/>
      <w:sz w:val="36"/>
      <w:szCs w:val="44"/>
    </w:rPr>
  </w:style>
  <w:style w:type="paragraph" w:customStyle="1" w:styleId="399">
    <w:name w:val="样式 标题 1Head 1wsa一、标题 111h1标题2标题 1 CharPart'Document1.标题..."/>
    <w:basedOn w:val="3"/>
    <w:link w:val="398"/>
    <w:qFormat/>
    <w:uiPriority w:val="0"/>
    <w:pPr>
      <w:keepNext w:val="0"/>
      <w:pageBreakBefore/>
      <w:tabs>
        <w:tab w:val="left" w:pos="1021"/>
        <w:tab w:val="left" w:pos="1080"/>
      </w:tabs>
      <w:overflowPunct/>
      <w:snapToGrid/>
      <w:spacing w:beforeLines="200" w:after="120" w:afterLines="300" w:line="360" w:lineRule="auto"/>
      <w:ind w:left="1021" w:hanging="181"/>
      <w:jc w:val="center"/>
    </w:pPr>
    <w:rPr>
      <w:rFonts w:ascii="Impact" w:hAnsi="Impact" w:eastAsia="隶书" w:cstheme="minorBidi"/>
      <w:shadow/>
      <w:color w:val="auto"/>
      <w:sz w:val="36"/>
      <w:szCs w:val="44"/>
    </w:rPr>
  </w:style>
  <w:style w:type="character" w:customStyle="1" w:styleId="400">
    <w:name w:val="HTML 预设格式 Char1"/>
    <w:qFormat/>
    <w:uiPriority w:val="0"/>
    <w:rPr>
      <w:rFonts w:ascii="Courier New" w:hAnsi="Courier New" w:cs="Courier New"/>
      <w:kern w:val="2"/>
      <w:lang w:eastAsia="zh-TW"/>
    </w:rPr>
  </w:style>
  <w:style w:type="character" w:customStyle="1" w:styleId="401">
    <w:name w:val="称呼 Char1"/>
    <w:qFormat/>
    <w:uiPriority w:val="0"/>
    <w:rPr>
      <w:kern w:val="2"/>
      <w:sz w:val="21"/>
      <w:szCs w:val="21"/>
      <w:lang w:eastAsia="zh-TW"/>
    </w:rPr>
  </w:style>
  <w:style w:type="character" w:customStyle="1" w:styleId="402">
    <w:name w:val="三级标题 Char Char"/>
    <w:qFormat/>
    <w:uiPriority w:val="0"/>
    <w:rPr>
      <w:rFonts w:ascii="Arial" w:hAnsi="Arial" w:eastAsia="黑体" w:cs="Times New Roman"/>
      <w:b/>
      <w:snapToGrid w:val="0"/>
      <w:kern w:val="2"/>
      <w:sz w:val="24"/>
      <w:szCs w:val="24"/>
      <w:lang w:val="zh-CN" w:eastAsia="zh-CN" w:bidi="ar-SA"/>
    </w:rPr>
  </w:style>
  <w:style w:type="character" w:customStyle="1" w:styleId="403">
    <w:name w:val="样式制图 Char Char"/>
    <w:link w:val="404"/>
    <w:qFormat/>
    <w:uiPriority w:val="0"/>
  </w:style>
  <w:style w:type="paragraph" w:customStyle="1" w:styleId="404">
    <w:name w:val="样式制图"/>
    <w:basedOn w:val="1"/>
    <w:link w:val="403"/>
    <w:qFormat/>
    <w:uiPriority w:val="0"/>
    <w:pPr>
      <w:topLinePunct/>
      <w:adjustRightInd w:val="0"/>
      <w:ind w:left="-180" w:leftChars="-75" w:right="-199" w:rightChars="-83" w:firstLine="9" w:firstLineChars="9"/>
      <w:jc w:val="center"/>
    </w:pPr>
    <w:rPr>
      <w:rFonts w:asciiTheme="minorHAnsi" w:hAnsiTheme="minorHAnsi" w:eastAsiaTheme="minorEastAsia" w:cstheme="minorBidi"/>
      <w:szCs w:val="22"/>
    </w:rPr>
  </w:style>
  <w:style w:type="character" w:customStyle="1" w:styleId="405">
    <w:name w:val="批注文字 Char1"/>
    <w:semiHidden/>
    <w:qFormat/>
    <w:uiPriority w:val="99"/>
    <w:rPr>
      <w:rFonts w:ascii="Times New Roman" w:hAnsi="Times New Roman" w:eastAsia="宋体" w:cs="Times New Roman"/>
      <w:szCs w:val="21"/>
      <w:lang w:eastAsia="zh-TW"/>
    </w:rPr>
  </w:style>
  <w:style w:type="character" w:customStyle="1" w:styleId="406">
    <w:name w:val="表格正文 Char Char"/>
    <w:link w:val="407"/>
    <w:qFormat/>
    <w:uiPriority w:val="0"/>
    <w:rPr>
      <w:rFonts w:ascii="宋体"/>
      <w:spacing w:val="4"/>
      <w:w w:val="90"/>
      <w:kern w:val="18"/>
      <w:szCs w:val="24"/>
      <w:lang w:eastAsia="zh-TW"/>
    </w:rPr>
  </w:style>
  <w:style w:type="paragraph" w:customStyle="1" w:styleId="407">
    <w:name w:val="表格正文"/>
    <w:basedOn w:val="1"/>
    <w:next w:val="1"/>
    <w:link w:val="406"/>
    <w:qFormat/>
    <w:uiPriority w:val="0"/>
    <w:pPr>
      <w:adjustRightInd w:val="0"/>
      <w:jc w:val="center"/>
      <w:textAlignment w:val="baseline"/>
    </w:pPr>
    <w:rPr>
      <w:rFonts w:ascii="宋体" w:hAnsiTheme="minorHAnsi" w:eastAsiaTheme="minorEastAsia" w:cstheme="minorBidi"/>
      <w:spacing w:val="4"/>
      <w:w w:val="90"/>
      <w:kern w:val="18"/>
      <w:lang w:eastAsia="zh-TW"/>
    </w:rPr>
  </w:style>
  <w:style w:type="character" w:customStyle="1" w:styleId="408">
    <w:name w:val="clear2"/>
    <w:qFormat/>
    <w:uiPriority w:val="0"/>
    <w:rPr>
      <w:sz w:val="16"/>
      <w:szCs w:val="0"/>
    </w:rPr>
  </w:style>
  <w:style w:type="character" w:customStyle="1" w:styleId="409">
    <w:name w:val="text1"/>
    <w:qFormat/>
    <w:uiPriority w:val="0"/>
    <w:rPr>
      <w:sz w:val="18"/>
      <w:szCs w:val="18"/>
    </w:rPr>
  </w:style>
  <w:style w:type="character" w:customStyle="1" w:styleId="410">
    <w:name w:val="明显引用 字符3"/>
    <w:link w:val="411"/>
    <w:qFormat/>
    <w:uiPriority w:val="99"/>
    <w:rPr>
      <w:rFonts w:eastAsia="Times New Roman"/>
      <w:b/>
      <w:bCs/>
      <w:i/>
      <w:iCs/>
      <w:color w:val="4F81BD"/>
      <w:sz w:val="24"/>
    </w:rPr>
  </w:style>
  <w:style w:type="paragraph" w:styleId="411">
    <w:name w:val="Intense Quote"/>
    <w:basedOn w:val="1"/>
    <w:next w:val="1"/>
    <w:link w:val="410"/>
    <w:qFormat/>
    <w:uiPriority w:val="99"/>
    <w:pPr>
      <w:pBdr>
        <w:bottom w:val="single" w:color="4F81BD" w:sz="4" w:space="4"/>
      </w:pBdr>
      <w:adjustRightInd w:val="0"/>
      <w:spacing w:before="200" w:after="280" w:line="360" w:lineRule="auto"/>
      <w:ind w:left="936" w:right="936"/>
      <w:textAlignment w:val="baseline"/>
    </w:pPr>
    <w:rPr>
      <w:rFonts w:eastAsia="Times New Roman" w:asciiTheme="minorHAnsi" w:hAnsiTheme="minorHAnsi" w:cstheme="minorBidi"/>
      <w:b/>
      <w:bCs/>
      <w:i/>
      <w:iCs/>
      <w:color w:val="4F81BD"/>
      <w:sz w:val="24"/>
      <w:szCs w:val="22"/>
    </w:rPr>
  </w:style>
  <w:style w:type="character" w:customStyle="1" w:styleId="412">
    <w:name w:val="明显引用 字符"/>
    <w:basedOn w:val="98"/>
    <w:qFormat/>
    <w:uiPriority w:val="99"/>
    <w:rPr>
      <w:rFonts w:ascii="Times New Roman" w:hAnsi="Times New Roman" w:eastAsia="宋体" w:cs="Times New Roman"/>
      <w:i/>
      <w:iCs/>
      <w:color w:val="5B9BD5" w:themeColor="accent1"/>
      <w:szCs w:val="24"/>
      <w14:textFill>
        <w14:solidFill>
          <w14:schemeClr w14:val="accent1"/>
        </w14:solidFill>
      </w14:textFill>
    </w:rPr>
  </w:style>
  <w:style w:type="character" w:customStyle="1" w:styleId="413">
    <w:name w:val="批注主题 Char1"/>
    <w:semiHidden/>
    <w:qFormat/>
    <w:uiPriority w:val="99"/>
    <w:rPr>
      <w:rFonts w:ascii="Times New Roman" w:hAnsi="Times New Roman" w:eastAsia="宋体" w:cs="Times New Roman"/>
      <w:b/>
      <w:bCs/>
      <w:szCs w:val="21"/>
      <w:lang w:eastAsia="zh-TW"/>
    </w:rPr>
  </w:style>
  <w:style w:type="character" w:customStyle="1" w:styleId="414">
    <w:name w:val="样式 标题 3 + 华文中宋 小三 段前: 6 磅 段后: 6 磅 行距: 多倍行距 1.4 字行 Char1"/>
    <w:link w:val="415"/>
    <w:qFormat/>
    <w:uiPriority w:val="0"/>
    <w:rPr>
      <w:rFonts w:ascii="华文中宋" w:hAnsi="华文中宋" w:eastAsia="华文中宋"/>
      <w:b/>
      <w:color w:val="000000"/>
      <w:sz w:val="30"/>
    </w:rPr>
  </w:style>
  <w:style w:type="paragraph" w:customStyle="1" w:styleId="415">
    <w:name w:val="样式 标题 3 + 华文中宋 小三 段前: 6 磅 段后: 6 磅 行距: 多倍行距 1.4 字行"/>
    <w:basedOn w:val="5"/>
    <w:link w:val="414"/>
    <w:qFormat/>
    <w:uiPriority w:val="0"/>
    <w:pPr>
      <w:keepNext/>
      <w:keepLines w:val="0"/>
      <w:widowControl w:val="0"/>
      <w:tabs>
        <w:tab w:val="left" w:pos="844"/>
      </w:tabs>
      <w:snapToGrid/>
      <w:spacing w:line="360" w:lineRule="auto"/>
      <w:ind w:left="844" w:hanging="844"/>
      <w:jc w:val="left"/>
    </w:pPr>
    <w:rPr>
      <w:rFonts w:ascii="华文中宋" w:hAnsi="华文中宋" w:eastAsia="华文中宋" w:cstheme="minorBidi"/>
      <w:bCs w:val="0"/>
      <w:color w:val="000000"/>
      <w:spacing w:val="0"/>
      <w:kern w:val="2"/>
      <w:sz w:val="30"/>
      <w:szCs w:val="22"/>
      <w:lang w:eastAsia="zh-CN"/>
    </w:rPr>
  </w:style>
  <w:style w:type="character" w:customStyle="1" w:styleId="416">
    <w:name w:val="图名 Char"/>
    <w:link w:val="417"/>
    <w:qFormat/>
    <w:uiPriority w:val="0"/>
    <w:rPr>
      <w:rFonts w:ascii="黑体" w:eastAsia="黑体"/>
      <w:sz w:val="24"/>
      <w:szCs w:val="21"/>
    </w:rPr>
  </w:style>
  <w:style w:type="paragraph" w:customStyle="1" w:styleId="417">
    <w:name w:val="图名"/>
    <w:basedOn w:val="345"/>
    <w:next w:val="1"/>
    <w:link w:val="416"/>
    <w:qFormat/>
    <w:uiPriority w:val="0"/>
    <w:pPr>
      <w:autoSpaceDE/>
      <w:autoSpaceDN/>
      <w:spacing w:before="120" w:after="120"/>
      <w:ind w:left="182" w:leftChars="86" w:hanging="1"/>
      <w:jc w:val="center"/>
      <w:textAlignment w:val="baseline"/>
    </w:pPr>
    <w:rPr>
      <w:rFonts w:ascii="黑体" w:eastAsia="黑体" w:hAnsiTheme="minorHAnsi"/>
      <w:color w:val="auto"/>
      <w:spacing w:val="0"/>
      <w:kern w:val="2"/>
      <w:position w:val="0"/>
      <w:sz w:val="24"/>
    </w:rPr>
  </w:style>
  <w:style w:type="character" w:customStyle="1" w:styleId="418">
    <w:name w:val="标题 2 Char Char Char Char Char Char"/>
    <w:qFormat/>
    <w:uiPriority w:val="0"/>
    <w:rPr>
      <w:rFonts w:ascii="Arial" w:hAnsi="Arial" w:eastAsia="黑体"/>
      <w:b/>
      <w:bCs/>
      <w:kern w:val="2"/>
      <w:sz w:val="32"/>
      <w:szCs w:val="32"/>
      <w:lang w:val="en-US" w:eastAsia="zh-CN" w:bidi="ar-SA"/>
    </w:rPr>
  </w:style>
  <w:style w:type="character" w:customStyle="1" w:styleId="419">
    <w:name w:val="content1"/>
    <w:qFormat/>
    <w:uiPriority w:val="0"/>
    <w:rPr>
      <w:sz w:val="21"/>
      <w:szCs w:val="21"/>
    </w:rPr>
  </w:style>
  <w:style w:type="character" w:customStyle="1" w:styleId="420">
    <w:name w:val="中大图片名称 Char"/>
    <w:link w:val="421"/>
    <w:qFormat/>
    <w:uiPriority w:val="0"/>
    <w:rPr>
      <w:rFonts w:ascii="宋体" w:hAnsi="宋体"/>
      <w:b/>
      <w:sz w:val="24"/>
    </w:rPr>
  </w:style>
  <w:style w:type="paragraph" w:customStyle="1" w:styleId="421">
    <w:name w:val="中大图片名称"/>
    <w:basedOn w:val="1"/>
    <w:link w:val="420"/>
    <w:qFormat/>
    <w:uiPriority w:val="0"/>
    <w:pPr>
      <w:overflowPunct w:val="0"/>
      <w:autoSpaceDE w:val="0"/>
      <w:autoSpaceDN w:val="0"/>
      <w:adjustRightInd w:val="0"/>
      <w:snapToGrid w:val="0"/>
      <w:spacing w:line="400" w:lineRule="atLeast"/>
      <w:ind w:firstLine="425"/>
      <w:jc w:val="center"/>
    </w:pPr>
    <w:rPr>
      <w:rFonts w:ascii="宋体" w:hAnsi="宋体" w:eastAsiaTheme="minorEastAsia" w:cstheme="minorBidi"/>
      <w:b/>
      <w:sz w:val="24"/>
      <w:szCs w:val="22"/>
    </w:rPr>
  </w:style>
  <w:style w:type="character" w:customStyle="1" w:styleId="422">
    <w:name w:val="Char Char6"/>
    <w:qFormat/>
    <w:uiPriority w:val="0"/>
    <w:rPr>
      <w:rFonts w:eastAsia="宋体"/>
      <w:kern w:val="2"/>
      <w:sz w:val="24"/>
      <w:szCs w:val="24"/>
      <w:lang w:val="en-US" w:eastAsia="zh-CN" w:bidi="ar-SA"/>
    </w:rPr>
  </w:style>
  <w:style w:type="character" w:customStyle="1" w:styleId="423">
    <w:name w:val="表格 32 Char Char"/>
    <w:link w:val="424"/>
    <w:qFormat/>
    <w:uiPriority w:val="0"/>
    <w:rPr>
      <w:rFonts w:ascii="宋体" w:hAnsi="Impact"/>
      <w:kern w:val="24"/>
      <w:sz w:val="24"/>
      <w:szCs w:val="24"/>
    </w:rPr>
  </w:style>
  <w:style w:type="paragraph" w:customStyle="1" w:styleId="424">
    <w:name w:val="表格 32"/>
    <w:basedOn w:val="1"/>
    <w:link w:val="423"/>
    <w:qFormat/>
    <w:uiPriority w:val="0"/>
    <w:pPr>
      <w:autoSpaceDE w:val="0"/>
      <w:autoSpaceDN w:val="0"/>
      <w:adjustRightInd w:val="0"/>
      <w:jc w:val="center"/>
      <w:textAlignment w:val="baseline"/>
    </w:pPr>
    <w:rPr>
      <w:rFonts w:ascii="宋体" w:hAnsi="Impact" w:eastAsiaTheme="minorEastAsia" w:cstheme="minorBidi"/>
      <w:kern w:val="24"/>
      <w:sz w:val="24"/>
    </w:rPr>
  </w:style>
  <w:style w:type="character" w:customStyle="1" w:styleId="425">
    <w:name w:val="正文文体 Char Char"/>
    <w:link w:val="426"/>
    <w:qFormat/>
    <w:uiPriority w:val="0"/>
    <w:rPr>
      <w:rFonts w:ascii="宋体"/>
      <w:spacing w:val="8"/>
      <w:sz w:val="24"/>
    </w:rPr>
  </w:style>
  <w:style w:type="paragraph" w:customStyle="1" w:styleId="426">
    <w:name w:val="正文文体"/>
    <w:basedOn w:val="1"/>
    <w:link w:val="425"/>
    <w:qFormat/>
    <w:uiPriority w:val="0"/>
    <w:pPr>
      <w:spacing w:line="480" w:lineRule="exact"/>
      <w:jc w:val="center"/>
    </w:pPr>
    <w:rPr>
      <w:rFonts w:ascii="宋体" w:hAnsiTheme="minorHAnsi" w:eastAsiaTheme="minorEastAsia" w:cstheme="minorBidi"/>
      <w:spacing w:val="8"/>
      <w:sz w:val="24"/>
      <w:szCs w:val="22"/>
    </w:rPr>
  </w:style>
  <w:style w:type="character" w:customStyle="1" w:styleId="427">
    <w:name w:val="无间隔 Char"/>
    <w:link w:val="428"/>
    <w:qFormat/>
    <w:uiPriority w:val="0"/>
    <w:rPr>
      <w:color w:val="000000"/>
      <w:szCs w:val="24"/>
    </w:rPr>
  </w:style>
  <w:style w:type="paragraph" w:customStyle="1" w:styleId="428">
    <w:name w:val="无间隔1"/>
    <w:link w:val="427"/>
    <w:qFormat/>
    <w:uiPriority w:val="0"/>
    <w:pPr>
      <w:widowControl w:val="0"/>
      <w:spacing w:line="312" w:lineRule="auto"/>
      <w:jc w:val="center"/>
    </w:pPr>
    <w:rPr>
      <w:rFonts w:asciiTheme="minorHAnsi" w:hAnsiTheme="minorHAnsi" w:eastAsiaTheme="minorEastAsia" w:cstheme="minorBidi"/>
      <w:color w:val="000000"/>
      <w:kern w:val="2"/>
      <w:sz w:val="21"/>
      <w:szCs w:val="24"/>
      <w:lang w:val="en-US" w:eastAsia="zh-CN" w:bidi="ar-SA"/>
    </w:rPr>
  </w:style>
  <w:style w:type="character" w:customStyle="1" w:styleId="429">
    <w:name w:val="p14_black_1501"/>
    <w:qFormat/>
    <w:uiPriority w:val="0"/>
    <w:rPr>
      <w:sz w:val="22"/>
      <w:szCs w:val="22"/>
    </w:rPr>
  </w:style>
  <w:style w:type="character" w:customStyle="1" w:styleId="430">
    <w:name w:val="报告表正文 Char"/>
    <w:link w:val="431"/>
    <w:qFormat/>
    <w:locked/>
    <w:uiPriority w:val="0"/>
  </w:style>
  <w:style w:type="paragraph" w:customStyle="1" w:styleId="431">
    <w:name w:val="报告表正文"/>
    <w:basedOn w:val="1"/>
    <w:link w:val="430"/>
    <w:qFormat/>
    <w:uiPriority w:val="0"/>
    <w:pPr>
      <w:adjustRightInd w:val="0"/>
      <w:jc w:val="center"/>
      <w:textAlignment w:val="baseline"/>
    </w:pPr>
    <w:rPr>
      <w:rFonts w:asciiTheme="minorHAnsi" w:hAnsiTheme="minorHAnsi" w:eastAsiaTheme="minorEastAsia" w:cstheme="minorBidi"/>
      <w:szCs w:val="22"/>
    </w:rPr>
  </w:style>
  <w:style w:type="character" w:customStyle="1" w:styleId="432">
    <w:name w:val="样式7 Char Char"/>
    <w:link w:val="433"/>
    <w:qFormat/>
    <w:uiPriority w:val="0"/>
    <w:rPr>
      <w:sz w:val="24"/>
      <w:szCs w:val="24"/>
      <w:lang w:val="zh-CN"/>
    </w:rPr>
  </w:style>
  <w:style w:type="paragraph" w:customStyle="1" w:styleId="433">
    <w:name w:val="样式7"/>
    <w:basedOn w:val="1"/>
    <w:link w:val="432"/>
    <w:qFormat/>
    <w:uiPriority w:val="0"/>
    <w:pPr>
      <w:adjustRightInd w:val="0"/>
      <w:spacing w:line="300" w:lineRule="auto"/>
      <w:ind w:firstLine="480" w:firstLineChars="200"/>
      <w:textAlignment w:val="baseline"/>
    </w:pPr>
    <w:rPr>
      <w:rFonts w:asciiTheme="minorHAnsi" w:hAnsiTheme="minorHAnsi" w:eastAsiaTheme="minorEastAsia" w:cstheme="minorBidi"/>
      <w:sz w:val="24"/>
      <w:lang w:val="zh-CN"/>
    </w:rPr>
  </w:style>
  <w:style w:type="character" w:customStyle="1" w:styleId="434">
    <w:name w:val="缩进 Char Char"/>
    <w:qFormat/>
    <w:uiPriority w:val="0"/>
    <w:rPr>
      <w:rFonts w:eastAsia="宋体"/>
      <w:color w:val="000000"/>
      <w:sz w:val="24"/>
      <w:szCs w:val="21"/>
    </w:rPr>
  </w:style>
  <w:style w:type="character" w:customStyle="1" w:styleId="435">
    <w:name w:val="第2级标题 Char Char"/>
    <w:link w:val="436"/>
    <w:qFormat/>
    <w:uiPriority w:val="0"/>
    <w:rPr>
      <w:rFonts w:eastAsia="华文中宋"/>
      <w:b/>
      <w:bCs/>
      <w:sz w:val="32"/>
      <w:szCs w:val="32"/>
    </w:rPr>
  </w:style>
  <w:style w:type="paragraph" w:customStyle="1" w:styleId="436">
    <w:name w:val="第2级标题"/>
    <w:basedOn w:val="4"/>
    <w:next w:val="1"/>
    <w:link w:val="435"/>
    <w:qFormat/>
    <w:uiPriority w:val="0"/>
    <w:pPr>
      <w:keepNext/>
      <w:keepLines/>
      <w:pBdr>
        <w:bottom w:val="none" w:color="auto" w:sz="0" w:space="0"/>
      </w:pBdr>
      <w:tabs>
        <w:tab w:val="left" w:pos="864"/>
      </w:tabs>
      <w:spacing w:before="100" w:beforeAutospacing="1" w:after="100" w:afterAutospacing="1" w:line="500" w:lineRule="exact"/>
      <w:ind w:left="864" w:hanging="864"/>
    </w:pPr>
    <w:rPr>
      <w:rFonts w:eastAsia="华文中宋" w:asciiTheme="minorHAnsi" w:hAnsiTheme="minorHAnsi" w:cstheme="minorBidi"/>
      <w:bCs/>
      <w:caps w:val="0"/>
      <w:color w:val="auto"/>
      <w:spacing w:val="0"/>
      <w:kern w:val="2"/>
      <w:sz w:val="32"/>
      <w:szCs w:val="32"/>
      <w:lang w:eastAsia="zh-CN"/>
    </w:rPr>
  </w:style>
  <w:style w:type="character" w:customStyle="1" w:styleId="437">
    <w:name w:val="lh151"/>
    <w:qFormat/>
    <w:uiPriority w:val="0"/>
  </w:style>
  <w:style w:type="character" w:customStyle="1" w:styleId="438">
    <w:name w:val="标题1"/>
    <w:qFormat/>
    <w:uiPriority w:val="0"/>
  </w:style>
  <w:style w:type="character" w:customStyle="1" w:styleId="439">
    <w:name w:val="hei141"/>
    <w:qFormat/>
    <w:uiPriority w:val="0"/>
    <w:rPr>
      <w:sz w:val="21"/>
      <w:szCs w:val="21"/>
      <w:u w:val="none"/>
    </w:rPr>
  </w:style>
  <w:style w:type="character" w:customStyle="1" w:styleId="440">
    <w:name w:val="注释 Char Char"/>
    <w:link w:val="441"/>
    <w:qFormat/>
    <w:uiPriority w:val="0"/>
    <w:rPr>
      <w:rFonts w:ascii="宋体"/>
      <w:spacing w:val="4"/>
      <w:szCs w:val="24"/>
    </w:rPr>
  </w:style>
  <w:style w:type="paragraph" w:customStyle="1" w:styleId="441">
    <w:name w:val="注释"/>
    <w:basedOn w:val="1"/>
    <w:link w:val="440"/>
    <w:qFormat/>
    <w:uiPriority w:val="0"/>
    <w:pPr>
      <w:adjustRightInd w:val="0"/>
      <w:snapToGrid w:val="0"/>
      <w:spacing w:line="360" w:lineRule="auto"/>
      <w:textAlignment w:val="baseline"/>
    </w:pPr>
    <w:rPr>
      <w:rFonts w:ascii="宋体" w:hAnsiTheme="minorHAnsi" w:eastAsiaTheme="minorEastAsia" w:cstheme="minorBidi"/>
      <w:spacing w:val="4"/>
    </w:rPr>
  </w:style>
  <w:style w:type="character" w:customStyle="1" w:styleId="442">
    <w:name w:val="三级标题 Char"/>
    <w:link w:val="443"/>
    <w:qFormat/>
    <w:uiPriority w:val="0"/>
    <w:rPr>
      <w:rFonts w:ascii="宋体" w:hAnsi="宋体"/>
      <w:b/>
      <w:sz w:val="24"/>
      <w:szCs w:val="24"/>
    </w:rPr>
  </w:style>
  <w:style w:type="paragraph" w:customStyle="1" w:styleId="443">
    <w:name w:val="三级标题"/>
    <w:basedOn w:val="1"/>
    <w:link w:val="442"/>
    <w:qFormat/>
    <w:uiPriority w:val="0"/>
    <w:pPr>
      <w:keepNext/>
      <w:tabs>
        <w:tab w:val="left" w:pos="-420"/>
      </w:tabs>
      <w:spacing w:beforeLines="50" w:afterLines="50" w:line="360" w:lineRule="auto"/>
      <w:ind w:left="420" w:hanging="420"/>
      <w:outlineLvl w:val="2"/>
    </w:pPr>
    <w:rPr>
      <w:rFonts w:ascii="宋体" w:hAnsi="宋体" w:eastAsiaTheme="minorEastAsia" w:cstheme="minorBidi"/>
      <w:b/>
      <w:sz w:val="24"/>
    </w:rPr>
  </w:style>
  <w:style w:type="character" w:customStyle="1" w:styleId="444">
    <w:name w:val="缩进 Char"/>
    <w:link w:val="445"/>
    <w:qFormat/>
    <w:uiPriority w:val="0"/>
    <w:rPr>
      <w:rFonts w:ascii="宋体" w:hAnsi="宋体"/>
      <w:sz w:val="24"/>
      <w:szCs w:val="24"/>
    </w:rPr>
  </w:style>
  <w:style w:type="paragraph" w:customStyle="1" w:styleId="445">
    <w:name w:val="缩进"/>
    <w:basedOn w:val="1"/>
    <w:link w:val="444"/>
    <w:qFormat/>
    <w:uiPriority w:val="0"/>
    <w:pPr>
      <w:tabs>
        <w:tab w:val="left" w:pos="-52"/>
      </w:tabs>
      <w:spacing w:line="400" w:lineRule="atLeast"/>
      <w:ind w:right="-4" w:firstLine="425"/>
    </w:pPr>
    <w:rPr>
      <w:rFonts w:ascii="宋体" w:hAnsi="宋体" w:eastAsiaTheme="minorEastAsia" w:cstheme="minorBidi"/>
      <w:sz w:val="24"/>
    </w:rPr>
  </w:style>
  <w:style w:type="character" w:customStyle="1" w:styleId="446">
    <w:name w:val="正 文 Char Char"/>
    <w:qFormat/>
    <w:uiPriority w:val="0"/>
    <w:rPr>
      <w:kern w:val="2"/>
      <w:sz w:val="24"/>
      <w:szCs w:val="22"/>
    </w:rPr>
  </w:style>
  <w:style w:type="character" w:customStyle="1" w:styleId="447">
    <w:name w:val="HTML 地址 Char1"/>
    <w:qFormat/>
    <w:uiPriority w:val="0"/>
    <w:rPr>
      <w:i/>
      <w:iCs/>
      <w:kern w:val="2"/>
      <w:sz w:val="21"/>
      <w:szCs w:val="21"/>
      <w:lang w:eastAsia="zh-TW"/>
    </w:rPr>
  </w:style>
  <w:style w:type="character" w:customStyle="1" w:styleId="448">
    <w:name w:val="phone"/>
    <w:qFormat/>
    <w:uiPriority w:val="0"/>
  </w:style>
  <w:style w:type="character" w:customStyle="1" w:styleId="449">
    <w:name w:val="Char Char Char Char2"/>
    <w:qFormat/>
    <w:uiPriority w:val="0"/>
    <w:rPr>
      <w:rFonts w:ascii="黑体" w:hAnsi="宋体" w:eastAsia="黑体" w:cs="Arial"/>
      <w:kern w:val="2"/>
      <w:sz w:val="24"/>
      <w:szCs w:val="24"/>
      <w:lang w:val="en-US" w:eastAsia="zh-CN" w:bidi="ar-SA"/>
    </w:rPr>
  </w:style>
  <w:style w:type="character" w:customStyle="1" w:styleId="450">
    <w:name w:val="正文标准格式张 Char Char"/>
    <w:link w:val="451"/>
    <w:qFormat/>
    <w:uiPriority w:val="0"/>
    <w:rPr>
      <w:rFonts w:ascii="宋体" w:hAnsi="宋体"/>
      <w:sz w:val="24"/>
    </w:rPr>
  </w:style>
  <w:style w:type="paragraph" w:customStyle="1" w:styleId="451">
    <w:name w:val="正文标准格式张"/>
    <w:basedOn w:val="1"/>
    <w:link w:val="450"/>
    <w:qFormat/>
    <w:uiPriority w:val="0"/>
    <w:pPr>
      <w:adjustRightInd w:val="0"/>
      <w:snapToGrid w:val="0"/>
      <w:spacing w:line="360" w:lineRule="auto"/>
      <w:ind w:firstLine="480" w:firstLineChars="200"/>
      <w:textAlignment w:val="baseline"/>
    </w:pPr>
    <w:rPr>
      <w:rFonts w:ascii="宋体" w:hAnsi="宋体" w:eastAsiaTheme="minorEastAsia" w:cstheme="minorBidi"/>
      <w:sz w:val="24"/>
      <w:szCs w:val="22"/>
    </w:rPr>
  </w:style>
  <w:style w:type="character" w:customStyle="1" w:styleId="452">
    <w:name w:val="M表标题行 Char Char"/>
    <w:link w:val="453"/>
    <w:qFormat/>
    <w:locked/>
    <w:uiPriority w:val="0"/>
    <w:rPr>
      <w:b/>
      <w:szCs w:val="24"/>
    </w:rPr>
  </w:style>
  <w:style w:type="paragraph" w:customStyle="1" w:styleId="453">
    <w:name w:val="M表标题行"/>
    <w:basedOn w:val="1"/>
    <w:link w:val="452"/>
    <w:qFormat/>
    <w:uiPriority w:val="0"/>
    <w:pPr>
      <w:adjustRightInd w:val="0"/>
      <w:snapToGrid w:val="0"/>
      <w:jc w:val="center"/>
    </w:pPr>
    <w:rPr>
      <w:rFonts w:asciiTheme="minorHAnsi" w:hAnsiTheme="minorHAnsi" w:eastAsiaTheme="minorEastAsia" w:cstheme="minorBidi"/>
      <w:b/>
    </w:rPr>
  </w:style>
  <w:style w:type="character" w:customStyle="1" w:styleId="454">
    <w:name w:val="标题四. Char Char"/>
    <w:link w:val="455"/>
    <w:qFormat/>
    <w:uiPriority w:val="0"/>
    <w:rPr>
      <w:sz w:val="24"/>
      <w:szCs w:val="24"/>
    </w:rPr>
  </w:style>
  <w:style w:type="paragraph" w:customStyle="1" w:styleId="455">
    <w:name w:val="标题四."/>
    <w:basedOn w:val="1"/>
    <w:link w:val="454"/>
    <w:qFormat/>
    <w:uiPriority w:val="0"/>
    <w:pPr>
      <w:keepNext/>
      <w:spacing w:line="480" w:lineRule="exact"/>
      <w:ind w:firstLine="471"/>
      <w:outlineLvl w:val="3"/>
    </w:pPr>
    <w:rPr>
      <w:rFonts w:asciiTheme="minorHAnsi" w:hAnsiTheme="minorHAnsi" w:eastAsiaTheme="minorEastAsia" w:cstheme="minorBidi"/>
      <w:sz w:val="24"/>
    </w:rPr>
  </w:style>
  <w:style w:type="character" w:customStyle="1" w:styleId="456">
    <w:name w:val="一级标题 Char Char"/>
    <w:qFormat/>
    <w:uiPriority w:val="0"/>
    <w:rPr>
      <w:rFonts w:ascii="Arial" w:hAnsi="Arial" w:eastAsia="黑体"/>
      <w:kern w:val="2"/>
      <w:sz w:val="44"/>
      <w:szCs w:val="44"/>
      <w:lang w:val="zh-CN" w:eastAsia="zh-CN" w:bidi="ar-SA"/>
    </w:rPr>
  </w:style>
  <w:style w:type="character" w:customStyle="1" w:styleId="457">
    <w:name w:val="批注框文本 Char"/>
    <w:qFormat/>
    <w:uiPriority w:val="0"/>
    <w:rPr>
      <w:rFonts w:ascii="Calibri" w:hAnsi="Calibri"/>
      <w:kern w:val="2"/>
      <w:sz w:val="18"/>
      <w:szCs w:val="18"/>
      <w:lang w:eastAsia="zh-TW"/>
    </w:rPr>
  </w:style>
  <w:style w:type="character" w:customStyle="1" w:styleId="458">
    <w:name w:val="表格 32 Char"/>
    <w:qFormat/>
    <w:uiPriority w:val="0"/>
    <w:rPr>
      <w:rFonts w:ascii="宋体" w:hAnsi="Impact" w:eastAsia="宋体"/>
      <w:kern w:val="24"/>
      <w:sz w:val="24"/>
      <w:lang w:bidi="ar-SA"/>
    </w:rPr>
  </w:style>
  <w:style w:type="character" w:customStyle="1" w:styleId="459">
    <w:name w:val="脚注文本 Char1"/>
    <w:qFormat/>
    <w:uiPriority w:val="0"/>
    <w:rPr>
      <w:kern w:val="2"/>
      <w:sz w:val="18"/>
      <w:szCs w:val="18"/>
      <w:lang w:eastAsia="zh-TW"/>
    </w:rPr>
  </w:style>
  <w:style w:type="character" w:customStyle="1" w:styleId="460">
    <w:name w:val="表头 Char Char Char Char Char"/>
    <w:qFormat/>
    <w:uiPriority w:val="0"/>
    <w:rPr>
      <w:rFonts w:eastAsia="黑体"/>
      <w:kern w:val="24"/>
      <w:sz w:val="24"/>
      <w:lang w:bidi="ar-SA"/>
    </w:rPr>
  </w:style>
  <w:style w:type="character" w:customStyle="1" w:styleId="461">
    <w:name w:val="zengwen11"/>
    <w:qFormat/>
    <w:uiPriority w:val="0"/>
    <w:rPr>
      <w:color w:val="000000"/>
      <w:sz w:val="18"/>
      <w:szCs w:val="18"/>
      <w:u w:val="none"/>
    </w:rPr>
  </w:style>
  <w:style w:type="character" w:customStyle="1" w:styleId="462">
    <w:name w:val="报告正文 Char"/>
    <w:link w:val="463"/>
    <w:qFormat/>
    <w:uiPriority w:val="0"/>
    <w:rPr>
      <w:rFonts w:cs="宋体"/>
      <w:sz w:val="24"/>
      <w:szCs w:val="24"/>
    </w:rPr>
  </w:style>
  <w:style w:type="paragraph" w:customStyle="1" w:styleId="463">
    <w:name w:val="报告正文"/>
    <w:basedOn w:val="1"/>
    <w:link w:val="462"/>
    <w:qFormat/>
    <w:uiPriority w:val="0"/>
    <w:pPr>
      <w:spacing w:beforeLines="50" w:afterLines="50" w:line="460" w:lineRule="exact"/>
      <w:ind w:firstLine="200" w:firstLineChars="200"/>
    </w:pPr>
    <w:rPr>
      <w:rFonts w:cs="宋体" w:asciiTheme="minorHAnsi" w:hAnsiTheme="minorHAnsi" w:eastAsiaTheme="minorEastAsia"/>
      <w:sz w:val="24"/>
    </w:rPr>
  </w:style>
  <w:style w:type="character" w:customStyle="1" w:styleId="464">
    <w:name w:val="四级标题 Char"/>
    <w:link w:val="465"/>
    <w:qFormat/>
    <w:uiPriority w:val="0"/>
    <w:rPr>
      <w:rFonts w:ascii="宋体" w:hAnsi="宋体"/>
      <w:b/>
      <w:sz w:val="24"/>
      <w:szCs w:val="24"/>
    </w:rPr>
  </w:style>
  <w:style w:type="paragraph" w:customStyle="1" w:styleId="465">
    <w:name w:val="四级标题"/>
    <w:basedOn w:val="1"/>
    <w:link w:val="464"/>
    <w:qFormat/>
    <w:uiPriority w:val="0"/>
    <w:pPr>
      <w:keepNext/>
      <w:adjustRightInd w:val="0"/>
      <w:snapToGrid w:val="0"/>
      <w:spacing w:line="360" w:lineRule="auto"/>
    </w:pPr>
    <w:rPr>
      <w:rFonts w:ascii="宋体" w:hAnsi="宋体" w:eastAsiaTheme="minorEastAsia" w:cstheme="minorBidi"/>
      <w:b/>
      <w:sz w:val="24"/>
    </w:rPr>
  </w:style>
  <w:style w:type="character" w:customStyle="1" w:styleId="466">
    <w:name w:val="表格文字 Char"/>
    <w:link w:val="467"/>
    <w:qFormat/>
    <w:uiPriority w:val="0"/>
    <w:rPr>
      <w:rFonts w:ascii="宋体"/>
      <w:sz w:val="24"/>
      <w:lang w:eastAsia="zh-TW"/>
    </w:rPr>
  </w:style>
  <w:style w:type="paragraph" w:customStyle="1" w:styleId="467">
    <w:name w:val="表格文字"/>
    <w:basedOn w:val="1"/>
    <w:link w:val="466"/>
    <w:qFormat/>
    <w:uiPriority w:val="0"/>
    <w:pPr>
      <w:adjustRightInd w:val="0"/>
      <w:snapToGrid w:val="0"/>
      <w:jc w:val="center"/>
    </w:pPr>
    <w:rPr>
      <w:rFonts w:ascii="宋体" w:hAnsiTheme="minorHAnsi" w:eastAsiaTheme="minorEastAsia" w:cstheme="minorBidi"/>
      <w:sz w:val="24"/>
      <w:szCs w:val="22"/>
      <w:lang w:eastAsia="zh-TW"/>
    </w:rPr>
  </w:style>
  <w:style w:type="character" w:customStyle="1" w:styleId="468">
    <w:name w:val="注释标题 Char1"/>
    <w:qFormat/>
    <w:uiPriority w:val="0"/>
    <w:rPr>
      <w:kern w:val="2"/>
      <w:sz w:val="21"/>
      <w:szCs w:val="21"/>
      <w:lang w:eastAsia="zh-TW"/>
    </w:rPr>
  </w:style>
  <w:style w:type="character" w:customStyle="1" w:styleId="469">
    <w:name w:val="表格1 Char1"/>
    <w:link w:val="470"/>
    <w:qFormat/>
    <w:uiPriority w:val="0"/>
    <w:rPr>
      <w:rFonts w:ascii="CG Times (WN)"/>
      <w:sz w:val="24"/>
      <w:lang w:eastAsia="zh-TW"/>
    </w:rPr>
  </w:style>
  <w:style w:type="paragraph" w:customStyle="1" w:styleId="470">
    <w:name w:val="表格1"/>
    <w:basedOn w:val="1"/>
    <w:next w:val="1"/>
    <w:link w:val="469"/>
    <w:qFormat/>
    <w:uiPriority w:val="0"/>
    <w:pPr>
      <w:adjustRightInd w:val="0"/>
      <w:spacing w:line="360" w:lineRule="atLeast"/>
      <w:jc w:val="center"/>
      <w:textAlignment w:val="baseline"/>
    </w:pPr>
    <w:rPr>
      <w:rFonts w:ascii="CG Times (WN)" w:hAnsiTheme="minorHAnsi" w:eastAsiaTheme="minorEastAsia" w:cstheme="minorBidi"/>
      <w:sz w:val="24"/>
      <w:szCs w:val="22"/>
      <w:lang w:eastAsia="zh-TW"/>
    </w:rPr>
  </w:style>
  <w:style w:type="character" w:customStyle="1" w:styleId="471">
    <w:name w:val="图名. Char Char"/>
    <w:link w:val="472"/>
    <w:qFormat/>
    <w:uiPriority w:val="0"/>
    <w:rPr>
      <w:rFonts w:ascii="Arial" w:hAnsi="Arial" w:eastAsia="黑体"/>
      <w:sz w:val="24"/>
      <w:szCs w:val="24"/>
      <w:lang w:val="eu-ES"/>
    </w:rPr>
  </w:style>
  <w:style w:type="paragraph" w:customStyle="1" w:styleId="472">
    <w:name w:val="图名."/>
    <w:basedOn w:val="1"/>
    <w:link w:val="471"/>
    <w:qFormat/>
    <w:uiPriority w:val="0"/>
    <w:pPr>
      <w:spacing w:line="480" w:lineRule="exact"/>
      <w:jc w:val="center"/>
    </w:pPr>
    <w:rPr>
      <w:rFonts w:ascii="Arial" w:hAnsi="Arial" w:eastAsia="黑体" w:cstheme="minorBidi"/>
      <w:sz w:val="24"/>
      <w:lang w:val="eu-ES"/>
    </w:rPr>
  </w:style>
  <w:style w:type="character" w:customStyle="1" w:styleId="473">
    <w:name w:val="五级标题 Char"/>
    <w:link w:val="474"/>
    <w:qFormat/>
    <w:uiPriority w:val="0"/>
    <w:rPr>
      <w:rFonts w:ascii="宋体" w:hAnsi="宋体"/>
      <w:b/>
      <w:sz w:val="24"/>
      <w:szCs w:val="24"/>
    </w:rPr>
  </w:style>
  <w:style w:type="paragraph" w:customStyle="1" w:styleId="474">
    <w:name w:val="五级标题"/>
    <w:basedOn w:val="465"/>
    <w:link w:val="473"/>
    <w:qFormat/>
    <w:uiPriority w:val="0"/>
  </w:style>
  <w:style w:type="character" w:customStyle="1" w:styleId="475">
    <w:name w:val="postbody1"/>
    <w:qFormat/>
    <w:uiPriority w:val="0"/>
    <w:rPr>
      <w:sz w:val="18"/>
      <w:szCs w:val="18"/>
    </w:rPr>
  </w:style>
  <w:style w:type="character" w:customStyle="1" w:styleId="476">
    <w:name w:val="DL段落 Char Char"/>
    <w:link w:val="477"/>
    <w:qFormat/>
    <w:uiPriority w:val="0"/>
    <w:rPr>
      <w:sz w:val="24"/>
    </w:rPr>
  </w:style>
  <w:style w:type="paragraph" w:customStyle="1" w:styleId="477">
    <w:name w:val="DL段落"/>
    <w:basedOn w:val="1"/>
    <w:link w:val="476"/>
    <w:qFormat/>
    <w:uiPriority w:val="0"/>
    <w:pPr>
      <w:adjustRightInd w:val="0"/>
      <w:spacing w:line="360" w:lineRule="auto"/>
      <w:ind w:firstLine="200" w:firstLineChars="200"/>
      <w:textAlignment w:val="baseline"/>
    </w:pPr>
    <w:rPr>
      <w:rFonts w:asciiTheme="minorHAnsi" w:hAnsiTheme="minorHAnsi" w:eastAsiaTheme="minorEastAsia" w:cstheme="minorBidi"/>
      <w:sz w:val="24"/>
      <w:szCs w:val="22"/>
    </w:rPr>
  </w:style>
  <w:style w:type="character" w:customStyle="1" w:styleId="478">
    <w:name w:val="dectext1"/>
    <w:qFormat/>
    <w:uiPriority w:val="0"/>
  </w:style>
  <w:style w:type="character" w:customStyle="1" w:styleId="479">
    <w:name w:val="detail_style11"/>
    <w:qFormat/>
    <w:uiPriority w:val="0"/>
    <w:rPr>
      <w:rFonts w:hint="default" w:ascii="Arial" w:hAnsi="Arial" w:cs="Arial"/>
      <w:color w:val="000000"/>
      <w:sz w:val="21"/>
      <w:szCs w:val="21"/>
    </w:rPr>
  </w:style>
  <w:style w:type="character" w:customStyle="1" w:styleId="480">
    <w:name w:val="标题 3 Char Char"/>
    <w:qFormat/>
    <w:uiPriority w:val="0"/>
    <w:rPr>
      <w:rFonts w:eastAsia="仿宋_GB2312"/>
      <w:b/>
      <w:bCs/>
      <w:kern w:val="2"/>
      <w:sz w:val="24"/>
      <w:szCs w:val="24"/>
      <w:lang w:val="en-US" w:eastAsia="zh-CN"/>
    </w:rPr>
  </w:style>
  <w:style w:type="character" w:customStyle="1" w:styleId="481">
    <w:name w:val="1正文 Char"/>
    <w:link w:val="482"/>
    <w:qFormat/>
    <w:uiPriority w:val="0"/>
    <w:rPr>
      <w:b/>
      <w:sz w:val="24"/>
      <w:szCs w:val="24"/>
    </w:rPr>
  </w:style>
  <w:style w:type="paragraph" w:customStyle="1" w:styleId="482">
    <w:name w:val="1正文"/>
    <w:basedOn w:val="1"/>
    <w:link w:val="481"/>
    <w:qFormat/>
    <w:uiPriority w:val="0"/>
    <w:pPr>
      <w:spacing w:line="360" w:lineRule="auto"/>
      <w:ind w:firstLine="480" w:firstLineChars="200"/>
    </w:pPr>
    <w:rPr>
      <w:rFonts w:asciiTheme="minorHAnsi" w:hAnsiTheme="minorHAnsi" w:eastAsiaTheme="minorEastAsia" w:cstheme="minorBidi"/>
      <w:b/>
      <w:sz w:val="24"/>
    </w:rPr>
  </w:style>
  <w:style w:type="character" w:customStyle="1" w:styleId="483">
    <w:name w:val="列表(L) Char Char"/>
    <w:link w:val="484"/>
    <w:qFormat/>
    <w:uiPriority w:val="0"/>
    <w:rPr>
      <w:rFonts w:ascii="宋体" w:hAnsi="宋体"/>
    </w:rPr>
  </w:style>
  <w:style w:type="paragraph" w:customStyle="1" w:styleId="484">
    <w:name w:val="列表(L)"/>
    <w:basedOn w:val="21"/>
    <w:link w:val="483"/>
    <w:qFormat/>
    <w:uiPriority w:val="0"/>
    <w:pPr>
      <w:snapToGrid w:val="0"/>
      <w:ind w:left="0" w:firstLine="0" w:firstLineChars="0"/>
    </w:pPr>
    <w:rPr>
      <w:rFonts w:ascii="宋体" w:hAnsi="宋体" w:eastAsiaTheme="minorEastAsia" w:cstheme="minorBidi"/>
      <w:szCs w:val="22"/>
      <w:lang w:eastAsia="zh-CN"/>
    </w:rPr>
  </w:style>
  <w:style w:type="character" w:customStyle="1" w:styleId="485">
    <w:name w:val="文章正文样式 Char"/>
    <w:link w:val="486"/>
    <w:qFormat/>
    <w:uiPriority w:val="0"/>
    <w:rPr>
      <w:rFonts w:ascii="宋体" w:hAnsi="宋体" w:cs="宋体"/>
      <w:sz w:val="24"/>
    </w:rPr>
  </w:style>
  <w:style w:type="paragraph" w:customStyle="1" w:styleId="486">
    <w:name w:val="文章正文样式"/>
    <w:basedOn w:val="1"/>
    <w:link w:val="485"/>
    <w:qFormat/>
    <w:uiPriority w:val="0"/>
    <w:pPr>
      <w:spacing w:line="520" w:lineRule="exact"/>
      <w:ind w:firstLine="480" w:firstLineChars="200"/>
      <w:jc w:val="left"/>
    </w:pPr>
    <w:rPr>
      <w:rFonts w:ascii="宋体" w:hAnsi="宋体" w:cs="宋体" w:eastAsiaTheme="minorEastAsia"/>
      <w:sz w:val="24"/>
      <w:szCs w:val="22"/>
    </w:rPr>
  </w:style>
  <w:style w:type="character" w:customStyle="1" w:styleId="487">
    <w:name w:val="样式 样式 正文首行缩进 2 + 首行缩进:  2 字符1 + 宋体 Char Char"/>
    <w:link w:val="488"/>
    <w:qFormat/>
    <w:uiPriority w:val="0"/>
    <w:rPr>
      <w:rFonts w:ascii="宋体" w:hAnsi="宋体"/>
      <w:sz w:val="24"/>
    </w:rPr>
  </w:style>
  <w:style w:type="paragraph" w:customStyle="1" w:styleId="488">
    <w:name w:val="样式 样式 正文首行缩进 2 + 首行缩进:  2 字符1 + 宋体"/>
    <w:basedOn w:val="1"/>
    <w:link w:val="487"/>
    <w:qFormat/>
    <w:uiPriority w:val="0"/>
    <w:pPr>
      <w:adjustRightInd w:val="0"/>
      <w:spacing w:after="120" w:line="360" w:lineRule="auto"/>
      <w:ind w:firstLine="480" w:firstLineChars="200"/>
      <w:textAlignment w:val="baseline"/>
    </w:pPr>
    <w:rPr>
      <w:rFonts w:ascii="宋体" w:hAnsi="宋体" w:eastAsiaTheme="minorEastAsia" w:cstheme="minorBidi"/>
      <w:sz w:val="24"/>
      <w:szCs w:val="22"/>
    </w:rPr>
  </w:style>
  <w:style w:type="character" w:customStyle="1" w:styleId="489">
    <w:name w:val="样式 注释标题 + Arial Char Char"/>
    <w:link w:val="490"/>
    <w:qFormat/>
    <w:uiPriority w:val="0"/>
    <w:rPr>
      <w:rFonts w:ascii="Arial" w:hAnsi="Arial" w:eastAsia="黑体"/>
      <w:sz w:val="24"/>
    </w:rPr>
  </w:style>
  <w:style w:type="paragraph" w:customStyle="1" w:styleId="490">
    <w:name w:val="样式 注释标题 + Arial"/>
    <w:basedOn w:val="16"/>
    <w:link w:val="489"/>
    <w:qFormat/>
    <w:uiPriority w:val="0"/>
    <w:pPr>
      <w:adjustRightInd/>
      <w:snapToGrid w:val="0"/>
      <w:textAlignment w:val="auto"/>
    </w:pPr>
    <w:rPr>
      <w:rFonts w:ascii="Arial" w:hAnsi="Arial" w:eastAsia="黑体" w:cstheme="minorBidi"/>
    </w:rPr>
  </w:style>
  <w:style w:type="character" w:customStyle="1" w:styleId="491">
    <w:name w:val="Char Char Char Char Char Char1"/>
    <w:qFormat/>
    <w:uiPriority w:val="0"/>
    <w:rPr>
      <w:rFonts w:cs="Arial"/>
      <w:b/>
      <w:sz w:val="21"/>
      <w:szCs w:val="21"/>
    </w:rPr>
  </w:style>
  <w:style w:type="character" w:customStyle="1" w:styleId="492">
    <w:name w:val="样式 正 文 + (西文) Times New Roman (中文) 宋体 Char Char"/>
    <w:link w:val="493"/>
    <w:qFormat/>
    <w:uiPriority w:val="0"/>
    <w:rPr>
      <w:color w:val="000000"/>
      <w:spacing w:val="8"/>
      <w:sz w:val="24"/>
    </w:rPr>
  </w:style>
  <w:style w:type="paragraph" w:customStyle="1" w:styleId="493">
    <w:name w:val="样式 正 文 + (西文) Times New Roman (中文) 宋体"/>
    <w:basedOn w:val="1"/>
    <w:link w:val="492"/>
    <w:qFormat/>
    <w:uiPriority w:val="0"/>
    <w:pPr>
      <w:spacing w:line="480" w:lineRule="exact"/>
      <w:jc w:val="center"/>
    </w:pPr>
    <w:rPr>
      <w:rFonts w:asciiTheme="minorHAnsi" w:hAnsiTheme="minorHAnsi" w:eastAsiaTheme="minorEastAsia" w:cstheme="minorBidi"/>
      <w:color w:val="000000"/>
      <w:spacing w:val="8"/>
      <w:sz w:val="24"/>
      <w:szCs w:val="22"/>
    </w:rPr>
  </w:style>
  <w:style w:type="character" w:customStyle="1" w:styleId="494">
    <w:name w:val="页眉 Char1"/>
    <w:qFormat/>
    <w:uiPriority w:val="0"/>
    <w:rPr>
      <w:rFonts w:hint="eastAsia" w:ascii="宋体" w:hAnsi="宋体" w:eastAsia="宋体" w:cs="宋体"/>
      <w:sz w:val="18"/>
      <w:szCs w:val="18"/>
    </w:rPr>
  </w:style>
  <w:style w:type="character" w:customStyle="1" w:styleId="495">
    <w:name w:val="font81"/>
    <w:qFormat/>
    <w:uiPriority w:val="0"/>
    <w:rPr>
      <w:rFonts w:hint="eastAsia" w:ascii="宋体" w:hAnsi="宋体" w:eastAsia="宋体" w:cs="宋体"/>
      <w:color w:val="000000"/>
      <w:sz w:val="21"/>
      <w:szCs w:val="21"/>
      <w:u w:val="none"/>
    </w:rPr>
  </w:style>
  <w:style w:type="character" w:customStyle="1" w:styleId="496">
    <w:name w:val="divtxt1"/>
    <w:qFormat/>
    <w:uiPriority w:val="0"/>
    <w:rPr>
      <w:color w:val="000000"/>
      <w:spacing w:val="15"/>
    </w:rPr>
  </w:style>
  <w:style w:type="character" w:customStyle="1" w:styleId="497">
    <w:name w:val="表标题 Char Char"/>
    <w:qFormat/>
    <w:uiPriority w:val="0"/>
    <w:rPr>
      <w:rFonts w:eastAsia="宋体"/>
      <w:b/>
      <w:bCs/>
      <w:kern w:val="2"/>
      <w:sz w:val="24"/>
      <w:szCs w:val="24"/>
      <w:lang w:val="en-US" w:eastAsia="zh-CN" w:bidi="ar-SA"/>
    </w:rPr>
  </w:style>
  <w:style w:type="character" w:customStyle="1" w:styleId="498">
    <w:name w:val="页脚 Char1"/>
    <w:qFormat/>
    <w:uiPriority w:val="0"/>
    <w:rPr>
      <w:rFonts w:hint="eastAsia" w:ascii="宋体" w:hAnsi="宋体" w:eastAsia="宋体" w:cs="宋体"/>
      <w:sz w:val="18"/>
      <w:szCs w:val="18"/>
    </w:rPr>
  </w:style>
  <w:style w:type="character" w:customStyle="1" w:styleId="499">
    <w:name w:val="样式 样式 题注 + 加粗 + Times New Roman 行距: 单倍行距 Char"/>
    <w:qFormat/>
    <w:uiPriority w:val="0"/>
    <w:rPr>
      <w:rFonts w:eastAsia="黑体" w:cs="宋体"/>
      <w:kern w:val="2"/>
      <w:sz w:val="24"/>
      <w:lang w:val="en-US" w:eastAsia="zh-CN" w:bidi="ar-SA"/>
    </w:rPr>
  </w:style>
  <w:style w:type="character" w:customStyle="1" w:styleId="500">
    <w:name w:val="fontstyle01"/>
    <w:qFormat/>
    <w:uiPriority w:val="0"/>
    <w:rPr>
      <w:rFonts w:ascii="宋体" w:hAnsi="宋体" w:eastAsia="宋体" w:cs="宋体"/>
      <w:color w:val="000000"/>
      <w:sz w:val="24"/>
      <w:szCs w:val="24"/>
    </w:rPr>
  </w:style>
  <w:style w:type="character" w:customStyle="1" w:styleId="501">
    <w:name w:val="fontstyle21"/>
    <w:qFormat/>
    <w:uiPriority w:val="0"/>
    <w:rPr>
      <w:rFonts w:ascii="TimesNewRomanPSMT" w:hAnsi="TimesNewRomanPSMT" w:eastAsia="TimesNewRomanPSMT" w:cs="TimesNewRomanPSMT"/>
      <w:color w:val="000000"/>
      <w:sz w:val="24"/>
      <w:szCs w:val="24"/>
    </w:rPr>
  </w:style>
  <w:style w:type="character" w:customStyle="1" w:styleId="502">
    <w:name w:val="列表(L) Char"/>
    <w:qFormat/>
    <w:uiPriority w:val="0"/>
    <w:rPr>
      <w:kern w:val="2"/>
      <w:sz w:val="21"/>
      <w:lang w:bidi="ar-SA"/>
    </w:rPr>
  </w:style>
  <w:style w:type="character" w:customStyle="1" w:styleId="503">
    <w:name w:val="表标题 Char"/>
    <w:link w:val="504"/>
    <w:qFormat/>
    <w:uiPriority w:val="0"/>
    <w:rPr>
      <w:rFonts w:hAnsi="宋体"/>
      <w:b/>
      <w:sz w:val="24"/>
      <w:szCs w:val="24"/>
    </w:rPr>
  </w:style>
  <w:style w:type="paragraph" w:customStyle="1" w:styleId="504">
    <w:name w:val="表标题"/>
    <w:basedOn w:val="50"/>
    <w:link w:val="503"/>
    <w:qFormat/>
    <w:uiPriority w:val="0"/>
    <w:pPr>
      <w:spacing w:beforeLines="100" w:afterLines="50"/>
      <w:jc w:val="center"/>
    </w:pPr>
    <w:rPr>
      <w:rFonts w:hAnsi="宋体" w:asciiTheme="minorHAnsi" w:eastAsiaTheme="minorEastAsia" w:cstheme="minorBidi"/>
      <w:b/>
      <w:sz w:val="24"/>
      <w:szCs w:val="24"/>
      <w:lang w:eastAsia="zh-CN"/>
    </w:rPr>
  </w:style>
  <w:style w:type="character" w:customStyle="1" w:styleId="505">
    <w:name w:val="fontstyle11"/>
    <w:qFormat/>
    <w:uiPriority w:val="0"/>
    <w:rPr>
      <w:rFonts w:ascii="TimesNewRomanPSMT" w:hAnsi="TimesNewRomanPSMT" w:eastAsia="TimesNewRomanPSMT" w:cs="TimesNewRomanPSMT"/>
      <w:color w:val="000000"/>
      <w:sz w:val="24"/>
      <w:szCs w:val="24"/>
    </w:rPr>
  </w:style>
  <w:style w:type="character" w:customStyle="1" w:styleId="506">
    <w:name w:val="正文标准格式张 Char"/>
    <w:qFormat/>
    <w:uiPriority w:val="0"/>
    <w:rPr>
      <w:rFonts w:eastAsia="宋体"/>
      <w:snapToGrid w:val="0"/>
      <w:sz w:val="24"/>
      <w:lang w:val="en-US" w:eastAsia="zh-CN" w:bidi="ar-SA"/>
    </w:rPr>
  </w:style>
  <w:style w:type="character" w:customStyle="1" w:styleId="507">
    <w:name w:val="真宗兴表格标题 Char Char"/>
    <w:link w:val="508"/>
    <w:qFormat/>
    <w:uiPriority w:val="0"/>
    <w:rPr>
      <w:rFonts w:ascii="黑体" w:eastAsia="黑体"/>
      <w:sz w:val="24"/>
      <w:szCs w:val="24"/>
    </w:rPr>
  </w:style>
  <w:style w:type="paragraph" w:customStyle="1" w:styleId="508">
    <w:name w:val="真宗兴表格标题"/>
    <w:basedOn w:val="1"/>
    <w:link w:val="507"/>
    <w:qFormat/>
    <w:uiPriority w:val="0"/>
    <w:pPr>
      <w:spacing w:before="93" w:after="93" w:afterLines="30" w:line="400" w:lineRule="atLeast"/>
      <w:ind w:firstLine="480" w:firstLineChars="200"/>
      <w:jc w:val="center"/>
    </w:pPr>
    <w:rPr>
      <w:rFonts w:ascii="黑体" w:eastAsia="黑体" w:hAnsiTheme="minorHAnsi" w:cstheme="minorBidi"/>
      <w:sz w:val="24"/>
    </w:rPr>
  </w:style>
  <w:style w:type="character" w:customStyle="1" w:styleId="509">
    <w:name w:val="Char Char3"/>
    <w:qFormat/>
    <w:uiPriority w:val="0"/>
    <w:rPr>
      <w:rFonts w:ascii="Arial" w:hAnsi="Arial" w:eastAsia="黑体"/>
      <w:kern w:val="2"/>
      <w:sz w:val="24"/>
      <w:lang w:val="en-US" w:eastAsia="zh-CN" w:bidi="ar-SA"/>
    </w:rPr>
  </w:style>
  <w:style w:type="character" w:customStyle="1" w:styleId="510">
    <w:name w:val="16"/>
    <w:qFormat/>
    <w:uiPriority w:val="0"/>
    <w:rPr>
      <w:rFonts w:hint="eastAsia" w:ascii="宋体" w:hAnsi="宋体" w:eastAsia="宋体"/>
      <w:color w:val="000000"/>
      <w:sz w:val="21"/>
      <w:szCs w:val="21"/>
    </w:rPr>
  </w:style>
  <w:style w:type="character" w:customStyle="1" w:styleId="511">
    <w:name w:val="纯文本 Char2"/>
    <w:qFormat/>
    <w:uiPriority w:val="0"/>
    <w:rPr>
      <w:rFonts w:hint="eastAsia" w:ascii="宋体" w:hAnsi="Courier New" w:eastAsia="宋体" w:cs="Courier New"/>
      <w:sz w:val="21"/>
      <w:szCs w:val="21"/>
    </w:rPr>
  </w:style>
  <w:style w:type="character" w:customStyle="1" w:styleId="512">
    <w:name w:val="样式 Char Char Char Char Char Char Char Char Char Char + 黑色 行距: 多... Char"/>
    <w:link w:val="513"/>
    <w:qFormat/>
    <w:uiPriority w:val="0"/>
    <w:rPr>
      <w:rFonts w:ascii="宋体" w:hAnsi="宋体" w:cs="宋体"/>
      <w:color w:val="000000"/>
      <w:sz w:val="24"/>
    </w:rPr>
  </w:style>
  <w:style w:type="paragraph" w:customStyle="1" w:styleId="513">
    <w:name w:val="样式 Char Char Char Char Char Char Char Char Char Char + 黑色 行距: 多..."/>
    <w:basedOn w:val="1"/>
    <w:link w:val="512"/>
    <w:qFormat/>
    <w:uiPriority w:val="0"/>
    <w:pPr>
      <w:spacing w:line="336" w:lineRule="auto"/>
      <w:ind w:right="210" w:rightChars="100" w:firstLine="480" w:firstLineChars="200"/>
      <w:jc w:val="left"/>
    </w:pPr>
    <w:rPr>
      <w:rFonts w:ascii="宋体" w:hAnsi="宋体" w:cs="宋体" w:eastAsiaTheme="minorEastAsia"/>
      <w:color w:val="000000"/>
      <w:sz w:val="24"/>
      <w:szCs w:val="22"/>
    </w:rPr>
  </w:style>
  <w:style w:type="character" w:customStyle="1" w:styleId="514">
    <w:name w:val="正文(首行缩进) Char"/>
    <w:link w:val="515"/>
    <w:qFormat/>
    <w:uiPriority w:val="0"/>
    <w:rPr>
      <w:sz w:val="24"/>
      <w:szCs w:val="21"/>
      <w:lang w:eastAsia="zh-TW"/>
    </w:rPr>
  </w:style>
  <w:style w:type="paragraph" w:customStyle="1" w:styleId="515">
    <w:name w:val="正文(首行缩进)"/>
    <w:basedOn w:val="1"/>
    <w:link w:val="514"/>
    <w:qFormat/>
    <w:uiPriority w:val="0"/>
    <w:pPr>
      <w:spacing w:line="360" w:lineRule="auto"/>
      <w:ind w:firstLine="480" w:firstLineChars="200"/>
    </w:pPr>
    <w:rPr>
      <w:rFonts w:asciiTheme="minorHAnsi" w:hAnsiTheme="minorHAnsi" w:eastAsiaTheme="minorEastAsia" w:cstheme="minorBidi"/>
      <w:sz w:val="24"/>
      <w:lang w:eastAsia="zh-TW"/>
    </w:rPr>
  </w:style>
  <w:style w:type="character" w:customStyle="1" w:styleId="516">
    <w:name w:val="zw1"/>
    <w:qFormat/>
    <w:uiPriority w:val="0"/>
    <w:rPr>
      <w:rFonts w:hint="eastAsia" w:ascii="宋体" w:hAnsi="宋体" w:eastAsia="宋体"/>
      <w:sz w:val="22"/>
      <w:szCs w:val="22"/>
    </w:rPr>
  </w:style>
  <w:style w:type="paragraph" w:customStyle="1" w:styleId="517">
    <w:name w:val="普通(Web)"/>
    <w:basedOn w:val="1"/>
    <w:qFormat/>
    <w:uiPriority w:val="0"/>
    <w:pPr>
      <w:widowControl/>
      <w:spacing w:before="100" w:beforeAutospacing="1" w:after="100" w:afterAutospacing="1"/>
      <w:jc w:val="left"/>
    </w:pPr>
    <w:rPr>
      <w:rFonts w:ascii="宋体" w:hAnsi="宋体" w:cs="宋体"/>
      <w:sz w:val="24"/>
    </w:rPr>
  </w:style>
  <w:style w:type="paragraph" w:customStyle="1" w:styleId="518">
    <w:name w:val="T表格"/>
    <w:qFormat/>
    <w:uiPriority w:val="0"/>
    <w:pPr>
      <w:jc w:val="center"/>
    </w:pPr>
    <w:rPr>
      <w:rFonts w:ascii="Times New Roman" w:hAnsi="Times New Roman" w:eastAsia="宋体" w:cs="Times New Roman"/>
      <w:sz w:val="21"/>
      <w:lang w:val="en-US" w:eastAsia="zh-CN" w:bidi="ar-SA"/>
    </w:rPr>
  </w:style>
  <w:style w:type="paragraph" w:customStyle="1" w:styleId="519">
    <w:name w:val="第几节"/>
    <w:basedOn w:val="1"/>
    <w:qFormat/>
    <w:uiPriority w:val="0"/>
    <w:pPr>
      <w:widowControl/>
      <w:adjustRightInd w:val="0"/>
      <w:snapToGrid w:val="0"/>
      <w:spacing w:beforeLines="50" w:line="360" w:lineRule="auto"/>
      <w:ind w:firstLine="480" w:firstLineChars="200"/>
      <w:jc w:val="center"/>
    </w:pPr>
    <w:rPr>
      <w:rFonts w:ascii="宋体" w:hAnsi="宋体" w:eastAsia="黑体" w:cs="宋体"/>
      <w:b/>
      <w:bCs/>
      <w:color w:val="000000"/>
      <w:sz w:val="30"/>
      <w:szCs w:val="30"/>
    </w:rPr>
  </w:style>
  <w:style w:type="paragraph" w:customStyle="1" w:styleId="520">
    <w:name w:val="xl27"/>
    <w:basedOn w:val="1"/>
    <w:qFormat/>
    <w:uiPriority w:val="0"/>
    <w:pPr>
      <w:widowControl/>
      <w:pBdr>
        <w:top w:val="single" w:color="auto" w:sz="4" w:space="0"/>
        <w:left w:val="single" w:color="auto" w:sz="4" w:space="0"/>
        <w:bottom w:val="single" w:color="auto" w:sz="4" w:space="0"/>
        <w:right w:val="single" w:color="auto" w:sz="4" w:space="0"/>
      </w:pBdr>
      <w:spacing w:before="100" w:after="100"/>
      <w:jc w:val="left"/>
    </w:pPr>
    <w:rPr>
      <w:rFonts w:ascii="宋体" w:hAnsi="宋体"/>
      <w:sz w:val="20"/>
    </w:rPr>
  </w:style>
  <w:style w:type="paragraph" w:customStyle="1" w:styleId="521">
    <w:name w:val="样式 标题 3 + 左侧:  0 厘米 首行缩进:  0 厘米"/>
    <w:basedOn w:val="5"/>
    <w:qFormat/>
    <w:uiPriority w:val="0"/>
    <w:pPr>
      <w:keepNext/>
      <w:widowControl w:val="0"/>
      <w:spacing w:before="240" w:line="360" w:lineRule="auto"/>
      <w:textAlignment w:val="auto"/>
    </w:pPr>
    <w:rPr>
      <w:rFonts w:ascii="宋体" w:hAnsi="宋体" w:eastAsia="黑体" w:cs="宋体"/>
      <w:bCs w:val="0"/>
      <w:color w:val="000000"/>
      <w:spacing w:val="0"/>
      <w:kern w:val="2"/>
      <w:szCs w:val="20"/>
      <w:lang w:eastAsia="zh-CN"/>
    </w:rPr>
  </w:style>
  <w:style w:type="paragraph" w:customStyle="1" w:styleId="522">
    <w:name w:val="Date1"/>
    <w:basedOn w:val="1"/>
    <w:next w:val="1"/>
    <w:qFormat/>
    <w:uiPriority w:val="0"/>
    <w:pPr>
      <w:adjustRightInd w:val="0"/>
      <w:textAlignment w:val="baseline"/>
    </w:pPr>
    <w:rPr>
      <w:rFonts w:ascii="Calibri" w:hAnsi="Calibri"/>
      <w:lang w:eastAsia="zh-TW"/>
    </w:rPr>
  </w:style>
  <w:style w:type="paragraph" w:customStyle="1" w:styleId="523">
    <w:name w:val="样式 标题 4H4Subsection + 黑色"/>
    <w:basedOn w:val="6"/>
    <w:qFormat/>
    <w:uiPriority w:val="0"/>
    <w:pPr>
      <w:keepNext w:val="0"/>
      <w:keepLines w:val="0"/>
      <w:tabs>
        <w:tab w:val="left" w:pos="34"/>
      </w:tabs>
      <w:adjustRightInd w:val="0"/>
      <w:snapToGrid w:val="0"/>
      <w:ind w:firstLine="482" w:firstLineChars="200"/>
    </w:pPr>
    <w:rPr>
      <w:rFonts w:ascii="宋体" w:hAnsi="宋体"/>
      <w:bCs/>
      <w:color w:val="000000"/>
      <w:sz w:val="24"/>
      <w:szCs w:val="24"/>
      <w:lang w:eastAsia="zh-CN"/>
    </w:rPr>
  </w:style>
  <w:style w:type="paragraph" w:customStyle="1" w:styleId="524">
    <w:name w:val="文字"/>
    <w:basedOn w:val="1"/>
    <w:qFormat/>
    <w:uiPriority w:val="0"/>
    <w:pPr>
      <w:spacing w:line="360" w:lineRule="auto"/>
    </w:pPr>
    <w:rPr>
      <w:sz w:val="24"/>
    </w:rPr>
  </w:style>
  <w:style w:type="paragraph" w:customStyle="1" w:styleId="525">
    <w:name w:val="样式 样式 标题 4H4Subsection + 黑色 + 段前: 0.5 行 段后: 0.5 行"/>
    <w:basedOn w:val="523"/>
    <w:qFormat/>
    <w:uiPriority w:val="0"/>
    <w:pPr>
      <w:spacing w:before="120" w:after="120"/>
    </w:pPr>
    <w:rPr>
      <w:rFonts w:cs="宋体"/>
      <w:b w:val="0"/>
      <w:szCs w:val="20"/>
    </w:rPr>
  </w:style>
  <w:style w:type="paragraph" w:customStyle="1" w:styleId="526">
    <w:name w:val="样式 行距: 固定值 25 磅"/>
    <w:basedOn w:val="1"/>
    <w:qFormat/>
    <w:uiPriority w:val="0"/>
    <w:pPr>
      <w:spacing w:line="360" w:lineRule="auto"/>
      <w:ind w:firstLine="480" w:firstLineChars="200"/>
    </w:pPr>
    <w:rPr>
      <w:rFonts w:cs="宋体"/>
      <w:sz w:val="24"/>
    </w:rPr>
  </w:style>
  <w:style w:type="paragraph" w:customStyle="1" w:styleId="527">
    <w:name w:val="表格 21"/>
    <w:qFormat/>
    <w:uiPriority w:val="0"/>
    <w:pPr>
      <w:widowControl w:val="0"/>
      <w:autoSpaceDE w:val="0"/>
      <w:autoSpaceDN w:val="0"/>
      <w:adjustRightInd w:val="0"/>
      <w:jc w:val="center"/>
      <w:textAlignment w:val="baseline"/>
    </w:pPr>
    <w:rPr>
      <w:rFonts w:ascii="Times New Roman" w:hAnsi="Times New Roman" w:eastAsia="仿宋体" w:cs="Times New Roman"/>
      <w:sz w:val="28"/>
      <w:lang w:val="en-US" w:eastAsia="zh-CN" w:bidi="ar-SA"/>
    </w:rPr>
  </w:style>
  <w:style w:type="paragraph" w:customStyle="1" w:styleId="528">
    <w:name w:val="页面 4"/>
    <w:basedOn w:val="529"/>
    <w:qFormat/>
    <w:uiPriority w:val="0"/>
    <w:rPr>
      <w:rFonts w:eastAsia="隶书"/>
      <w:sz w:val="48"/>
    </w:rPr>
  </w:style>
  <w:style w:type="paragraph" w:customStyle="1" w:styleId="529">
    <w:name w:val="页面"/>
    <w:qFormat/>
    <w:uiPriority w:val="0"/>
    <w:pPr>
      <w:widowControl w:val="0"/>
      <w:adjustRightInd w:val="0"/>
      <w:jc w:val="center"/>
    </w:pPr>
    <w:rPr>
      <w:rFonts w:ascii="Times New Roman" w:hAnsi="Times New Roman" w:eastAsia="宋体" w:cs="Times New Roman"/>
      <w:sz w:val="28"/>
      <w:lang w:val="en-US" w:eastAsia="zh-CN" w:bidi="ar-SA"/>
    </w:rPr>
  </w:style>
  <w:style w:type="paragraph" w:customStyle="1" w:styleId="530">
    <w:name w:val="样式 标题 3标题 3 Char标题3H3h33rd level第二层条三级标题ReHead 3 WSA头...1"/>
    <w:basedOn w:val="5"/>
    <w:qFormat/>
    <w:uiPriority w:val="0"/>
    <w:pPr>
      <w:keepNext/>
      <w:tabs>
        <w:tab w:val="left" w:pos="-840"/>
      </w:tabs>
      <w:adjustRightInd/>
      <w:snapToGrid/>
      <w:spacing w:line="360" w:lineRule="auto"/>
      <w:ind w:left="840" w:hanging="420"/>
      <w:textAlignment w:val="auto"/>
    </w:pPr>
    <w:rPr>
      <w:rFonts w:ascii="宋体" w:hAnsi="宋体"/>
      <w:spacing w:val="0"/>
      <w:kern w:val="2"/>
      <w:lang w:eastAsia="zh-CN"/>
    </w:rPr>
  </w:style>
  <w:style w:type="paragraph" w:customStyle="1" w:styleId="531">
    <w:name w:val="表格 22"/>
    <w:basedOn w:val="527"/>
    <w:qFormat/>
    <w:uiPriority w:val="0"/>
    <w:rPr>
      <w:sz w:val="24"/>
    </w:rPr>
  </w:style>
  <w:style w:type="paragraph" w:customStyle="1" w:styleId="532">
    <w:name w:val="样式 标题 2SeHead wsa2H21标题 1.1Chapter TitleChapter节标题 1.1h..."/>
    <w:basedOn w:val="4"/>
    <w:qFormat/>
    <w:uiPriority w:val="0"/>
    <w:pPr>
      <w:keepNext/>
      <w:keepLines/>
      <w:pBdr>
        <w:bottom w:val="none" w:color="auto" w:sz="0" w:space="0"/>
      </w:pBdr>
      <w:tabs>
        <w:tab w:val="left" w:pos="480"/>
        <w:tab w:val="left" w:pos="630"/>
      </w:tabs>
      <w:spacing w:before="100" w:beforeAutospacing="1" w:after="100" w:afterAutospacing="1" w:line="240" w:lineRule="auto"/>
      <w:ind w:left="480" w:hanging="480"/>
      <w:jc w:val="left"/>
    </w:pPr>
    <w:rPr>
      <w:bCs/>
      <w:caps w:val="0"/>
      <w:color w:val="auto"/>
      <w:spacing w:val="0"/>
      <w:kern w:val="2"/>
      <w:sz w:val="32"/>
      <w:szCs w:val="32"/>
      <w:lang w:eastAsia="zh-CN"/>
    </w:rPr>
  </w:style>
  <w:style w:type="paragraph" w:customStyle="1" w:styleId="533">
    <w:name w:val="T正文"/>
    <w:qFormat/>
    <w:uiPriority w:val="0"/>
    <w:pPr>
      <w:widowControl w:val="0"/>
      <w:adjustRightInd w:val="0"/>
      <w:snapToGrid w:val="0"/>
      <w:spacing w:line="360" w:lineRule="auto"/>
      <w:ind w:firstLine="200" w:firstLineChars="200"/>
      <w:jc w:val="both"/>
    </w:pPr>
    <w:rPr>
      <w:rFonts w:ascii="Calibri" w:hAnsi="Calibri" w:eastAsia="仿宋_GB2312" w:cs="Times New Roman"/>
      <w:sz w:val="28"/>
      <w:szCs w:val="22"/>
      <w:lang w:val="en-US" w:eastAsia="zh-CN" w:bidi="ar-SA"/>
    </w:rPr>
  </w:style>
  <w:style w:type="paragraph" w:customStyle="1" w:styleId="534">
    <w:name w:val="条文1"/>
    <w:basedOn w:val="1"/>
    <w:qFormat/>
    <w:uiPriority w:val="0"/>
    <w:pPr>
      <w:tabs>
        <w:tab w:val="left" w:pos="2565"/>
      </w:tabs>
      <w:spacing w:line="360" w:lineRule="auto"/>
      <w:ind w:left="1845"/>
    </w:pPr>
    <w:rPr>
      <w:rFonts w:ascii="MS UI Gothic" w:hAnsi="MS UI Gothic"/>
      <w:bCs/>
      <w:kern w:val="44"/>
      <w:sz w:val="24"/>
      <w:szCs w:val="44"/>
    </w:rPr>
  </w:style>
  <w:style w:type="paragraph" w:customStyle="1" w:styleId="535">
    <w:name w:val="Char Char Char Char Char Char1 Char Char Char1 Char Char Char1 Char Char Char Char Char Char Char Char Char Char"/>
    <w:basedOn w:val="1"/>
    <w:next w:val="1"/>
    <w:qFormat/>
    <w:uiPriority w:val="0"/>
    <w:pPr>
      <w:spacing w:line="360" w:lineRule="auto"/>
      <w:ind w:firstLine="200" w:firstLineChars="200"/>
    </w:pPr>
    <w:rPr>
      <w:rFonts w:ascii="宋体" w:hAnsi="宋体" w:cs="宋体"/>
      <w:sz w:val="24"/>
    </w:rPr>
  </w:style>
  <w:style w:type="paragraph" w:customStyle="1" w:styleId="536">
    <w:name w:val="页面 8"/>
    <w:basedOn w:val="529"/>
    <w:qFormat/>
    <w:uiPriority w:val="0"/>
    <w:rPr>
      <w:sz w:val="30"/>
    </w:rPr>
  </w:style>
  <w:style w:type="paragraph" w:customStyle="1" w:styleId="537">
    <w:name w:val="1"/>
    <w:next w:val="1"/>
    <w:unhideWhenUsed/>
    <w:qFormat/>
    <w:uiPriority w:val="99"/>
    <w:pPr>
      <w:widowControl w:val="0"/>
      <w:jc w:val="both"/>
    </w:pPr>
    <w:rPr>
      <w:rFonts w:ascii="Calibri" w:hAnsi="Calibri" w:eastAsia="宋体" w:cs="Times New Roman"/>
      <w:kern w:val="2"/>
      <w:sz w:val="21"/>
      <w:szCs w:val="21"/>
      <w:lang w:val="en-US" w:eastAsia="zh-TW" w:bidi="ar-SA"/>
    </w:rPr>
  </w:style>
  <w:style w:type="paragraph" w:customStyle="1" w:styleId="538">
    <w:name w:val="Char Char Char Char Char Char Char Char Char Char Char Char"/>
    <w:basedOn w:val="1"/>
    <w:qFormat/>
    <w:uiPriority w:val="0"/>
    <w:pPr>
      <w:adjustRightInd w:val="0"/>
      <w:spacing w:line="360" w:lineRule="auto"/>
    </w:pPr>
    <w:rPr>
      <w:sz w:val="24"/>
    </w:rPr>
  </w:style>
  <w:style w:type="paragraph" w:customStyle="1" w:styleId="539">
    <w:name w:val="目录 71"/>
    <w:basedOn w:val="13"/>
    <w:qFormat/>
    <w:uiPriority w:val="0"/>
    <w:pPr>
      <w:tabs>
        <w:tab w:val="right" w:leader="dot" w:pos="9071"/>
      </w:tabs>
      <w:ind w:left="567" w:leftChars="0"/>
      <w:jc w:val="center"/>
    </w:pPr>
    <w:rPr>
      <w:rFonts w:ascii="Times New Roman" w:hAnsi="Times New Roman" w:eastAsia="楷体_GB2312"/>
      <w:szCs w:val="20"/>
    </w:rPr>
  </w:style>
  <w:style w:type="paragraph" w:customStyle="1" w:styleId="540">
    <w:name w:val="字元 字元1 Char Char 字元 字元"/>
    <w:basedOn w:val="1"/>
    <w:qFormat/>
    <w:uiPriority w:val="0"/>
    <w:rPr>
      <w:sz w:val="24"/>
    </w:rPr>
  </w:style>
  <w:style w:type="paragraph" w:customStyle="1" w:styleId="541">
    <w:name w:val="样式 标题 3 + 段前: 0.5 行"/>
    <w:basedOn w:val="5"/>
    <w:qFormat/>
    <w:uiPriority w:val="0"/>
    <w:pPr>
      <w:keepNext/>
      <w:widowControl w:val="0"/>
      <w:adjustRightInd/>
      <w:snapToGrid/>
      <w:spacing w:before="100" w:beforeLines="50" w:beforeAutospacing="1" w:after="100" w:afterAutospacing="1"/>
      <w:ind w:firstLine="482"/>
      <w:jc w:val="left"/>
      <w:textAlignment w:val="auto"/>
    </w:pPr>
    <w:rPr>
      <w:rFonts w:cs="宋体"/>
      <w:spacing w:val="0"/>
      <w:kern w:val="2"/>
      <w:szCs w:val="20"/>
      <w:lang w:eastAsia="zh-CN"/>
    </w:rPr>
  </w:style>
  <w:style w:type="paragraph" w:customStyle="1" w:styleId="542">
    <w:name w:val="5"/>
    <w:basedOn w:val="1"/>
    <w:next w:val="36"/>
    <w:qFormat/>
    <w:uiPriority w:val="0"/>
    <w:pPr>
      <w:spacing w:line="360" w:lineRule="auto"/>
    </w:pPr>
    <w:rPr>
      <w:sz w:val="24"/>
    </w:rPr>
  </w:style>
  <w:style w:type="paragraph" w:customStyle="1" w:styleId="543">
    <w:name w:val="Char Char2 Char Char Char Char1"/>
    <w:basedOn w:val="1"/>
    <w:semiHidden/>
    <w:qFormat/>
    <w:uiPriority w:val="0"/>
    <w:pPr>
      <w:widowControl/>
      <w:jc w:val="left"/>
    </w:pPr>
    <w:rPr>
      <w:sz w:val="24"/>
      <w:lang w:val="pl-PL" w:eastAsia="pl-PL"/>
    </w:rPr>
  </w:style>
  <w:style w:type="paragraph" w:customStyle="1" w:styleId="544">
    <w:name w:val="unnamed2"/>
    <w:basedOn w:val="1"/>
    <w:qFormat/>
    <w:uiPriority w:val="0"/>
    <w:pPr>
      <w:widowControl/>
      <w:spacing w:before="100" w:beforeAutospacing="1" w:after="100" w:afterAutospacing="1" w:line="360" w:lineRule="auto"/>
      <w:ind w:left="-2" w:leftChars="-1" w:firstLine="456" w:firstLineChars="190"/>
      <w:jc w:val="left"/>
    </w:pPr>
    <w:rPr>
      <w:rFonts w:ascii="宋体" w:hAnsi="宋体" w:cs="宋体"/>
      <w:sz w:val="24"/>
    </w:rPr>
  </w:style>
  <w:style w:type="paragraph" w:customStyle="1" w:styleId="545">
    <w:name w:val="标题11"/>
    <w:basedOn w:val="1"/>
    <w:qFormat/>
    <w:uiPriority w:val="0"/>
    <w:pPr>
      <w:adjustRightInd w:val="0"/>
      <w:ind w:left="210" w:hanging="210"/>
      <w:jc w:val="left"/>
      <w:textAlignment w:val="baseline"/>
    </w:pPr>
    <w:rPr>
      <w:sz w:val="24"/>
    </w:rPr>
  </w:style>
  <w:style w:type="paragraph" w:styleId="546">
    <w:name w:val="List Paragraph"/>
    <w:basedOn w:val="1"/>
    <w:qFormat/>
    <w:uiPriority w:val="0"/>
    <w:pPr>
      <w:adjustRightInd w:val="0"/>
      <w:spacing w:line="360" w:lineRule="auto"/>
      <w:ind w:firstLine="420" w:firstLineChars="200"/>
      <w:textAlignment w:val="baseline"/>
    </w:pPr>
    <w:rPr>
      <w:rFonts w:ascii="Calibri" w:hAnsi="Calibri" w:eastAsia="Times New Roman"/>
      <w:sz w:val="24"/>
      <w:szCs w:val="22"/>
    </w:rPr>
  </w:style>
  <w:style w:type="paragraph" w:customStyle="1" w:styleId="547">
    <w:name w:val="10"/>
    <w:basedOn w:val="1"/>
    <w:next w:val="37"/>
    <w:qFormat/>
    <w:uiPriority w:val="0"/>
    <w:pPr>
      <w:spacing w:line="360" w:lineRule="auto"/>
      <w:ind w:firstLine="425"/>
    </w:pPr>
    <w:rPr>
      <w:rFonts w:eastAsia="楷体_GB2312"/>
      <w:sz w:val="24"/>
    </w:rPr>
  </w:style>
  <w:style w:type="paragraph" w:customStyle="1" w:styleId="548">
    <w:name w:val="样式 标题 4H4Subsection + 黑色 段前: 0.5 行 段后: 0.5 行"/>
    <w:basedOn w:val="6"/>
    <w:qFormat/>
    <w:uiPriority w:val="0"/>
    <w:pPr>
      <w:keepNext w:val="0"/>
      <w:keepLines w:val="0"/>
      <w:tabs>
        <w:tab w:val="left" w:pos="600"/>
        <w:tab w:val="left" w:pos="926"/>
      </w:tabs>
      <w:spacing w:before="120" w:beforeLines="50" w:after="120" w:afterLines="50"/>
      <w:ind w:left="926" w:hanging="864"/>
    </w:pPr>
    <w:rPr>
      <w:rFonts w:ascii="Times New Roman" w:hAnsi="Times New Roman" w:eastAsia="黑体" w:cs="宋体"/>
      <w:b w:val="0"/>
      <w:color w:val="000000"/>
      <w:sz w:val="24"/>
      <w:szCs w:val="24"/>
      <w:lang w:eastAsia="zh-CN"/>
    </w:rPr>
  </w:style>
  <w:style w:type="paragraph" w:customStyle="1" w:styleId="549">
    <w:name w:val="正文 3"/>
    <w:basedOn w:val="1"/>
    <w:qFormat/>
    <w:uiPriority w:val="0"/>
    <w:pPr>
      <w:autoSpaceDE w:val="0"/>
      <w:autoSpaceDN w:val="0"/>
      <w:adjustRightInd w:val="0"/>
      <w:spacing w:line="300" w:lineRule="auto"/>
      <w:ind w:firstLine="567"/>
      <w:textAlignment w:val="baseline"/>
    </w:pPr>
    <w:rPr>
      <w:rFonts w:eastAsia="楷体_GB2312"/>
    </w:rPr>
  </w:style>
  <w:style w:type="paragraph" w:customStyle="1" w:styleId="550">
    <w:name w:val="图表文字"/>
    <w:basedOn w:val="1"/>
    <w:qFormat/>
    <w:uiPriority w:val="0"/>
    <w:pPr>
      <w:widowControl/>
      <w:adjustRightInd w:val="0"/>
      <w:spacing w:before="120" w:after="120"/>
      <w:jc w:val="center"/>
    </w:pPr>
    <w:rPr>
      <w:rFonts w:ascii="黑体" w:eastAsia="黑体"/>
      <w:sz w:val="28"/>
    </w:rPr>
  </w:style>
  <w:style w:type="paragraph" w:customStyle="1" w:styleId="551">
    <w:name w:val="样式16"/>
    <w:basedOn w:val="1"/>
    <w:qFormat/>
    <w:uiPriority w:val="0"/>
    <w:pPr>
      <w:spacing w:beforeLines="50" w:afterLines="50"/>
    </w:pPr>
    <w:rPr>
      <w:b/>
    </w:rPr>
  </w:style>
  <w:style w:type="paragraph" w:customStyle="1" w:styleId="552">
    <w:name w:val="TOC 标题1"/>
    <w:basedOn w:val="3"/>
    <w:next w:val="1"/>
    <w:qFormat/>
    <w:uiPriority w:val="39"/>
    <w:pPr>
      <w:keepLines/>
      <w:widowControl/>
      <w:overflowPunct/>
      <w:snapToGrid/>
      <w:spacing w:before="240" w:after="0"/>
      <w:ind w:left="0" w:firstLine="0"/>
      <w:jc w:val="left"/>
      <w:outlineLvl w:val="9"/>
    </w:pPr>
    <w:rPr>
      <w:rFonts w:ascii="Calibri Light" w:hAnsi="Calibri Light" w:eastAsia="宋体"/>
      <w:b w:val="0"/>
      <w:bCs w:val="0"/>
      <w:color w:val="2E74B5"/>
      <w:kern w:val="0"/>
      <w:sz w:val="32"/>
      <w:szCs w:val="32"/>
    </w:rPr>
  </w:style>
  <w:style w:type="paragraph" w:customStyle="1" w:styleId="553">
    <w:name w:val="表题 3"/>
    <w:basedOn w:val="554"/>
    <w:qFormat/>
    <w:uiPriority w:val="0"/>
    <w:rPr>
      <w:sz w:val="24"/>
    </w:rPr>
  </w:style>
  <w:style w:type="paragraph" w:customStyle="1" w:styleId="554">
    <w:name w:val="表题 1"/>
    <w:qFormat/>
    <w:uiPriority w:val="0"/>
    <w:pPr>
      <w:widowControl w:val="0"/>
      <w:adjustRightInd w:val="0"/>
      <w:spacing w:before="120" w:after="120"/>
      <w:jc w:val="center"/>
      <w:textAlignment w:val="baseline"/>
    </w:pPr>
    <w:rPr>
      <w:rFonts w:ascii="Times New Roman" w:hAnsi="Times New Roman" w:eastAsia="宋体" w:cs="Times New Roman"/>
      <w:sz w:val="30"/>
      <w:lang w:val="en-US" w:eastAsia="zh-CN" w:bidi="ar-SA"/>
    </w:rPr>
  </w:style>
  <w:style w:type="paragraph" w:customStyle="1" w:styleId="555">
    <w:name w:val="Char Char Char Char Char Char Char Char Char Char1 Char Char Char Char Char Char Char Char Char Char Char Char Char Char Char Char Char Char"/>
    <w:basedOn w:val="1"/>
    <w:semiHidden/>
    <w:qFormat/>
    <w:uiPriority w:val="0"/>
  </w:style>
  <w:style w:type="paragraph" w:customStyle="1" w:styleId="556">
    <w:name w:val="表题 12"/>
    <w:basedOn w:val="557"/>
    <w:qFormat/>
    <w:uiPriority w:val="0"/>
    <w:rPr>
      <w:sz w:val="28"/>
    </w:rPr>
  </w:style>
  <w:style w:type="paragraph" w:customStyle="1" w:styleId="557">
    <w:name w:val="表题 11"/>
    <w:qFormat/>
    <w:uiPriority w:val="0"/>
    <w:pPr>
      <w:widowControl w:val="0"/>
      <w:adjustRightInd w:val="0"/>
      <w:spacing w:before="120" w:after="120"/>
      <w:jc w:val="center"/>
      <w:textAlignment w:val="baseline"/>
    </w:pPr>
    <w:rPr>
      <w:rFonts w:ascii="Times New Roman" w:hAnsi="Times New Roman" w:eastAsia="宋体" w:cs="Times New Roman"/>
      <w:sz w:val="30"/>
      <w:lang w:val="en-US" w:eastAsia="zh-CN" w:bidi="ar-SA"/>
    </w:rPr>
  </w:style>
  <w:style w:type="paragraph" w:customStyle="1" w:styleId="558">
    <w:name w:val="mm正文"/>
    <w:basedOn w:val="1"/>
    <w:qFormat/>
    <w:uiPriority w:val="0"/>
    <w:pPr>
      <w:spacing w:line="480" w:lineRule="exact"/>
      <w:ind w:firstLine="200" w:firstLineChars="200"/>
    </w:pPr>
    <w:rPr>
      <w:rFonts w:ascii="Calibri" w:hAnsi="Calibri" w:cs="宋体"/>
      <w:color w:val="000000"/>
    </w:rPr>
  </w:style>
  <w:style w:type="paragraph" w:customStyle="1" w:styleId="559">
    <w:name w:val="样式 样式 标题 4H4Subsection + 黑体 非加粗 黑色 段前: 6 磅 + 非加粗 段后: 0.5 行2"/>
    <w:basedOn w:val="560"/>
    <w:qFormat/>
    <w:uiPriority w:val="0"/>
    <w:pPr>
      <w:tabs>
        <w:tab w:val="left" w:pos="600"/>
        <w:tab w:val="left" w:pos="926"/>
      </w:tabs>
      <w:spacing w:beforeLines="100" w:afterLines="100"/>
    </w:pPr>
    <w:rPr>
      <w:b w:val="0"/>
    </w:rPr>
  </w:style>
  <w:style w:type="paragraph" w:customStyle="1" w:styleId="560">
    <w:name w:val="样式 标题 4H4Subsection + 黑体 非加粗 黑色 段前: 6 磅"/>
    <w:basedOn w:val="6"/>
    <w:qFormat/>
    <w:uiPriority w:val="0"/>
    <w:pPr>
      <w:keepNext w:val="0"/>
      <w:keepLines w:val="0"/>
      <w:tabs>
        <w:tab w:val="left" w:pos="600"/>
        <w:tab w:val="left" w:pos="926"/>
      </w:tabs>
      <w:spacing w:before="120" w:beforeLines="50" w:after="120" w:afterLines="50"/>
      <w:ind w:left="862" w:hanging="862"/>
    </w:pPr>
    <w:rPr>
      <w:rFonts w:ascii="黑体" w:hAnsi="黑体" w:eastAsia="黑体" w:cs="宋体"/>
      <w:color w:val="000000"/>
      <w:sz w:val="24"/>
      <w:lang w:eastAsia="zh-CN"/>
    </w:rPr>
  </w:style>
  <w:style w:type="paragraph" w:customStyle="1" w:styleId="561">
    <w:name w:val="修订1"/>
    <w:unhideWhenUsed/>
    <w:qFormat/>
    <w:uiPriority w:val="99"/>
    <w:pPr>
      <w:widowControl w:val="0"/>
      <w:adjustRightInd w:val="0"/>
      <w:spacing w:line="360" w:lineRule="atLeast"/>
      <w:jc w:val="both"/>
      <w:textAlignment w:val="baseline"/>
    </w:pPr>
    <w:rPr>
      <w:rFonts w:ascii="Calibri" w:hAnsi="Calibri" w:eastAsia="Times New Roman" w:cs="Times New Roman"/>
      <w:kern w:val="2"/>
      <w:sz w:val="24"/>
      <w:szCs w:val="22"/>
      <w:lang w:val="en-US" w:eastAsia="zh-CN" w:bidi="ar-SA"/>
    </w:rPr>
  </w:style>
  <w:style w:type="paragraph" w:customStyle="1" w:styleId="562">
    <w:name w:val="表格+小五"/>
    <w:basedOn w:val="1"/>
    <w:qFormat/>
    <w:uiPriority w:val="0"/>
    <w:pPr>
      <w:jc w:val="center"/>
    </w:pPr>
    <w:rPr>
      <w:color w:val="000000"/>
      <w:sz w:val="18"/>
    </w:rPr>
  </w:style>
  <w:style w:type="paragraph" w:customStyle="1" w:styleId="563">
    <w:name w:val="正文 1"/>
    <w:qFormat/>
    <w:uiPriority w:val="0"/>
    <w:pPr>
      <w:keepNext/>
      <w:widowControl w:val="0"/>
      <w:topLinePunct/>
      <w:autoSpaceDE w:val="0"/>
      <w:autoSpaceDN w:val="0"/>
      <w:adjustRightInd w:val="0"/>
      <w:ind w:firstLine="454"/>
      <w:textAlignment w:val="baseline"/>
    </w:pPr>
    <w:rPr>
      <w:rFonts w:ascii="Times New Roman" w:hAnsi="Times New Roman" w:eastAsia="宋体" w:cs="Times New Roman"/>
      <w:sz w:val="24"/>
      <w:lang w:val="en-US" w:eastAsia="zh-CN" w:bidi="ar-SA"/>
    </w:rPr>
  </w:style>
  <w:style w:type="paragraph" w:customStyle="1" w:styleId="564">
    <w:name w:val="Char Char1 Char Char Char Char Char Char Char Char Char Char Char Char Char Char Char Char Char Char Char Char1 Char"/>
    <w:basedOn w:val="1"/>
    <w:qFormat/>
    <w:uiPriority w:val="0"/>
    <w:pPr>
      <w:spacing w:line="360" w:lineRule="auto"/>
      <w:ind w:firstLine="200" w:firstLineChars="200"/>
    </w:pPr>
    <w:rPr>
      <w:rFonts w:ascii="宋体" w:hAnsi="宋体" w:cs="宋体"/>
      <w:sz w:val="24"/>
    </w:rPr>
  </w:style>
  <w:style w:type="paragraph" w:customStyle="1" w:styleId="565">
    <w:name w:val="表 内容"/>
    <w:basedOn w:val="1"/>
    <w:qFormat/>
    <w:uiPriority w:val="0"/>
    <w:pPr>
      <w:jc w:val="center"/>
    </w:pPr>
    <w:rPr>
      <w:rFonts w:ascii="Calibri" w:hAnsi="宋体"/>
    </w:rPr>
  </w:style>
  <w:style w:type="paragraph" w:customStyle="1" w:styleId="566">
    <w:name w:val="图表头"/>
    <w:basedOn w:val="1"/>
    <w:qFormat/>
    <w:uiPriority w:val="0"/>
    <w:pPr>
      <w:adjustRightInd w:val="0"/>
      <w:spacing w:line="360" w:lineRule="auto"/>
      <w:jc w:val="center"/>
      <w:textAlignment w:val="baseline"/>
    </w:pPr>
    <w:rPr>
      <w:rFonts w:ascii="黑体" w:eastAsia="黑体"/>
      <w:spacing w:val="5"/>
      <w:sz w:val="24"/>
    </w:rPr>
  </w:style>
  <w:style w:type="paragraph" w:customStyle="1" w:styleId="567">
    <w:name w:val="页面 2"/>
    <w:basedOn w:val="1"/>
    <w:qFormat/>
    <w:uiPriority w:val="0"/>
    <w:pPr>
      <w:adjustRightInd w:val="0"/>
      <w:jc w:val="center"/>
    </w:pPr>
    <w:rPr>
      <w:sz w:val="72"/>
    </w:rPr>
  </w:style>
  <w:style w:type="paragraph" w:customStyle="1" w:styleId="568">
    <w:name w:val="样式 (符号) Bookman Old Style 小四 行距: 1.5 倍行距"/>
    <w:basedOn w:val="1"/>
    <w:qFormat/>
    <w:uiPriority w:val="0"/>
    <w:pPr>
      <w:spacing w:line="360" w:lineRule="auto"/>
    </w:pPr>
    <w:rPr>
      <w:rFonts w:hAnsi="Bookman Old Style" w:cs="宋体"/>
      <w:sz w:val="24"/>
    </w:rPr>
  </w:style>
  <w:style w:type="paragraph" w:customStyle="1" w:styleId="569">
    <w:name w:val="大表内容"/>
    <w:qFormat/>
    <w:uiPriority w:val="0"/>
    <w:pPr>
      <w:widowControl w:val="0"/>
      <w:tabs>
        <w:tab w:val="left" w:pos="480"/>
      </w:tabs>
      <w:spacing w:line="360" w:lineRule="auto"/>
      <w:jc w:val="center"/>
    </w:pPr>
    <w:rPr>
      <w:rFonts w:ascii="宋体" w:hAnsi="宋体" w:eastAsia="宋体" w:cs="仿宋_GB2312"/>
      <w:kern w:val="2"/>
      <w:sz w:val="21"/>
      <w:szCs w:val="21"/>
      <w:lang w:val="en-US" w:eastAsia="zh-CN" w:bidi="ar-SA"/>
    </w:rPr>
  </w:style>
  <w:style w:type="paragraph" w:customStyle="1" w:styleId="570">
    <w:name w:val="正文 32"/>
    <w:basedOn w:val="1"/>
    <w:qFormat/>
    <w:uiPriority w:val="0"/>
    <w:pPr>
      <w:autoSpaceDE w:val="0"/>
      <w:autoSpaceDN w:val="0"/>
      <w:adjustRightInd w:val="0"/>
      <w:spacing w:line="360" w:lineRule="auto"/>
      <w:ind w:firstLine="567"/>
      <w:textAlignment w:val="baseline"/>
    </w:pPr>
    <w:rPr>
      <w:sz w:val="24"/>
    </w:rPr>
  </w:style>
  <w:style w:type="paragraph" w:customStyle="1" w:styleId="571">
    <w:name w:val="正文首行缩进2个字"/>
    <w:basedOn w:val="1"/>
    <w:qFormat/>
    <w:uiPriority w:val="0"/>
    <w:pPr>
      <w:spacing w:line="460" w:lineRule="atLeast"/>
    </w:pPr>
    <w:rPr>
      <w:rFonts w:ascii="Calibri" w:hAnsi="Calibri"/>
      <w:lang w:eastAsia="zh-TW"/>
    </w:rPr>
  </w:style>
  <w:style w:type="paragraph" w:customStyle="1" w:styleId="572">
    <w:name w:val="Char3"/>
    <w:basedOn w:val="1"/>
    <w:qFormat/>
    <w:uiPriority w:val="0"/>
  </w:style>
  <w:style w:type="paragraph" w:customStyle="1" w:styleId="573">
    <w:name w:val="样式 正文缩进正文（首行缩进两字）1s4正文（首行缩进两字） Char正文缩进 Char表正文正文非缩进ALT+Z..."/>
    <w:basedOn w:val="23"/>
    <w:semiHidden/>
    <w:qFormat/>
    <w:uiPriority w:val="0"/>
    <w:pPr>
      <w:widowControl/>
      <w:tabs>
        <w:tab w:val="left" w:pos="3600"/>
        <w:tab w:val="left" w:pos="6845"/>
      </w:tabs>
      <w:adjustRightInd w:val="0"/>
      <w:snapToGrid w:val="0"/>
      <w:spacing w:line="360" w:lineRule="auto"/>
      <w:ind w:firstLine="480" w:firstLineChars="200"/>
    </w:pPr>
    <w:rPr>
      <w:rFonts w:ascii="仿宋_GB2312" w:eastAsia="仿宋_GB2312"/>
      <w:color w:val="000000"/>
      <w:sz w:val="24"/>
      <w:szCs w:val="24"/>
      <w:lang w:val="zh-CN" w:eastAsia="zh-CN"/>
    </w:rPr>
  </w:style>
  <w:style w:type="paragraph" w:customStyle="1" w:styleId="574">
    <w:name w:val="图标题"/>
    <w:basedOn w:val="1"/>
    <w:next w:val="1"/>
    <w:qFormat/>
    <w:uiPriority w:val="0"/>
    <w:pPr>
      <w:keepNext/>
      <w:autoSpaceDE w:val="0"/>
      <w:autoSpaceDN w:val="0"/>
      <w:adjustRightInd w:val="0"/>
      <w:spacing w:before="60" w:after="120" w:line="400" w:lineRule="atLeast"/>
      <w:jc w:val="center"/>
      <w:textAlignment w:val="baseline"/>
    </w:pPr>
    <w:rPr>
      <w:rFonts w:ascii="Calibri" w:hAnsi="Calibri" w:eastAsia="Times New Roman"/>
      <w:b/>
      <w:spacing w:val="2"/>
      <w:sz w:val="24"/>
    </w:rPr>
  </w:style>
  <w:style w:type="paragraph" w:customStyle="1" w:styleId="575">
    <w:name w:val="正文 + 宋体"/>
    <w:basedOn w:val="1"/>
    <w:qFormat/>
    <w:uiPriority w:val="0"/>
    <w:pPr>
      <w:widowControl/>
      <w:adjustRightInd w:val="0"/>
      <w:snapToGrid w:val="0"/>
      <w:spacing w:after="200" w:line="400" w:lineRule="exact"/>
      <w:ind w:firstLine="480"/>
      <w:jc w:val="left"/>
      <w:textAlignment w:val="baseline"/>
    </w:pPr>
    <w:rPr>
      <w:rFonts w:ascii="Calibri" w:hAnsi="Calibri"/>
      <w:color w:val="000000"/>
      <w:sz w:val="22"/>
      <w:szCs w:val="22"/>
      <w:lang w:eastAsia="en-US" w:bidi="en-US"/>
    </w:rPr>
  </w:style>
  <w:style w:type="paragraph" w:customStyle="1" w:styleId="576">
    <w:name w:val="正文001"/>
    <w:basedOn w:val="1"/>
    <w:qFormat/>
    <w:uiPriority w:val="0"/>
    <w:pPr>
      <w:spacing w:line="440" w:lineRule="atLeast"/>
      <w:ind w:firstLine="200" w:firstLineChars="200"/>
    </w:pPr>
    <w:rPr>
      <w:sz w:val="24"/>
    </w:rPr>
  </w:style>
  <w:style w:type="paragraph" w:customStyle="1" w:styleId="577">
    <w:name w:val="1 Char Char Char Char"/>
    <w:basedOn w:val="1"/>
    <w:qFormat/>
    <w:uiPriority w:val="0"/>
  </w:style>
  <w:style w:type="paragraph" w:customStyle="1" w:styleId="578">
    <w:name w:val="Char Char Char Char1"/>
    <w:basedOn w:val="1"/>
    <w:qFormat/>
    <w:uiPriority w:val="0"/>
  </w:style>
  <w:style w:type="paragraph" w:customStyle="1" w:styleId="579">
    <w:name w:val="xl28"/>
    <w:basedOn w:val="1"/>
    <w:qFormat/>
    <w:uiPriority w:val="0"/>
    <w:pPr>
      <w:widowControl/>
      <w:pBdr>
        <w:top w:val="single" w:color="auto" w:sz="4" w:space="0"/>
        <w:left w:val="single" w:color="auto" w:sz="4" w:space="0"/>
        <w:bottom w:val="single" w:color="auto" w:sz="4" w:space="0"/>
        <w:right w:val="single" w:color="auto" w:sz="4" w:space="0"/>
      </w:pBdr>
      <w:spacing w:before="100" w:after="100"/>
      <w:jc w:val="left"/>
    </w:pPr>
    <w:rPr>
      <w:rFonts w:ascii="宋体" w:hAnsi="宋体"/>
      <w:sz w:val="20"/>
    </w:rPr>
  </w:style>
  <w:style w:type="paragraph" w:customStyle="1" w:styleId="580">
    <w:name w:val="表格 12"/>
    <w:basedOn w:val="1"/>
    <w:qFormat/>
    <w:uiPriority w:val="0"/>
    <w:pPr>
      <w:autoSpaceDE w:val="0"/>
      <w:autoSpaceDN w:val="0"/>
      <w:adjustRightInd w:val="0"/>
      <w:jc w:val="center"/>
      <w:textAlignment w:val="baseline"/>
    </w:pPr>
    <w:rPr>
      <w:sz w:val="24"/>
    </w:rPr>
  </w:style>
  <w:style w:type="paragraph" w:customStyle="1" w:styleId="581">
    <w:name w:val="样式 样式 标题 4H4Subsection + 黑体 非加粗 黑色 段前: 6 磅 + 非加粗 左侧:  0 厘米 段后:..."/>
    <w:basedOn w:val="560"/>
    <w:qFormat/>
    <w:uiPriority w:val="0"/>
    <w:pPr>
      <w:ind w:left="0" w:firstLine="200" w:firstLineChars="200"/>
    </w:pPr>
    <w:rPr>
      <w:b w:val="0"/>
    </w:rPr>
  </w:style>
  <w:style w:type="paragraph" w:customStyle="1" w:styleId="582">
    <w:name w:val="Char1 Char Char Char Char Char Char Char Char Char"/>
    <w:basedOn w:val="1"/>
    <w:qFormat/>
    <w:uiPriority w:val="0"/>
    <w:pPr>
      <w:widowControl/>
      <w:spacing w:after="160" w:line="240" w:lineRule="exact"/>
      <w:jc w:val="left"/>
    </w:pPr>
    <w:rPr>
      <w:rFonts w:ascii="Verdana" w:hAnsi="Verdana" w:eastAsia="仿宋_GB2312"/>
      <w:sz w:val="24"/>
      <w:lang w:eastAsia="en-US"/>
    </w:rPr>
  </w:style>
  <w:style w:type="paragraph" w:customStyle="1" w:styleId="583">
    <w:name w:val="样式 标题 4H4Subsection + 黑体 黑色 段前: 0.5 行 段后: 0.5 行"/>
    <w:basedOn w:val="6"/>
    <w:qFormat/>
    <w:uiPriority w:val="0"/>
    <w:pPr>
      <w:keepNext w:val="0"/>
      <w:keepLines w:val="0"/>
      <w:tabs>
        <w:tab w:val="left" w:pos="600"/>
        <w:tab w:val="left" w:pos="926"/>
      </w:tabs>
      <w:spacing w:before="120" w:beforeLines="50" w:after="120" w:afterLines="50"/>
      <w:ind w:left="862" w:hanging="862"/>
    </w:pPr>
    <w:rPr>
      <w:rFonts w:ascii="黑体" w:hAnsi="Times New Roman" w:eastAsia="黑体" w:cs="宋体"/>
      <w:b w:val="0"/>
      <w:color w:val="000000"/>
      <w:sz w:val="24"/>
      <w:szCs w:val="24"/>
      <w:lang w:eastAsia="zh-CN"/>
    </w:rPr>
  </w:style>
  <w:style w:type="paragraph" w:customStyle="1" w:styleId="584">
    <w:name w:val="表格格式"/>
    <w:basedOn w:val="1"/>
    <w:qFormat/>
    <w:uiPriority w:val="0"/>
    <w:pPr>
      <w:jc w:val="center"/>
    </w:pPr>
    <w:rPr>
      <w:rFonts w:ascii="Calibri" w:hAnsi="Calibri"/>
      <w:szCs w:val="22"/>
    </w:rPr>
  </w:style>
  <w:style w:type="paragraph" w:customStyle="1" w:styleId="585">
    <w:name w:val="Char Char Char Char Char Char Char Char Char Char Char Char1 Char"/>
    <w:basedOn w:val="1"/>
    <w:qFormat/>
    <w:uiPriority w:val="0"/>
    <w:pPr>
      <w:spacing w:line="360" w:lineRule="auto"/>
      <w:ind w:firstLine="200" w:firstLineChars="200"/>
    </w:pPr>
    <w:rPr>
      <w:rFonts w:ascii="Arial Unicode MS" w:hAnsi="Arial Unicode MS" w:cs="Arial Unicode MS"/>
      <w:sz w:val="24"/>
    </w:rPr>
  </w:style>
  <w:style w:type="paragraph" w:customStyle="1" w:styleId="586">
    <w:name w:val="样式 样式 标题 4H4Subsection + 黑色 段前: 0.5 行 段后: 0.5 行 + 段前: 0.5 行 段后:..."/>
    <w:basedOn w:val="548"/>
    <w:qFormat/>
    <w:uiPriority w:val="0"/>
    <w:pPr>
      <w:ind w:left="862" w:hanging="862"/>
    </w:pPr>
    <w:rPr>
      <w:szCs w:val="20"/>
    </w:rPr>
  </w:style>
  <w:style w:type="paragraph" w:customStyle="1" w:styleId="587">
    <w:name w:val="Char1"/>
    <w:basedOn w:val="1"/>
    <w:qFormat/>
    <w:uiPriority w:val="0"/>
  </w:style>
  <w:style w:type="paragraph" w:customStyle="1" w:styleId="588">
    <w:name w:val="Pa4"/>
    <w:basedOn w:val="1"/>
    <w:next w:val="1"/>
    <w:qFormat/>
    <w:uiPriority w:val="0"/>
    <w:pPr>
      <w:autoSpaceDE w:val="0"/>
      <w:autoSpaceDN w:val="0"/>
      <w:adjustRightInd w:val="0"/>
      <w:spacing w:line="211" w:lineRule="atLeast"/>
      <w:jc w:val="left"/>
    </w:pPr>
    <w:rPr>
      <w:rFonts w:ascii="Sim Sun" w:eastAsia="Sim Sun"/>
      <w:sz w:val="24"/>
    </w:rPr>
  </w:style>
  <w:style w:type="paragraph" w:customStyle="1" w:styleId="589">
    <w:name w:val="样式 标题 21标题 2 Char Char Char Char Char标题 2 Char Char Char Char...1"/>
    <w:basedOn w:val="4"/>
    <w:qFormat/>
    <w:uiPriority w:val="0"/>
    <w:pPr>
      <w:keepNext/>
      <w:keepLines/>
      <w:pBdr>
        <w:bottom w:val="none" w:color="auto" w:sz="0" w:space="0"/>
      </w:pBdr>
      <w:tabs>
        <w:tab w:val="left" w:pos="576"/>
      </w:tabs>
      <w:spacing w:line="416" w:lineRule="auto"/>
      <w:ind w:left="576" w:hanging="576"/>
    </w:pPr>
    <w:rPr>
      <w:rFonts w:eastAsia="黑体"/>
      <w:bCs/>
      <w:caps w:val="0"/>
      <w:spacing w:val="0"/>
      <w:kern w:val="2"/>
      <w:sz w:val="32"/>
      <w:szCs w:val="32"/>
      <w:lang w:eastAsia="zh-CN"/>
    </w:rPr>
  </w:style>
  <w:style w:type="paragraph" w:customStyle="1" w:styleId="590">
    <w:name w:val="注:"/>
    <w:qFormat/>
    <w:uiPriority w:val="0"/>
    <w:rPr>
      <w:rFonts w:ascii="Times New Roman" w:hAnsi="Times New Roman" w:eastAsia="宋体" w:cs="Times New Roman"/>
      <w:sz w:val="21"/>
      <w:szCs w:val="21"/>
      <w:lang w:val="en-US" w:eastAsia="zh-CN" w:bidi="ar-SA"/>
    </w:rPr>
  </w:style>
  <w:style w:type="paragraph" w:customStyle="1" w:styleId="591">
    <w:name w:val="正文段"/>
    <w:basedOn w:val="1"/>
    <w:qFormat/>
    <w:uiPriority w:val="0"/>
    <w:pPr>
      <w:spacing w:line="360" w:lineRule="auto"/>
      <w:ind w:firstLine="420"/>
    </w:pPr>
    <w:rPr>
      <w:rFonts w:ascii="宋体"/>
      <w:sz w:val="24"/>
    </w:rPr>
  </w:style>
  <w:style w:type="paragraph" w:customStyle="1" w:styleId="592">
    <w:name w:val="样式 宋体 小四 行距: 1.5 倍行距 首行缩进:  2 字符 Char"/>
    <w:basedOn w:val="1"/>
    <w:qFormat/>
    <w:uiPriority w:val="0"/>
    <w:pPr>
      <w:spacing w:line="360" w:lineRule="auto"/>
      <w:ind w:firstLine="480" w:firstLineChars="200"/>
    </w:pPr>
    <w:rPr>
      <w:rFonts w:ascii="宋体" w:hAnsi="宋体"/>
      <w:sz w:val="24"/>
      <w:szCs w:val="18"/>
    </w:rPr>
  </w:style>
  <w:style w:type="paragraph" w:customStyle="1" w:styleId="593">
    <w:name w:val="页面 1"/>
    <w:basedOn w:val="529"/>
    <w:qFormat/>
    <w:uiPriority w:val="0"/>
    <w:rPr>
      <w:rFonts w:eastAsia="隶书"/>
      <w:sz w:val="84"/>
    </w:rPr>
  </w:style>
  <w:style w:type="paragraph" w:customStyle="1" w:styleId="594">
    <w:name w:val="样式 样式 标题 4H4Subsection + 黑体 非加粗 黑色 段前: 6 磅 + 非加粗 段后: 0.5 行1"/>
    <w:basedOn w:val="560"/>
    <w:qFormat/>
    <w:uiPriority w:val="0"/>
    <w:rPr>
      <w:b w:val="0"/>
    </w:rPr>
  </w:style>
  <w:style w:type="paragraph" w:customStyle="1" w:styleId="595">
    <w:name w:val="样式 标题 4H4Subsection + 黑体 加粗 黑色 段前: 0.5 行 段后: 0.5 行"/>
    <w:basedOn w:val="6"/>
    <w:qFormat/>
    <w:uiPriority w:val="0"/>
    <w:pPr>
      <w:keepNext w:val="0"/>
      <w:keepLines w:val="0"/>
      <w:tabs>
        <w:tab w:val="left" w:pos="600"/>
        <w:tab w:val="left" w:pos="926"/>
      </w:tabs>
      <w:spacing w:before="120" w:beforeLines="50" w:after="120" w:afterLines="50"/>
      <w:ind w:left="862" w:hanging="862"/>
    </w:pPr>
    <w:rPr>
      <w:rFonts w:ascii="黑体" w:hAnsi="Times New Roman" w:eastAsia="黑体" w:cs="宋体"/>
      <w:bCs/>
      <w:color w:val="000000"/>
      <w:sz w:val="24"/>
      <w:lang w:eastAsia="zh-CN"/>
    </w:rPr>
  </w:style>
  <w:style w:type="paragraph" w:customStyle="1" w:styleId="596">
    <w:name w:val="封面"/>
    <w:basedOn w:val="1"/>
    <w:qFormat/>
    <w:uiPriority w:val="0"/>
    <w:pPr>
      <w:tabs>
        <w:tab w:val="left" w:pos="1080"/>
      </w:tabs>
      <w:spacing w:line="360" w:lineRule="auto"/>
      <w:ind w:firstLine="200" w:firstLineChars="200"/>
      <w:jc w:val="left"/>
    </w:pPr>
    <w:rPr>
      <w:rFonts w:ascii="宋体" w:hAnsi="宋体" w:cs="宋体"/>
      <w:sz w:val="24"/>
    </w:rPr>
  </w:style>
  <w:style w:type="paragraph" w:customStyle="1" w:styleId="597">
    <w:name w:val="表格 2"/>
    <w:basedOn w:val="198"/>
    <w:qFormat/>
    <w:uiPriority w:val="0"/>
    <w:pPr>
      <w:autoSpaceDE w:val="0"/>
      <w:autoSpaceDN w:val="0"/>
      <w:snapToGrid/>
      <w:spacing w:beforeLines="0" w:afterLines="0" w:line="240" w:lineRule="auto"/>
      <w:textAlignment w:val="baseline"/>
    </w:pPr>
    <w:rPr>
      <w:rFonts w:ascii="Times New Roman" w:eastAsia="楷体_GB2312"/>
      <w:sz w:val="24"/>
    </w:rPr>
  </w:style>
  <w:style w:type="paragraph" w:customStyle="1" w:styleId="598">
    <w:name w:val="表格标题"/>
    <w:basedOn w:val="1"/>
    <w:qFormat/>
    <w:uiPriority w:val="0"/>
    <w:pPr>
      <w:spacing w:line="300" w:lineRule="auto"/>
      <w:jc w:val="center"/>
    </w:pPr>
    <w:rPr>
      <w:rFonts w:ascii="Calibri" w:hAnsi="Calibri"/>
      <w:lang w:eastAsia="zh-TW"/>
    </w:rPr>
  </w:style>
  <w:style w:type="paragraph" w:customStyle="1" w:styleId="599">
    <w:name w:val="表格2"/>
    <w:basedOn w:val="470"/>
    <w:next w:val="1"/>
    <w:qFormat/>
    <w:uiPriority w:val="0"/>
    <w:pPr>
      <w:topLinePunct/>
      <w:autoSpaceDE w:val="0"/>
      <w:autoSpaceDN w:val="0"/>
      <w:spacing w:line="240" w:lineRule="auto"/>
    </w:pPr>
    <w:rPr>
      <w:rFonts w:ascii="宋体" w:hAnsi="Impact"/>
      <w:kern w:val="24"/>
      <w:position w:val="-28"/>
      <w:sz w:val="21"/>
      <w:lang w:eastAsia="zh-CN"/>
    </w:rPr>
  </w:style>
  <w:style w:type="paragraph" w:customStyle="1" w:styleId="600">
    <w:name w:val="报告样式"/>
    <w:basedOn w:val="1"/>
    <w:next w:val="463"/>
    <w:qFormat/>
    <w:uiPriority w:val="0"/>
    <w:rPr>
      <w:sz w:val="24"/>
    </w:rPr>
  </w:style>
  <w:style w:type="paragraph" w:customStyle="1" w:styleId="601">
    <w:name w:val="样式 样式 标题 1 + 黑体 小三 非加粗 + 二号 加粗 黑色 段前: 7.8 磅 段后: 7.8 磅 行距: 1..."/>
    <w:basedOn w:val="1"/>
    <w:qFormat/>
    <w:uiPriority w:val="0"/>
    <w:pPr>
      <w:tabs>
        <w:tab w:val="left" w:pos="549"/>
      </w:tabs>
      <w:ind w:left="552" w:firstLine="66"/>
    </w:pPr>
  </w:style>
  <w:style w:type="paragraph" w:customStyle="1" w:styleId="602">
    <w:name w:val="0"/>
    <w:basedOn w:val="1"/>
    <w:qFormat/>
    <w:uiPriority w:val="0"/>
    <w:pPr>
      <w:widowControl/>
      <w:snapToGrid w:val="0"/>
    </w:pPr>
  </w:style>
  <w:style w:type="paragraph" w:customStyle="1" w:styleId="603">
    <w:name w:val="表格 1"/>
    <w:basedOn w:val="1"/>
    <w:qFormat/>
    <w:uiPriority w:val="0"/>
    <w:pPr>
      <w:autoSpaceDE w:val="0"/>
      <w:autoSpaceDN w:val="0"/>
      <w:adjustRightInd w:val="0"/>
      <w:jc w:val="center"/>
    </w:pPr>
    <w:rPr>
      <w:rFonts w:eastAsia="楷体_GB2312"/>
      <w:sz w:val="28"/>
    </w:rPr>
  </w:style>
  <w:style w:type="paragraph" w:customStyle="1" w:styleId="604">
    <w:name w:val="Char1 Char Char Char Char Char Char"/>
    <w:basedOn w:val="1"/>
    <w:qFormat/>
    <w:uiPriority w:val="0"/>
  </w:style>
  <w:style w:type="paragraph" w:customStyle="1" w:styleId="605">
    <w:name w:val="xl21"/>
    <w:basedOn w:val="1"/>
    <w:qFormat/>
    <w:uiPriority w:val="0"/>
    <w:pPr>
      <w:widowControl/>
      <w:spacing w:before="100" w:beforeAutospacing="1" w:after="100" w:afterAutospacing="1"/>
      <w:jc w:val="center"/>
    </w:pPr>
    <w:rPr>
      <w:rFonts w:ascii="宋体" w:hAnsi="宋体"/>
      <w:sz w:val="24"/>
    </w:rPr>
  </w:style>
  <w:style w:type="paragraph" w:customStyle="1" w:styleId="606">
    <w:name w:val="表格 23"/>
    <w:basedOn w:val="527"/>
    <w:qFormat/>
    <w:uiPriority w:val="0"/>
    <w:rPr>
      <w:sz w:val="21"/>
    </w:rPr>
  </w:style>
  <w:style w:type="paragraph" w:customStyle="1" w:styleId="607">
    <w:name w:val="表格32"/>
    <w:basedOn w:val="599"/>
    <w:qFormat/>
    <w:uiPriority w:val="0"/>
    <w:rPr>
      <w:rFonts w:hAnsi="Times New Roman"/>
      <w:kern w:val="0"/>
      <w:sz w:val="18"/>
    </w:rPr>
  </w:style>
  <w:style w:type="paragraph" w:customStyle="1" w:styleId="608">
    <w:name w:val="表文字"/>
    <w:basedOn w:val="1"/>
    <w:qFormat/>
    <w:uiPriority w:val="0"/>
    <w:pPr>
      <w:overflowPunct w:val="0"/>
      <w:autoSpaceDE w:val="0"/>
      <w:autoSpaceDN w:val="0"/>
      <w:adjustRightInd w:val="0"/>
      <w:spacing w:line="240" w:lineRule="atLeast"/>
      <w:jc w:val="center"/>
      <w:textAlignment w:val="baseline"/>
    </w:pPr>
    <w:rPr>
      <w:sz w:val="24"/>
    </w:rPr>
  </w:style>
  <w:style w:type="paragraph" w:customStyle="1" w:styleId="609">
    <w:name w:val="书目1"/>
    <w:basedOn w:val="1"/>
    <w:next w:val="1"/>
    <w:unhideWhenUsed/>
    <w:qFormat/>
    <w:uiPriority w:val="37"/>
    <w:pPr>
      <w:adjustRightInd w:val="0"/>
      <w:spacing w:line="360" w:lineRule="auto"/>
      <w:textAlignment w:val="baseline"/>
    </w:pPr>
    <w:rPr>
      <w:rFonts w:ascii="Calibri" w:hAnsi="Calibri" w:eastAsia="Times New Roman"/>
      <w:sz w:val="24"/>
      <w:szCs w:val="22"/>
    </w:rPr>
  </w:style>
  <w:style w:type="paragraph" w:customStyle="1" w:styleId="610">
    <w:name w:val="佛风险表"/>
    <w:basedOn w:val="1"/>
    <w:qFormat/>
    <w:uiPriority w:val="0"/>
    <w:pPr>
      <w:spacing w:line="0" w:lineRule="atLeast"/>
      <w:jc w:val="center"/>
    </w:pPr>
    <w:rPr>
      <w:rFonts w:ascii="宋体" w:hAnsi="宋体"/>
      <w:color w:val="000000"/>
      <w:sz w:val="18"/>
      <w:szCs w:val="18"/>
      <w:lang w:val="sq-AL"/>
    </w:rPr>
  </w:style>
  <w:style w:type="paragraph" w:customStyle="1" w:styleId="611">
    <w:name w:val="样式 正文缩进 +"/>
    <w:basedOn w:val="23"/>
    <w:qFormat/>
    <w:uiPriority w:val="0"/>
    <w:pPr>
      <w:adjustRightInd w:val="0"/>
      <w:spacing w:after="120" w:line="360" w:lineRule="auto"/>
      <w:ind w:firstLine="567"/>
      <w:textAlignment w:val="baseline"/>
    </w:pPr>
    <w:rPr>
      <w:sz w:val="24"/>
      <w:szCs w:val="24"/>
      <w:lang w:eastAsia="zh-CN"/>
    </w:rPr>
  </w:style>
  <w:style w:type="paragraph" w:customStyle="1" w:styleId="612">
    <w:name w:val="Char2 Char Char Char Char Char Char"/>
    <w:basedOn w:val="1"/>
    <w:qFormat/>
    <w:uiPriority w:val="0"/>
    <w:rPr>
      <w:rFonts w:ascii="Arial" w:hAnsi="Arial"/>
      <w:sz w:val="24"/>
    </w:rPr>
  </w:style>
  <w:style w:type="paragraph" w:customStyle="1" w:styleId="613">
    <w:name w:val="正文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614">
    <w:name w:val="No Spacing"/>
    <w:qFormat/>
    <w:uiPriority w:val="99"/>
    <w:pPr>
      <w:widowControl w:val="0"/>
      <w:jc w:val="center"/>
    </w:pPr>
    <w:rPr>
      <w:rFonts w:ascii="Calibri" w:hAnsi="Calibri" w:eastAsia="宋体" w:cs="Times New Roman"/>
      <w:kern w:val="2"/>
      <w:sz w:val="21"/>
      <w:szCs w:val="24"/>
      <w:lang w:val="en-US" w:eastAsia="zh-CN" w:bidi="ar-SA"/>
    </w:rPr>
  </w:style>
  <w:style w:type="paragraph" w:customStyle="1" w:styleId="615">
    <w:name w:val="表标头jophy"/>
    <w:qFormat/>
    <w:uiPriority w:val="0"/>
    <w:pPr>
      <w:adjustRightInd w:val="0"/>
      <w:snapToGrid w:val="0"/>
      <w:jc w:val="center"/>
    </w:pPr>
    <w:rPr>
      <w:rFonts w:ascii="Calibri" w:hAnsi="Calibri" w:eastAsia="宋体" w:cs="Times New Roman"/>
      <w:b/>
      <w:bCs/>
      <w:kern w:val="2"/>
      <w:sz w:val="24"/>
      <w:szCs w:val="28"/>
      <w:lang w:val="en-US" w:eastAsia="zh-CN" w:bidi="ar-SA"/>
    </w:rPr>
  </w:style>
  <w:style w:type="paragraph" w:customStyle="1" w:styleId="616">
    <w:name w:val="样式 标题 4H4Subsection + 段前: 6 磅 段后: 6 磅"/>
    <w:basedOn w:val="6"/>
    <w:qFormat/>
    <w:uiPriority w:val="0"/>
    <w:pPr>
      <w:keepNext w:val="0"/>
      <w:keepLines w:val="0"/>
      <w:tabs>
        <w:tab w:val="left" w:pos="-34"/>
      </w:tabs>
      <w:ind w:left="-20"/>
    </w:pPr>
    <w:rPr>
      <w:rFonts w:ascii="Times New Roman" w:hAnsi="Times New Roman" w:cs="宋体"/>
      <w:bCs/>
      <w:sz w:val="24"/>
      <w:lang w:eastAsia="zh-CN"/>
    </w:rPr>
  </w:style>
  <w:style w:type="paragraph" w:customStyle="1" w:styleId="617">
    <w:name w:val="表格内容"/>
    <w:basedOn w:val="1"/>
    <w:link w:val="618"/>
    <w:qFormat/>
    <w:uiPriority w:val="1"/>
    <w:pPr>
      <w:keepNext/>
      <w:adjustRightInd w:val="0"/>
      <w:snapToGrid w:val="0"/>
      <w:jc w:val="center"/>
    </w:pPr>
    <w:rPr>
      <w:lang w:eastAsia="zh-TW"/>
    </w:rPr>
  </w:style>
  <w:style w:type="character" w:customStyle="1" w:styleId="618">
    <w:name w:val="表格内容 字符"/>
    <w:link w:val="617"/>
    <w:qFormat/>
    <w:uiPriority w:val="1"/>
    <w:rPr>
      <w:rFonts w:ascii="Times New Roman" w:hAnsi="Times New Roman" w:eastAsia="宋体" w:cs="Times New Roman"/>
      <w:szCs w:val="20"/>
      <w:lang w:eastAsia="zh-TW"/>
    </w:rPr>
  </w:style>
  <w:style w:type="paragraph" w:customStyle="1" w:styleId="619">
    <w:name w:val="缩2"/>
    <w:basedOn w:val="1"/>
    <w:qFormat/>
    <w:uiPriority w:val="0"/>
    <w:pPr>
      <w:adjustRightInd w:val="0"/>
      <w:snapToGrid w:val="0"/>
      <w:spacing w:line="360" w:lineRule="auto"/>
      <w:ind w:firstLine="560" w:firstLineChars="200"/>
    </w:pPr>
    <w:rPr>
      <w:sz w:val="28"/>
      <w:szCs w:val="28"/>
    </w:rPr>
  </w:style>
  <w:style w:type="paragraph" w:customStyle="1" w:styleId="620">
    <w:name w:val="Char Char1"/>
    <w:basedOn w:val="1"/>
    <w:qFormat/>
    <w:uiPriority w:val="0"/>
    <w:pPr>
      <w:tabs>
        <w:tab w:val="left" w:pos="900"/>
      </w:tabs>
      <w:ind w:left="900" w:hanging="420"/>
    </w:pPr>
    <w:rPr>
      <w:sz w:val="24"/>
    </w:rPr>
  </w:style>
  <w:style w:type="paragraph" w:customStyle="1" w:styleId="621">
    <w:name w:val="font7"/>
    <w:basedOn w:val="1"/>
    <w:qFormat/>
    <w:uiPriority w:val="0"/>
    <w:pPr>
      <w:widowControl/>
      <w:spacing w:before="100" w:after="100"/>
      <w:jc w:val="left"/>
    </w:pPr>
    <w:rPr>
      <w:sz w:val="20"/>
    </w:rPr>
  </w:style>
  <w:style w:type="paragraph" w:customStyle="1" w:styleId="622">
    <w:name w:val="修订2"/>
    <w:unhideWhenUsed/>
    <w:qFormat/>
    <w:uiPriority w:val="99"/>
    <w:rPr>
      <w:rFonts w:ascii="Calibri" w:hAnsi="Calibri" w:eastAsia="宋体" w:cs="Times New Roman"/>
      <w:kern w:val="2"/>
      <w:sz w:val="21"/>
      <w:szCs w:val="21"/>
      <w:lang w:val="en-US" w:eastAsia="zh-TW" w:bidi="ar-SA"/>
    </w:rPr>
  </w:style>
  <w:style w:type="paragraph" w:customStyle="1" w:styleId="623">
    <w:name w:val="Char Char Char Char"/>
    <w:basedOn w:val="1"/>
    <w:qFormat/>
    <w:uiPriority w:val="0"/>
    <w:pPr>
      <w:adjustRightInd w:val="0"/>
      <w:spacing w:line="360" w:lineRule="auto"/>
    </w:pPr>
    <w:rPr>
      <w:sz w:val="24"/>
    </w:rPr>
  </w:style>
  <w:style w:type="paragraph" w:customStyle="1" w:styleId="624">
    <w:name w:val="标题 13"/>
    <w:basedOn w:val="3"/>
    <w:qFormat/>
    <w:uiPriority w:val="0"/>
    <w:pPr>
      <w:keepNext w:val="0"/>
      <w:tabs>
        <w:tab w:val="left" w:pos="1021"/>
      </w:tabs>
      <w:overflowPunct/>
      <w:autoSpaceDE w:val="0"/>
      <w:autoSpaceDN w:val="0"/>
      <w:adjustRightInd w:val="0"/>
      <w:snapToGrid/>
      <w:spacing w:after="120" w:line="240" w:lineRule="auto"/>
      <w:ind w:left="1021" w:hanging="181"/>
      <w:jc w:val="center"/>
      <w:textAlignment w:val="baseline"/>
      <w:outlineLvl w:val="9"/>
    </w:pPr>
    <w:rPr>
      <w:rFonts w:eastAsia="隶书体"/>
      <w:bCs w:val="0"/>
      <w:shadow/>
      <w:color w:val="auto"/>
      <w:sz w:val="44"/>
      <w:szCs w:val="20"/>
    </w:rPr>
  </w:style>
  <w:style w:type="paragraph" w:customStyle="1" w:styleId="625">
    <w:name w:val="样式 样式 标题 4H4Subsection + 黑色 段前: 0.5 行 段后: 0.5 行 + 黑体 段前: 0.5 行..."/>
    <w:basedOn w:val="548"/>
    <w:qFormat/>
    <w:uiPriority w:val="0"/>
    <w:pPr>
      <w:ind w:left="862" w:hanging="862"/>
    </w:pPr>
    <w:rPr>
      <w:rFonts w:ascii="黑体" w:hAnsi="黑体"/>
      <w:szCs w:val="20"/>
    </w:rPr>
  </w:style>
  <w:style w:type="paragraph" w:customStyle="1" w:styleId="626">
    <w:name w:val="1 Char"/>
    <w:basedOn w:val="1"/>
    <w:qFormat/>
    <w:uiPriority w:val="0"/>
  </w:style>
  <w:style w:type="paragraph" w:customStyle="1" w:styleId="627">
    <w:name w:val="小点"/>
    <w:qFormat/>
    <w:uiPriority w:val="0"/>
    <w:pPr>
      <w:tabs>
        <w:tab w:val="left" w:pos="1080"/>
        <w:tab w:val="left" w:pos="1140"/>
      </w:tabs>
      <w:adjustRightInd w:val="0"/>
      <w:snapToGrid w:val="0"/>
      <w:spacing w:line="360" w:lineRule="auto"/>
      <w:ind w:left="480" w:leftChars="200" w:firstLine="240" w:firstLineChars="100"/>
    </w:pPr>
    <w:rPr>
      <w:rFonts w:ascii="宋体" w:hAnsi="宋体" w:eastAsia="宋体" w:cs="宋体"/>
      <w:sz w:val="24"/>
      <w:szCs w:val="24"/>
      <w:lang w:val="en-US" w:eastAsia="zh-CN" w:bidi="ar-SA"/>
    </w:rPr>
  </w:style>
  <w:style w:type="paragraph" w:customStyle="1" w:styleId="628">
    <w:name w:val="Char"/>
    <w:basedOn w:val="1"/>
    <w:qFormat/>
    <w:uiPriority w:val="0"/>
  </w:style>
  <w:style w:type="paragraph" w:customStyle="1" w:styleId="629">
    <w:name w:val="xl3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Unicode MS" w:hAnsi="Arial Unicode MS" w:eastAsia="Arial Unicode MS" w:cs="Arial Unicode MS"/>
      <w:sz w:val="20"/>
    </w:rPr>
  </w:style>
  <w:style w:type="paragraph" w:customStyle="1" w:styleId="630">
    <w:name w:val="正文 New New New New New New New New New New New New New New New New New New"/>
    <w:qFormat/>
    <w:uiPriority w:val="0"/>
    <w:pPr>
      <w:widowControl w:val="0"/>
      <w:jc w:val="both"/>
    </w:pPr>
    <w:rPr>
      <w:rFonts w:ascii="Calibri" w:hAnsi="Calibri" w:eastAsia="Times New Roman" w:cs="Times New Roman"/>
      <w:kern w:val="2"/>
      <w:sz w:val="21"/>
      <w:szCs w:val="24"/>
      <w:lang w:val="en-US" w:eastAsia="zh-CN" w:bidi="ar-SA"/>
    </w:rPr>
  </w:style>
  <w:style w:type="paragraph" w:customStyle="1" w:styleId="631">
    <w:name w:val="font0"/>
    <w:basedOn w:val="1"/>
    <w:qFormat/>
    <w:uiPriority w:val="0"/>
    <w:pPr>
      <w:widowControl/>
      <w:spacing w:before="100" w:after="100"/>
      <w:jc w:val="left"/>
    </w:pPr>
    <w:rPr>
      <w:rFonts w:hint="eastAsia" w:ascii="宋体" w:hAnsi="宋体"/>
      <w:sz w:val="24"/>
    </w:rPr>
  </w:style>
  <w:style w:type="paragraph" w:customStyle="1" w:styleId="632">
    <w:name w:val="样式 标题 4H4Subsection + 黑体 加粗 段前: 0.5 行 段后: 0.5 行1"/>
    <w:basedOn w:val="6"/>
    <w:qFormat/>
    <w:uiPriority w:val="0"/>
    <w:pPr>
      <w:keepNext w:val="0"/>
      <w:keepLines w:val="0"/>
      <w:tabs>
        <w:tab w:val="left" w:pos="600"/>
        <w:tab w:val="left" w:pos="926"/>
      </w:tabs>
      <w:spacing w:before="120" w:beforeLines="100" w:after="120" w:afterLines="100"/>
      <w:ind w:left="862" w:hanging="862"/>
    </w:pPr>
    <w:rPr>
      <w:rFonts w:ascii="黑体" w:hAnsi="黑体" w:eastAsia="黑体" w:cs="宋体"/>
      <w:b w:val="0"/>
      <w:bCs/>
      <w:snapToGrid w:val="0"/>
      <w:sz w:val="24"/>
      <w:lang w:eastAsia="zh-CN"/>
    </w:rPr>
  </w:style>
  <w:style w:type="paragraph" w:customStyle="1" w:styleId="633">
    <w:name w:val="1表格"/>
    <w:basedOn w:val="1"/>
    <w:qFormat/>
    <w:uiPriority w:val="0"/>
    <w:pPr>
      <w:snapToGrid w:val="0"/>
      <w:spacing w:line="300" w:lineRule="auto"/>
      <w:jc w:val="center"/>
      <w:outlineLvl w:val="4"/>
    </w:pPr>
    <w:rPr>
      <w:color w:val="FF0000"/>
      <w:spacing w:val="4"/>
      <w:sz w:val="24"/>
    </w:rPr>
  </w:style>
  <w:style w:type="paragraph" w:customStyle="1" w:styleId="634">
    <w:name w:val="样式 标题 4H4Subsection + 黑体 段前: 0.5 行 段后: 0.5 行"/>
    <w:basedOn w:val="6"/>
    <w:qFormat/>
    <w:uiPriority w:val="0"/>
    <w:pPr>
      <w:keepNext w:val="0"/>
      <w:keepLines w:val="0"/>
      <w:tabs>
        <w:tab w:val="left" w:pos="600"/>
        <w:tab w:val="left" w:pos="926"/>
      </w:tabs>
      <w:spacing w:before="120" w:beforeLines="50" w:after="120" w:afterLines="50"/>
      <w:ind w:left="862" w:hanging="862"/>
    </w:pPr>
    <w:rPr>
      <w:rFonts w:ascii="黑体" w:hAnsi="宋体" w:eastAsia="黑体" w:cs="宋体"/>
      <w:b w:val="0"/>
      <w:sz w:val="24"/>
      <w:lang w:eastAsia="zh-CN"/>
    </w:rPr>
  </w:style>
  <w:style w:type="paragraph" w:customStyle="1" w:styleId="635">
    <w:name w:val="body"/>
    <w:basedOn w:val="1"/>
    <w:qFormat/>
    <w:uiPriority w:val="0"/>
    <w:pPr>
      <w:spacing w:line="360" w:lineRule="auto"/>
    </w:pPr>
    <w:rPr>
      <w:rFonts w:ascii="宋体" w:hAnsi="宋体" w:cs="宋体"/>
      <w:sz w:val="24"/>
    </w:rPr>
  </w:style>
  <w:style w:type="paragraph" w:customStyle="1" w:styleId="636">
    <w:name w:val="正文 31"/>
    <w:basedOn w:val="549"/>
    <w:qFormat/>
    <w:uiPriority w:val="0"/>
    <w:pPr>
      <w:spacing w:line="360" w:lineRule="auto"/>
      <w:jc w:val="left"/>
    </w:pPr>
    <w:rPr>
      <w:rFonts w:eastAsia="楷体"/>
      <w:sz w:val="28"/>
    </w:rPr>
  </w:style>
  <w:style w:type="paragraph" w:customStyle="1" w:styleId="637">
    <w:name w:val="前言"/>
    <w:basedOn w:val="1"/>
    <w:qFormat/>
    <w:uiPriority w:val="0"/>
    <w:pPr>
      <w:pageBreakBefore/>
      <w:autoSpaceDE w:val="0"/>
      <w:autoSpaceDN w:val="0"/>
      <w:adjustRightInd w:val="0"/>
      <w:spacing w:line="288" w:lineRule="auto"/>
      <w:ind w:firstLine="454"/>
      <w:jc w:val="center"/>
      <w:textAlignment w:val="baseline"/>
    </w:pPr>
    <w:rPr>
      <w:rFonts w:ascii="黑体" w:eastAsia="黑体"/>
      <w:sz w:val="32"/>
    </w:rPr>
  </w:style>
  <w:style w:type="paragraph" w:customStyle="1" w:styleId="638">
    <w:name w:val="样式 标题 2标题 2 Char Char Char Char Char标题 2 Char Char Char Char C...1"/>
    <w:basedOn w:val="4"/>
    <w:qFormat/>
    <w:uiPriority w:val="0"/>
    <w:pPr>
      <w:keepNext/>
      <w:keepLines/>
      <w:pBdr>
        <w:bottom w:val="none" w:color="auto" w:sz="0" w:space="0"/>
      </w:pBdr>
      <w:adjustRightInd w:val="0"/>
      <w:snapToGrid w:val="0"/>
      <w:spacing w:before="120" w:beforeLines="50"/>
      <w:ind w:left="3685" w:hanging="425"/>
    </w:pPr>
    <w:rPr>
      <w:rFonts w:ascii="黑体" w:eastAsia="黑体"/>
      <w:b w:val="0"/>
      <w:bCs/>
      <w:caps w:val="0"/>
      <w:color w:val="auto"/>
      <w:spacing w:val="0"/>
      <w:kern w:val="2"/>
      <w:sz w:val="28"/>
      <w:szCs w:val="28"/>
      <w:lang w:eastAsia="zh-CN"/>
    </w:rPr>
  </w:style>
  <w:style w:type="paragraph" w:customStyle="1" w:styleId="639">
    <w:name w:val="页面 5"/>
    <w:basedOn w:val="529"/>
    <w:qFormat/>
    <w:uiPriority w:val="0"/>
    <w:rPr>
      <w:sz w:val="44"/>
    </w:rPr>
  </w:style>
  <w:style w:type="paragraph" w:customStyle="1" w:styleId="640">
    <w:name w:val="样式 标题 4H4Subsection + 段前: 0.5 行 段后: 0.5 行"/>
    <w:basedOn w:val="6"/>
    <w:qFormat/>
    <w:uiPriority w:val="0"/>
    <w:pPr>
      <w:keepNext w:val="0"/>
      <w:keepLines w:val="0"/>
      <w:tabs>
        <w:tab w:val="left" w:pos="600"/>
        <w:tab w:val="left" w:pos="926"/>
      </w:tabs>
      <w:spacing w:before="120" w:beforeLines="50" w:after="120" w:afterLines="50"/>
      <w:ind w:left="862" w:hanging="862"/>
    </w:pPr>
    <w:rPr>
      <w:rFonts w:ascii="Times New Roman" w:hAnsi="Times New Roman" w:eastAsia="黑体" w:cs="宋体"/>
      <w:b w:val="0"/>
      <w:sz w:val="24"/>
      <w:lang w:eastAsia="zh-CN"/>
    </w:rPr>
  </w:style>
  <w:style w:type="paragraph" w:customStyle="1" w:styleId="641">
    <w:name w:val="xl25"/>
    <w:basedOn w:val="1"/>
    <w:qFormat/>
    <w:uiPriority w:val="0"/>
    <w:pPr>
      <w:widowControl/>
      <w:spacing w:before="100" w:after="100"/>
      <w:jc w:val="center"/>
      <w:textAlignment w:val="center"/>
    </w:pPr>
    <w:rPr>
      <w:rFonts w:ascii="宋体" w:hAnsi="宋体"/>
      <w:sz w:val="24"/>
    </w:rPr>
  </w:style>
  <w:style w:type="paragraph" w:customStyle="1" w:styleId="642">
    <w:name w:val="Char Char Char Char Char Char"/>
    <w:basedOn w:val="1"/>
    <w:qFormat/>
    <w:uiPriority w:val="0"/>
  </w:style>
  <w:style w:type="paragraph" w:customStyle="1" w:styleId="643">
    <w:name w:val="样式 行距: 1.5 倍行距"/>
    <w:basedOn w:val="1"/>
    <w:qFormat/>
    <w:uiPriority w:val="0"/>
    <w:pPr>
      <w:adjustRightInd w:val="0"/>
      <w:snapToGrid w:val="0"/>
      <w:spacing w:line="360" w:lineRule="auto"/>
      <w:ind w:firstLine="504" w:firstLineChars="200"/>
    </w:pPr>
    <w:rPr>
      <w:rFonts w:cs="宋体"/>
      <w:color w:val="000000"/>
      <w:spacing w:val="6"/>
      <w:sz w:val="24"/>
    </w:rPr>
  </w:style>
  <w:style w:type="paragraph" w:customStyle="1" w:styleId="644">
    <w:name w:val="样式 标题 2H22nd levelh22Header 21SeHead wsa2Chapter Title..."/>
    <w:basedOn w:val="4"/>
    <w:qFormat/>
    <w:uiPriority w:val="0"/>
    <w:pPr>
      <w:keepNext/>
      <w:keepLines/>
      <w:pBdr>
        <w:bottom w:val="none" w:color="auto" w:sz="0" w:space="0"/>
      </w:pBdr>
      <w:spacing w:before="100" w:beforeAutospacing="1" w:after="100" w:afterAutospacing="1"/>
      <w:ind w:left="3685" w:hanging="425"/>
      <w:jc w:val="left"/>
    </w:pPr>
    <w:rPr>
      <w:rFonts w:cs="宋体"/>
      <w:bCs/>
      <w:caps w:val="0"/>
      <w:color w:val="auto"/>
      <w:spacing w:val="0"/>
      <w:sz w:val="32"/>
      <w:szCs w:val="32"/>
      <w:lang w:eastAsia="zh-CN"/>
    </w:rPr>
  </w:style>
  <w:style w:type="paragraph" w:customStyle="1" w:styleId="645">
    <w:name w:val="TOC 标题11"/>
    <w:basedOn w:val="3"/>
    <w:next w:val="1"/>
    <w:qFormat/>
    <w:uiPriority w:val="39"/>
    <w:pPr>
      <w:keepLines/>
      <w:widowControl/>
      <w:overflowPunct/>
      <w:adjustRightInd w:val="0"/>
      <w:snapToGrid/>
      <w:spacing w:before="240" w:after="0"/>
      <w:ind w:left="0" w:firstLine="0"/>
      <w:jc w:val="left"/>
      <w:textAlignment w:val="baseline"/>
      <w:outlineLvl w:val="9"/>
    </w:pPr>
    <w:rPr>
      <w:rFonts w:ascii="Calibri Light" w:hAnsi="Calibri Light" w:eastAsia="宋体"/>
      <w:b w:val="0"/>
      <w:bCs w:val="0"/>
      <w:color w:val="2E74B5"/>
      <w:kern w:val="0"/>
      <w:sz w:val="32"/>
      <w:szCs w:val="32"/>
    </w:rPr>
  </w:style>
  <w:style w:type="paragraph" w:customStyle="1" w:styleId="646">
    <w:name w:val="5文章(治)"/>
    <w:basedOn w:val="1"/>
    <w:qFormat/>
    <w:uiPriority w:val="0"/>
    <w:pPr>
      <w:spacing w:line="360" w:lineRule="auto"/>
      <w:ind w:firstLine="560" w:firstLineChars="200"/>
    </w:pPr>
    <w:rPr>
      <w:rFonts w:eastAsia="楷体_GB2312"/>
      <w:sz w:val="28"/>
    </w:rPr>
  </w:style>
  <w:style w:type="paragraph" w:customStyle="1" w:styleId="647">
    <w:name w:val="样式 标题 3条标题1.1.1h3H3level_3PIM 3Level 3 HeadHeading 3 - ol...9"/>
    <w:basedOn w:val="5"/>
    <w:qFormat/>
    <w:uiPriority w:val="0"/>
    <w:pPr>
      <w:keepNext/>
      <w:widowControl w:val="0"/>
      <w:tabs>
        <w:tab w:val="left" w:pos="720"/>
      </w:tabs>
      <w:spacing w:before="120" w:beforeLines="50" w:after="120" w:afterLines="50" w:line="360" w:lineRule="auto"/>
      <w:ind w:left="720" w:hanging="720"/>
      <w:jc w:val="left"/>
    </w:pPr>
    <w:rPr>
      <w:rFonts w:hAnsi="宋体"/>
      <w:snapToGrid w:val="0"/>
      <w:spacing w:val="0"/>
      <w:kern w:val="2"/>
      <w:sz w:val="24"/>
      <w:szCs w:val="20"/>
      <w:lang w:eastAsia="zh-CN"/>
    </w:rPr>
  </w:style>
  <w:style w:type="paragraph" w:customStyle="1" w:styleId="648">
    <w:name w:val="xl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ascii="仿宋_GB2312" w:hAnsi="Arial Unicode MS" w:eastAsia="仿宋_GB2312" w:cs="仿宋_GB2312"/>
    </w:rPr>
  </w:style>
  <w:style w:type="paragraph" w:customStyle="1" w:styleId="649">
    <w:name w:val="Char Char Char Char Char Char1 Char Char"/>
    <w:basedOn w:val="1"/>
    <w:next w:val="1"/>
    <w:qFormat/>
    <w:uiPriority w:val="0"/>
    <w:pPr>
      <w:spacing w:line="360" w:lineRule="auto"/>
      <w:ind w:firstLine="200" w:firstLineChars="200"/>
    </w:pPr>
    <w:rPr>
      <w:rFonts w:ascii="宋体" w:hAnsi="宋体" w:cs="宋体"/>
      <w:sz w:val="24"/>
    </w:rPr>
  </w:style>
  <w:style w:type="paragraph" w:customStyle="1" w:styleId="650">
    <w:name w:val="样式 正文文本缩进 + 左侧:  2 字符"/>
    <w:basedOn w:val="37"/>
    <w:qFormat/>
    <w:uiPriority w:val="0"/>
    <w:pPr>
      <w:widowControl/>
      <w:adjustRightInd w:val="0"/>
      <w:snapToGrid w:val="0"/>
      <w:spacing w:beforeLines="50" w:line="360" w:lineRule="auto"/>
      <w:ind w:left="0" w:leftChars="0" w:firstLine="200" w:firstLineChars="200"/>
      <w:jc w:val="left"/>
    </w:pPr>
  </w:style>
  <w:style w:type="paragraph" w:customStyle="1" w:styleId="651">
    <w:name w:val="报告表格"/>
    <w:basedOn w:val="1"/>
    <w:qFormat/>
    <w:uiPriority w:val="0"/>
    <w:pPr>
      <w:autoSpaceDE w:val="0"/>
      <w:autoSpaceDN w:val="0"/>
      <w:adjustRightInd w:val="0"/>
      <w:jc w:val="center"/>
      <w:textAlignment w:val="baseline"/>
    </w:pPr>
    <w:rPr>
      <w:b/>
      <w:sz w:val="24"/>
    </w:rPr>
  </w:style>
  <w:style w:type="paragraph" w:customStyle="1" w:styleId="652">
    <w:name w:val="报告表大标题"/>
    <w:basedOn w:val="1"/>
    <w:qFormat/>
    <w:uiPriority w:val="0"/>
    <w:pPr>
      <w:adjustRightInd w:val="0"/>
      <w:spacing w:line="360" w:lineRule="auto"/>
      <w:textAlignment w:val="baseline"/>
    </w:pPr>
    <w:rPr>
      <w:rFonts w:ascii="Calibri" w:hAnsi="Calibri" w:eastAsia="黑体"/>
      <w:b/>
      <w:sz w:val="28"/>
    </w:rPr>
  </w:style>
  <w:style w:type="paragraph" w:customStyle="1" w:styleId="653">
    <w:name w:val="xl181"/>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Tahoma" w:hAnsi="Tahoma" w:eastAsia="Arial Unicode MS" w:cs="Tahoma"/>
      <w:sz w:val="20"/>
    </w:rPr>
  </w:style>
  <w:style w:type="paragraph" w:customStyle="1" w:styleId="654">
    <w:name w:val="图题"/>
    <w:basedOn w:val="1"/>
    <w:qFormat/>
    <w:uiPriority w:val="0"/>
    <w:pPr>
      <w:tabs>
        <w:tab w:val="left" w:pos="1260"/>
      </w:tabs>
      <w:spacing w:beforeLines="50" w:afterLines="100" w:line="312" w:lineRule="auto"/>
      <w:jc w:val="center"/>
    </w:pPr>
    <w:rPr>
      <w:rFonts w:ascii="宋体" w:hAnsi="宋体" w:cs="Arial"/>
      <w:bCs/>
      <w:sz w:val="24"/>
    </w:rPr>
  </w:style>
  <w:style w:type="paragraph" w:customStyle="1" w:styleId="655">
    <w:name w:val="正文 New New New New New New New New New New New New New New New New New New New"/>
    <w:qFormat/>
    <w:uiPriority w:val="0"/>
    <w:pPr>
      <w:widowControl w:val="0"/>
      <w:jc w:val="both"/>
    </w:pPr>
    <w:rPr>
      <w:rFonts w:ascii="Times New Roman" w:hAnsi="Times New Roman" w:eastAsia="宋体" w:cs="Times New Roman"/>
      <w:kern w:val="2"/>
      <w:sz w:val="24"/>
      <w:szCs w:val="24"/>
      <w:lang w:val="en-US" w:eastAsia="zh-CN" w:bidi="ar-SA"/>
    </w:rPr>
  </w:style>
  <w:style w:type="paragraph" w:customStyle="1" w:styleId="656">
    <w:name w:val="Char2"/>
    <w:basedOn w:val="1"/>
    <w:qFormat/>
    <w:uiPriority w:val="0"/>
    <w:pPr>
      <w:adjustRightInd w:val="0"/>
      <w:spacing w:line="360" w:lineRule="auto"/>
    </w:pPr>
    <w:rPr>
      <w:sz w:val="24"/>
    </w:rPr>
  </w:style>
  <w:style w:type="paragraph" w:customStyle="1" w:styleId="657">
    <w:name w:val="第几章"/>
    <w:basedOn w:val="519"/>
    <w:qFormat/>
    <w:uiPriority w:val="0"/>
    <w:pPr>
      <w:spacing w:beforeLines="0"/>
    </w:pPr>
    <w:rPr>
      <w:sz w:val="32"/>
      <w:szCs w:val="32"/>
    </w:rPr>
  </w:style>
  <w:style w:type="paragraph" w:customStyle="1" w:styleId="658">
    <w:name w:val="样式 样式 样式 标题 4H4Subsection + 黑色 段前: 0.5 行 段后: 0.5 行 + 段前: 0.5 行 段..."/>
    <w:basedOn w:val="586"/>
    <w:qFormat/>
    <w:uiPriority w:val="0"/>
  </w:style>
  <w:style w:type="paragraph" w:customStyle="1" w:styleId="659">
    <w:name w:val="样式 样式 宋体 小四 左 + 首行缩进:  2 字符"/>
    <w:basedOn w:val="1"/>
    <w:qFormat/>
    <w:uiPriority w:val="0"/>
    <w:pPr>
      <w:spacing w:line="360" w:lineRule="auto"/>
      <w:ind w:firstLine="200" w:firstLineChars="200"/>
      <w:jc w:val="left"/>
    </w:pPr>
    <w:rPr>
      <w:rFonts w:cs="宋体"/>
      <w:sz w:val="24"/>
    </w:rPr>
  </w:style>
  <w:style w:type="paragraph" w:customStyle="1" w:styleId="660">
    <w:name w:val="正文1"/>
    <w:qFormat/>
    <w:uiPriority w:val="0"/>
    <w:pPr>
      <w:jc w:val="both"/>
    </w:pPr>
    <w:rPr>
      <w:rFonts w:ascii="Calibri" w:hAnsi="Calibri" w:eastAsia="宋体" w:cs="Times New Roman"/>
      <w:kern w:val="2"/>
      <w:sz w:val="21"/>
      <w:szCs w:val="21"/>
      <w:lang w:val="en-US" w:eastAsia="zh-CN" w:bidi="ar-SA"/>
    </w:rPr>
  </w:style>
  <w:style w:type="paragraph" w:customStyle="1" w:styleId="661">
    <w:name w:val="列出段落1"/>
    <w:basedOn w:val="1"/>
    <w:qFormat/>
    <w:uiPriority w:val="0"/>
    <w:pPr>
      <w:ind w:firstLine="420" w:firstLineChars="200"/>
    </w:pPr>
    <w:rPr>
      <w:rFonts w:ascii="Calibri" w:hAnsi="Calibri"/>
      <w:szCs w:val="22"/>
    </w:rPr>
  </w:style>
  <w:style w:type="paragraph" w:customStyle="1" w:styleId="662">
    <w:name w:val="样式 标题 4H4Subsection + 黑色 段前: 0.5 行 段后: 0.5 行1"/>
    <w:basedOn w:val="6"/>
    <w:qFormat/>
    <w:uiPriority w:val="0"/>
    <w:pPr>
      <w:keepNext w:val="0"/>
      <w:keepLines w:val="0"/>
      <w:tabs>
        <w:tab w:val="left" w:pos="600"/>
        <w:tab w:val="left" w:pos="926"/>
      </w:tabs>
      <w:spacing w:before="120" w:beforeLines="50" w:after="120" w:afterLines="50"/>
      <w:ind w:left="862" w:hanging="862"/>
    </w:pPr>
    <w:rPr>
      <w:rFonts w:ascii="Times New Roman" w:hAnsi="Times New Roman" w:eastAsia="黑体" w:cs="宋体"/>
      <w:b w:val="0"/>
      <w:color w:val="000000"/>
      <w:sz w:val="24"/>
      <w:lang w:eastAsia="zh-CN"/>
    </w:rPr>
  </w:style>
  <w:style w:type="paragraph" w:customStyle="1" w:styleId="663">
    <w:name w:val="表题 2"/>
    <w:basedOn w:val="554"/>
    <w:qFormat/>
    <w:uiPriority w:val="0"/>
    <w:rPr>
      <w:sz w:val="28"/>
    </w:rPr>
  </w:style>
  <w:style w:type="paragraph" w:customStyle="1" w:styleId="664">
    <w:name w:val="Char Char"/>
    <w:basedOn w:val="1"/>
    <w:qFormat/>
    <w:uiPriority w:val="0"/>
    <w:rPr>
      <w:rFonts w:eastAsia="仿宋_GB2312"/>
      <w:b/>
      <w:sz w:val="24"/>
    </w:rPr>
  </w:style>
  <w:style w:type="paragraph" w:customStyle="1" w:styleId="665">
    <w:name w:val="表文字a"/>
    <w:basedOn w:val="1"/>
    <w:next w:val="1"/>
    <w:qFormat/>
    <w:uiPriority w:val="0"/>
    <w:pPr>
      <w:adjustRightInd w:val="0"/>
      <w:snapToGrid w:val="0"/>
      <w:jc w:val="center"/>
    </w:pPr>
    <w:rPr>
      <w:rFonts w:ascii="Calibri" w:hAnsi="Calibri"/>
      <w:color w:val="7030A0"/>
      <w:lang w:eastAsia="zh-TW"/>
    </w:rPr>
  </w:style>
  <w:style w:type="paragraph" w:customStyle="1" w:styleId="666">
    <w:name w:val="图底"/>
    <w:basedOn w:val="1"/>
    <w:qFormat/>
    <w:uiPriority w:val="0"/>
    <w:pPr>
      <w:kinsoku w:val="0"/>
      <w:wordWrap w:val="0"/>
      <w:overflowPunct w:val="0"/>
      <w:autoSpaceDE w:val="0"/>
      <w:autoSpaceDN w:val="0"/>
      <w:adjustRightInd w:val="0"/>
      <w:jc w:val="center"/>
      <w:textAlignment w:val="baseline"/>
    </w:pPr>
    <w:rPr>
      <w:b/>
      <w:sz w:val="24"/>
    </w:rPr>
  </w:style>
  <w:style w:type="paragraph" w:customStyle="1" w:styleId="667">
    <w:name w:val="样式 标题 3B HeadH3ReHead 3 WSAh3标题 3 Char.. + 段前: 0 磅 行距: 1..."/>
    <w:basedOn w:val="5"/>
    <w:qFormat/>
    <w:uiPriority w:val="0"/>
    <w:pPr>
      <w:keepNext/>
      <w:widowControl w:val="0"/>
      <w:adjustRightInd/>
      <w:snapToGrid/>
      <w:spacing w:before="100" w:beforeLines="50" w:beforeAutospacing="1" w:after="100" w:afterLines="50" w:afterAutospacing="1" w:line="360" w:lineRule="auto"/>
      <w:jc w:val="left"/>
      <w:textAlignment w:val="auto"/>
    </w:pPr>
    <w:rPr>
      <w:rFonts w:eastAsia="黑体" w:cs="宋体"/>
      <w:b w:val="0"/>
      <w:color w:val="000000"/>
      <w:spacing w:val="0"/>
      <w:kern w:val="2"/>
      <w:szCs w:val="20"/>
      <w:lang w:eastAsia="zh-CN"/>
    </w:rPr>
  </w:style>
  <w:style w:type="paragraph" w:customStyle="1" w:styleId="668">
    <w:name w:val="yqy5"/>
    <w:basedOn w:val="6"/>
    <w:qFormat/>
    <w:uiPriority w:val="0"/>
    <w:pPr>
      <w:spacing w:beforeLines="50"/>
    </w:pPr>
    <w:rPr>
      <w:sz w:val="24"/>
      <w:szCs w:val="24"/>
      <w:lang w:eastAsia="zh-CN"/>
    </w:rPr>
  </w:style>
  <w:style w:type="paragraph" w:customStyle="1" w:styleId="669">
    <w:name w:val="样式 标题 4H4Subsection + 黑体 段前: 0.5 行 段后: 0.5 行1"/>
    <w:basedOn w:val="6"/>
    <w:qFormat/>
    <w:uiPriority w:val="0"/>
    <w:pPr>
      <w:keepNext w:val="0"/>
      <w:keepLines w:val="0"/>
      <w:tabs>
        <w:tab w:val="left" w:pos="600"/>
        <w:tab w:val="left" w:pos="926"/>
      </w:tabs>
      <w:spacing w:before="120" w:beforeLines="50" w:after="120" w:afterLines="50"/>
      <w:ind w:left="862" w:hanging="862"/>
    </w:pPr>
    <w:rPr>
      <w:rFonts w:ascii="黑体" w:hAnsi="Times New Roman" w:eastAsia="黑体" w:cs="宋体"/>
      <w:b w:val="0"/>
      <w:sz w:val="24"/>
      <w:lang w:eastAsia="zh-CN"/>
    </w:rPr>
  </w:style>
  <w:style w:type="paragraph" w:customStyle="1" w:styleId="670">
    <w:name w:val="正文尾 1"/>
    <w:qFormat/>
    <w:uiPriority w:val="0"/>
    <w:pPr>
      <w:widowControl w:val="0"/>
      <w:adjustRightInd w:val="0"/>
      <w:spacing w:line="360" w:lineRule="auto"/>
      <w:ind w:left="3969"/>
      <w:jc w:val="center"/>
      <w:textAlignment w:val="baseline"/>
    </w:pPr>
    <w:rPr>
      <w:rFonts w:ascii="Times New Roman" w:hAnsi="Times New Roman" w:eastAsia="宋体" w:cs="Times New Roman"/>
      <w:sz w:val="28"/>
      <w:lang w:val="en-US" w:eastAsia="zh-CN" w:bidi="ar-SA"/>
    </w:rPr>
  </w:style>
  <w:style w:type="paragraph" w:customStyle="1" w:styleId="671">
    <w:name w:val="正文0"/>
    <w:basedOn w:val="1"/>
    <w:qFormat/>
    <w:uiPriority w:val="0"/>
    <w:pPr>
      <w:topLinePunct/>
      <w:autoSpaceDE w:val="0"/>
      <w:autoSpaceDN w:val="0"/>
      <w:adjustRightInd w:val="0"/>
      <w:spacing w:line="360" w:lineRule="auto"/>
      <w:ind w:firstLine="567"/>
      <w:textAlignment w:val="baseline"/>
    </w:pPr>
    <w:rPr>
      <w:rFonts w:eastAsia="仿宋体"/>
      <w:sz w:val="24"/>
    </w:rPr>
  </w:style>
  <w:style w:type="paragraph" w:customStyle="1" w:styleId="672">
    <w:name w:val="表号"/>
    <w:qFormat/>
    <w:uiPriority w:val="0"/>
    <w:pPr>
      <w:widowControl w:val="0"/>
      <w:autoSpaceDE w:val="0"/>
      <w:autoSpaceDN w:val="0"/>
      <w:adjustRightInd w:val="0"/>
      <w:spacing w:before="120" w:after="120" w:line="288" w:lineRule="auto"/>
      <w:jc w:val="center"/>
      <w:textAlignment w:val="center"/>
    </w:pPr>
    <w:rPr>
      <w:rFonts w:ascii="Arial" w:hAnsi="Arial" w:eastAsia="楷体_GB2312" w:cs="Times New Roman"/>
      <w:sz w:val="24"/>
      <w:lang w:val="en-US" w:eastAsia="zh-CN" w:bidi="ar-SA"/>
    </w:rPr>
  </w:style>
  <w:style w:type="paragraph" w:customStyle="1" w:styleId="673">
    <w:name w:val="正文11"/>
    <w:basedOn w:val="1"/>
    <w:qFormat/>
    <w:uiPriority w:val="0"/>
    <w:pPr>
      <w:adjustRightInd w:val="0"/>
      <w:jc w:val="left"/>
      <w:textAlignment w:val="baseline"/>
    </w:pPr>
    <w:rPr>
      <w:rFonts w:ascii="Calibri" w:hAnsi="Calibri" w:eastAsia="楷体_GB2312" w:cs="Calibri"/>
      <w:sz w:val="24"/>
      <w:lang w:eastAsia="en-US"/>
    </w:rPr>
  </w:style>
  <w:style w:type="paragraph" w:customStyle="1" w:styleId="674">
    <w:name w:val="TTT表格标题"/>
    <w:basedOn w:val="1"/>
    <w:qFormat/>
    <w:uiPriority w:val="0"/>
    <w:pPr>
      <w:autoSpaceDE w:val="0"/>
      <w:autoSpaceDN w:val="0"/>
      <w:adjustRightInd w:val="0"/>
      <w:jc w:val="center"/>
      <w:textAlignment w:val="baseline"/>
    </w:pPr>
    <w:rPr>
      <w:rFonts w:ascii="Calibri" w:hAnsi="Calibri"/>
      <w:b/>
      <w:bCs/>
      <w:sz w:val="24"/>
      <w:lang w:eastAsia="zh-TW"/>
    </w:rPr>
  </w:style>
  <w:style w:type="paragraph" w:customStyle="1" w:styleId="675">
    <w:name w:val="样式 (西文) 宋体 小四 段前: 6 磅 段后: 6 磅 行距: 多倍行距 1.25 字行 首行缩进:  2 字符"/>
    <w:basedOn w:val="1"/>
    <w:qFormat/>
    <w:uiPriority w:val="0"/>
    <w:pPr>
      <w:spacing w:line="360" w:lineRule="auto"/>
      <w:ind w:firstLine="480" w:firstLineChars="200"/>
    </w:pPr>
    <w:rPr>
      <w:sz w:val="24"/>
      <w:lang w:val="zh-CN"/>
    </w:rPr>
  </w:style>
  <w:style w:type="paragraph" w:customStyle="1" w:styleId="676">
    <w:name w:val="Char Char Char1 Char Char Char"/>
    <w:basedOn w:val="1"/>
    <w:qFormat/>
    <w:uiPriority w:val="0"/>
    <w:pPr>
      <w:adjustRightInd w:val="0"/>
      <w:spacing w:line="360" w:lineRule="auto"/>
    </w:pPr>
    <w:rPr>
      <w:sz w:val="24"/>
    </w:rPr>
  </w:style>
  <w:style w:type="paragraph" w:customStyle="1" w:styleId="677">
    <w:name w:val="封面2"/>
    <w:basedOn w:val="1"/>
    <w:qFormat/>
    <w:uiPriority w:val="0"/>
    <w:pPr>
      <w:jc w:val="center"/>
    </w:pPr>
    <w:rPr>
      <w:b/>
      <w:sz w:val="44"/>
    </w:rPr>
  </w:style>
  <w:style w:type="paragraph" w:customStyle="1" w:styleId="678">
    <w:name w:val="正文 03"/>
    <w:basedOn w:val="1"/>
    <w:qFormat/>
    <w:uiPriority w:val="0"/>
    <w:pPr>
      <w:autoSpaceDE w:val="0"/>
      <w:autoSpaceDN w:val="0"/>
      <w:adjustRightInd w:val="0"/>
      <w:textAlignment w:val="baseline"/>
    </w:pPr>
    <w:rPr>
      <w:sz w:val="24"/>
    </w:rPr>
  </w:style>
  <w:style w:type="paragraph" w:customStyle="1" w:styleId="679">
    <w:name w:val="样式 样式 样式 标题 4H4Subsection + 黑体 加粗 黑色 段前: 0.5 行 段后: 0.5 行 + 段前: 0..."/>
    <w:basedOn w:val="680"/>
    <w:qFormat/>
    <w:uiPriority w:val="0"/>
    <w:pPr>
      <w:tabs>
        <w:tab w:val="left" w:pos="0"/>
        <w:tab w:val="left" w:pos="600"/>
        <w:tab w:val="left" w:pos="926"/>
      </w:tabs>
    </w:pPr>
  </w:style>
  <w:style w:type="paragraph" w:customStyle="1" w:styleId="680">
    <w:name w:val="样式 样式 标题 4H4Subsection + 黑体 加粗 黑色 段前: 0.5 行 段后: 0.5 行 + 段前: 0.5 ..."/>
    <w:basedOn w:val="595"/>
    <w:qFormat/>
    <w:uiPriority w:val="0"/>
    <w:pPr>
      <w:tabs>
        <w:tab w:val="left" w:pos="0"/>
      </w:tabs>
      <w:ind w:left="0" w:firstLine="0"/>
    </w:pPr>
  </w:style>
  <w:style w:type="paragraph" w:customStyle="1" w:styleId="681">
    <w:name w:val="表1表2"/>
    <w:basedOn w:val="1"/>
    <w:qFormat/>
    <w:uiPriority w:val="0"/>
    <w:pPr>
      <w:topLinePunct/>
      <w:autoSpaceDE w:val="0"/>
      <w:autoSpaceDN w:val="0"/>
      <w:adjustRightInd w:val="0"/>
      <w:jc w:val="center"/>
      <w:textAlignment w:val="center"/>
    </w:pPr>
    <w:rPr>
      <w:rFonts w:eastAsia="仿宋体"/>
      <w:sz w:val="24"/>
    </w:rPr>
  </w:style>
  <w:style w:type="paragraph" w:customStyle="1" w:styleId="682">
    <w:name w:val="正文尾"/>
    <w:qFormat/>
    <w:uiPriority w:val="0"/>
    <w:pPr>
      <w:widowControl w:val="0"/>
      <w:adjustRightInd w:val="0"/>
      <w:spacing w:line="300" w:lineRule="auto"/>
      <w:ind w:left="3969"/>
      <w:jc w:val="center"/>
      <w:textAlignment w:val="baseline"/>
    </w:pPr>
    <w:rPr>
      <w:rFonts w:ascii="Times New Roman" w:hAnsi="Times New Roman" w:eastAsia="宋体" w:cs="Times New Roman"/>
      <w:sz w:val="28"/>
      <w:lang w:val="en-US" w:eastAsia="zh-CN" w:bidi="ar-SA"/>
    </w:rPr>
  </w:style>
  <w:style w:type="paragraph" w:customStyle="1" w:styleId="683">
    <w:name w:val="样式 首行缩进:  2 字符3"/>
    <w:basedOn w:val="1"/>
    <w:qFormat/>
    <w:uiPriority w:val="0"/>
    <w:pPr>
      <w:snapToGrid w:val="0"/>
      <w:spacing w:line="360" w:lineRule="auto"/>
      <w:ind w:firstLine="480" w:firstLineChars="200"/>
    </w:pPr>
    <w:rPr>
      <w:rFonts w:cs="宋体"/>
      <w:sz w:val="24"/>
    </w:rPr>
  </w:style>
  <w:style w:type="paragraph" w:customStyle="1" w:styleId="684">
    <w:name w:val="样式 标题 4H4Subsection + 黑体 加粗 段前: 0.5 行 段后: 0.5 行"/>
    <w:basedOn w:val="6"/>
    <w:qFormat/>
    <w:uiPriority w:val="0"/>
    <w:pPr>
      <w:keepNext w:val="0"/>
      <w:keepLines w:val="0"/>
      <w:tabs>
        <w:tab w:val="left" w:pos="600"/>
        <w:tab w:val="left" w:pos="926"/>
      </w:tabs>
      <w:spacing w:before="120" w:beforeLines="100" w:after="120" w:afterLines="100"/>
      <w:ind w:left="862" w:hanging="862"/>
    </w:pPr>
    <w:rPr>
      <w:rFonts w:ascii="黑体" w:hAnsi="黑体" w:eastAsia="黑体" w:cs="宋体"/>
      <w:b w:val="0"/>
      <w:bCs/>
      <w:sz w:val="24"/>
      <w:lang w:eastAsia="zh-CN"/>
    </w:rPr>
  </w:style>
  <w:style w:type="paragraph" w:customStyle="1" w:styleId="685">
    <w:name w:val="样式 标题 3ReHead 3 WSAh3B HeadH3..标题 13标题 13 Char标题 3 Char..."/>
    <w:basedOn w:val="5"/>
    <w:qFormat/>
    <w:uiPriority w:val="0"/>
    <w:pPr>
      <w:keepNext/>
      <w:keepLines w:val="0"/>
      <w:widowControl w:val="0"/>
      <w:tabs>
        <w:tab w:val="left" w:pos="240"/>
        <w:tab w:val="left" w:pos="482"/>
      </w:tabs>
      <w:adjustRightInd/>
      <w:snapToGrid/>
      <w:spacing w:before="50" w:after="50" w:line="360" w:lineRule="auto"/>
      <w:ind w:left="258" w:hanging="150"/>
      <w:textAlignment w:val="auto"/>
    </w:pPr>
    <w:rPr>
      <w:rFonts w:ascii="黑体" w:hAnsi="宋体" w:eastAsia="黑体" w:cs="宋体"/>
      <w:b w:val="0"/>
      <w:bCs w:val="0"/>
      <w:spacing w:val="0"/>
      <w:kern w:val="2"/>
      <w:sz w:val="24"/>
      <w:szCs w:val="20"/>
      <w:lang w:eastAsia="zh-CN"/>
    </w:rPr>
  </w:style>
  <w:style w:type="paragraph" w:customStyle="1" w:styleId="686">
    <w:name w:val="表体"/>
    <w:basedOn w:val="1"/>
    <w:qFormat/>
    <w:uiPriority w:val="0"/>
    <w:pPr>
      <w:keepNext/>
      <w:overflowPunct w:val="0"/>
      <w:adjustRightInd w:val="0"/>
      <w:ind w:left="-57" w:right="-57" w:firstLine="420" w:firstLineChars="200"/>
      <w:textAlignment w:val="baseline"/>
    </w:pPr>
    <w:rPr>
      <w:color w:val="000000"/>
      <w:kern w:val="24"/>
    </w:rPr>
  </w:style>
  <w:style w:type="paragraph" w:customStyle="1" w:styleId="687">
    <w:name w:val="样式 (符号) Bookman Old Style 小四 首行缩进:  0.85 厘米 行距: 1.5 倍行距"/>
    <w:basedOn w:val="1"/>
    <w:qFormat/>
    <w:uiPriority w:val="0"/>
    <w:pPr>
      <w:spacing w:line="360" w:lineRule="auto"/>
      <w:ind w:firstLine="482"/>
    </w:pPr>
    <w:rPr>
      <w:rFonts w:hAnsi="Bookman Old Style" w:cs="宋体"/>
      <w:sz w:val="24"/>
    </w:rPr>
  </w:style>
  <w:style w:type="paragraph" w:customStyle="1" w:styleId="688">
    <w:name w:val="7表格(治)"/>
    <w:qFormat/>
    <w:uiPriority w:val="0"/>
    <w:pPr>
      <w:jc w:val="center"/>
    </w:pPr>
    <w:rPr>
      <w:rFonts w:ascii="Times New Roman" w:hAnsi="Times New Roman" w:eastAsia="楷体_GB2312" w:cs="Times New Roman"/>
      <w:sz w:val="18"/>
      <w:lang w:val="en-US" w:eastAsia="zh-CN" w:bidi="ar-SA"/>
    </w:rPr>
  </w:style>
  <w:style w:type="paragraph" w:customStyle="1" w:styleId="689">
    <w:name w:val="标题 33"/>
    <w:basedOn w:val="5"/>
    <w:qFormat/>
    <w:uiPriority w:val="0"/>
    <w:pPr>
      <w:keepLines w:val="0"/>
      <w:widowControl w:val="0"/>
      <w:snapToGrid/>
      <w:spacing w:before="120" w:after="120"/>
      <w:ind w:firstLine="567"/>
      <w:jc w:val="left"/>
      <w:outlineLvl w:val="9"/>
    </w:pPr>
    <w:rPr>
      <w:rFonts w:eastAsia="隶书体"/>
      <w:b w:val="0"/>
      <w:bCs w:val="0"/>
      <w:spacing w:val="0"/>
      <w:kern w:val="0"/>
      <w:sz w:val="32"/>
      <w:szCs w:val="20"/>
      <w:lang w:eastAsia="zh-CN"/>
    </w:rPr>
  </w:style>
  <w:style w:type="paragraph" w:customStyle="1" w:styleId="690">
    <w:name w:val="zhang正文 + 仿宋_GB2312"/>
    <w:basedOn w:val="37"/>
    <w:qFormat/>
    <w:uiPriority w:val="0"/>
    <w:pPr>
      <w:spacing w:after="0" w:line="360" w:lineRule="auto"/>
      <w:ind w:left="0" w:leftChars="0" w:firstLine="560" w:firstLineChars="200"/>
    </w:pPr>
    <w:rPr>
      <w:rFonts w:ascii="仿宋_GB2312" w:eastAsia="仿宋_GB2312"/>
      <w:kern w:val="2"/>
      <w:sz w:val="28"/>
      <w:szCs w:val="22"/>
    </w:rPr>
  </w:style>
  <w:style w:type="paragraph" w:customStyle="1" w:styleId="691">
    <w:name w:val="样式 表格 32 + 首行缩进:  2 字符"/>
    <w:basedOn w:val="1"/>
    <w:qFormat/>
    <w:uiPriority w:val="0"/>
    <w:pPr>
      <w:autoSpaceDE w:val="0"/>
      <w:autoSpaceDN w:val="0"/>
      <w:adjustRightInd w:val="0"/>
      <w:spacing w:line="0" w:lineRule="atLeast"/>
      <w:jc w:val="center"/>
      <w:textAlignment w:val="baseline"/>
    </w:pPr>
    <w:rPr>
      <w:rFonts w:ascii="Calibri" w:hAnsi="Calibri" w:eastAsia="Times New Roman"/>
      <w:sz w:val="24"/>
    </w:rPr>
  </w:style>
  <w:style w:type="paragraph" w:customStyle="1" w:styleId="692">
    <w:name w:val="正文文本缩进1"/>
    <w:basedOn w:val="1"/>
    <w:qFormat/>
    <w:uiPriority w:val="0"/>
    <w:pPr>
      <w:spacing w:line="300" w:lineRule="auto"/>
      <w:ind w:firstLine="454"/>
    </w:pPr>
    <w:rPr>
      <w:rFonts w:ascii="Calibri" w:hAnsi="Calibri"/>
      <w:lang w:eastAsia="zh-TW"/>
    </w:rPr>
  </w:style>
  <w:style w:type="paragraph" w:customStyle="1" w:styleId="693">
    <w:name w:val="xl26"/>
    <w:basedOn w:val="1"/>
    <w:qFormat/>
    <w:uiPriority w:val="0"/>
    <w:pPr>
      <w:widowControl/>
      <w:spacing w:before="100" w:after="100"/>
      <w:jc w:val="center"/>
      <w:textAlignment w:val="center"/>
    </w:pPr>
    <w:rPr>
      <w:rFonts w:ascii="宋体" w:hAnsi="宋体"/>
      <w:sz w:val="24"/>
    </w:rPr>
  </w:style>
  <w:style w:type="paragraph" w:customStyle="1" w:styleId="694">
    <w:name w:val="标准"/>
    <w:basedOn w:val="1"/>
    <w:qFormat/>
    <w:uiPriority w:val="0"/>
    <w:pPr>
      <w:adjustRightInd w:val="0"/>
      <w:spacing w:line="480" w:lineRule="exact"/>
      <w:textAlignment w:val="baseline"/>
    </w:pPr>
    <w:rPr>
      <w:sz w:val="28"/>
      <w:lang w:val="en-GB"/>
    </w:rPr>
  </w:style>
  <w:style w:type="paragraph" w:customStyle="1" w:styleId="695">
    <w:name w:val="表格 3"/>
    <w:basedOn w:val="198"/>
    <w:qFormat/>
    <w:uiPriority w:val="0"/>
    <w:pPr>
      <w:autoSpaceDE w:val="0"/>
      <w:autoSpaceDN w:val="0"/>
      <w:snapToGrid/>
      <w:spacing w:beforeLines="0" w:afterLines="0" w:line="240" w:lineRule="auto"/>
    </w:pPr>
    <w:rPr>
      <w:rFonts w:ascii="Times New Roman" w:eastAsia="楷体_GB2312"/>
    </w:rPr>
  </w:style>
  <w:style w:type="paragraph" w:customStyle="1" w:styleId="696">
    <w:name w:val="图片名称"/>
    <w:basedOn w:val="1"/>
    <w:qFormat/>
    <w:uiPriority w:val="0"/>
    <w:pPr>
      <w:jc w:val="center"/>
    </w:pPr>
    <w:rPr>
      <w:rFonts w:ascii="Calibri" w:hAnsi="Calibri" w:cs="宋体"/>
      <w:b/>
      <w:bCs/>
      <w:lang w:eastAsia="zh-TW"/>
    </w:rPr>
  </w:style>
  <w:style w:type="paragraph" w:customStyle="1" w:styleId="697">
    <w:name w:val="标题111"/>
    <w:basedOn w:val="1"/>
    <w:qFormat/>
    <w:uiPriority w:val="0"/>
    <w:pPr>
      <w:adjustRightInd w:val="0"/>
      <w:spacing w:before="440" w:after="440" w:line="400" w:lineRule="exact"/>
      <w:jc w:val="left"/>
      <w:textAlignment w:val="baseline"/>
      <w:outlineLvl w:val="0"/>
    </w:pPr>
    <w:rPr>
      <w:rFonts w:ascii="Calibri" w:hAnsi="Calibri" w:eastAsia="Times New Roman"/>
    </w:rPr>
  </w:style>
  <w:style w:type="paragraph" w:customStyle="1" w:styleId="698">
    <w:name w:val="带括号的正文"/>
    <w:basedOn w:val="1"/>
    <w:next w:val="1"/>
    <w:qFormat/>
    <w:uiPriority w:val="0"/>
    <w:pPr>
      <w:suppressAutoHyphens/>
      <w:snapToGrid w:val="0"/>
      <w:spacing w:line="360" w:lineRule="auto"/>
      <w:ind w:firstLine="100"/>
    </w:pPr>
    <w:rPr>
      <w:kern w:val="1"/>
      <w:sz w:val="24"/>
      <w:szCs w:val="28"/>
      <w:lang w:eastAsia="ar-SA"/>
    </w:rPr>
  </w:style>
  <w:style w:type="paragraph" w:customStyle="1" w:styleId="699">
    <w:name w:val="INDEX"/>
    <w:basedOn w:val="1"/>
    <w:qFormat/>
    <w:uiPriority w:val="0"/>
    <w:pPr>
      <w:adjustRightInd w:val="0"/>
      <w:spacing w:line="360" w:lineRule="atLeast"/>
      <w:ind w:left="720" w:hanging="720"/>
      <w:jc w:val="left"/>
      <w:textAlignment w:val="baseline"/>
    </w:pPr>
    <w:rPr>
      <w:rFonts w:ascii="全真楷書" w:eastAsia="全真楷書" w:cs="Dutch801 Rm BT"/>
      <w:sz w:val="24"/>
      <w:lang w:eastAsia="zh-TW"/>
    </w:rPr>
  </w:style>
  <w:style w:type="paragraph" w:customStyle="1" w:styleId="700">
    <w:name w:val="表格样式1"/>
    <w:basedOn w:val="1"/>
    <w:qFormat/>
    <w:uiPriority w:val="0"/>
    <w:pPr>
      <w:adjustRightInd w:val="0"/>
      <w:spacing w:line="20" w:lineRule="atLeast"/>
      <w:jc w:val="center"/>
      <w:textAlignment w:val="baseline"/>
    </w:pPr>
    <w:rPr>
      <w:rFonts w:ascii="宋体" w:hAnsi="宋体"/>
    </w:rPr>
  </w:style>
  <w:style w:type="paragraph" w:customStyle="1" w:styleId="701">
    <w:name w:val="封面3"/>
    <w:basedOn w:val="677"/>
    <w:qFormat/>
    <w:uiPriority w:val="0"/>
    <w:pPr>
      <w:spacing w:beforeLines="50" w:afterLines="50" w:line="360" w:lineRule="auto"/>
    </w:pPr>
    <w:rPr>
      <w:rFonts w:ascii="黑体" w:eastAsia="黑体"/>
      <w:szCs w:val="44"/>
    </w:rPr>
  </w:style>
  <w:style w:type="paragraph" w:customStyle="1" w:styleId="702">
    <w:name w:val="表格 33"/>
    <w:basedOn w:val="703"/>
    <w:qFormat/>
    <w:uiPriority w:val="0"/>
    <w:rPr>
      <w:sz w:val="21"/>
    </w:rPr>
  </w:style>
  <w:style w:type="paragraph" w:customStyle="1" w:styleId="703">
    <w:name w:val="表格 31"/>
    <w:qFormat/>
    <w:uiPriority w:val="0"/>
    <w:pPr>
      <w:widowControl w:val="0"/>
      <w:autoSpaceDE w:val="0"/>
      <w:autoSpaceDN w:val="0"/>
      <w:adjustRightInd w:val="0"/>
      <w:jc w:val="center"/>
      <w:textAlignment w:val="baseline"/>
    </w:pPr>
    <w:rPr>
      <w:rFonts w:ascii="Times New Roman" w:hAnsi="Times New Roman" w:eastAsia="楷体" w:cs="Times New Roman"/>
      <w:sz w:val="28"/>
      <w:lang w:val="en-US" w:eastAsia="zh-CN" w:bidi="ar-SA"/>
    </w:rPr>
  </w:style>
  <w:style w:type="paragraph" w:customStyle="1" w:styleId="704">
    <w:name w:val="正文表格"/>
    <w:basedOn w:val="1"/>
    <w:qFormat/>
    <w:uiPriority w:val="0"/>
    <w:pPr>
      <w:jc w:val="center"/>
    </w:pPr>
  </w:style>
  <w:style w:type="paragraph" w:customStyle="1" w:styleId="705">
    <w:name w:val="样式 标题 2H2SeHead wsa21标题 1.1. + 段前: 4.65 磅 段后: 4.65 磅 行距:..."/>
    <w:basedOn w:val="4"/>
    <w:qFormat/>
    <w:uiPriority w:val="0"/>
    <w:pPr>
      <w:keepNext/>
      <w:keepLines/>
      <w:pBdr>
        <w:bottom w:val="none" w:color="auto" w:sz="0" w:space="0"/>
      </w:pBdr>
      <w:spacing w:before="100" w:beforeAutospacing="1" w:after="120"/>
      <w:ind w:left="3685" w:hanging="425"/>
      <w:jc w:val="left"/>
    </w:pPr>
    <w:rPr>
      <w:rFonts w:ascii="Arial" w:hAnsi="Arial" w:cs="宋体"/>
      <w:b w:val="0"/>
      <w:bCs/>
      <w:caps w:val="0"/>
      <w:spacing w:val="0"/>
      <w:kern w:val="2"/>
      <w:sz w:val="32"/>
      <w:szCs w:val="32"/>
      <w:lang w:eastAsia="zh-CN"/>
    </w:rPr>
  </w:style>
  <w:style w:type="paragraph" w:customStyle="1" w:styleId="706">
    <w:name w:val="自制正文1"/>
    <w:basedOn w:val="1"/>
    <w:next w:val="1"/>
    <w:qFormat/>
    <w:uiPriority w:val="0"/>
    <w:pPr>
      <w:adjustRightInd w:val="0"/>
      <w:snapToGrid w:val="0"/>
      <w:spacing w:line="360" w:lineRule="auto"/>
      <w:ind w:firstLine="480" w:firstLineChars="200"/>
    </w:pPr>
    <w:rPr>
      <w:sz w:val="24"/>
    </w:rPr>
  </w:style>
  <w:style w:type="paragraph" w:customStyle="1" w:styleId="707">
    <w:name w:val="Char1 Char Char Char"/>
    <w:basedOn w:val="1"/>
    <w:qFormat/>
    <w:uiPriority w:val="0"/>
  </w:style>
  <w:style w:type="paragraph" w:customStyle="1" w:styleId="708">
    <w:name w:val="封面正文"/>
    <w:qFormat/>
    <w:uiPriority w:val="0"/>
    <w:pPr>
      <w:jc w:val="both"/>
    </w:pPr>
    <w:rPr>
      <w:rFonts w:ascii="Times New Roman" w:hAnsi="Times New Roman" w:eastAsia="宋体" w:cs="Times New Roman"/>
      <w:lang w:val="en-US" w:eastAsia="zh-CN" w:bidi="ar-SA"/>
    </w:rPr>
  </w:style>
  <w:style w:type="paragraph" w:customStyle="1" w:styleId="709">
    <w:name w:val="标题22"/>
    <w:basedOn w:val="4"/>
    <w:qFormat/>
    <w:uiPriority w:val="0"/>
    <w:pPr>
      <w:keepNext/>
      <w:keepLines/>
      <w:pBdr>
        <w:bottom w:val="none" w:color="auto" w:sz="0" w:space="0"/>
      </w:pBdr>
      <w:tabs>
        <w:tab w:val="left" w:pos="2380"/>
      </w:tabs>
      <w:spacing w:before="120" w:beforeLines="50" w:after="120" w:afterLines="50"/>
      <w:ind w:left="3685" w:hanging="425"/>
      <w:jc w:val="left"/>
    </w:pPr>
    <w:rPr>
      <w:bCs/>
      <w:caps w:val="0"/>
      <w:color w:val="auto"/>
      <w:spacing w:val="0"/>
      <w:kern w:val="2"/>
      <w:sz w:val="32"/>
      <w:szCs w:val="32"/>
      <w:lang w:eastAsia="zh-CN"/>
    </w:rPr>
  </w:style>
  <w:style w:type="paragraph" w:customStyle="1" w:styleId="710">
    <w:name w:val="报告书表格"/>
    <w:basedOn w:val="1"/>
    <w:qFormat/>
    <w:uiPriority w:val="0"/>
    <w:pPr>
      <w:adjustRightInd w:val="0"/>
      <w:spacing w:before="60" w:after="60" w:line="240" w:lineRule="atLeast"/>
      <w:jc w:val="center"/>
      <w:textAlignment w:val="baseline"/>
    </w:pPr>
    <w:rPr>
      <w:rFonts w:ascii="Calibri" w:hAnsi="Calibri" w:eastAsia="Times New Roman" w:cs="Calibri"/>
      <w:sz w:val="24"/>
      <w:lang w:eastAsia="en-US"/>
    </w:rPr>
  </w:style>
  <w:style w:type="paragraph" w:customStyle="1" w:styleId="711">
    <w:name w:val="样式 样式 样式 标题 4H4Subsection + 黑体 非加粗 黑色 段前: 6 磅 + 非加粗 左侧:  0 厘米 段后..."/>
    <w:basedOn w:val="581"/>
    <w:qFormat/>
    <w:uiPriority w:val="0"/>
    <w:pPr>
      <w:tabs>
        <w:tab w:val="clear" w:pos="600"/>
        <w:tab w:val="clear" w:pos="926"/>
      </w:tabs>
      <w:ind w:firstLine="0" w:firstLineChars="0"/>
    </w:pPr>
  </w:style>
  <w:style w:type="paragraph" w:customStyle="1" w:styleId="712">
    <w:name w:val="zhang正文"/>
    <w:basedOn w:val="37"/>
    <w:qFormat/>
    <w:uiPriority w:val="0"/>
    <w:pPr>
      <w:autoSpaceDE w:val="0"/>
      <w:autoSpaceDN w:val="0"/>
      <w:adjustRightInd w:val="0"/>
      <w:snapToGrid w:val="0"/>
      <w:spacing w:after="0" w:line="360" w:lineRule="auto"/>
      <w:ind w:left="0" w:leftChars="0" w:firstLine="539"/>
      <w:textAlignment w:val="baseline"/>
    </w:pPr>
    <w:rPr>
      <w:rFonts w:eastAsia="楷体_GB2312"/>
      <w:sz w:val="28"/>
    </w:rPr>
  </w:style>
  <w:style w:type="paragraph" w:customStyle="1" w:styleId="713">
    <w:name w:val="样式 标题 4H4Subsection + (西文) 宋体 段前: 0.5 行 段后: 0.5 行"/>
    <w:basedOn w:val="6"/>
    <w:qFormat/>
    <w:uiPriority w:val="0"/>
    <w:pPr>
      <w:keepNext w:val="0"/>
      <w:keepLines w:val="0"/>
      <w:tabs>
        <w:tab w:val="left" w:pos="600"/>
        <w:tab w:val="left" w:pos="926"/>
      </w:tabs>
      <w:spacing w:before="120" w:beforeLines="50" w:after="120" w:afterLines="50"/>
      <w:ind w:left="862" w:hanging="862"/>
    </w:pPr>
    <w:rPr>
      <w:rFonts w:ascii="宋体" w:hAnsi="宋体" w:eastAsia="黑体" w:cs="宋体"/>
      <w:b w:val="0"/>
      <w:sz w:val="24"/>
      <w:lang w:eastAsia="zh-CN"/>
    </w:rPr>
  </w:style>
  <w:style w:type="paragraph" w:customStyle="1" w:styleId="714">
    <w:name w:val="Char Char Char1"/>
    <w:basedOn w:val="1"/>
    <w:qFormat/>
    <w:uiPriority w:val="0"/>
    <w:pPr>
      <w:keepNext/>
      <w:widowControl/>
      <w:tabs>
        <w:tab w:val="left" w:pos="425"/>
      </w:tabs>
      <w:autoSpaceDE w:val="0"/>
      <w:autoSpaceDN w:val="0"/>
      <w:adjustRightInd w:val="0"/>
      <w:spacing w:before="80" w:after="80"/>
      <w:ind w:hanging="425"/>
    </w:pPr>
    <w:rPr>
      <w:rFonts w:ascii="Arial" w:hAnsi="Arial" w:cs="Arial"/>
      <w:sz w:val="20"/>
    </w:rPr>
  </w:style>
  <w:style w:type="paragraph" w:customStyle="1" w:styleId="715">
    <w:name w:val="B方块图B"/>
    <w:basedOn w:val="1"/>
    <w:next w:val="1"/>
    <w:qFormat/>
    <w:uiPriority w:val="0"/>
    <w:pPr>
      <w:adjustRightInd w:val="0"/>
      <w:snapToGrid w:val="0"/>
      <w:spacing w:line="360" w:lineRule="auto"/>
      <w:jc w:val="center"/>
    </w:pPr>
  </w:style>
  <w:style w:type="paragraph" w:customStyle="1" w:styleId="716">
    <w:name w:val="标题4"/>
    <w:basedOn w:val="5"/>
    <w:qFormat/>
    <w:uiPriority w:val="0"/>
    <w:pPr>
      <w:keepNext/>
      <w:keepLines w:val="0"/>
      <w:widowControl w:val="0"/>
      <w:autoSpaceDE w:val="0"/>
      <w:autoSpaceDN w:val="0"/>
      <w:snapToGrid/>
      <w:spacing w:before="120" w:after="120" w:line="360" w:lineRule="auto"/>
      <w:outlineLvl w:val="9"/>
    </w:pPr>
    <w:rPr>
      <w:rFonts w:ascii="楷体_GB2312" w:eastAsia="楷体_GB2312"/>
      <w:bCs w:val="0"/>
      <w:spacing w:val="0"/>
      <w:kern w:val="2"/>
      <w:szCs w:val="20"/>
      <w:lang w:eastAsia="zh-CN"/>
    </w:rPr>
  </w:style>
  <w:style w:type="paragraph" w:customStyle="1" w:styleId="717">
    <w:name w:val="样式 (符号) Bookman Old Style 小四 首行缩进:  0.63 厘米 行距: 1.5 倍行距"/>
    <w:basedOn w:val="1"/>
    <w:qFormat/>
    <w:uiPriority w:val="0"/>
    <w:pPr>
      <w:spacing w:line="360" w:lineRule="auto"/>
      <w:ind w:firstLine="357"/>
    </w:pPr>
    <w:rPr>
      <w:rFonts w:hAnsi="Bookman Old Style" w:cs="宋体"/>
      <w:sz w:val="24"/>
    </w:rPr>
  </w:style>
  <w:style w:type="paragraph" w:customStyle="1" w:styleId="718">
    <w:name w:val="样式 样式 标题 4H4Subsection + 黑体 黑色 段前: 0.5 行 段后: 0.5 行 + 段前: 0.5 行 ..."/>
    <w:basedOn w:val="583"/>
    <w:qFormat/>
    <w:uiPriority w:val="0"/>
    <w:rPr>
      <w:szCs w:val="20"/>
    </w:rPr>
  </w:style>
  <w:style w:type="paragraph" w:customStyle="1" w:styleId="719">
    <w:name w:val="表标题1"/>
    <w:basedOn w:val="1"/>
    <w:qFormat/>
    <w:uiPriority w:val="0"/>
    <w:pPr>
      <w:keepNext/>
      <w:widowControl/>
      <w:autoSpaceDE w:val="0"/>
      <w:autoSpaceDN w:val="0"/>
      <w:adjustRightInd w:val="0"/>
      <w:spacing w:before="180" w:after="120" w:line="408" w:lineRule="atLeast"/>
      <w:jc w:val="center"/>
      <w:textAlignment w:val="baseline"/>
    </w:pPr>
    <w:rPr>
      <w:b/>
      <w:spacing w:val="2"/>
      <w:sz w:val="28"/>
    </w:rPr>
  </w:style>
  <w:style w:type="paragraph" w:customStyle="1" w:styleId="720">
    <w:name w:val="xl22"/>
    <w:basedOn w:val="1"/>
    <w:qFormat/>
    <w:uiPriority w:val="0"/>
    <w:pPr>
      <w:widowControl/>
      <w:spacing w:before="100" w:after="100" w:line="360" w:lineRule="auto"/>
      <w:ind w:left="-2" w:leftChars="-1" w:firstLine="456" w:firstLineChars="190"/>
      <w:jc w:val="center"/>
    </w:pPr>
    <w:rPr>
      <w:sz w:val="24"/>
    </w:rPr>
  </w:style>
  <w:style w:type="paragraph" w:customStyle="1" w:styleId="721">
    <w:name w:val="p0"/>
    <w:basedOn w:val="1"/>
    <w:qFormat/>
    <w:uiPriority w:val="0"/>
    <w:pPr>
      <w:widowControl/>
    </w:pPr>
    <w:rPr>
      <w:rFonts w:ascii="Calibri" w:hAnsi="Calibri"/>
      <w:lang w:eastAsia="zh-TW"/>
    </w:rPr>
  </w:style>
  <w:style w:type="paragraph" w:customStyle="1" w:styleId="722">
    <w:name w:val="MTDisplayEquation"/>
    <w:basedOn w:val="1"/>
    <w:next w:val="1"/>
    <w:qFormat/>
    <w:uiPriority w:val="0"/>
    <w:pPr>
      <w:tabs>
        <w:tab w:val="center" w:pos="4160"/>
        <w:tab w:val="right" w:pos="8320"/>
      </w:tabs>
      <w:spacing w:line="360" w:lineRule="auto"/>
      <w:ind w:left="-2" w:leftChars="-1" w:firstLine="480" w:firstLineChars="200"/>
    </w:pPr>
    <w:rPr>
      <w:sz w:val="24"/>
    </w:rPr>
  </w:style>
  <w:style w:type="paragraph" w:customStyle="1" w:styleId="723">
    <w:name w:val="报告表小标题"/>
    <w:basedOn w:val="1"/>
    <w:qFormat/>
    <w:uiPriority w:val="0"/>
    <w:pPr>
      <w:adjustRightInd w:val="0"/>
      <w:spacing w:before="100" w:beforeAutospacing="1" w:line="360" w:lineRule="auto"/>
      <w:textAlignment w:val="baseline"/>
    </w:pPr>
    <w:rPr>
      <w:rFonts w:ascii="Calibri" w:hAnsi="Calibri" w:eastAsia="Times New Roman"/>
      <w:b/>
      <w:sz w:val="24"/>
    </w:rPr>
  </w:style>
  <w:style w:type="paragraph" w:customStyle="1" w:styleId="724">
    <w:name w:val="Char Char Char1 Char Char Char Char Char Char Char Char Char Char Char Char Char Char Char Char"/>
    <w:basedOn w:val="1"/>
    <w:qFormat/>
    <w:uiPriority w:val="0"/>
    <w:pPr>
      <w:adjustRightInd w:val="0"/>
      <w:spacing w:line="360" w:lineRule="auto"/>
    </w:pPr>
    <w:rPr>
      <w:sz w:val="24"/>
    </w:rPr>
  </w:style>
  <w:style w:type="paragraph" w:customStyle="1" w:styleId="725">
    <w:name w:val="样式 样式 标题 4H4Subsection + 黑体 非加粗 黑色 段前: 6 磅 + 非加粗 段后: 0.5 行"/>
    <w:basedOn w:val="560"/>
    <w:qFormat/>
    <w:uiPriority w:val="0"/>
    <w:rPr>
      <w:b w:val="0"/>
    </w:rPr>
  </w:style>
  <w:style w:type="paragraph" w:customStyle="1" w:styleId="726">
    <w:name w:val="内容"/>
    <w:basedOn w:val="91"/>
    <w:qFormat/>
    <w:uiPriority w:val="0"/>
  </w:style>
  <w:style w:type="paragraph" w:customStyle="1" w:styleId="727">
    <w:name w:val="字元 字元 Char Char 字元 字元1"/>
    <w:basedOn w:val="1"/>
    <w:qFormat/>
    <w:uiPriority w:val="0"/>
    <w:rPr>
      <w:sz w:val="24"/>
    </w:rPr>
  </w:style>
  <w:style w:type="paragraph" w:customStyle="1" w:styleId="728">
    <w:name w:val="标题 23"/>
    <w:basedOn w:val="4"/>
    <w:qFormat/>
    <w:uiPriority w:val="0"/>
    <w:pPr>
      <w:pBdr>
        <w:bottom w:val="none" w:color="auto" w:sz="0" w:space="0"/>
      </w:pBdr>
      <w:adjustRightInd w:val="0"/>
      <w:spacing w:before="120" w:after="120" w:line="240" w:lineRule="auto"/>
      <w:ind w:left="3685" w:hanging="425"/>
      <w:jc w:val="left"/>
      <w:textAlignment w:val="baseline"/>
      <w:outlineLvl w:val="9"/>
    </w:pPr>
    <w:rPr>
      <w:rFonts w:eastAsia="隶书体"/>
      <w:b w:val="0"/>
      <w:caps w:val="0"/>
      <w:shadow/>
      <w:color w:val="auto"/>
      <w:spacing w:val="0"/>
      <w:sz w:val="36"/>
      <w:lang w:eastAsia="zh-CN"/>
    </w:rPr>
  </w:style>
  <w:style w:type="paragraph" w:customStyle="1" w:styleId="729">
    <w:name w:val="页面 3"/>
    <w:basedOn w:val="1"/>
    <w:qFormat/>
    <w:uiPriority w:val="0"/>
    <w:pPr>
      <w:adjustRightInd w:val="0"/>
      <w:spacing w:line="360" w:lineRule="auto"/>
      <w:ind w:left="-2" w:leftChars="-1" w:firstLine="456" w:firstLineChars="190"/>
      <w:jc w:val="center"/>
    </w:pPr>
    <w:rPr>
      <w:rFonts w:eastAsia="隶书"/>
      <w:sz w:val="52"/>
    </w:rPr>
  </w:style>
  <w:style w:type="paragraph" w:customStyle="1" w:styleId="730">
    <w:name w:val="表头 1"/>
    <w:basedOn w:val="1"/>
    <w:qFormat/>
    <w:uiPriority w:val="0"/>
    <w:pPr>
      <w:spacing w:before="240" w:after="120"/>
      <w:jc w:val="center"/>
    </w:pPr>
    <w:rPr>
      <w:rFonts w:eastAsia="黑体"/>
      <w:sz w:val="24"/>
    </w:rPr>
  </w:style>
  <w:style w:type="paragraph" w:customStyle="1" w:styleId="731">
    <w:name w:val="xl23"/>
    <w:basedOn w:val="1"/>
    <w:qFormat/>
    <w:uiPriority w:val="0"/>
    <w:pPr>
      <w:widowControl/>
      <w:spacing w:before="100" w:after="100"/>
      <w:jc w:val="left"/>
    </w:pPr>
    <w:rPr>
      <w:sz w:val="24"/>
    </w:rPr>
  </w:style>
  <w:style w:type="paragraph" w:customStyle="1" w:styleId="732">
    <w:name w:val="样式 首行缩进:  2 字符1"/>
    <w:basedOn w:val="1"/>
    <w:qFormat/>
    <w:uiPriority w:val="0"/>
    <w:pPr>
      <w:snapToGrid w:val="0"/>
      <w:spacing w:line="360" w:lineRule="auto"/>
      <w:ind w:firstLine="200" w:firstLineChars="200"/>
    </w:pPr>
    <w:rPr>
      <w:rFonts w:ascii="Calibri" w:hAnsi="Calibri"/>
      <w:sz w:val="24"/>
    </w:rPr>
  </w:style>
  <w:style w:type="paragraph" w:customStyle="1" w:styleId="733">
    <w:name w:val="插图"/>
    <w:basedOn w:val="1"/>
    <w:next w:val="1"/>
    <w:qFormat/>
    <w:uiPriority w:val="0"/>
    <w:pPr>
      <w:keepLines/>
      <w:adjustRightInd w:val="0"/>
      <w:spacing w:before="360" w:after="300" w:line="567" w:lineRule="atLeast"/>
      <w:jc w:val="center"/>
      <w:textAlignment w:val="baseline"/>
    </w:pPr>
    <w:rPr>
      <w:rFonts w:ascii="Calibri" w:hAnsi="Calibri"/>
      <w:sz w:val="24"/>
      <w:lang w:eastAsia="zh-TW"/>
    </w:rPr>
  </w:style>
  <w:style w:type="paragraph" w:customStyle="1" w:styleId="734">
    <w:name w:val="码头表"/>
    <w:basedOn w:val="1"/>
    <w:qFormat/>
    <w:uiPriority w:val="0"/>
    <w:pPr>
      <w:jc w:val="center"/>
    </w:pPr>
    <w:rPr>
      <w:color w:val="FF0000"/>
    </w:rPr>
  </w:style>
  <w:style w:type="paragraph" w:customStyle="1" w:styleId="735">
    <w:name w:val="Char Char Char1 Char Char Char Char"/>
    <w:basedOn w:val="1"/>
    <w:qFormat/>
    <w:uiPriority w:val="0"/>
    <w:pPr>
      <w:adjustRightInd w:val="0"/>
      <w:spacing w:line="360" w:lineRule="auto"/>
    </w:pPr>
    <w:rPr>
      <w:sz w:val="24"/>
    </w:rPr>
  </w:style>
  <w:style w:type="paragraph" w:customStyle="1" w:styleId="736">
    <w:name w:val="样式 样式 标题 4H4Subsection + 段前: 0.5 行 段后: 0.5 行 + 段前: 0.5 行 段后: 0...."/>
    <w:basedOn w:val="640"/>
    <w:qFormat/>
    <w:uiPriority w:val="0"/>
  </w:style>
  <w:style w:type="paragraph" w:customStyle="1" w:styleId="737">
    <w:name w:val="HJ-正文"/>
    <w:basedOn w:val="1"/>
    <w:qFormat/>
    <w:uiPriority w:val="0"/>
    <w:pPr>
      <w:ind w:firstLine="480" w:firstLineChars="200"/>
    </w:pPr>
    <w:rPr>
      <w:lang w:eastAsia="zh-TW"/>
    </w:rPr>
  </w:style>
  <w:style w:type="paragraph" w:customStyle="1" w:styleId="738">
    <w:name w:val="b-b3"/>
    <w:basedOn w:val="5"/>
    <w:next w:val="1"/>
    <w:qFormat/>
    <w:uiPriority w:val="0"/>
    <w:pPr>
      <w:keepLines w:val="0"/>
      <w:widowControl w:val="0"/>
      <w:adjustRightInd/>
      <w:snapToGrid/>
      <w:textAlignment w:val="auto"/>
      <w:outlineLvl w:val="9"/>
    </w:pPr>
    <w:rPr>
      <w:rFonts w:ascii="宋体" w:hAnsi="宋体"/>
      <w:b w:val="0"/>
      <w:bCs w:val="0"/>
      <w:spacing w:val="0"/>
      <w:kern w:val="2"/>
      <w:szCs w:val="20"/>
      <w:lang w:eastAsia="zh-CN"/>
    </w:rPr>
  </w:style>
  <w:style w:type="paragraph" w:customStyle="1" w:styleId="739">
    <w:name w:val="样式6"/>
    <w:basedOn w:val="41"/>
    <w:qFormat/>
    <w:uiPriority w:val="0"/>
    <w:pPr>
      <w:widowControl/>
      <w:adjustRightInd/>
      <w:spacing w:before="0" w:after="120" w:line="360" w:lineRule="auto"/>
      <w:ind w:left="1440" w:leftChars="700" w:right="1440" w:rightChars="700" w:firstLine="342" w:firstLineChars="190"/>
      <w:textAlignment w:val="auto"/>
    </w:pPr>
    <w:rPr>
      <w:rFonts w:ascii="Times New Roman" w:hAnsi="Times New Roman" w:eastAsia="宋体"/>
      <w:color w:val="000000"/>
      <w:sz w:val="18"/>
      <w:szCs w:val="24"/>
    </w:rPr>
  </w:style>
  <w:style w:type="paragraph" w:customStyle="1" w:styleId="740">
    <w:name w:val="页面 7"/>
    <w:basedOn w:val="1"/>
    <w:qFormat/>
    <w:uiPriority w:val="0"/>
    <w:pPr>
      <w:autoSpaceDE w:val="0"/>
      <w:autoSpaceDN w:val="0"/>
      <w:adjustRightInd w:val="0"/>
      <w:spacing w:before="120" w:after="120"/>
      <w:jc w:val="center"/>
      <w:textAlignment w:val="baseline"/>
    </w:pPr>
    <w:rPr>
      <w:rFonts w:eastAsia="楷体_GB2312"/>
      <w:sz w:val="32"/>
    </w:rPr>
  </w:style>
  <w:style w:type="paragraph" w:customStyle="1" w:styleId="741">
    <w:name w:val="xl30"/>
    <w:basedOn w:val="1"/>
    <w:qFormat/>
    <w:uiPriority w:val="0"/>
    <w:pPr>
      <w:widowControl/>
      <w:spacing w:before="100" w:beforeAutospacing="1" w:after="100" w:afterAutospacing="1"/>
      <w:jc w:val="center"/>
    </w:pPr>
    <w:rPr>
      <w:rFonts w:eastAsia="Arial Unicode MS"/>
      <w:sz w:val="24"/>
    </w:rPr>
  </w:style>
  <w:style w:type="paragraph" w:customStyle="1" w:styleId="742">
    <w:name w:val="封面1"/>
    <w:basedOn w:val="3"/>
    <w:qFormat/>
    <w:uiPriority w:val="0"/>
    <w:pPr>
      <w:keepNext w:val="0"/>
      <w:tabs>
        <w:tab w:val="left" w:pos="573"/>
      </w:tabs>
      <w:overflowPunct/>
      <w:snapToGrid/>
      <w:spacing w:before="0" w:after="0" w:line="240" w:lineRule="auto"/>
      <w:ind w:left="573" w:hanging="360"/>
      <w:jc w:val="center"/>
      <w:outlineLvl w:val="9"/>
    </w:pPr>
    <w:rPr>
      <w:rFonts w:ascii="Impact" w:hAnsi="Impact" w:eastAsia="隶书"/>
      <w:b w:val="0"/>
      <w:bCs w:val="0"/>
      <w:shadow/>
      <w:color w:val="auto"/>
      <w:sz w:val="36"/>
      <w:szCs w:val="20"/>
    </w:rPr>
  </w:style>
  <w:style w:type="paragraph" w:customStyle="1" w:styleId="743">
    <w:name w:val="Table Paragraph"/>
    <w:basedOn w:val="1"/>
    <w:link w:val="937"/>
    <w:qFormat/>
    <w:uiPriority w:val="0"/>
    <w:pPr>
      <w:autoSpaceDE w:val="0"/>
      <w:autoSpaceDN w:val="0"/>
      <w:jc w:val="left"/>
    </w:pPr>
    <w:rPr>
      <w:rFonts w:ascii="宋体" w:hAnsi="宋体" w:cs="宋体"/>
      <w:sz w:val="22"/>
      <w:szCs w:val="22"/>
      <w:lang w:val="zh-CN" w:bidi="zh-CN"/>
    </w:rPr>
  </w:style>
  <w:style w:type="paragraph" w:customStyle="1" w:styleId="744">
    <w:name w:val="正文缩进2"/>
    <w:basedOn w:val="1"/>
    <w:next w:val="50"/>
    <w:qFormat/>
    <w:uiPriority w:val="0"/>
    <w:pPr>
      <w:ind w:left="280" w:firstLine="590" w:firstLineChars="200"/>
      <w:jc w:val="right"/>
    </w:pPr>
    <w:rPr>
      <w:rFonts w:ascii="宋体" w:hAnsi="Courier New"/>
      <w:sz w:val="28"/>
    </w:rPr>
  </w:style>
  <w:style w:type="paragraph" w:customStyle="1" w:styleId="745">
    <w:name w:val="流程图文字"/>
    <w:basedOn w:val="1"/>
    <w:qFormat/>
    <w:uiPriority w:val="0"/>
    <w:pPr>
      <w:adjustRightInd w:val="0"/>
      <w:spacing w:line="288" w:lineRule="auto"/>
      <w:jc w:val="center"/>
      <w:textAlignment w:val="baseline"/>
    </w:pPr>
    <w:rPr>
      <w:rFonts w:ascii="宋体"/>
    </w:rPr>
  </w:style>
  <w:style w:type="paragraph" w:customStyle="1" w:styleId="746">
    <w:name w:val="样式 宋体 行距: 固定值 25 磅1"/>
    <w:basedOn w:val="1"/>
    <w:qFormat/>
    <w:uiPriority w:val="0"/>
    <w:pPr>
      <w:tabs>
        <w:tab w:val="left" w:pos="4009"/>
        <w:tab w:val="left" w:pos="5254"/>
      </w:tabs>
      <w:spacing w:line="360" w:lineRule="auto"/>
      <w:ind w:firstLine="480" w:firstLineChars="200"/>
    </w:pPr>
    <w:rPr>
      <w:rFonts w:ascii="宋体" w:hAnsi="宋体" w:cs="宋体"/>
      <w:sz w:val="24"/>
    </w:rPr>
  </w:style>
  <w:style w:type="paragraph" w:customStyle="1" w:styleId="747">
    <w:name w:val="Char Char Char Char Char Char Char Char Char Char Char Char Char Char Char Char Char Char Char"/>
    <w:basedOn w:val="1"/>
    <w:qFormat/>
    <w:uiPriority w:val="0"/>
    <w:pPr>
      <w:adjustRightInd w:val="0"/>
      <w:spacing w:line="360" w:lineRule="auto"/>
    </w:pPr>
    <w:rPr>
      <w:sz w:val="24"/>
    </w:rPr>
  </w:style>
  <w:style w:type="paragraph" w:customStyle="1" w:styleId="748">
    <w:name w:val="样式 标题 1Head 1wsa一、标题 111h1标题2标题 1 CharPart'Document1.标题...1"/>
    <w:basedOn w:val="3"/>
    <w:qFormat/>
    <w:uiPriority w:val="0"/>
    <w:pPr>
      <w:keepNext w:val="0"/>
      <w:pageBreakBefore/>
      <w:tabs>
        <w:tab w:val="left" w:pos="1021"/>
        <w:tab w:val="left" w:pos="1080"/>
      </w:tabs>
      <w:overflowPunct/>
      <w:snapToGrid/>
      <w:spacing w:beforeLines="200" w:after="120" w:afterLines="100" w:line="360" w:lineRule="auto"/>
      <w:ind w:left="425" w:hanging="425"/>
      <w:jc w:val="center"/>
    </w:pPr>
    <w:rPr>
      <w:rFonts w:cs="宋体"/>
      <w:bCs w:val="0"/>
      <w:color w:val="auto"/>
      <w:kern w:val="2"/>
      <w:sz w:val="36"/>
      <w:szCs w:val="20"/>
    </w:rPr>
  </w:style>
  <w:style w:type="paragraph" w:customStyle="1" w:styleId="749">
    <w:name w:val="Char Char Char Char Char Char Char Char Char"/>
    <w:basedOn w:val="1"/>
    <w:qFormat/>
    <w:uiPriority w:val="0"/>
    <w:pPr>
      <w:adjustRightInd w:val="0"/>
      <w:spacing w:after="160" w:line="240" w:lineRule="exact"/>
      <w:jc w:val="left"/>
      <w:textAlignment w:val="baseline"/>
    </w:pPr>
    <w:rPr>
      <w:rFonts w:ascii="Calibri" w:hAnsi="Calibri" w:eastAsia="Times New Roman"/>
    </w:rPr>
  </w:style>
  <w:style w:type="paragraph" w:customStyle="1" w:styleId="750">
    <w:name w:val="Char Char Char Char Char Char Char Char Char Char"/>
    <w:basedOn w:val="1"/>
    <w:qFormat/>
    <w:uiPriority w:val="0"/>
    <w:pPr>
      <w:adjustRightInd w:val="0"/>
      <w:spacing w:line="240" w:lineRule="exact"/>
      <w:ind w:firstLine="200" w:firstLineChars="200"/>
      <w:textAlignment w:val="baseline"/>
    </w:pPr>
    <w:rPr>
      <w:rFonts w:ascii="宋体" w:hAnsi="宋体" w:eastAsia="Times New Roman" w:cs="宋体"/>
      <w:sz w:val="24"/>
    </w:rPr>
  </w:style>
  <w:style w:type="paragraph" w:customStyle="1" w:styleId="751">
    <w:name w:val="图文框"/>
    <w:basedOn w:val="424"/>
    <w:qFormat/>
    <w:uiPriority w:val="0"/>
    <w:pPr>
      <w:spacing w:line="240" w:lineRule="atLeast"/>
    </w:pPr>
    <w:rPr>
      <w:rFonts w:ascii="Times New Roman" w:hAnsi="Times New Roman"/>
      <w:kern w:val="0"/>
      <w:sz w:val="21"/>
    </w:rPr>
  </w:style>
  <w:style w:type="paragraph" w:customStyle="1" w:styleId="752">
    <w:name w:val="Char Char Char Char Char Char2"/>
    <w:basedOn w:val="1"/>
    <w:qFormat/>
    <w:uiPriority w:val="0"/>
  </w:style>
  <w:style w:type="paragraph" w:customStyle="1" w:styleId="753">
    <w:name w:val="小五"/>
    <w:qFormat/>
    <w:uiPriority w:val="0"/>
    <w:pPr>
      <w:snapToGrid w:val="0"/>
      <w:jc w:val="center"/>
    </w:pPr>
    <w:rPr>
      <w:rFonts w:ascii="Times New Roman" w:hAnsi="Times New Roman" w:eastAsia="宋体" w:cs="Times New Roman"/>
      <w:sz w:val="18"/>
      <w:szCs w:val="18"/>
      <w:lang w:val="en-US" w:eastAsia="zh-CN" w:bidi="ar-SA"/>
    </w:rPr>
  </w:style>
  <w:style w:type="paragraph" w:customStyle="1" w:styleId="754">
    <w:name w:val="标题 53"/>
    <w:basedOn w:val="7"/>
    <w:qFormat/>
    <w:uiPriority w:val="0"/>
    <w:pPr>
      <w:keepNext w:val="0"/>
      <w:keepLines w:val="0"/>
      <w:autoSpaceDE w:val="0"/>
      <w:autoSpaceDN w:val="0"/>
      <w:spacing w:before="120" w:after="120" w:line="240" w:lineRule="auto"/>
      <w:ind w:left="567"/>
      <w:jc w:val="left"/>
      <w:outlineLvl w:val="9"/>
    </w:pPr>
    <w:rPr>
      <w:rFonts w:ascii="Times New Roman" w:hAnsi="Times New Roman" w:eastAsia="隶书体"/>
      <w:b w:val="0"/>
      <w:bCs w:val="0"/>
      <w:szCs w:val="20"/>
      <w:lang w:eastAsia="zh-CN"/>
    </w:rPr>
  </w:style>
  <w:style w:type="paragraph" w:customStyle="1" w:styleId="755">
    <w:name w:val="黑点"/>
    <w:basedOn w:val="1"/>
    <w:qFormat/>
    <w:uiPriority w:val="0"/>
    <w:pPr>
      <w:tabs>
        <w:tab w:val="left" w:pos="600"/>
      </w:tabs>
      <w:adjustRightInd w:val="0"/>
      <w:spacing w:line="360" w:lineRule="auto"/>
      <w:ind w:left="2100" w:hanging="420"/>
      <w:jc w:val="left"/>
      <w:textAlignment w:val="baseline"/>
    </w:pPr>
    <w:rPr>
      <w:rFonts w:ascii="宋体" w:hAnsi="宋体"/>
      <w:color w:val="000000"/>
      <w:sz w:val="24"/>
    </w:rPr>
  </w:style>
  <w:style w:type="paragraph" w:customStyle="1" w:styleId="756">
    <w:name w:val="封面5"/>
    <w:basedOn w:val="1"/>
    <w:qFormat/>
    <w:uiPriority w:val="0"/>
    <w:pPr>
      <w:snapToGrid w:val="0"/>
    </w:pPr>
  </w:style>
  <w:style w:type="paragraph" w:customStyle="1" w:styleId="757">
    <w:name w:val="wangjunbo.bullet"/>
    <w:basedOn w:val="1"/>
    <w:qFormat/>
    <w:uiPriority w:val="0"/>
    <w:pPr>
      <w:spacing w:line="320" w:lineRule="exact"/>
      <w:jc w:val="center"/>
    </w:pPr>
    <w:rPr>
      <w:sz w:val="24"/>
    </w:rPr>
  </w:style>
  <w:style w:type="paragraph" w:customStyle="1" w:styleId="758">
    <w:name w:val="4"/>
    <w:basedOn w:val="1"/>
    <w:next w:val="23"/>
    <w:qFormat/>
    <w:uiPriority w:val="0"/>
    <w:pPr>
      <w:spacing w:line="300" w:lineRule="auto"/>
      <w:ind w:firstLine="480" w:firstLineChars="200"/>
    </w:pPr>
    <w:rPr>
      <w:sz w:val="24"/>
    </w:rPr>
  </w:style>
  <w:style w:type="paragraph" w:customStyle="1" w:styleId="759">
    <w:name w:val="Char Char Char Char Char Char Char"/>
    <w:basedOn w:val="1"/>
    <w:qFormat/>
    <w:uiPriority w:val="0"/>
  </w:style>
  <w:style w:type="paragraph" w:customStyle="1" w:styleId="760">
    <w:name w:val="目录4"/>
    <w:basedOn w:val="49"/>
    <w:next w:val="1"/>
    <w:qFormat/>
    <w:uiPriority w:val="0"/>
    <w:pPr>
      <w:spacing w:line="360" w:lineRule="auto"/>
      <w:ind w:left="480" w:leftChars="0" w:firstLine="1531"/>
    </w:pPr>
    <w:rPr>
      <w:rFonts w:ascii="Times New Roman" w:hAnsi="Times New Roman"/>
      <w:i/>
      <w:sz w:val="20"/>
      <w:lang w:eastAsia="zh-CN"/>
    </w:rPr>
  </w:style>
  <w:style w:type="paragraph" w:customStyle="1" w:styleId="761">
    <w:name w:val="yqy4"/>
    <w:basedOn w:val="5"/>
    <w:qFormat/>
    <w:uiPriority w:val="0"/>
    <w:pPr>
      <w:keepNext/>
      <w:widowControl w:val="0"/>
      <w:adjustRightInd/>
      <w:spacing w:before="156" w:beforeLines="50" w:line="300" w:lineRule="auto"/>
      <w:textAlignment w:val="auto"/>
    </w:pPr>
    <w:rPr>
      <w:bCs w:val="0"/>
      <w:snapToGrid w:val="0"/>
      <w:spacing w:val="0"/>
      <w:kern w:val="2"/>
      <w:szCs w:val="32"/>
    </w:rPr>
  </w:style>
  <w:style w:type="paragraph" w:customStyle="1" w:styleId="762">
    <w:name w:val="正文 2"/>
    <w:basedOn w:val="1"/>
    <w:qFormat/>
    <w:uiPriority w:val="0"/>
    <w:pPr>
      <w:autoSpaceDE w:val="0"/>
      <w:autoSpaceDN w:val="0"/>
      <w:adjustRightInd w:val="0"/>
      <w:spacing w:line="300" w:lineRule="auto"/>
      <w:ind w:firstLine="510"/>
      <w:textAlignment w:val="baseline"/>
    </w:pPr>
    <w:rPr>
      <w:rFonts w:eastAsia="楷体_GB2312"/>
      <w:sz w:val="24"/>
    </w:rPr>
  </w:style>
  <w:style w:type="paragraph" w:customStyle="1" w:styleId="763">
    <w:name w:val="样式11"/>
    <w:basedOn w:val="1"/>
    <w:qFormat/>
    <w:uiPriority w:val="0"/>
    <w:pPr>
      <w:spacing w:line="360" w:lineRule="auto"/>
      <w:jc w:val="left"/>
    </w:pPr>
    <w:rPr>
      <w:rFonts w:ascii="宋体" w:hAnsi="宋体" w:cs="宋体"/>
      <w:b/>
      <w:bCs/>
      <w:sz w:val="28"/>
    </w:rPr>
  </w:style>
  <w:style w:type="paragraph" w:customStyle="1" w:styleId="764">
    <w:name w:val="et2"/>
    <w:basedOn w:val="1"/>
    <w:qFormat/>
    <w:uiPriority w:val="0"/>
    <w:pPr>
      <w:widowControl/>
      <w:spacing w:before="100" w:beforeAutospacing="1" w:after="100" w:afterAutospacing="1"/>
      <w:jc w:val="left"/>
      <w:textAlignment w:val="center"/>
    </w:pPr>
    <w:rPr>
      <w:rFonts w:ascii="宋体" w:hAnsi="宋体" w:cs="宋体"/>
      <w:color w:val="000000"/>
      <w:sz w:val="22"/>
      <w:szCs w:val="22"/>
    </w:rPr>
  </w:style>
  <w:style w:type="paragraph" w:customStyle="1" w:styleId="765">
    <w:name w:val="1表格内容"/>
    <w:basedOn w:val="1"/>
    <w:qFormat/>
    <w:uiPriority w:val="0"/>
    <w:pPr>
      <w:widowControl/>
      <w:jc w:val="center"/>
    </w:pPr>
    <w:rPr>
      <w:rFonts w:cs="宋体"/>
      <w:color w:val="000000"/>
      <w:szCs w:val="22"/>
    </w:rPr>
  </w:style>
  <w:style w:type="paragraph" w:customStyle="1" w:styleId="766">
    <w:name w:val="et11"/>
    <w:basedOn w:val="1"/>
    <w:qFormat/>
    <w:uiPriority w:val="0"/>
    <w:pPr>
      <w:widowControl/>
      <w:spacing w:before="100" w:beforeAutospacing="1" w:after="100" w:afterAutospacing="1"/>
      <w:jc w:val="left"/>
      <w:textAlignment w:val="center"/>
    </w:pPr>
    <w:rPr>
      <w:rFonts w:ascii="宋体" w:hAnsi="宋体" w:cs="宋体"/>
      <w:color w:val="000000"/>
      <w:sz w:val="22"/>
      <w:szCs w:val="22"/>
    </w:rPr>
  </w:style>
  <w:style w:type="paragraph" w:customStyle="1" w:styleId="767">
    <w:name w:val="标题 43"/>
    <w:basedOn w:val="6"/>
    <w:qFormat/>
    <w:uiPriority w:val="0"/>
    <w:pPr>
      <w:keepLines w:val="0"/>
      <w:adjustRightInd w:val="0"/>
      <w:spacing w:before="120" w:after="120" w:line="240" w:lineRule="auto"/>
      <w:ind w:firstLine="567"/>
      <w:jc w:val="left"/>
      <w:textAlignment w:val="baseline"/>
      <w:outlineLvl w:val="9"/>
    </w:pPr>
    <w:rPr>
      <w:rFonts w:ascii="Times New Roman" w:hAnsi="Times New Roman" w:eastAsia="隶书体"/>
      <w:b w:val="0"/>
      <w:sz w:val="30"/>
      <w:lang w:eastAsia="zh-CN"/>
    </w:rPr>
  </w:style>
  <w:style w:type="paragraph" w:customStyle="1" w:styleId="768">
    <w:name w:val="标题 63"/>
    <w:basedOn w:val="8"/>
    <w:qFormat/>
    <w:uiPriority w:val="0"/>
    <w:pPr>
      <w:keepNext w:val="0"/>
      <w:keepLines w:val="0"/>
      <w:tabs>
        <w:tab w:val="left" w:pos="0"/>
      </w:tabs>
      <w:autoSpaceDE w:val="0"/>
      <w:autoSpaceDN w:val="0"/>
      <w:spacing w:before="120" w:after="120" w:line="240" w:lineRule="auto"/>
      <w:ind w:left="567"/>
      <w:jc w:val="left"/>
      <w:outlineLvl w:val="9"/>
    </w:pPr>
    <w:rPr>
      <w:rFonts w:ascii="Times New Roman" w:hAnsi="Times New Roman" w:eastAsia="隶书体"/>
      <w:b w:val="0"/>
      <w:bCs w:val="0"/>
      <w:lang w:eastAsia="zh-CN"/>
    </w:rPr>
  </w:style>
  <w:style w:type="paragraph" w:customStyle="1" w:styleId="769">
    <w:name w:val="yqy2"/>
    <w:basedOn w:val="3"/>
    <w:qFormat/>
    <w:uiPriority w:val="0"/>
    <w:pPr>
      <w:pageBreakBefore/>
      <w:overflowPunct/>
      <w:adjustRightInd w:val="0"/>
      <w:snapToGrid/>
      <w:spacing w:before="156" w:beforeLines="50" w:after="156" w:afterLines="50" w:line="360" w:lineRule="auto"/>
      <w:ind w:left="0" w:firstLine="0"/>
      <w:jc w:val="left"/>
      <w:textAlignment w:val="baseline"/>
    </w:pPr>
    <w:rPr>
      <w:rFonts w:eastAsia="宋体"/>
      <w:bCs w:val="0"/>
      <w:color w:val="auto"/>
      <w:kern w:val="0"/>
      <w:sz w:val="36"/>
      <w:szCs w:val="36"/>
    </w:rPr>
  </w:style>
  <w:style w:type="paragraph" w:customStyle="1" w:styleId="770">
    <w:name w:val="et14"/>
    <w:basedOn w:val="1"/>
    <w:qFormat/>
    <w:uiPriority w:val="0"/>
    <w:pPr>
      <w:widowControl/>
      <w:spacing w:before="100" w:beforeAutospacing="1" w:after="100" w:afterAutospacing="1"/>
      <w:jc w:val="left"/>
      <w:textAlignment w:val="center"/>
    </w:pPr>
    <w:rPr>
      <w:rFonts w:ascii="宋体" w:hAnsi="宋体" w:cs="宋体"/>
      <w:color w:val="000000"/>
      <w:sz w:val="22"/>
      <w:szCs w:val="22"/>
    </w:rPr>
  </w:style>
  <w:style w:type="paragraph" w:customStyle="1" w:styleId="771">
    <w:name w:val="页面 6"/>
    <w:basedOn w:val="529"/>
    <w:qFormat/>
    <w:uiPriority w:val="0"/>
    <w:rPr>
      <w:sz w:val="36"/>
    </w:rPr>
  </w:style>
  <w:style w:type="paragraph" w:customStyle="1" w:styleId="772">
    <w:name w:val="居中正文"/>
    <w:basedOn w:val="90"/>
    <w:qFormat/>
    <w:uiPriority w:val="0"/>
    <w:pPr>
      <w:spacing w:before="120" w:after="0"/>
      <w:ind w:firstLine="0" w:firstLineChars="0"/>
      <w:jc w:val="center"/>
    </w:pPr>
    <w:rPr>
      <w:rFonts w:ascii="宋体" w:eastAsia="宋体"/>
      <w:kern w:val="28"/>
      <w:szCs w:val="20"/>
    </w:rPr>
  </w:style>
  <w:style w:type="paragraph" w:customStyle="1" w:styleId="773">
    <w:name w:val="et7"/>
    <w:basedOn w:val="1"/>
    <w:qFormat/>
    <w:uiPriority w:val="0"/>
    <w:pPr>
      <w:widowControl/>
      <w:spacing w:before="100" w:beforeAutospacing="1" w:after="100" w:afterAutospacing="1"/>
      <w:jc w:val="left"/>
      <w:textAlignment w:val="center"/>
    </w:pPr>
    <w:rPr>
      <w:rFonts w:ascii="宋体" w:hAnsi="宋体" w:cs="宋体"/>
      <w:color w:val="000000"/>
      <w:sz w:val="22"/>
      <w:szCs w:val="22"/>
    </w:rPr>
  </w:style>
  <w:style w:type="paragraph" w:customStyle="1" w:styleId="774">
    <w:name w:val="Normal_14"/>
    <w:qFormat/>
    <w:uiPriority w:val="0"/>
    <w:pPr>
      <w:spacing w:before="120" w:after="240"/>
      <w:jc w:val="both"/>
    </w:pPr>
    <w:rPr>
      <w:rFonts w:ascii="Times New Roman" w:hAnsi="Times New Roman" w:eastAsia="Times New Roman" w:cs="Times New Roman"/>
      <w:sz w:val="22"/>
      <w:szCs w:val="22"/>
      <w:lang w:val="ru-RU" w:eastAsia="en-US" w:bidi="ar-SA"/>
    </w:rPr>
  </w:style>
  <w:style w:type="paragraph" w:customStyle="1" w:styleId="775">
    <w:name w:val="表格五中"/>
    <w:qFormat/>
    <w:uiPriority w:val="0"/>
    <w:pPr>
      <w:adjustRightInd w:val="0"/>
      <w:snapToGrid w:val="0"/>
      <w:spacing w:line="240" w:lineRule="atLeast"/>
      <w:jc w:val="center"/>
    </w:pPr>
    <w:rPr>
      <w:rFonts w:ascii="Times New Roman" w:hAnsi="Times New Roman" w:eastAsia="宋体" w:cs="Times New Roman"/>
      <w:sz w:val="21"/>
      <w:lang w:val="en-US" w:eastAsia="zh-CN" w:bidi="ar-SA"/>
    </w:rPr>
  </w:style>
  <w:style w:type="paragraph" w:customStyle="1" w:styleId="776">
    <w:name w:val="Char Char1 Char Char Char Char Char Char Char Char Char Char Char Char Char Char Char Char Char Char Char Char1 Char1"/>
    <w:basedOn w:val="1"/>
    <w:qFormat/>
    <w:uiPriority w:val="0"/>
    <w:pPr>
      <w:spacing w:line="360" w:lineRule="auto"/>
      <w:ind w:firstLine="200" w:firstLineChars="200"/>
    </w:pPr>
    <w:rPr>
      <w:rFonts w:ascii="宋体" w:hAnsi="宋体" w:cs="宋体"/>
      <w:sz w:val="24"/>
    </w:rPr>
  </w:style>
  <w:style w:type="paragraph" w:customStyle="1" w:styleId="777">
    <w:name w:val="et8"/>
    <w:basedOn w:val="1"/>
    <w:qFormat/>
    <w:uiPriority w:val="0"/>
    <w:pPr>
      <w:widowControl/>
      <w:spacing w:before="100" w:beforeAutospacing="1" w:after="100" w:afterAutospacing="1"/>
      <w:jc w:val="left"/>
      <w:textAlignment w:val="center"/>
    </w:pPr>
    <w:rPr>
      <w:rFonts w:ascii="宋体" w:hAnsi="宋体" w:cs="宋体"/>
      <w:color w:val="000000"/>
      <w:sz w:val="22"/>
      <w:szCs w:val="22"/>
    </w:rPr>
  </w:style>
  <w:style w:type="paragraph" w:customStyle="1" w:styleId="778">
    <w:name w:val="默认段落字体 Para Char"/>
    <w:basedOn w:val="1"/>
    <w:semiHidden/>
    <w:qFormat/>
    <w:uiPriority w:val="0"/>
    <w:pPr>
      <w:autoSpaceDE w:val="0"/>
      <w:autoSpaceDN w:val="0"/>
      <w:adjustRightInd w:val="0"/>
      <w:jc w:val="left"/>
      <w:outlineLvl w:val="1"/>
    </w:pPr>
    <w:rPr>
      <w:rFonts w:ascii="楷体_GB2312" w:hAnsi="宋体" w:eastAsia="楷体_GB2312" w:cs="宋体"/>
    </w:rPr>
  </w:style>
  <w:style w:type="paragraph" w:customStyle="1" w:styleId="779">
    <w:name w:val="图表名称"/>
    <w:next w:val="463"/>
    <w:qFormat/>
    <w:uiPriority w:val="0"/>
    <w:pPr>
      <w:spacing w:line="360" w:lineRule="auto"/>
      <w:jc w:val="center"/>
    </w:pPr>
    <w:rPr>
      <w:rFonts w:ascii="Times New Roman" w:hAnsi="Times New Roman" w:eastAsia="宋体" w:cs="Times New Roman"/>
      <w:b/>
      <w:bCs/>
      <w:kern w:val="2"/>
      <w:sz w:val="21"/>
      <w:szCs w:val="28"/>
      <w:lang w:val="en-US" w:eastAsia="zh-CN" w:bidi="ar-SA"/>
    </w:rPr>
  </w:style>
  <w:style w:type="paragraph" w:customStyle="1" w:styleId="780">
    <w:name w:val="Body Text 22"/>
    <w:qFormat/>
    <w:uiPriority w:val="0"/>
    <w:pPr>
      <w:widowControl w:val="0"/>
      <w:adjustRightInd w:val="0"/>
      <w:spacing w:line="440" w:lineRule="atLeast"/>
      <w:ind w:firstLine="480"/>
      <w:jc w:val="both"/>
    </w:pPr>
    <w:rPr>
      <w:rFonts w:ascii="Times New Roman" w:hAnsi="Times New Roman" w:eastAsia="仿宋_GB2312" w:cs="Times New Roman"/>
      <w:kern w:val="2"/>
      <w:sz w:val="24"/>
      <w:lang w:val="en-US" w:eastAsia="zh-CN" w:bidi="ar-SA"/>
    </w:rPr>
  </w:style>
  <w:style w:type="paragraph" w:customStyle="1" w:styleId="781">
    <w:name w:val="表格、图表名称"/>
    <w:basedOn w:val="1"/>
    <w:qFormat/>
    <w:uiPriority w:val="0"/>
    <w:pPr>
      <w:widowControl/>
      <w:jc w:val="center"/>
    </w:pPr>
    <w:rPr>
      <w:rFonts w:ascii="宋体" w:hAnsi="宋体"/>
      <w:b/>
      <w:sz w:val="24"/>
    </w:rPr>
  </w:style>
  <w:style w:type="paragraph" w:customStyle="1" w:styleId="782">
    <w:name w:val="et4"/>
    <w:basedOn w:val="1"/>
    <w:qFormat/>
    <w:uiPriority w:val="0"/>
    <w:pPr>
      <w:widowControl/>
      <w:spacing w:before="100" w:beforeAutospacing="1" w:after="100" w:afterAutospacing="1"/>
      <w:jc w:val="left"/>
      <w:textAlignment w:val="center"/>
    </w:pPr>
    <w:rPr>
      <w:rFonts w:ascii="宋体" w:hAnsi="宋体" w:cs="宋体"/>
      <w:color w:val="000000"/>
      <w:sz w:val="22"/>
      <w:szCs w:val="22"/>
    </w:rPr>
  </w:style>
  <w:style w:type="paragraph" w:customStyle="1" w:styleId="783">
    <w:name w:val="et3"/>
    <w:basedOn w:val="1"/>
    <w:qFormat/>
    <w:uiPriority w:val="0"/>
    <w:pPr>
      <w:widowControl/>
      <w:spacing w:before="100" w:beforeAutospacing="1" w:after="100" w:afterAutospacing="1"/>
      <w:jc w:val="left"/>
      <w:textAlignment w:val="center"/>
    </w:pPr>
    <w:rPr>
      <w:rFonts w:ascii="宋体" w:hAnsi="宋体" w:cs="宋体"/>
      <w:color w:val="000000"/>
      <w:sz w:val="22"/>
      <w:szCs w:val="22"/>
    </w:rPr>
  </w:style>
  <w:style w:type="paragraph" w:customStyle="1" w:styleId="784">
    <w:name w:val="样式 五号 居中 首行缩进:  0.74 厘米 行距: 单倍行距"/>
    <w:basedOn w:val="1"/>
    <w:qFormat/>
    <w:uiPriority w:val="0"/>
    <w:pPr>
      <w:tabs>
        <w:tab w:val="left" w:pos="480"/>
      </w:tabs>
      <w:jc w:val="center"/>
    </w:pPr>
    <w:rPr>
      <w:rFonts w:cs="宋体"/>
    </w:rPr>
  </w:style>
  <w:style w:type="paragraph" w:customStyle="1" w:styleId="785">
    <w:name w:val="表名图名"/>
    <w:basedOn w:val="1"/>
    <w:qFormat/>
    <w:uiPriority w:val="0"/>
    <w:pPr>
      <w:adjustRightInd w:val="0"/>
      <w:snapToGrid w:val="0"/>
      <w:spacing w:line="300" w:lineRule="auto"/>
      <w:jc w:val="center"/>
    </w:pPr>
    <w:rPr>
      <w:b/>
      <w:szCs w:val="120"/>
      <w:lang w:eastAsia="zh-TW"/>
    </w:rPr>
  </w:style>
  <w:style w:type="paragraph" w:customStyle="1" w:styleId="786">
    <w:name w:val="我的样式"/>
    <w:basedOn w:val="1"/>
    <w:qFormat/>
    <w:uiPriority w:val="0"/>
    <w:pPr>
      <w:spacing w:line="360" w:lineRule="auto"/>
      <w:ind w:firstLine="230" w:firstLineChars="230"/>
    </w:pPr>
    <w:rPr>
      <w:rFonts w:ascii="宋体"/>
      <w:sz w:val="24"/>
      <w:lang w:val="en-GB"/>
    </w:rPr>
  </w:style>
  <w:style w:type="paragraph" w:customStyle="1" w:styleId="787">
    <w:name w:val="et6"/>
    <w:basedOn w:val="1"/>
    <w:qFormat/>
    <w:uiPriority w:val="0"/>
    <w:pPr>
      <w:widowControl/>
      <w:spacing w:before="100" w:beforeAutospacing="1" w:after="100" w:afterAutospacing="1"/>
      <w:jc w:val="left"/>
      <w:textAlignment w:val="center"/>
    </w:pPr>
    <w:rPr>
      <w:rFonts w:ascii="宋体" w:hAnsi="宋体" w:cs="宋体"/>
      <w:color w:val="000000"/>
      <w:sz w:val="22"/>
      <w:szCs w:val="22"/>
    </w:rPr>
  </w:style>
  <w:style w:type="paragraph" w:customStyle="1" w:styleId="788">
    <w:name w:val="默认段落字体 Para Char Char Char Char Char Char Char Char Char Char"/>
    <w:basedOn w:val="1"/>
    <w:qFormat/>
    <w:uiPriority w:val="0"/>
    <w:pPr>
      <w:adjustRightInd w:val="0"/>
      <w:spacing w:line="360" w:lineRule="auto"/>
    </w:pPr>
    <w:rPr>
      <w:sz w:val="24"/>
    </w:rPr>
  </w:style>
  <w:style w:type="paragraph" w:customStyle="1" w:styleId="789">
    <w:name w:val="样式封面下"/>
    <w:basedOn w:val="1"/>
    <w:qFormat/>
    <w:uiPriority w:val="0"/>
    <w:pPr>
      <w:snapToGrid w:val="0"/>
      <w:spacing w:line="400" w:lineRule="exact"/>
      <w:jc w:val="center"/>
    </w:pPr>
    <w:rPr>
      <w:rFonts w:ascii="仿宋_GB2312" w:hAnsi="Arial" w:eastAsia="仿宋_GB2312"/>
      <w:b/>
      <w:spacing w:val="-2"/>
      <w:sz w:val="30"/>
    </w:rPr>
  </w:style>
  <w:style w:type="paragraph" w:customStyle="1" w:styleId="790">
    <w:name w:val="封面标准文稿编辑信息"/>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791">
    <w:name w:val="Normal_0"/>
    <w:qFormat/>
    <w:uiPriority w:val="0"/>
    <w:pPr>
      <w:spacing w:before="120" w:after="240"/>
      <w:jc w:val="both"/>
    </w:pPr>
    <w:rPr>
      <w:rFonts w:ascii="Times New Roman" w:hAnsi="Times New Roman" w:eastAsia="Calibri" w:cs="Times New Roman"/>
      <w:sz w:val="22"/>
      <w:szCs w:val="22"/>
      <w:lang w:val="ru-RU" w:eastAsia="en-US" w:bidi="ar-SA"/>
    </w:rPr>
  </w:style>
  <w:style w:type="paragraph" w:customStyle="1" w:styleId="792">
    <w:name w:val="Char Char Char Char Char Char Char1"/>
    <w:basedOn w:val="1"/>
    <w:qFormat/>
    <w:uiPriority w:val="0"/>
    <w:pPr>
      <w:spacing w:line="460" w:lineRule="exact"/>
      <w:ind w:firstLine="510"/>
    </w:pPr>
    <w:rPr>
      <w:sz w:val="24"/>
    </w:rPr>
  </w:style>
  <w:style w:type="paragraph" w:customStyle="1" w:styleId="793">
    <w:name w:val="Char Char Char"/>
    <w:basedOn w:val="1"/>
    <w:qFormat/>
    <w:uiPriority w:val="0"/>
  </w:style>
  <w:style w:type="paragraph" w:customStyle="1" w:styleId="794">
    <w:name w:val="yqy3"/>
    <w:basedOn w:val="4"/>
    <w:qFormat/>
    <w:uiPriority w:val="0"/>
    <w:pPr>
      <w:keepLines/>
      <w:widowControl/>
      <w:pBdr>
        <w:bottom w:val="none" w:color="auto" w:sz="0" w:space="0"/>
      </w:pBdr>
      <w:snapToGrid w:val="0"/>
      <w:spacing w:before="156" w:beforeLines="50" w:after="156" w:afterLines="50" w:line="240" w:lineRule="auto"/>
    </w:pPr>
    <w:rPr>
      <w:caps w:val="0"/>
      <w:color w:val="auto"/>
      <w:spacing w:val="0"/>
      <w:lang w:eastAsia="zh-CN"/>
    </w:rPr>
  </w:style>
  <w:style w:type="paragraph" w:customStyle="1" w:styleId="795">
    <w:name w:val="样式 (符号) 宋体 小四 行距: 1.5 倍行距"/>
    <w:basedOn w:val="1"/>
    <w:qFormat/>
    <w:uiPriority w:val="0"/>
    <w:pPr>
      <w:spacing w:line="360" w:lineRule="auto"/>
      <w:ind w:firstLine="200" w:firstLineChars="200"/>
    </w:pPr>
    <w:rPr>
      <w:rFonts w:hAnsi="宋体" w:cs="宋体"/>
      <w:sz w:val="24"/>
    </w:rPr>
  </w:style>
  <w:style w:type="paragraph" w:customStyle="1" w:styleId="796">
    <w:name w:val="报告表小段"/>
    <w:basedOn w:val="1"/>
    <w:qFormat/>
    <w:uiPriority w:val="0"/>
    <w:pPr>
      <w:adjustRightInd w:val="0"/>
      <w:snapToGrid w:val="0"/>
      <w:spacing w:before="120" w:after="100" w:afterAutospacing="1" w:line="360" w:lineRule="auto"/>
      <w:ind w:firstLine="451" w:firstLineChars="188"/>
      <w:textAlignment w:val="baseline"/>
    </w:pPr>
    <w:rPr>
      <w:rFonts w:ascii="宋体" w:hAnsi="宋体"/>
      <w:sz w:val="24"/>
    </w:rPr>
  </w:style>
  <w:style w:type="paragraph" w:customStyle="1" w:styleId="797">
    <w:name w:val="Char Char Char Char Char Char Char Char Char Char Char Char Char Char Char Char Char Char Char Char Char1 Char"/>
    <w:qFormat/>
    <w:uiPriority w:val="0"/>
    <w:pPr>
      <w:widowControl w:val="0"/>
      <w:spacing w:line="360" w:lineRule="exact"/>
      <w:ind w:firstLine="480" w:firstLineChars="200"/>
      <w:jc w:val="both"/>
    </w:pPr>
    <w:rPr>
      <w:rFonts w:ascii="Times New Roman" w:hAnsi="Times New Roman" w:eastAsia="宋体" w:cs="Times New Roman"/>
      <w:lang w:val="en-US" w:eastAsia="zh-CN" w:bidi="ar-SA"/>
    </w:rPr>
  </w:style>
  <w:style w:type="paragraph" w:customStyle="1" w:styleId="798">
    <w:name w:val="默认段落字体 Para Char Char Char Char Char Char Char Char Char1 Char Char Char Char Char Char Char"/>
    <w:basedOn w:val="603"/>
    <w:next w:val="1"/>
    <w:qFormat/>
    <w:uiPriority w:val="0"/>
    <w:pPr>
      <w:shd w:val="clear" w:color="auto" w:fill="000080"/>
      <w:autoSpaceDE/>
      <w:autoSpaceDN/>
      <w:adjustRightInd/>
      <w:jc w:val="both"/>
    </w:pPr>
    <w:rPr>
      <w:rFonts w:eastAsia="宋体"/>
      <w:kern w:val="2"/>
      <w:sz w:val="24"/>
    </w:rPr>
  </w:style>
  <w:style w:type="paragraph" w:customStyle="1" w:styleId="799">
    <w:name w:val="正文段落"/>
    <w:basedOn w:val="1"/>
    <w:qFormat/>
    <w:uiPriority w:val="0"/>
    <w:pPr>
      <w:spacing w:line="300" w:lineRule="auto"/>
      <w:ind w:firstLine="200" w:firstLineChars="200"/>
    </w:pPr>
    <w:rPr>
      <w:sz w:val="24"/>
    </w:rPr>
  </w:style>
  <w:style w:type="paragraph" w:customStyle="1" w:styleId="800">
    <w:name w:val="08表格"/>
    <w:basedOn w:val="1"/>
    <w:qFormat/>
    <w:uiPriority w:val="0"/>
    <w:pPr>
      <w:adjustRightInd w:val="0"/>
      <w:snapToGrid w:val="0"/>
      <w:jc w:val="center"/>
    </w:pPr>
    <w:rPr>
      <w:rFonts w:ascii="宋体" w:hAnsi="宋体"/>
      <w:szCs w:val="22"/>
    </w:rPr>
  </w:style>
  <w:style w:type="paragraph" w:customStyle="1" w:styleId="801">
    <w:name w:val="列表项目编号"/>
    <w:basedOn w:val="1"/>
    <w:qFormat/>
    <w:uiPriority w:val="0"/>
    <w:pPr>
      <w:tabs>
        <w:tab w:val="left" w:pos="432"/>
      </w:tabs>
      <w:adjustRightInd w:val="0"/>
      <w:spacing w:line="360" w:lineRule="auto"/>
      <w:ind w:left="432" w:hanging="432"/>
    </w:pPr>
    <w:rPr>
      <w:sz w:val="28"/>
    </w:rPr>
  </w:style>
  <w:style w:type="paragraph" w:customStyle="1" w:styleId="802">
    <w:name w:val="xl36"/>
    <w:basedOn w:val="1"/>
    <w:qFormat/>
    <w:uiPriority w:val="0"/>
    <w:pPr>
      <w:widowControl/>
      <w:pBdr>
        <w:left w:val="single" w:color="auto" w:sz="4" w:space="0"/>
        <w:right w:val="single" w:color="auto" w:sz="4" w:space="0"/>
      </w:pBdr>
      <w:spacing w:before="100" w:beforeAutospacing="1" w:after="100" w:afterAutospacing="1"/>
      <w:jc w:val="center"/>
      <w:textAlignment w:val="top"/>
    </w:pPr>
    <w:rPr>
      <w:rFonts w:ascii="宋体" w:hAnsi="宋体" w:cs="宋体"/>
      <w:sz w:val="24"/>
    </w:rPr>
  </w:style>
  <w:style w:type="paragraph" w:customStyle="1" w:styleId="803">
    <w:name w:val="et10"/>
    <w:basedOn w:val="1"/>
    <w:qFormat/>
    <w:uiPriority w:val="0"/>
    <w:pPr>
      <w:widowControl/>
      <w:spacing w:before="100" w:beforeAutospacing="1" w:after="100" w:afterAutospacing="1"/>
      <w:jc w:val="left"/>
      <w:textAlignment w:val="center"/>
    </w:pPr>
    <w:rPr>
      <w:rFonts w:ascii="宋体" w:hAnsi="宋体" w:cs="宋体"/>
      <w:color w:val="000000"/>
      <w:sz w:val="22"/>
      <w:szCs w:val="22"/>
    </w:rPr>
  </w:style>
  <w:style w:type="paragraph" w:customStyle="1" w:styleId="804">
    <w:name w:val="et9"/>
    <w:basedOn w:val="1"/>
    <w:qFormat/>
    <w:uiPriority w:val="0"/>
    <w:pPr>
      <w:widowControl/>
      <w:spacing w:before="100" w:beforeAutospacing="1" w:after="100" w:afterAutospacing="1"/>
      <w:jc w:val="left"/>
      <w:textAlignment w:val="center"/>
    </w:pPr>
    <w:rPr>
      <w:rFonts w:ascii="宋体" w:hAnsi="宋体" w:cs="宋体"/>
      <w:color w:val="000000"/>
      <w:sz w:val="22"/>
      <w:szCs w:val="22"/>
    </w:rPr>
  </w:style>
  <w:style w:type="paragraph" w:customStyle="1" w:styleId="805">
    <w:name w:val="et16"/>
    <w:basedOn w:val="1"/>
    <w:qFormat/>
    <w:uiPriority w:val="0"/>
    <w:pPr>
      <w:widowControl/>
      <w:spacing w:before="100" w:beforeAutospacing="1" w:after="100" w:afterAutospacing="1"/>
      <w:jc w:val="left"/>
      <w:textAlignment w:val="center"/>
    </w:pPr>
    <w:rPr>
      <w:rFonts w:ascii="宋体" w:hAnsi="宋体" w:cs="宋体"/>
      <w:color w:val="000000"/>
      <w:sz w:val="22"/>
      <w:szCs w:val="22"/>
    </w:rPr>
  </w:style>
  <w:style w:type="paragraph" w:customStyle="1" w:styleId="806">
    <w:name w:val="07表头"/>
    <w:basedOn w:val="807"/>
    <w:next w:val="807"/>
    <w:qFormat/>
    <w:uiPriority w:val="0"/>
    <w:pPr>
      <w:jc w:val="center"/>
    </w:pPr>
    <w:rPr>
      <w:b/>
    </w:rPr>
  </w:style>
  <w:style w:type="paragraph" w:customStyle="1" w:styleId="807">
    <w:name w:val="05正文"/>
    <w:basedOn w:val="1"/>
    <w:qFormat/>
    <w:uiPriority w:val="0"/>
    <w:pPr>
      <w:adjustRightInd w:val="0"/>
      <w:snapToGrid w:val="0"/>
    </w:pPr>
    <w:rPr>
      <w:rFonts w:ascii="宋体" w:hAnsi="宋体"/>
      <w:sz w:val="24"/>
      <w:szCs w:val="22"/>
    </w:rPr>
  </w:style>
  <w:style w:type="paragraph" w:customStyle="1" w:styleId="808">
    <w:name w:val="样式 正文文字缩进 2 + (符号) 宋体 小四 首行缩进:  2 字符"/>
    <w:basedOn w:val="57"/>
    <w:qFormat/>
    <w:uiPriority w:val="0"/>
    <w:pPr>
      <w:snapToGrid w:val="0"/>
      <w:spacing w:before="0" w:after="0" w:line="360" w:lineRule="auto"/>
      <w:ind w:left="0" w:leftChars="0" w:firstLine="480" w:firstLineChars="200"/>
    </w:pPr>
    <w:rPr>
      <w:rFonts w:ascii="宋体" w:hAnsi="宋体"/>
      <w:sz w:val="24"/>
      <w:szCs w:val="24"/>
    </w:rPr>
  </w:style>
  <w:style w:type="paragraph" w:customStyle="1" w:styleId="809">
    <w:name w:val="et13"/>
    <w:basedOn w:val="1"/>
    <w:qFormat/>
    <w:uiPriority w:val="0"/>
    <w:pPr>
      <w:widowControl/>
      <w:spacing w:before="100" w:beforeAutospacing="1" w:after="100" w:afterAutospacing="1"/>
      <w:jc w:val="left"/>
      <w:textAlignment w:val="center"/>
    </w:pPr>
    <w:rPr>
      <w:rFonts w:ascii="宋体" w:hAnsi="宋体" w:cs="宋体"/>
      <w:color w:val="000000"/>
      <w:sz w:val="22"/>
      <w:szCs w:val="22"/>
    </w:rPr>
  </w:style>
  <w:style w:type="paragraph" w:customStyle="1" w:styleId="810">
    <w:name w:val="样式 宋体 小四"/>
    <w:basedOn w:val="1"/>
    <w:qFormat/>
    <w:uiPriority w:val="0"/>
    <w:pPr>
      <w:adjustRightInd w:val="0"/>
      <w:snapToGrid w:val="0"/>
      <w:spacing w:line="480" w:lineRule="exact"/>
      <w:ind w:firstLine="200" w:firstLineChars="200"/>
    </w:pPr>
    <w:rPr>
      <w:rFonts w:ascii="宋体" w:hAnsi="宋体"/>
      <w:snapToGrid w:val="0"/>
      <w:sz w:val="24"/>
    </w:rPr>
  </w:style>
  <w:style w:type="paragraph" w:customStyle="1" w:styleId="811">
    <w:name w:val="et15"/>
    <w:basedOn w:val="1"/>
    <w:qFormat/>
    <w:uiPriority w:val="0"/>
    <w:pPr>
      <w:widowControl/>
      <w:spacing w:before="100" w:beforeAutospacing="1" w:after="100" w:afterAutospacing="1"/>
      <w:jc w:val="left"/>
      <w:textAlignment w:val="center"/>
    </w:pPr>
    <w:rPr>
      <w:rFonts w:ascii="宋体" w:hAnsi="宋体" w:cs="宋体"/>
      <w:color w:val="000000"/>
      <w:sz w:val="22"/>
      <w:szCs w:val="22"/>
    </w:rPr>
  </w:style>
  <w:style w:type="paragraph" w:customStyle="1" w:styleId="812">
    <w:name w:val="font5"/>
    <w:basedOn w:val="1"/>
    <w:qFormat/>
    <w:uiPriority w:val="0"/>
    <w:pPr>
      <w:widowControl/>
      <w:spacing w:before="100" w:beforeAutospacing="1" w:after="100" w:afterAutospacing="1"/>
      <w:jc w:val="left"/>
    </w:pPr>
    <w:rPr>
      <w:rFonts w:hint="eastAsia" w:ascii="宋体" w:hAnsi="宋体" w:cs="Arial Unicode MS"/>
      <w:sz w:val="18"/>
      <w:szCs w:val="18"/>
    </w:rPr>
  </w:style>
  <w:style w:type="paragraph" w:customStyle="1" w:styleId="813">
    <w:name w:val="正文2"/>
    <w:basedOn w:val="1"/>
    <w:qFormat/>
    <w:uiPriority w:val="0"/>
    <w:pPr>
      <w:adjustRightInd w:val="0"/>
      <w:spacing w:line="480" w:lineRule="exact"/>
      <w:textAlignment w:val="baseline"/>
    </w:pPr>
    <w:rPr>
      <w:spacing w:val="-2"/>
      <w:sz w:val="28"/>
    </w:rPr>
  </w:style>
  <w:style w:type="paragraph" w:customStyle="1" w:styleId="814">
    <w:name w:val="表格文字2"/>
    <w:basedOn w:val="1"/>
    <w:qFormat/>
    <w:uiPriority w:val="0"/>
    <w:pPr>
      <w:tabs>
        <w:tab w:val="left" w:pos="277"/>
        <w:tab w:val="left" w:pos="600"/>
        <w:tab w:val="left" w:pos="780"/>
        <w:tab w:val="left" w:pos="2517"/>
      </w:tabs>
      <w:adjustRightInd w:val="0"/>
      <w:spacing w:before="60"/>
      <w:jc w:val="center"/>
      <w:textAlignment w:val="baseline"/>
    </w:pPr>
  </w:style>
  <w:style w:type="paragraph" w:customStyle="1" w:styleId="815">
    <w:name w:val="纯文本2"/>
    <w:basedOn w:val="1"/>
    <w:qFormat/>
    <w:uiPriority w:val="0"/>
    <w:pPr>
      <w:adjustRightInd w:val="0"/>
      <w:textAlignment w:val="baseline"/>
    </w:pPr>
    <w:rPr>
      <w:rFonts w:ascii="宋体" w:hAnsi="Courier New"/>
    </w:rPr>
  </w:style>
  <w:style w:type="paragraph" w:customStyle="1" w:styleId="816">
    <w:name w:val="Char Char2 Char Char Char Char"/>
    <w:basedOn w:val="1"/>
    <w:semiHidden/>
    <w:qFormat/>
    <w:uiPriority w:val="0"/>
    <w:pPr>
      <w:widowControl/>
      <w:jc w:val="left"/>
    </w:pPr>
    <w:rPr>
      <w:b/>
      <w:sz w:val="24"/>
      <w:lang w:val="pl-PL" w:eastAsia="pl-PL"/>
    </w:rPr>
  </w:style>
  <w:style w:type="paragraph" w:customStyle="1" w:styleId="817">
    <w:name w:val="二级无标题条"/>
    <w:basedOn w:val="1"/>
    <w:qFormat/>
    <w:uiPriority w:val="0"/>
  </w:style>
  <w:style w:type="paragraph" w:customStyle="1" w:styleId="818">
    <w:name w:val="公式1"/>
    <w:basedOn w:val="1"/>
    <w:qFormat/>
    <w:uiPriority w:val="0"/>
    <w:pPr>
      <w:spacing w:before="50" w:beforeLines="50" w:line="400" w:lineRule="exact"/>
      <w:ind w:firstLine="480" w:firstLineChars="200"/>
    </w:pPr>
    <w:rPr>
      <w:rFonts w:ascii="Century Gothic" w:hAnsi="Century Gothic"/>
      <w:sz w:val="24"/>
    </w:rPr>
  </w:style>
  <w:style w:type="paragraph" w:customStyle="1" w:styleId="819">
    <w:name w:val="样式 标题 1Head 1wsa + 三号 加粗 居中 行距: 1.5 倍行距"/>
    <w:basedOn w:val="3"/>
    <w:qFormat/>
    <w:uiPriority w:val="0"/>
    <w:pPr>
      <w:pageBreakBefore/>
      <w:tabs>
        <w:tab w:val="left" w:pos="1021"/>
      </w:tabs>
      <w:overflowPunct/>
      <w:autoSpaceDN w:val="0"/>
      <w:adjustRightInd w:val="0"/>
      <w:snapToGrid/>
      <w:spacing w:before="0" w:after="0" w:line="360" w:lineRule="auto"/>
      <w:ind w:left="1021" w:hanging="181"/>
      <w:jc w:val="center"/>
      <w:textAlignment w:val="baseline"/>
    </w:pPr>
    <w:rPr>
      <w:rFonts w:eastAsia="宋体" w:cs="宋体"/>
      <w:color w:val="auto"/>
      <w:kern w:val="2"/>
      <w:sz w:val="32"/>
    </w:rPr>
  </w:style>
  <w:style w:type="paragraph" w:customStyle="1" w:styleId="820">
    <w:name w:val="Char1 Char Char Char1"/>
    <w:basedOn w:val="1"/>
    <w:qFormat/>
    <w:uiPriority w:val="0"/>
    <w:pPr>
      <w:adjustRightInd w:val="0"/>
      <w:spacing w:line="360" w:lineRule="auto"/>
    </w:pPr>
    <w:rPr>
      <w:sz w:val="24"/>
    </w:rPr>
  </w:style>
  <w:style w:type="paragraph" w:customStyle="1" w:styleId="821">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822">
    <w:name w:val="Char41"/>
    <w:basedOn w:val="1"/>
    <w:qFormat/>
    <w:uiPriority w:val="0"/>
    <w:pPr>
      <w:widowControl/>
      <w:jc w:val="left"/>
    </w:pPr>
    <w:rPr>
      <w:rFonts w:ascii="宋体" w:hAnsi="宋体" w:cs="宋体"/>
      <w:sz w:val="24"/>
    </w:rPr>
  </w:style>
  <w:style w:type="paragraph" w:customStyle="1" w:styleId="823">
    <w:name w:val="表题1"/>
    <w:next w:val="470"/>
    <w:qFormat/>
    <w:uiPriority w:val="0"/>
    <w:pPr>
      <w:keepNext/>
      <w:keepLines/>
      <w:widowControl w:val="0"/>
      <w:topLinePunct/>
      <w:autoSpaceDE w:val="0"/>
      <w:autoSpaceDN w:val="0"/>
      <w:adjustRightInd w:val="0"/>
      <w:spacing w:line="360" w:lineRule="auto"/>
      <w:jc w:val="center"/>
      <w:textAlignment w:val="baseline"/>
    </w:pPr>
    <w:rPr>
      <w:rFonts w:ascii="Times New Roman" w:hAnsi="Times New Roman" w:eastAsia="仿宋体" w:cs="Times New Roman"/>
      <w:sz w:val="28"/>
      <w:lang w:val="en-US" w:eastAsia="zh-CN" w:bidi="ar-SA"/>
    </w:rPr>
  </w:style>
  <w:style w:type="paragraph" w:customStyle="1" w:styleId="824">
    <w:name w:val="样式 首行缩进:  2 字符"/>
    <w:basedOn w:val="1"/>
    <w:qFormat/>
    <w:uiPriority w:val="0"/>
    <w:pPr>
      <w:spacing w:line="360" w:lineRule="auto"/>
      <w:ind w:firstLine="720" w:firstLineChars="300"/>
    </w:pPr>
    <w:rPr>
      <w:rFonts w:cs="宋体"/>
      <w:sz w:val="24"/>
    </w:rPr>
  </w:style>
  <w:style w:type="paragraph" w:customStyle="1" w:styleId="825">
    <w:name w:val="et5"/>
    <w:basedOn w:val="1"/>
    <w:qFormat/>
    <w:uiPriority w:val="0"/>
    <w:pPr>
      <w:widowControl/>
      <w:spacing w:before="100" w:beforeAutospacing="1" w:after="100" w:afterAutospacing="1"/>
      <w:jc w:val="left"/>
      <w:textAlignment w:val="center"/>
    </w:pPr>
    <w:rPr>
      <w:rFonts w:ascii="宋体" w:hAnsi="宋体" w:cs="宋体"/>
      <w:color w:val="000000"/>
      <w:sz w:val="22"/>
      <w:szCs w:val="22"/>
    </w:rPr>
  </w:style>
  <w:style w:type="paragraph" w:customStyle="1" w:styleId="826">
    <w:name w:val="表、图名"/>
    <w:basedOn w:val="1"/>
    <w:qFormat/>
    <w:uiPriority w:val="0"/>
    <w:pPr>
      <w:adjustRightInd w:val="0"/>
      <w:snapToGrid w:val="0"/>
      <w:ind w:left="-6"/>
      <w:jc w:val="center"/>
    </w:pPr>
    <w:rPr>
      <w:rFonts w:ascii="黑体" w:hAnsi="宋体" w:eastAsia="黑体"/>
      <w:b/>
      <w:color w:val="000000"/>
    </w:rPr>
  </w:style>
  <w:style w:type="paragraph" w:customStyle="1" w:styleId="827">
    <w:name w:val="1表格字体"/>
    <w:basedOn w:val="1"/>
    <w:qFormat/>
    <w:uiPriority w:val="0"/>
    <w:pPr>
      <w:spacing w:line="264" w:lineRule="auto"/>
      <w:jc w:val="center"/>
    </w:pPr>
  </w:style>
  <w:style w:type="paragraph" w:customStyle="1" w:styleId="828">
    <w:name w:val="表标题2"/>
    <w:basedOn w:val="1"/>
    <w:qFormat/>
    <w:uiPriority w:val="0"/>
    <w:pPr>
      <w:keepNext/>
      <w:adjustRightInd w:val="0"/>
      <w:spacing w:before="180" w:after="120" w:line="397" w:lineRule="atLeast"/>
      <w:jc w:val="center"/>
      <w:textAlignment w:val="baseline"/>
    </w:pPr>
    <w:rPr>
      <w:rFonts w:ascii="Plotter" w:hAnsi="Plotter"/>
      <w:b/>
      <w:sz w:val="24"/>
    </w:rPr>
  </w:style>
  <w:style w:type="paragraph" w:customStyle="1" w:styleId="829">
    <w:name w:val="表格内容-中间对齐"/>
    <w:basedOn w:val="1"/>
    <w:qFormat/>
    <w:uiPriority w:val="0"/>
    <w:pPr>
      <w:jc w:val="center"/>
    </w:pPr>
  </w:style>
  <w:style w:type="paragraph" w:customStyle="1" w:styleId="830">
    <w:name w:val="样式 表格文字 + 首行缩进: 2.15 字符"/>
    <w:basedOn w:val="1"/>
    <w:qFormat/>
    <w:uiPriority w:val="0"/>
    <w:pPr>
      <w:topLinePunct/>
      <w:adjustRightInd w:val="0"/>
      <w:snapToGrid w:val="0"/>
      <w:spacing w:line="312" w:lineRule="auto"/>
      <w:jc w:val="center"/>
    </w:pPr>
    <w:rPr>
      <w:rFonts w:ascii="Arial" w:hAnsi="Arial" w:cs="Arial"/>
      <w:spacing w:val="-2"/>
      <w:sz w:val="28"/>
      <w:szCs w:val="28"/>
    </w:rPr>
  </w:style>
  <w:style w:type="paragraph" w:customStyle="1" w:styleId="831">
    <w:name w:val="样式 标题 4 + 小四 行距: 单倍行距"/>
    <w:basedOn w:val="6"/>
    <w:qFormat/>
    <w:uiPriority w:val="0"/>
    <w:pPr>
      <w:tabs>
        <w:tab w:val="left" w:pos="851"/>
      </w:tabs>
      <w:spacing w:before="280" w:after="290" w:line="240" w:lineRule="auto"/>
      <w:ind w:left="851" w:hanging="851"/>
    </w:pPr>
    <w:rPr>
      <w:rFonts w:ascii="Arial" w:hAnsi="Arial" w:eastAsia="黑体" w:cs="宋体"/>
      <w:bCs/>
      <w:sz w:val="24"/>
      <w:lang w:eastAsia="zh-CN"/>
    </w:rPr>
  </w:style>
  <w:style w:type="paragraph" w:customStyle="1" w:styleId="832">
    <w:name w:val="备注"/>
    <w:basedOn w:val="1"/>
    <w:next w:val="1"/>
    <w:qFormat/>
    <w:uiPriority w:val="0"/>
    <w:pPr>
      <w:adjustRightInd w:val="0"/>
      <w:spacing w:before="120" w:after="360" w:line="400" w:lineRule="atLeast"/>
      <w:ind w:firstLine="567"/>
      <w:textAlignment w:val="baseline"/>
    </w:pPr>
    <w:rPr>
      <w:rFonts w:ascii="宋体"/>
      <w:i/>
      <w:color w:val="800000"/>
      <w:kern w:val="18"/>
      <w:sz w:val="24"/>
    </w:rPr>
  </w:style>
  <w:style w:type="paragraph" w:customStyle="1" w:styleId="833">
    <w:name w:val="第四节"/>
    <w:basedOn w:val="1"/>
    <w:qFormat/>
    <w:uiPriority w:val="0"/>
    <w:pPr>
      <w:spacing w:before="360" w:beforeLines="150" w:line="360" w:lineRule="auto"/>
      <w:ind w:firstLine="358" w:firstLineChars="119"/>
      <w:jc w:val="left"/>
    </w:pPr>
    <w:rPr>
      <w:rFonts w:eastAsia="黑体"/>
      <w:b/>
      <w:bCs/>
      <w:sz w:val="30"/>
    </w:rPr>
  </w:style>
  <w:style w:type="paragraph" w:customStyle="1" w:styleId="834">
    <w:name w:val="char"/>
    <w:basedOn w:val="1"/>
    <w:qFormat/>
    <w:uiPriority w:val="0"/>
    <w:pPr>
      <w:widowControl/>
      <w:jc w:val="left"/>
    </w:pPr>
    <w:rPr>
      <w:sz w:val="24"/>
    </w:rPr>
  </w:style>
  <w:style w:type="paragraph" w:customStyle="1" w:styleId="835">
    <w:name w:val="样式 标题 3B HeadH3标题 3 Char Char标题 3 Char Char Char Char标题 3 C..."/>
    <w:basedOn w:val="5"/>
    <w:qFormat/>
    <w:uiPriority w:val="0"/>
    <w:pPr>
      <w:keepNext/>
      <w:widowControl w:val="0"/>
      <w:tabs>
        <w:tab w:val="left" w:pos="709"/>
      </w:tabs>
      <w:adjustRightInd/>
      <w:snapToGrid/>
      <w:spacing w:before="100" w:after="100" w:line="300" w:lineRule="auto"/>
      <w:ind w:left="709" w:hanging="709"/>
      <w:textAlignment w:val="auto"/>
    </w:pPr>
    <w:rPr>
      <w:rFonts w:ascii="黑体" w:eastAsia="黑体" w:cs="宋体"/>
      <w:b w:val="0"/>
      <w:snapToGrid w:val="0"/>
      <w:spacing w:val="0"/>
      <w:kern w:val="2"/>
      <w:szCs w:val="20"/>
    </w:rPr>
  </w:style>
  <w:style w:type="paragraph" w:customStyle="1" w:styleId="836">
    <w:name w:val="样式 标题 2H2SeHead wsa2标题 1.1标题 2 Char Char Char Char Char标题 ..."/>
    <w:basedOn w:val="4"/>
    <w:qFormat/>
    <w:uiPriority w:val="0"/>
    <w:pPr>
      <w:keepNext/>
      <w:keepLines/>
      <w:pBdr>
        <w:bottom w:val="none" w:color="auto" w:sz="0" w:space="0"/>
      </w:pBdr>
      <w:tabs>
        <w:tab w:val="left" w:pos="567"/>
      </w:tabs>
      <w:spacing w:before="120" w:after="120"/>
      <w:ind w:left="567" w:hanging="567"/>
    </w:pPr>
    <w:rPr>
      <w:rFonts w:ascii="黑体" w:hAnsi="Arial" w:eastAsia="黑体" w:cs="宋体"/>
      <w:b w:val="0"/>
      <w:caps w:val="0"/>
      <w:color w:val="auto"/>
      <w:spacing w:val="0"/>
      <w:kern w:val="2"/>
      <w:sz w:val="32"/>
      <w:lang w:eastAsia="zh-CN"/>
    </w:rPr>
  </w:style>
  <w:style w:type="paragraph" w:customStyle="1" w:styleId="837">
    <w:name w:val="a表标题"/>
    <w:basedOn w:val="1"/>
    <w:qFormat/>
    <w:uiPriority w:val="0"/>
    <w:pPr>
      <w:adjustRightInd w:val="0"/>
      <w:snapToGrid w:val="0"/>
      <w:spacing w:before="60" w:after="60" w:line="300" w:lineRule="auto"/>
      <w:ind w:firstLine="539"/>
      <w:jc w:val="center"/>
      <w:textAlignment w:val="baseline"/>
    </w:pPr>
    <w:rPr>
      <w:b/>
      <w:bCs/>
      <w:sz w:val="24"/>
    </w:rPr>
  </w:style>
  <w:style w:type="table" w:customStyle="1" w:styleId="838">
    <w:name w:val="网格型1"/>
    <w:basedOn w:val="92"/>
    <w:qFormat/>
    <w:uiPriority w:val="5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39">
    <w:name w:val="网格型2"/>
    <w:basedOn w:val="92"/>
    <w:qFormat/>
    <w:uiPriority w:val="5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40">
    <w:name w:val="yqy表格样式"/>
    <w:basedOn w:val="94"/>
    <w:qFormat/>
    <w:uiPriority w:val="0"/>
    <w:pPr>
      <w:jc w:val="center"/>
    </w:pPr>
    <w:rPr>
      <w:rFonts w:eastAsia="Times New Roman"/>
      <w:kern w:val="2"/>
    </w:rPr>
    <w:tblPr>
      <w:tblBorders>
        <w:top w:val="single" w:color="auto" w:sz="12" w:space="0"/>
        <w:bottom w:val="single" w:color="auto" w:sz="12" w:space="0"/>
      </w:tblBorders>
    </w:tblPr>
    <w:tcPr>
      <w:vAlign w:val="center"/>
    </w:tcPr>
  </w:style>
  <w:style w:type="table" w:customStyle="1" w:styleId="841">
    <w:name w:val="ok1"/>
    <w:basedOn w:val="840"/>
    <w:qFormat/>
    <w:uiPriority w:val="0"/>
    <w:tblPr>
      <w:tblBorders>
        <w:top w:val="single" w:color="auto" w:sz="4" w:space="0"/>
        <w:bottom w:val="single" w:color="auto" w:sz="4" w:space="0"/>
      </w:tblBorders>
    </w:tblPr>
    <w:tblStylePr w:type="firstRow">
      <w:pPr>
        <w:jc w:val="center"/>
      </w:pPr>
      <w:rPr>
        <w:rFonts w:ascii="Times New Roman" w:hAnsi="Times New Roman" w:eastAsia="Estrangelo Edessa"/>
        <w:b w:val="0"/>
        <w:i w:val="0"/>
        <w:sz w:val="21"/>
        <w:szCs w:val="21"/>
      </w:rPr>
      <w:tcPr>
        <w:tcBorders>
          <w:top w:val="single" w:color="auto" w:sz="4" w:space="0"/>
          <w:left w:val="nil"/>
          <w:bottom w:val="single" w:color="auto" w:sz="4" w:space="0"/>
          <w:right w:val="nil"/>
          <w:insideH w:val="nil"/>
          <w:insideV w:val="nil"/>
          <w:tl2br w:val="nil"/>
          <w:tr2bl w:val="nil"/>
        </w:tcBorders>
      </w:tcPr>
    </w:tblStylePr>
  </w:style>
  <w:style w:type="table" w:customStyle="1" w:styleId="842">
    <w:name w:val="ok"/>
    <w:basedOn w:val="840"/>
    <w:qFormat/>
    <w:uiPriority w:val="0"/>
    <w:tblPr>
      <w:tblBorders>
        <w:top w:val="single" w:color="auto" w:sz="4" w:space="0"/>
        <w:bottom w:val="single" w:color="auto" w:sz="4" w:space="0"/>
      </w:tblBorders>
    </w:tblPr>
    <w:tblStylePr w:type="firstRow">
      <w:pPr>
        <w:jc w:val="center"/>
      </w:pPr>
      <w:rPr>
        <w:rFonts w:ascii="Times New Roman" w:hAnsi="Times New Roman" w:eastAsia="Estrangelo Edessa"/>
        <w:b w:val="0"/>
        <w:i w:val="0"/>
        <w:sz w:val="21"/>
        <w:szCs w:val="21"/>
      </w:rPr>
      <w:tcPr>
        <w:tcBorders>
          <w:top w:val="single" w:color="auto" w:sz="4" w:space="0"/>
          <w:left w:val="nil"/>
          <w:bottom w:val="single" w:color="auto" w:sz="4" w:space="0"/>
          <w:right w:val="nil"/>
          <w:insideH w:val="nil"/>
          <w:insideV w:val="nil"/>
          <w:tl2br w:val="nil"/>
          <w:tr2bl w:val="nil"/>
        </w:tcBorders>
      </w:tcPr>
    </w:tblStylePr>
  </w:style>
  <w:style w:type="table" w:customStyle="1" w:styleId="843">
    <w:name w:val="Table Normal"/>
    <w:unhideWhenUsed/>
    <w:qFormat/>
    <w:uiPriority w:val="2"/>
    <w:pPr>
      <w:widowControl w:val="0"/>
      <w:autoSpaceDE w:val="0"/>
      <w:autoSpaceDN w:val="0"/>
    </w:pPr>
    <w:rPr>
      <w:rFonts w:ascii="Calibri" w:hAnsi="Calibri"/>
      <w:sz w:val="22"/>
      <w:lang w:eastAsia="en-US"/>
    </w:rPr>
    <w:tblPr>
      <w:tblCellMar>
        <w:top w:w="0" w:type="dxa"/>
        <w:left w:w="0" w:type="dxa"/>
        <w:bottom w:w="0" w:type="dxa"/>
        <w:right w:w="0" w:type="dxa"/>
      </w:tblCellMar>
    </w:tblPr>
  </w:style>
  <w:style w:type="table" w:customStyle="1" w:styleId="844">
    <w:name w:val="Table Normal1"/>
    <w:unhideWhenUsed/>
    <w:qFormat/>
    <w:uiPriority w:val="2"/>
    <w:pPr>
      <w:widowControl w:val="0"/>
      <w:autoSpaceDE w:val="0"/>
      <w:autoSpaceDN w:val="0"/>
    </w:pPr>
    <w:rPr>
      <w:rFonts w:ascii="Calibri" w:hAnsi="Calibri"/>
      <w:sz w:val="22"/>
      <w:lang w:eastAsia="en-US"/>
    </w:rPr>
    <w:tblPr>
      <w:tblCellMar>
        <w:top w:w="0" w:type="dxa"/>
        <w:left w:w="0" w:type="dxa"/>
        <w:bottom w:w="0" w:type="dxa"/>
        <w:right w:w="0" w:type="dxa"/>
      </w:tblCellMar>
    </w:tblPr>
  </w:style>
  <w:style w:type="table" w:customStyle="1" w:styleId="845">
    <w:name w:val="网格型7"/>
    <w:basedOn w:val="92"/>
    <w:qFormat/>
    <w:uiPriority w:val="0"/>
    <w:pPr>
      <w:widowControl w:val="0"/>
      <w:spacing w:line="360" w:lineRule="auto"/>
      <w:ind w:left="-1" w:leftChars="-1"/>
      <w:jc w:val="center"/>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846">
    <w:name w:val="A表格中文"/>
    <w:basedOn w:val="1"/>
    <w:qFormat/>
    <w:uiPriority w:val="0"/>
    <w:pPr>
      <w:adjustRightInd w:val="0"/>
      <w:ind w:left="-50" w:leftChars="-50" w:right="-50" w:rightChars="-50"/>
      <w:jc w:val="center"/>
    </w:pPr>
    <w:rPr>
      <w:bCs/>
    </w:rPr>
  </w:style>
  <w:style w:type="paragraph" w:customStyle="1" w:styleId="847">
    <w:name w:val="C正文"/>
    <w:basedOn w:val="1"/>
    <w:qFormat/>
    <w:uiPriority w:val="0"/>
    <w:pPr>
      <w:spacing w:line="520" w:lineRule="exact"/>
      <w:ind w:firstLine="480" w:firstLineChars="200"/>
    </w:pPr>
    <w:rPr>
      <w:sz w:val="24"/>
    </w:rPr>
  </w:style>
  <w:style w:type="character" w:customStyle="1" w:styleId="848">
    <w:name w:val="hover8"/>
    <w:qFormat/>
    <w:uiPriority w:val="0"/>
    <w:rPr>
      <w:rFonts w:ascii="仿宋_GB2312" w:eastAsia="仿宋_GB2312"/>
      <w:color w:val="FF3300"/>
      <w:sz w:val="24"/>
      <w:szCs w:val="24"/>
    </w:rPr>
  </w:style>
  <w:style w:type="character" w:customStyle="1" w:styleId="849">
    <w:name w:val="0 Char"/>
    <w:link w:val="850"/>
    <w:qFormat/>
    <w:uiPriority w:val="0"/>
    <w:rPr>
      <w:b/>
      <w:sz w:val="24"/>
    </w:rPr>
  </w:style>
  <w:style w:type="paragraph" w:customStyle="1" w:styleId="850">
    <w:name w:val="0表头"/>
    <w:basedOn w:val="1"/>
    <w:link w:val="849"/>
    <w:qFormat/>
    <w:uiPriority w:val="0"/>
    <w:pPr>
      <w:spacing w:before="50" w:beforeLines="50"/>
      <w:jc w:val="center"/>
    </w:pPr>
    <w:rPr>
      <w:rFonts w:asciiTheme="minorHAnsi" w:hAnsiTheme="minorHAnsi" w:eastAsiaTheme="minorEastAsia" w:cstheme="minorBidi"/>
      <w:b/>
      <w:sz w:val="24"/>
      <w:szCs w:val="22"/>
    </w:rPr>
  </w:style>
  <w:style w:type="character" w:customStyle="1" w:styleId="851">
    <w:name w:val="报告表  段 Char"/>
    <w:link w:val="852"/>
    <w:qFormat/>
    <w:locked/>
    <w:uiPriority w:val="0"/>
    <w:rPr>
      <w:rFonts w:ascii="宋体"/>
      <w:sz w:val="24"/>
    </w:rPr>
  </w:style>
  <w:style w:type="paragraph" w:customStyle="1" w:styleId="852">
    <w:name w:val="报告表  段"/>
    <w:basedOn w:val="1"/>
    <w:link w:val="851"/>
    <w:qFormat/>
    <w:uiPriority w:val="0"/>
    <w:pPr>
      <w:adjustRightInd w:val="0"/>
      <w:spacing w:line="360" w:lineRule="auto"/>
      <w:ind w:firstLine="505"/>
      <w:textAlignment w:val="baseline"/>
    </w:pPr>
    <w:rPr>
      <w:rFonts w:ascii="宋体" w:hAnsiTheme="minorHAnsi" w:eastAsiaTheme="minorEastAsia" w:cstheme="minorBidi"/>
      <w:sz w:val="24"/>
      <w:szCs w:val="22"/>
    </w:rPr>
  </w:style>
  <w:style w:type="character" w:customStyle="1" w:styleId="853">
    <w:name w:val="current"/>
    <w:qFormat/>
    <w:uiPriority w:val="0"/>
    <w:rPr>
      <w:rFonts w:ascii="仿宋_GB2312" w:eastAsia="仿宋_GB2312"/>
      <w:color w:val="000000"/>
      <w:sz w:val="24"/>
      <w:szCs w:val="24"/>
      <w:bdr w:val="single" w:color="F3F3F3" w:sz="6" w:space="0"/>
      <w:shd w:val="clear" w:color="auto" w:fill="D7E7FF"/>
    </w:rPr>
  </w:style>
  <w:style w:type="character" w:customStyle="1" w:styleId="854">
    <w:name w:val="up"/>
    <w:qFormat/>
    <w:uiPriority w:val="0"/>
    <w:rPr>
      <w:rFonts w:ascii="仿宋_GB2312" w:eastAsia="仿宋_GB2312"/>
      <w:sz w:val="24"/>
      <w:szCs w:val="24"/>
      <w:shd w:val="clear" w:color="auto" w:fill="D7E7FF"/>
    </w:rPr>
  </w:style>
  <w:style w:type="character" w:customStyle="1" w:styleId="855">
    <w:name w:val="down"/>
    <w:qFormat/>
    <w:uiPriority w:val="0"/>
    <w:rPr>
      <w:rFonts w:ascii="仿宋_GB2312" w:eastAsia="仿宋_GB2312"/>
      <w:sz w:val="24"/>
      <w:szCs w:val="24"/>
      <w:shd w:val="clear" w:color="auto" w:fill="D7E7FF"/>
    </w:rPr>
  </w:style>
  <w:style w:type="character" w:customStyle="1" w:styleId="856">
    <w:name w:val="表文 Char"/>
    <w:link w:val="857"/>
    <w:qFormat/>
    <w:locked/>
    <w:uiPriority w:val="0"/>
    <w:rPr>
      <w:rFonts w:ascii="宋体" w:hAnsi="Tms Rmn"/>
      <w:sz w:val="24"/>
    </w:rPr>
  </w:style>
  <w:style w:type="paragraph" w:customStyle="1" w:styleId="857">
    <w:name w:val="表文"/>
    <w:basedOn w:val="1"/>
    <w:link w:val="856"/>
    <w:qFormat/>
    <w:uiPriority w:val="0"/>
    <w:pPr>
      <w:autoSpaceDE w:val="0"/>
      <w:autoSpaceDN w:val="0"/>
      <w:adjustRightInd w:val="0"/>
      <w:spacing w:line="360" w:lineRule="atLeast"/>
      <w:jc w:val="center"/>
      <w:textAlignment w:val="baseline"/>
    </w:pPr>
    <w:rPr>
      <w:rFonts w:ascii="宋体" w:hAnsi="Tms Rmn" w:eastAsiaTheme="minorEastAsia" w:cstheme="minorBidi"/>
      <w:sz w:val="24"/>
      <w:szCs w:val="22"/>
    </w:rPr>
  </w:style>
  <w:style w:type="character" w:customStyle="1" w:styleId="858">
    <w:name w:val="hover7"/>
    <w:qFormat/>
    <w:uiPriority w:val="0"/>
    <w:rPr>
      <w:rFonts w:ascii="仿宋_GB2312" w:eastAsia="仿宋_GB2312"/>
      <w:color w:val="FF3300"/>
      <w:sz w:val="24"/>
      <w:szCs w:val="24"/>
    </w:rPr>
  </w:style>
  <w:style w:type="character" w:customStyle="1" w:styleId="859">
    <w:name w:val="hover21"/>
    <w:qFormat/>
    <w:uiPriority w:val="0"/>
    <w:rPr>
      <w:rFonts w:ascii="仿宋_GB2312" w:eastAsia="仿宋_GB2312"/>
      <w:color w:val="FF3300"/>
      <w:sz w:val="24"/>
      <w:szCs w:val="24"/>
    </w:rPr>
  </w:style>
  <w:style w:type="character" w:customStyle="1" w:styleId="860">
    <w:name w:val="current1"/>
    <w:qFormat/>
    <w:uiPriority w:val="0"/>
    <w:rPr>
      <w:rFonts w:ascii="仿宋_GB2312" w:eastAsia="仿宋_GB2312"/>
      <w:color w:val="000000"/>
      <w:sz w:val="24"/>
      <w:szCs w:val="24"/>
      <w:bdr w:val="single" w:color="F3F3F3" w:sz="6" w:space="0"/>
      <w:shd w:val="clear" w:color="auto" w:fill="D7E7FF"/>
    </w:rPr>
  </w:style>
  <w:style w:type="character" w:customStyle="1" w:styleId="861">
    <w:name w:val="+ Char"/>
    <w:link w:val="862"/>
    <w:qFormat/>
    <w:uiPriority w:val="0"/>
    <w:rPr>
      <w:sz w:val="24"/>
      <w:szCs w:val="24"/>
    </w:rPr>
  </w:style>
  <w:style w:type="paragraph" w:customStyle="1" w:styleId="862">
    <w:name w:val="+"/>
    <w:basedOn w:val="1"/>
    <w:link w:val="861"/>
    <w:qFormat/>
    <w:uiPriority w:val="0"/>
    <w:pPr>
      <w:adjustRightInd w:val="0"/>
      <w:snapToGrid w:val="0"/>
      <w:spacing w:line="360" w:lineRule="auto"/>
      <w:ind w:firstLine="420" w:firstLineChars="200"/>
      <w:jc w:val="left"/>
    </w:pPr>
    <w:rPr>
      <w:rFonts w:asciiTheme="minorHAnsi" w:hAnsiTheme="minorHAnsi" w:eastAsiaTheme="minorEastAsia" w:cstheme="minorBidi"/>
      <w:sz w:val="24"/>
    </w:rPr>
  </w:style>
  <w:style w:type="character" w:customStyle="1" w:styleId="863">
    <w:name w:val="正文 Char"/>
    <w:link w:val="864"/>
    <w:qFormat/>
    <w:uiPriority w:val="0"/>
    <w:rPr>
      <w:sz w:val="24"/>
      <w:szCs w:val="24"/>
    </w:rPr>
  </w:style>
  <w:style w:type="paragraph" w:customStyle="1" w:styleId="864">
    <w:name w:val="正文8"/>
    <w:basedOn w:val="1"/>
    <w:link w:val="863"/>
    <w:qFormat/>
    <w:uiPriority w:val="0"/>
    <w:pPr>
      <w:spacing w:line="360" w:lineRule="auto"/>
      <w:ind w:firstLine="200" w:firstLineChars="200"/>
    </w:pPr>
    <w:rPr>
      <w:rFonts w:asciiTheme="minorHAnsi" w:hAnsiTheme="minorHAnsi" w:eastAsiaTheme="minorEastAsia" w:cstheme="minorBidi"/>
      <w:sz w:val="24"/>
    </w:rPr>
  </w:style>
  <w:style w:type="character" w:customStyle="1" w:styleId="865">
    <w:name w:val="hover"/>
    <w:qFormat/>
    <w:uiPriority w:val="0"/>
    <w:rPr>
      <w:color w:val="FF3300"/>
      <w:szCs w:val="21"/>
    </w:rPr>
  </w:style>
  <w:style w:type="character" w:customStyle="1" w:styleId="866">
    <w:name w:val="hover20"/>
    <w:qFormat/>
    <w:uiPriority w:val="0"/>
    <w:rPr>
      <w:rFonts w:ascii="仿宋_GB2312" w:eastAsia="仿宋_GB2312"/>
      <w:color w:val="FF3300"/>
      <w:sz w:val="24"/>
      <w:szCs w:val="24"/>
    </w:rPr>
  </w:style>
  <w:style w:type="character" w:customStyle="1" w:styleId="867">
    <w:name w:val="zcjy"/>
    <w:qFormat/>
    <w:uiPriority w:val="0"/>
    <w:rPr>
      <w:rFonts w:ascii="仿宋_GB2312" w:eastAsia="仿宋_GB2312"/>
      <w:sz w:val="24"/>
      <w:szCs w:val="24"/>
      <w:shd w:val="clear" w:color="auto" w:fill="266EB4"/>
    </w:rPr>
  </w:style>
  <w:style w:type="character" w:customStyle="1" w:styleId="868">
    <w:name w:val="BT Char"/>
    <w:link w:val="869"/>
    <w:qFormat/>
    <w:uiPriority w:val="0"/>
    <w:rPr>
      <w:b/>
      <w:sz w:val="24"/>
    </w:rPr>
  </w:style>
  <w:style w:type="paragraph" w:customStyle="1" w:styleId="869">
    <w:name w:val="BT"/>
    <w:basedOn w:val="1"/>
    <w:link w:val="868"/>
    <w:qFormat/>
    <w:uiPriority w:val="0"/>
    <w:pPr>
      <w:adjustRightInd w:val="0"/>
      <w:snapToGrid w:val="0"/>
      <w:jc w:val="center"/>
    </w:pPr>
    <w:rPr>
      <w:rFonts w:asciiTheme="minorHAnsi" w:hAnsiTheme="minorHAnsi" w:eastAsiaTheme="minorEastAsia" w:cstheme="minorBidi"/>
      <w:b/>
      <w:sz w:val="24"/>
      <w:szCs w:val="22"/>
    </w:rPr>
  </w:style>
  <w:style w:type="character" w:customStyle="1" w:styleId="870">
    <w:name w:val="小标题 Char"/>
    <w:link w:val="871"/>
    <w:qFormat/>
    <w:locked/>
    <w:uiPriority w:val="0"/>
    <w:rPr>
      <w:rFonts w:ascii="Arial" w:hAnsi="宋体" w:cs="Arial"/>
      <w:b/>
      <w:sz w:val="24"/>
    </w:rPr>
  </w:style>
  <w:style w:type="paragraph" w:customStyle="1" w:styleId="871">
    <w:name w:val="小标题"/>
    <w:basedOn w:val="1"/>
    <w:next w:val="1"/>
    <w:link w:val="870"/>
    <w:qFormat/>
    <w:uiPriority w:val="0"/>
    <w:pPr>
      <w:spacing w:before="120" w:after="120"/>
      <w:ind w:left="425"/>
    </w:pPr>
    <w:rPr>
      <w:rFonts w:ascii="Arial" w:hAnsi="宋体" w:cs="Arial" w:eastAsiaTheme="minorEastAsia"/>
      <w:b/>
      <w:sz w:val="24"/>
      <w:szCs w:val="22"/>
    </w:rPr>
  </w:style>
  <w:style w:type="character" w:customStyle="1" w:styleId="872">
    <w:name w:val="正文文本 + 间距 0 pt"/>
    <w:qFormat/>
    <w:uiPriority w:val="0"/>
    <w:rPr>
      <w:rFonts w:ascii="宋体" w:hAnsi="宋体" w:cs="宋体"/>
      <w:spacing w:val="10"/>
      <w:sz w:val="22"/>
      <w:szCs w:val="22"/>
      <w:u w:val="none"/>
    </w:rPr>
  </w:style>
  <w:style w:type="character" w:customStyle="1" w:styleId="873">
    <w:name w:val="hover2"/>
    <w:qFormat/>
    <w:uiPriority w:val="0"/>
    <w:rPr>
      <w:rFonts w:ascii="仿宋_GB2312" w:eastAsia="仿宋_GB2312"/>
      <w:color w:val="FF3300"/>
      <w:sz w:val="24"/>
      <w:szCs w:val="24"/>
    </w:rPr>
  </w:style>
  <w:style w:type="character" w:customStyle="1" w:styleId="874">
    <w:name w:val="ydx"/>
    <w:qFormat/>
    <w:uiPriority w:val="0"/>
    <w:rPr>
      <w:rFonts w:ascii="仿宋_GB2312" w:eastAsia="仿宋_GB2312"/>
      <w:sz w:val="24"/>
      <w:szCs w:val="24"/>
      <w:shd w:val="clear" w:color="auto" w:fill="CC6600"/>
    </w:rPr>
  </w:style>
  <w:style w:type="character" w:customStyle="1" w:styleId="875">
    <w:name w:val="报告文本 Char"/>
    <w:link w:val="876"/>
    <w:qFormat/>
    <w:uiPriority w:val="0"/>
    <w:rPr>
      <w:sz w:val="24"/>
    </w:rPr>
  </w:style>
  <w:style w:type="paragraph" w:customStyle="1" w:styleId="876">
    <w:name w:val="报告文本"/>
    <w:link w:val="875"/>
    <w:qFormat/>
    <w:uiPriority w:val="0"/>
    <w:pPr>
      <w:widowControl w:val="0"/>
      <w:spacing w:line="360" w:lineRule="auto"/>
      <w:ind w:firstLine="200" w:firstLineChars="200"/>
      <w:jc w:val="both"/>
    </w:pPr>
    <w:rPr>
      <w:rFonts w:asciiTheme="minorHAnsi" w:hAnsiTheme="minorHAnsi" w:eastAsiaTheme="minorEastAsia" w:cstheme="minorBidi"/>
      <w:kern w:val="2"/>
      <w:sz w:val="24"/>
      <w:szCs w:val="22"/>
      <w:lang w:val="en-US" w:eastAsia="zh-CN" w:bidi="ar-SA"/>
    </w:rPr>
  </w:style>
  <w:style w:type="paragraph" w:customStyle="1" w:styleId="877">
    <w:name w:val="标准书脚_偶数页"/>
    <w:qFormat/>
    <w:uiPriority w:val="0"/>
    <w:pPr>
      <w:spacing w:before="120"/>
      <w:ind w:left="221"/>
    </w:pPr>
    <w:rPr>
      <w:rFonts w:ascii="宋体" w:hAnsi="Times New Roman" w:eastAsia="宋体" w:cs="Times New Roman"/>
      <w:sz w:val="18"/>
      <w:szCs w:val="18"/>
      <w:lang w:val="en-US" w:eastAsia="zh-CN" w:bidi="ar-SA"/>
    </w:rPr>
  </w:style>
  <w:style w:type="paragraph" w:customStyle="1" w:styleId="878">
    <w:name w:val="正文内容"/>
    <w:basedOn w:val="1"/>
    <w:qFormat/>
    <w:uiPriority w:val="0"/>
    <w:pPr>
      <w:ind w:firstLine="200" w:firstLineChars="200"/>
    </w:pPr>
    <w:rPr>
      <w:sz w:val="24"/>
    </w:rPr>
  </w:style>
  <w:style w:type="paragraph" w:customStyle="1" w:styleId="879">
    <w:name w:val="Char Char3 Char Char Char Char Char2 Char Char Char Char"/>
    <w:basedOn w:val="28"/>
    <w:qFormat/>
    <w:uiPriority w:val="0"/>
    <w:pPr>
      <w:shd w:val="clear" w:color="auto" w:fill="000080"/>
      <w:adjustRightInd w:val="0"/>
      <w:snapToGrid w:val="0"/>
      <w:spacing w:line="360" w:lineRule="auto"/>
    </w:pPr>
    <w:rPr>
      <w:rFonts w:ascii="Tahoma" w:hAnsi="Tahoma" w:eastAsia="仿宋_GB2312"/>
      <w:sz w:val="28"/>
      <w:szCs w:val="24"/>
      <w:lang w:eastAsia="zh-CN"/>
    </w:rPr>
  </w:style>
  <w:style w:type="paragraph" w:customStyle="1" w:styleId="880">
    <w:name w:val="z-窗体底端1"/>
    <w:basedOn w:val="1"/>
    <w:next w:val="1"/>
    <w:qFormat/>
    <w:uiPriority w:val="0"/>
    <w:pPr>
      <w:pBdr>
        <w:top w:val="single" w:color="auto" w:sz="6" w:space="1"/>
      </w:pBdr>
      <w:jc w:val="center"/>
    </w:pPr>
    <w:rPr>
      <w:rFonts w:ascii="Arial"/>
      <w:vanish/>
      <w:sz w:val="16"/>
    </w:rPr>
  </w:style>
  <w:style w:type="paragraph" w:customStyle="1" w:styleId="881">
    <w:name w:val="封面标准号2"/>
    <w:qFormat/>
    <w:uiPriority w:val="0"/>
    <w:pPr>
      <w:framePr w:w="9140" w:h="1242" w:hRule="exact" w:hSpace="284" w:wrap="around" w:vAnchor="page" w:hAnchor="page" w:x="1646" w:y="2911" w:anchorLock="1"/>
      <w:spacing w:before="357" w:line="280" w:lineRule="exact"/>
      <w:jc w:val="right"/>
    </w:pPr>
    <w:rPr>
      <w:rFonts w:ascii="黑体" w:hAnsi="Times New Roman" w:eastAsia="黑体" w:cs="Times New Roman"/>
      <w:sz w:val="28"/>
      <w:szCs w:val="28"/>
      <w:lang w:val="en-US" w:eastAsia="zh-CN" w:bidi="ar-SA"/>
    </w:rPr>
  </w:style>
  <w:style w:type="paragraph" w:customStyle="1" w:styleId="882">
    <w:name w:val="标准书眉_偶数页"/>
    <w:basedOn w:val="883"/>
    <w:next w:val="1"/>
    <w:qFormat/>
    <w:uiPriority w:val="0"/>
    <w:pPr>
      <w:tabs>
        <w:tab w:val="center" w:pos="4154"/>
        <w:tab w:val="right" w:pos="8306"/>
      </w:tabs>
      <w:jc w:val="left"/>
    </w:pPr>
  </w:style>
  <w:style w:type="paragraph" w:customStyle="1" w:styleId="883">
    <w:name w:val="标准书眉_奇数页"/>
    <w:next w:val="1"/>
    <w:qFormat/>
    <w:uiPriority w:val="0"/>
    <w:pPr>
      <w:tabs>
        <w:tab w:val="center" w:pos="4154"/>
        <w:tab w:val="right" w:pos="8306"/>
      </w:tabs>
      <w:spacing w:after="220"/>
      <w:jc w:val="right"/>
    </w:pPr>
    <w:rPr>
      <w:rFonts w:ascii="黑体" w:hAnsi="Times New Roman" w:eastAsia="黑体" w:cs="Times New Roman"/>
      <w:sz w:val="21"/>
      <w:szCs w:val="21"/>
      <w:lang w:val="en-US" w:eastAsia="zh-CN" w:bidi="ar-SA"/>
    </w:rPr>
  </w:style>
  <w:style w:type="paragraph" w:customStyle="1" w:styleId="884">
    <w:name w:val="Char Char Char Char Char Char Char Char Char1"/>
    <w:basedOn w:val="1"/>
    <w:qFormat/>
    <w:uiPriority w:val="0"/>
    <w:pPr>
      <w:widowControl/>
      <w:spacing w:after="160" w:line="240" w:lineRule="exact"/>
      <w:jc w:val="left"/>
    </w:pPr>
  </w:style>
  <w:style w:type="paragraph" w:customStyle="1" w:styleId="885">
    <w:name w:val="Char4"/>
    <w:basedOn w:val="1"/>
    <w:qFormat/>
    <w:uiPriority w:val="0"/>
    <w:rPr>
      <w:sz w:val="24"/>
    </w:rPr>
  </w:style>
  <w:style w:type="paragraph" w:customStyle="1" w:styleId="886">
    <w:name w:val="报告表 段"/>
    <w:basedOn w:val="1"/>
    <w:qFormat/>
    <w:uiPriority w:val="0"/>
    <w:pPr>
      <w:spacing w:line="360" w:lineRule="auto"/>
      <w:ind w:firstLine="470" w:firstLineChars="196"/>
    </w:pPr>
    <w:rPr>
      <w:rFonts w:ascii="宋体" w:hAnsi="宋体"/>
      <w:bCs/>
      <w:sz w:val="24"/>
    </w:rPr>
  </w:style>
  <w:style w:type="paragraph" w:customStyle="1" w:styleId="887">
    <w:name w:val="样式 样式 (中文) 仿宋_GB2312 居中1 + 小四"/>
    <w:basedOn w:val="1"/>
    <w:qFormat/>
    <w:uiPriority w:val="0"/>
    <w:pPr>
      <w:adjustRightInd w:val="0"/>
      <w:snapToGrid w:val="0"/>
      <w:jc w:val="center"/>
    </w:pPr>
    <w:rPr>
      <w:rFonts w:ascii="宋体" w:hAnsi="宋体"/>
    </w:rPr>
  </w:style>
  <w:style w:type="paragraph" w:customStyle="1" w:styleId="888">
    <w:name w:val="样式 方正仿宋_GBK 三号 加粗 黑色 居中 行距: 固定值 26 磅"/>
    <w:basedOn w:val="1"/>
    <w:qFormat/>
    <w:uiPriority w:val="0"/>
    <w:pPr>
      <w:adjustRightInd w:val="0"/>
      <w:snapToGrid w:val="0"/>
      <w:spacing w:before="156" w:beforeLines="50" w:line="360" w:lineRule="auto"/>
      <w:jc w:val="center"/>
    </w:pPr>
    <w:rPr>
      <w:rFonts w:hAnsi="方正仿宋_GBK"/>
      <w:b/>
      <w:bCs/>
      <w:sz w:val="24"/>
    </w:rPr>
  </w:style>
  <w:style w:type="paragraph" w:customStyle="1" w:styleId="889">
    <w:name w:val="报告书正文"/>
    <w:basedOn w:val="90"/>
    <w:qFormat/>
    <w:uiPriority w:val="0"/>
    <w:pPr>
      <w:adjustRightInd/>
      <w:spacing w:after="0"/>
      <w:ind w:firstLine="200" w:firstLineChars="200"/>
      <w:textAlignment w:val="auto"/>
    </w:pPr>
    <w:rPr>
      <w:rFonts w:eastAsia="宋体"/>
      <w:kern w:val="0"/>
      <w:szCs w:val="24"/>
    </w:rPr>
  </w:style>
  <w:style w:type="paragraph" w:customStyle="1" w:styleId="890">
    <w:name w:val="提头"/>
    <w:basedOn w:val="1"/>
    <w:next w:val="1"/>
    <w:qFormat/>
    <w:uiPriority w:val="0"/>
    <w:pPr>
      <w:tabs>
        <w:tab w:val="left" w:pos="227"/>
      </w:tabs>
      <w:adjustRightInd w:val="0"/>
      <w:snapToGrid w:val="0"/>
      <w:spacing w:before="50" w:beforeLines="50"/>
      <w:jc w:val="center"/>
    </w:pPr>
    <w:rPr>
      <w:b/>
      <w:sz w:val="24"/>
    </w:rPr>
  </w:style>
  <w:style w:type="paragraph" w:customStyle="1" w:styleId="891">
    <w:name w:val="罗-表格"/>
    <w:basedOn w:val="1"/>
    <w:unhideWhenUsed/>
    <w:qFormat/>
    <w:uiPriority w:val="99"/>
    <w:pPr>
      <w:jc w:val="center"/>
    </w:pPr>
  </w:style>
  <w:style w:type="paragraph" w:customStyle="1" w:styleId="892">
    <w:name w:val="新表项"/>
    <w:basedOn w:val="1"/>
    <w:qFormat/>
    <w:uiPriority w:val="0"/>
    <w:pPr>
      <w:adjustRightInd w:val="0"/>
      <w:spacing w:before="60" w:line="336" w:lineRule="auto"/>
      <w:ind w:firstLine="505"/>
      <w:textAlignment w:val="baseline"/>
    </w:pPr>
    <w:rPr>
      <w:rFonts w:ascii="宋体"/>
      <w:sz w:val="24"/>
    </w:rPr>
  </w:style>
  <w:style w:type="paragraph" w:customStyle="1" w:styleId="893">
    <w:name w:val="BG"/>
    <w:basedOn w:val="1"/>
    <w:unhideWhenUsed/>
    <w:qFormat/>
    <w:uiPriority w:val="99"/>
    <w:pPr>
      <w:snapToGrid w:val="0"/>
      <w:jc w:val="center"/>
    </w:pPr>
  </w:style>
  <w:style w:type="paragraph" w:customStyle="1" w:styleId="894">
    <w:name w:val="正文3"/>
    <w:basedOn w:val="1"/>
    <w:qFormat/>
    <w:uiPriority w:val="0"/>
    <w:pPr>
      <w:adjustRightInd w:val="0"/>
      <w:snapToGrid w:val="0"/>
      <w:spacing w:line="360" w:lineRule="auto"/>
      <w:ind w:firstLine="600" w:firstLineChars="200"/>
    </w:pPr>
    <w:rPr>
      <w:rFonts w:ascii="Calibri" w:hAnsi="Calibri"/>
      <w:sz w:val="24"/>
      <w:szCs w:val="22"/>
    </w:rPr>
  </w:style>
  <w:style w:type="paragraph" w:customStyle="1" w:styleId="895">
    <w:name w:val="z-窗体顶端1"/>
    <w:basedOn w:val="1"/>
    <w:next w:val="1"/>
    <w:qFormat/>
    <w:uiPriority w:val="0"/>
    <w:pPr>
      <w:pBdr>
        <w:bottom w:val="single" w:color="auto" w:sz="6" w:space="1"/>
      </w:pBdr>
      <w:jc w:val="center"/>
    </w:pPr>
    <w:rPr>
      <w:rFonts w:ascii="Arial"/>
      <w:vanish/>
      <w:sz w:val="16"/>
    </w:rPr>
  </w:style>
  <w:style w:type="paragraph" w:customStyle="1" w:styleId="896">
    <w:name w:val="样式 小四 行距: 1.5 倍行距"/>
    <w:basedOn w:val="1"/>
    <w:qFormat/>
    <w:uiPriority w:val="0"/>
    <w:pPr>
      <w:ind w:firstLine="480" w:firstLineChars="200"/>
    </w:pPr>
    <w:rPr>
      <w:rFonts w:cs="宋体"/>
    </w:rPr>
  </w:style>
  <w:style w:type="paragraph" w:customStyle="1" w:styleId="897">
    <w:name w:val="正文文本1"/>
    <w:basedOn w:val="1"/>
    <w:qFormat/>
    <w:uiPriority w:val="0"/>
    <w:pPr>
      <w:spacing w:line="360" w:lineRule="auto"/>
      <w:ind w:firstLine="480"/>
    </w:pPr>
    <w:rPr>
      <w:rFonts w:ascii="Arial" w:hAnsi="Arial" w:cs="Arial"/>
      <w:color w:val="000000"/>
      <w:kern w:val="1"/>
      <w:sz w:val="24"/>
    </w:rPr>
  </w:style>
  <w:style w:type="paragraph" w:customStyle="1" w:styleId="898">
    <w:name w:val="报告正文0"/>
    <w:basedOn w:val="1"/>
    <w:qFormat/>
    <w:uiPriority w:val="0"/>
    <w:pPr>
      <w:spacing w:line="360" w:lineRule="auto"/>
      <w:ind w:firstLine="480" w:firstLineChars="200"/>
    </w:pPr>
    <w:rPr>
      <w:rFonts w:cs="宋体"/>
      <w:sz w:val="24"/>
    </w:rPr>
  </w:style>
  <w:style w:type="paragraph" w:customStyle="1" w:styleId="899">
    <w:name w:val="真宗兴正文"/>
    <w:basedOn w:val="214"/>
    <w:qFormat/>
    <w:uiPriority w:val="0"/>
    <w:pPr>
      <w:snapToGrid w:val="0"/>
      <w:spacing w:before="93" w:beforeLines="0" w:after="93" w:afterLines="0" w:line="360" w:lineRule="auto"/>
      <w:ind w:firstLine="480"/>
    </w:pPr>
  </w:style>
  <w:style w:type="paragraph" w:customStyle="1" w:styleId="900">
    <w:name w:val="样式 四号 黑色 行距: 1.5 倍行距 首行缩进:  2 字符"/>
    <w:basedOn w:val="1"/>
    <w:qFormat/>
    <w:uiPriority w:val="0"/>
    <w:pPr>
      <w:spacing w:line="360" w:lineRule="auto"/>
      <w:ind w:firstLine="560" w:firstLineChars="200"/>
    </w:pPr>
    <w:rPr>
      <w:rFonts w:eastAsia="仿宋_GB2312" w:cs="宋体"/>
      <w:color w:val="000000"/>
      <w:sz w:val="28"/>
    </w:rPr>
  </w:style>
  <w:style w:type="paragraph" w:customStyle="1" w:styleId="901">
    <w:name w:val="正文正本 + 宋体"/>
    <w:basedOn w:val="1"/>
    <w:qFormat/>
    <w:uiPriority w:val="0"/>
    <w:pPr>
      <w:widowControl/>
      <w:spacing w:line="360" w:lineRule="auto"/>
      <w:ind w:firstLine="510"/>
      <w:jc w:val="left"/>
    </w:pPr>
    <w:rPr>
      <w:rFonts w:ascii="宋体" w:hAnsi="宋体" w:eastAsia="Times New Roman"/>
      <w:sz w:val="24"/>
    </w:rPr>
  </w:style>
  <w:style w:type="paragraph" w:customStyle="1" w:styleId="902">
    <w:name w:val="style1"/>
    <w:basedOn w:val="1"/>
    <w:qFormat/>
    <w:uiPriority w:val="0"/>
    <w:pPr>
      <w:jc w:val="left"/>
    </w:pPr>
    <w:rPr>
      <w:rFonts w:ascii="宋体" w:hAnsi="宋体" w:cs="宋体"/>
      <w:b/>
      <w:sz w:val="28"/>
      <w:szCs w:val="28"/>
    </w:rPr>
  </w:style>
  <w:style w:type="paragraph" w:customStyle="1" w:styleId="903">
    <w:name w:val="小四 间距1.5 缩进2"/>
    <w:basedOn w:val="1"/>
    <w:qFormat/>
    <w:uiPriority w:val="0"/>
    <w:pPr>
      <w:spacing w:line="360" w:lineRule="auto"/>
      <w:ind w:firstLine="415" w:firstLineChars="173"/>
    </w:pPr>
    <w:rPr>
      <w:sz w:val="24"/>
    </w:rPr>
  </w:style>
  <w:style w:type="paragraph" w:customStyle="1" w:styleId="904">
    <w:name w:val="样式 方正仿宋_GBK 三号 行距: 固定值 28 磅"/>
    <w:basedOn w:val="1"/>
    <w:qFormat/>
    <w:uiPriority w:val="0"/>
    <w:pPr>
      <w:spacing w:line="360" w:lineRule="auto"/>
      <w:ind w:firstLine="200" w:firstLineChars="200"/>
      <w:jc w:val="left"/>
    </w:pPr>
    <w:rPr>
      <w:rFonts w:ascii="方正仿宋_GBK" w:hAnsi="方正仿宋_GBK" w:cs="宋体"/>
      <w:sz w:val="28"/>
    </w:rPr>
  </w:style>
  <w:style w:type="paragraph" w:customStyle="1" w:styleId="905">
    <w:name w:val="样式正文"/>
    <w:basedOn w:val="1"/>
    <w:qFormat/>
    <w:uiPriority w:val="0"/>
    <w:pPr>
      <w:snapToGrid w:val="0"/>
      <w:spacing w:line="300" w:lineRule="auto"/>
      <w:ind w:firstLine="480" w:firstLineChars="200"/>
    </w:pPr>
    <w:rPr>
      <w:rFonts w:ascii="仿宋" w:hAnsi="仿宋" w:eastAsia="仿宋"/>
      <w:sz w:val="28"/>
      <w:lang w:val="zh-CN"/>
    </w:rPr>
  </w:style>
  <w:style w:type="paragraph" w:customStyle="1" w:styleId="906">
    <w:name w:val="金光华文本正文"/>
    <w:basedOn w:val="1"/>
    <w:qFormat/>
    <w:uiPriority w:val="0"/>
    <w:pPr>
      <w:widowControl/>
      <w:tabs>
        <w:tab w:val="left" w:pos="6840"/>
      </w:tabs>
      <w:spacing w:line="360" w:lineRule="auto"/>
      <w:ind w:firstLine="510"/>
      <w:jc w:val="left"/>
    </w:pPr>
    <w:rPr>
      <w:rFonts w:ascii="宋体" w:hAnsi="宋体"/>
      <w:sz w:val="24"/>
    </w:rPr>
  </w:style>
  <w:style w:type="paragraph" w:customStyle="1" w:styleId="907">
    <w:name w:val="_Style 7"/>
    <w:basedOn w:val="1"/>
    <w:qFormat/>
    <w:uiPriority w:val="0"/>
  </w:style>
  <w:style w:type="paragraph" w:customStyle="1" w:styleId="908">
    <w:name w:val="样式 (中文) 仿宋_GB2312 四号 黑色 行距: 1.5 倍行距"/>
    <w:basedOn w:val="1"/>
    <w:qFormat/>
    <w:uiPriority w:val="0"/>
    <w:pPr>
      <w:spacing w:line="360" w:lineRule="auto"/>
      <w:ind w:firstLine="200" w:firstLineChars="200"/>
    </w:pPr>
    <w:rPr>
      <w:rFonts w:eastAsia="仿宋_GB2312"/>
      <w:color w:val="000000"/>
      <w:sz w:val="24"/>
    </w:rPr>
  </w:style>
  <w:style w:type="paragraph" w:customStyle="1" w:styleId="909">
    <w:name w:val="wlh表头及图尾深圳环评（新）"/>
    <w:qFormat/>
    <w:uiPriority w:val="0"/>
    <w:pPr>
      <w:tabs>
        <w:tab w:val="center" w:pos="4200"/>
        <w:tab w:val="right" w:pos="8400"/>
      </w:tabs>
      <w:adjustRightInd w:val="0"/>
      <w:snapToGrid w:val="0"/>
      <w:spacing w:line="360" w:lineRule="auto"/>
      <w:jc w:val="center"/>
    </w:pPr>
    <w:rPr>
      <w:rFonts w:ascii="Times New Roman" w:hAnsi="Times New Roman" w:eastAsia="黑体" w:cs="Times New Roman"/>
      <w:snapToGrid w:val="0"/>
      <w:sz w:val="21"/>
      <w:szCs w:val="21"/>
      <w:lang w:val="en-US" w:eastAsia="zh-CN" w:bidi="ar-SA"/>
    </w:rPr>
  </w:style>
  <w:style w:type="paragraph" w:customStyle="1" w:styleId="910">
    <w:name w:val="Lux 正文"/>
    <w:basedOn w:val="1"/>
    <w:qFormat/>
    <w:uiPriority w:val="0"/>
    <w:pPr>
      <w:spacing w:before="80" w:after="80" w:line="360" w:lineRule="auto"/>
      <w:ind w:firstLine="200" w:firstLineChars="200"/>
    </w:pPr>
    <w:rPr>
      <w:sz w:val="24"/>
    </w:rPr>
  </w:style>
  <w:style w:type="paragraph" w:customStyle="1" w:styleId="911">
    <w:name w:val="列出段落2"/>
    <w:basedOn w:val="1"/>
    <w:qFormat/>
    <w:uiPriority w:val="34"/>
    <w:pPr>
      <w:ind w:firstLine="420" w:firstLineChars="200"/>
    </w:pPr>
  </w:style>
  <w:style w:type="paragraph" w:customStyle="1" w:styleId="912">
    <w:name w:val="6"/>
    <w:basedOn w:val="1"/>
    <w:qFormat/>
    <w:uiPriority w:val="61"/>
  </w:style>
  <w:style w:type="table" w:customStyle="1" w:styleId="913">
    <w:name w:val="2"/>
    <w:basedOn w:val="92"/>
    <w:qFormat/>
    <w:uiPriority w:val="99"/>
    <w:pPr>
      <w:jc w:val="center"/>
    </w:pPr>
    <w:rPr>
      <w:rFonts w:eastAsia="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tcPr>
      <w:shd w:val="clear" w:color="auto" w:fill="auto"/>
      <w:vAlign w:val="center"/>
    </w:tcPr>
    <w:tblStylePr w:type="firstCol">
      <w:rPr>
        <w:rFonts w:eastAsia="Times New Roman"/>
        <w:sz w:val="21"/>
      </w:rPr>
    </w:tblStylePr>
  </w:style>
  <w:style w:type="table" w:customStyle="1" w:styleId="914">
    <w:name w:val="浅色列表1"/>
    <w:basedOn w:val="92"/>
    <w:qFormat/>
    <w:uiPriority w:val="61"/>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cPr>
        <w:shd w:val="clear" w:color="auto" w:fill="000000"/>
      </w:tcPr>
    </w:tblStylePr>
    <w:tblStylePr w:type="lastRow">
      <w:pPr>
        <w:spacing w:before="0" w:after="0" w:line="240" w:lineRule="auto"/>
      </w:pPr>
      <w:rPr>
        <w:b/>
        <w:bCs/>
      </w:rPr>
      <w:tcPr>
        <w:tcBorders>
          <w:top w:val="double" w:color="000000" w:sz="6" w:space="0"/>
          <w:left w:val="single" w:color="000000" w:sz="8" w:space="0"/>
          <w:bottom w:val="single" w:color="000000" w:sz="8" w:space="0"/>
          <w:right w:val="single" w:color="000000" w:sz="8" w:space="0"/>
          <w:insideH w:val="nil"/>
          <w:insideV w:val="nil"/>
          <w:tl2br w:val="nil"/>
          <w:tr2bl w:val="nil"/>
        </w:tcBorders>
      </w:tcPr>
    </w:tblStylePr>
    <w:tblStylePr w:type="firstCol">
      <w:rPr>
        <w:b/>
        <w:bCs/>
      </w:rPr>
    </w:tblStylePr>
    <w:tblStylePr w:type="lastCol">
      <w:rPr>
        <w:b/>
        <w:bCs/>
      </w:rPr>
    </w:tblStylePr>
    <w:tblStylePr w:type="band1Vert">
      <w:tcPr>
        <w:tcBorders>
          <w:top w:val="single" w:color="000000" w:sz="8" w:space="0"/>
          <w:left w:val="single" w:color="000000" w:sz="8" w:space="0"/>
          <w:bottom w:val="single" w:color="000000" w:sz="8" w:space="0"/>
          <w:right w:val="single" w:color="000000" w:sz="8" w:space="0"/>
          <w:insideH w:val="nil"/>
          <w:insideV w:val="nil"/>
          <w:tl2br w:val="nil"/>
          <w:tr2bl w:val="nil"/>
        </w:tcBorders>
      </w:tcPr>
    </w:tblStylePr>
    <w:tblStylePr w:type="band1Horz">
      <w:tcPr>
        <w:tcBorders>
          <w:top w:val="single" w:color="000000" w:sz="8" w:space="0"/>
          <w:left w:val="single" w:color="000000" w:sz="8" w:space="0"/>
          <w:bottom w:val="single" w:color="000000" w:sz="8" w:space="0"/>
          <w:right w:val="single" w:color="000000" w:sz="8" w:space="0"/>
          <w:insideH w:val="nil"/>
          <w:insideV w:val="nil"/>
          <w:tl2br w:val="nil"/>
          <w:tr2bl w:val="nil"/>
        </w:tcBorders>
      </w:tcPr>
    </w:tblStylePr>
  </w:style>
  <w:style w:type="paragraph" w:customStyle="1" w:styleId="915">
    <w:name w:val="C表格正文"/>
    <w:basedOn w:val="1"/>
    <w:qFormat/>
    <w:uiPriority w:val="99"/>
    <w:pPr>
      <w:tabs>
        <w:tab w:val="left" w:pos="1081"/>
      </w:tabs>
      <w:adjustRightInd w:val="0"/>
      <w:spacing w:line="320" w:lineRule="exact"/>
      <w:jc w:val="center"/>
      <w:textAlignment w:val="baseline"/>
    </w:pPr>
  </w:style>
  <w:style w:type="character" w:customStyle="1" w:styleId="916">
    <w:name w:val="正文文本首行缩进 字符"/>
    <w:qFormat/>
    <w:uiPriority w:val="99"/>
    <w:rPr>
      <w:rFonts w:eastAsia="Times New Roman"/>
      <w:kern w:val="2"/>
      <w:sz w:val="24"/>
      <w:szCs w:val="22"/>
    </w:rPr>
  </w:style>
  <w:style w:type="character" w:customStyle="1" w:styleId="917">
    <w:name w:val="正文缩进 字符"/>
    <w:qFormat/>
    <w:uiPriority w:val="0"/>
    <w:rPr>
      <w:rFonts w:ascii="Times New Roman" w:hAnsi="Times New Roman"/>
      <w:kern w:val="2"/>
      <w:sz w:val="21"/>
    </w:rPr>
  </w:style>
  <w:style w:type="character" w:customStyle="1" w:styleId="918">
    <w:name w:val="引用 字符1"/>
    <w:qFormat/>
    <w:uiPriority w:val="29"/>
    <w:rPr>
      <w:i/>
      <w:iCs/>
      <w:color w:val="404040"/>
      <w:kern w:val="2"/>
      <w:sz w:val="24"/>
      <w:szCs w:val="22"/>
    </w:rPr>
  </w:style>
  <w:style w:type="character" w:customStyle="1" w:styleId="919">
    <w:name w:val="标题 字符1"/>
    <w:qFormat/>
    <w:uiPriority w:val="0"/>
    <w:rPr>
      <w:rFonts w:ascii="等线 Light" w:hAnsi="等线 Light" w:eastAsia="等线 Light" w:cs="Times New Roman"/>
      <w:b/>
      <w:bCs/>
      <w:kern w:val="2"/>
      <w:sz w:val="32"/>
      <w:szCs w:val="32"/>
    </w:rPr>
  </w:style>
  <w:style w:type="character" w:customStyle="1" w:styleId="920">
    <w:name w:val="正文文本首行缩进 2 字符"/>
    <w:link w:val="921"/>
    <w:qFormat/>
    <w:uiPriority w:val="99"/>
    <w:rPr>
      <w:sz w:val="24"/>
    </w:rPr>
  </w:style>
  <w:style w:type="paragraph" w:customStyle="1" w:styleId="921">
    <w:name w:val="3"/>
    <w:basedOn w:val="1"/>
    <w:next w:val="546"/>
    <w:link w:val="920"/>
    <w:qFormat/>
    <w:uiPriority w:val="99"/>
    <w:pPr>
      <w:ind w:firstLine="420" w:firstLineChars="200"/>
    </w:pPr>
    <w:rPr>
      <w:rFonts w:asciiTheme="minorHAnsi" w:hAnsiTheme="minorHAnsi" w:eastAsiaTheme="minorEastAsia" w:cstheme="minorBidi"/>
      <w:sz w:val="24"/>
      <w:szCs w:val="22"/>
    </w:rPr>
  </w:style>
  <w:style w:type="character" w:customStyle="1" w:styleId="922">
    <w:name w:val="明显引用 字符1"/>
    <w:qFormat/>
    <w:uiPriority w:val="30"/>
    <w:rPr>
      <w:i/>
      <w:iCs/>
      <w:color w:val="4472C4"/>
      <w:kern w:val="2"/>
      <w:sz w:val="24"/>
      <w:szCs w:val="22"/>
    </w:rPr>
  </w:style>
  <w:style w:type="character" w:customStyle="1" w:styleId="923">
    <w:name w:val="副标题 字符1"/>
    <w:qFormat/>
    <w:uiPriority w:val="11"/>
    <w:rPr>
      <w:rFonts w:ascii="等线 Light" w:hAnsi="等线 Light" w:cs="Times New Roman"/>
      <w:b/>
      <w:bCs/>
      <w:kern w:val="28"/>
      <w:sz w:val="32"/>
      <w:szCs w:val="32"/>
    </w:rPr>
  </w:style>
  <w:style w:type="paragraph" w:customStyle="1" w:styleId="924">
    <w:name w:val="WPSOffice手动目录 2"/>
    <w:qFormat/>
    <w:uiPriority w:val="0"/>
    <w:pPr>
      <w:ind w:left="200" w:leftChars="200"/>
    </w:pPr>
    <w:rPr>
      <w:rFonts w:ascii="Times New Roman" w:hAnsi="Times New Roman" w:eastAsia="宋体" w:cs="Times New Roman"/>
      <w:lang w:val="en-US" w:eastAsia="zh-CN" w:bidi="ar-SA"/>
    </w:rPr>
  </w:style>
  <w:style w:type="paragraph" w:customStyle="1" w:styleId="925">
    <w:name w:val="C表格标题"/>
    <w:basedOn w:val="1"/>
    <w:qFormat/>
    <w:uiPriority w:val="0"/>
    <w:pPr>
      <w:numPr>
        <w:ilvl w:val="0"/>
        <w:numId w:val="11"/>
      </w:numPr>
      <w:tabs>
        <w:tab w:val="left" w:pos="240"/>
        <w:tab w:val="left" w:pos="480"/>
      </w:tabs>
      <w:adjustRightInd w:val="0"/>
      <w:spacing w:line="360" w:lineRule="auto"/>
      <w:ind w:left="369" w:hanging="369"/>
      <w:jc w:val="center"/>
    </w:pPr>
    <w:rPr>
      <w:rFonts w:eastAsia="Times New Roman"/>
      <w:b/>
      <w:color w:val="000000"/>
      <w:szCs w:val="22"/>
    </w:rPr>
  </w:style>
  <w:style w:type="paragraph" w:customStyle="1" w:styleId="926">
    <w:name w:val="正文（小四）"/>
    <w:qFormat/>
    <w:uiPriority w:val="0"/>
    <w:pPr>
      <w:spacing w:line="360" w:lineRule="auto"/>
      <w:ind w:firstLine="200" w:firstLineChars="200"/>
      <w:jc w:val="both"/>
    </w:pPr>
    <w:rPr>
      <w:rFonts w:ascii="Times New Roman" w:hAnsi="Times New Roman" w:eastAsia="宋体" w:cs="Times New Roman"/>
      <w:bCs/>
      <w:kern w:val="2"/>
      <w:sz w:val="24"/>
      <w:szCs w:val="32"/>
      <w:lang w:val="en-US" w:eastAsia="zh-CN" w:bidi="ar-SA"/>
    </w:rPr>
  </w:style>
  <w:style w:type="paragraph" w:customStyle="1" w:styleId="927">
    <w:name w:val="WPSOffice手动目录 1"/>
    <w:qFormat/>
    <w:uiPriority w:val="0"/>
    <w:rPr>
      <w:rFonts w:ascii="Times New Roman" w:hAnsi="Times New Roman" w:eastAsia="宋体" w:cs="Times New Roman"/>
      <w:lang w:val="en-US" w:eastAsia="zh-CN" w:bidi="ar-SA"/>
    </w:rPr>
  </w:style>
  <w:style w:type="paragraph" w:customStyle="1" w:styleId="928">
    <w:name w:val="文本"/>
    <w:qFormat/>
    <w:uiPriority w:val="0"/>
    <w:pPr>
      <w:ind w:firstLine="480"/>
    </w:pPr>
    <w:rPr>
      <w:rFonts w:ascii="Times New Roman" w:hAnsi="Times New Roman" w:eastAsia="宋体" w:cs="宋体"/>
      <w:lang w:val="en-US" w:eastAsia="zh-CN" w:bidi="ar-SA"/>
    </w:rPr>
  </w:style>
  <w:style w:type="paragraph" w:customStyle="1" w:styleId="929">
    <w:name w:val="表格表头"/>
    <w:basedOn w:val="1"/>
    <w:qFormat/>
    <w:uiPriority w:val="0"/>
    <w:pPr>
      <w:jc w:val="center"/>
    </w:pPr>
    <w:rPr>
      <w:b/>
    </w:rPr>
  </w:style>
  <w:style w:type="paragraph" w:customStyle="1" w:styleId="930">
    <w:name w:val="表格内容居中"/>
    <w:qFormat/>
    <w:uiPriority w:val="0"/>
    <w:pPr>
      <w:adjustRightInd w:val="0"/>
      <w:snapToGrid w:val="0"/>
      <w:jc w:val="center"/>
    </w:pPr>
    <w:rPr>
      <w:rFonts w:ascii="Times New Roman" w:hAnsi="Times New Roman" w:eastAsia="宋体" w:cs="Times New Roman"/>
      <w:sz w:val="21"/>
      <w:szCs w:val="21"/>
      <w:lang w:val="en-US" w:eastAsia="zh-CN" w:bidi="ar-SA"/>
    </w:rPr>
  </w:style>
  <w:style w:type="paragraph" w:customStyle="1" w:styleId="931">
    <w:name w:val="列出段落3"/>
    <w:basedOn w:val="1"/>
    <w:qFormat/>
    <w:uiPriority w:val="0"/>
    <w:pPr>
      <w:widowControl/>
      <w:ind w:firstLine="420" w:firstLineChars="200"/>
      <w:jc w:val="left"/>
    </w:pPr>
    <w:rPr>
      <w:rFonts w:cs="Calibri"/>
      <w:sz w:val="24"/>
      <w:lang w:eastAsia="en-US"/>
    </w:rPr>
  </w:style>
  <w:style w:type="paragraph" w:customStyle="1" w:styleId="932">
    <w:name w:val="Default1"/>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933">
    <w:name w:val="标题 字符2"/>
    <w:qFormat/>
    <w:uiPriority w:val="10"/>
    <w:rPr>
      <w:rFonts w:ascii="等线 Light" w:hAnsi="等线 Light" w:eastAsia="等线 Light" w:cs="Times New Roman"/>
      <w:b/>
      <w:bCs/>
      <w:kern w:val="2"/>
      <w:sz w:val="32"/>
      <w:szCs w:val="32"/>
    </w:rPr>
  </w:style>
  <w:style w:type="character" w:customStyle="1" w:styleId="934">
    <w:name w:val="副标题 字符2"/>
    <w:qFormat/>
    <w:uiPriority w:val="11"/>
    <w:rPr>
      <w:rFonts w:ascii="等线" w:hAnsi="等线" w:eastAsia="等线" w:cs="Times New Roman"/>
      <w:b/>
      <w:bCs/>
      <w:kern w:val="28"/>
      <w:sz w:val="32"/>
      <w:szCs w:val="32"/>
    </w:rPr>
  </w:style>
  <w:style w:type="character" w:customStyle="1" w:styleId="935">
    <w:name w:val="明显引用 字符2"/>
    <w:qFormat/>
    <w:uiPriority w:val="30"/>
    <w:rPr>
      <w:i/>
      <w:iCs/>
      <w:color w:val="4472C4"/>
      <w:kern w:val="2"/>
      <w:sz w:val="24"/>
      <w:szCs w:val="22"/>
    </w:rPr>
  </w:style>
  <w:style w:type="character" w:customStyle="1" w:styleId="936">
    <w:name w:val="引用 字符2"/>
    <w:qFormat/>
    <w:uiPriority w:val="29"/>
    <w:rPr>
      <w:i/>
      <w:iCs/>
      <w:color w:val="404040"/>
      <w:kern w:val="2"/>
      <w:sz w:val="24"/>
      <w:szCs w:val="22"/>
    </w:rPr>
  </w:style>
  <w:style w:type="character" w:customStyle="1" w:styleId="937">
    <w:name w:val="Table Paragraph Char"/>
    <w:link w:val="743"/>
    <w:qFormat/>
    <w:uiPriority w:val="0"/>
    <w:rPr>
      <w:rFonts w:ascii="宋体" w:hAnsi="宋体" w:eastAsia="宋体" w:cs="宋体"/>
      <w:kern w:val="0"/>
      <w:sz w:val="22"/>
      <w:lang w:val="zh-CN" w:bidi="zh-CN"/>
    </w:rPr>
  </w:style>
  <w:style w:type="paragraph" w:customStyle="1" w:styleId="938">
    <w:name w:val="廖表格内容"/>
    <w:basedOn w:val="1"/>
    <w:qFormat/>
    <w:uiPriority w:val="0"/>
    <w:pPr>
      <w:jc w:val="center"/>
    </w:pPr>
    <w:rPr>
      <w:rFonts w:ascii="Calibri" w:hAnsi="Calibri" w:eastAsia="Times New Roman"/>
    </w:rPr>
  </w:style>
  <w:style w:type="paragraph" w:customStyle="1" w:styleId="939">
    <w:name w:val="正文（首行缩进两个字） + 首行缩进:  2 字符"/>
    <w:basedOn w:val="1"/>
    <w:qFormat/>
    <w:uiPriority w:val="0"/>
    <w:pPr>
      <w:widowControl/>
      <w:spacing w:line="440" w:lineRule="exact"/>
      <w:ind w:firstLine="200" w:firstLineChars="200"/>
      <w:jc w:val="left"/>
    </w:pPr>
    <w:rPr>
      <w:rFonts w:eastAsia="Cambria" w:cs="宋体"/>
      <w:sz w:val="24"/>
      <w:lang w:val="zh-CN"/>
    </w:rPr>
  </w:style>
  <w:style w:type="paragraph" w:customStyle="1" w:styleId="940">
    <w:name w:val="正文 New"/>
    <w:qFormat/>
    <w:uiPriority w:val="0"/>
    <w:pPr>
      <w:widowControl w:val="0"/>
      <w:jc w:val="both"/>
    </w:pPr>
    <w:rPr>
      <w:rFonts w:ascii="Calibri" w:hAnsi="Calibri" w:eastAsia="仿宋_GB2312" w:cs="Times New Roman"/>
      <w:kern w:val="2"/>
      <w:sz w:val="32"/>
      <w:szCs w:val="32"/>
      <w:lang w:val="en-US" w:eastAsia="zh-CN" w:bidi="ar-SA"/>
    </w:rPr>
  </w:style>
  <w:style w:type="paragraph" w:customStyle="1" w:styleId="941">
    <w:name w:val="正文首行缩进 21"/>
    <w:basedOn w:val="37"/>
    <w:qFormat/>
    <w:uiPriority w:val="0"/>
    <w:pPr>
      <w:spacing w:before="100" w:beforeAutospacing="1"/>
      <w:ind w:firstLine="420" w:firstLineChars="200"/>
    </w:pPr>
    <w:rPr>
      <w:szCs w:val="24"/>
    </w:rPr>
  </w:style>
  <w:style w:type="paragraph" w:customStyle="1" w:styleId="942">
    <w:name w:val="粗正文"/>
    <w:basedOn w:val="1"/>
    <w:qFormat/>
    <w:uiPriority w:val="0"/>
    <w:pPr>
      <w:ind w:firstLine="420" w:firstLineChars="200"/>
      <w:jc w:val="left"/>
      <w:textAlignment w:val="center"/>
    </w:pPr>
    <w:rPr>
      <w:b/>
    </w:r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0" Type="http://schemas.openxmlformats.org/officeDocument/2006/relationships/fontTable" Target="fontTable.xml"/><Relationship Id="rId3" Type="http://schemas.openxmlformats.org/officeDocument/2006/relationships/header" Target="header1.xml"/><Relationship Id="rId29" Type="http://schemas.openxmlformats.org/officeDocument/2006/relationships/customXml" Target="../customXml/item2.xml"/><Relationship Id="rId28" Type="http://schemas.openxmlformats.org/officeDocument/2006/relationships/numbering" Target="numbering.xml"/><Relationship Id="rId27" Type="http://schemas.openxmlformats.org/officeDocument/2006/relationships/customXml" Target="../customXml/item1.xml"/><Relationship Id="rId26" Type="http://schemas.openxmlformats.org/officeDocument/2006/relationships/image" Target="media/image17.wmf"/><Relationship Id="rId25" Type="http://schemas.openxmlformats.org/officeDocument/2006/relationships/image" Target="media/image16.wmf"/><Relationship Id="rId24" Type="http://schemas.openxmlformats.org/officeDocument/2006/relationships/image" Target="media/image15.wmf"/><Relationship Id="rId23" Type="http://schemas.openxmlformats.org/officeDocument/2006/relationships/image" Target="media/image14.wmf"/><Relationship Id="rId22" Type="http://schemas.openxmlformats.org/officeDocument/2006/relationships/image" Target="media/image13.wmf"/><Relationship Id="rId21" Type="http://schemas.openxmlformats.org/officeDocument/2006/relationships/image" Target="media/image12.wmf"/><Relationship Id="rId20" Type="http://schemas.openxmlformats.org/officeDocument/2006/relationships/image" Target="media/image11.wmf"/><Relationship Id="rId2" Type="http://schemas.openxmlformats.org/officeDocument/2006/relationships/settings" Target="settings.xml"/><Relationship Id="rId19" Type="http://schemas.openxmlformats.org/officeDocument/2006/relationships/image" Target="media/image10.wmf"/><Relationship Id="rId18" Type="http://schemas.openxmlformats.org/officeDocument/2006/relationships/oleObject" Target="embeddings/oleObject1.bin"/><Relationship Id="rId17" Type="http://schemas.openxmlformats.org/officeDocument/2006/relationships/image" Target="media/image9.wmf"/><Relationship Id="rId16" Type="http://schemas.openxmlformats.org/officeDocument/2006/relationships/image" Target="media/image8.png"/><Relationship Id="rId15" Type="http://schemas.openxmlformats.org/officeDocument/2006/relationships/image" Target="media/image7.png"/><Relationship Id="rId14" Type="http://schemas.openxmlformats.org/officeDocument/2006/relationships/image" Target="media/image6.wmf"/><Relationship Id="rId13" Type="http://schemas.openxmlformats.org/officeDocument/2006/relationships/image" Target="media/image5.png"/><Relationship Id="rId12" Type="http://schemas.openxmlformats.org/officeDocument/2006/relationships/image" Target="media/image4.png"/><Relationship Id="rId11" Type="http://schemas.openxmlformats.org/officeDocument/2006/relationships/image" Target="media/image3.png"/><Relationship Id="rId10" Type="http://schemas.openxmlformats.org/officeDocument/2006/relationships/image" Target="media/image2.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spDef>
      <a:spPr>
        <a:solidFill>
          <a:schemeClr val="bg1"/>
        </a:solidFill>
        <a:ln>
          <a:solidFill>
            <a:schemeClr val="tx1"/>
          </a:solidFill>
        </a:ln>
      </a:spPr>
      <a:bodyPr rtlCol="0" anchor="ctr"/>
      <a:lstStyle/>
      <a:style>
        <a:lnRef idx="2">
          <a:schemeClr val="accent1">
            <a:shade val="50000"/>
          </a:schemeClr>
        </a:lnRef>
        <a:fillRef idx="1">
          <a:schemeClr val="accent1"/>
        </a:fillRef>
        <a:effectRef idx="0">
          <a:schemeClr val="accent1"/>
        </a:effectRef>
        <a:fontRef idx="minor">
          <a:schemeClr val="lt1"/>
        </a:fontRef>
      </a:style>
    </a:sp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31C64C7-A2FE-4FDE-8651-5E76AD2A6844}">
  <ds:schemaRefs/>
</ds:datastoreItem>
</file>

<file path=docProps/app.xml><?xml version="1.0" encoding="utf-8"?>
<Properties xmlns="http://schemas.openxmlformats.org/officeDocument/2006/extended-properties" xmlns:vt="http://schemas.openxmlformats.org/officeDocument/2006/docPropsVTypes">
  <Template>Normal.dotm</Template>
  <Company>Sky123.Org</Company>
  <Pages>109</Pages>
  <Words>58082</Words>
  <Characters>67370</Characters>
  <Lines>515</Lines>
  <Paragraphs>145</Paragraphs>
  <TotalTime>1</TotalTime>
  <ScaleCrop>false</ScaleCrop>
  <LinksUpToDate>false</LinksUpToDate>
  <CharactersWithSpaces>67711</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2022-05-12T02:08:00Z</dcterms:created>
  <dc:creator>Administrator</dc:creator>
  <cp:lastModifiedBy>建熙</cp:lastModifiedBy>
  <cp:lastPrinted>2022-06-23T04:00:00Z</cp:lastPrinted>
  <dcterms:modified xsi:type="dcterms:W3CDTF">2022-12-06T09:55:14Z</dcterms:modified>
  <cp:revision>502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BF6C4562CADC46839782D2C68B8885EA</vt:lpwstr>
  </property>
</Properties>
</file>