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rPr>
          <w:rFonts w:hint="eastAsia" w:ascii="仿宋_GB2312" w:hAnsi="仿宋_GB2312" w:eastAsia="仿宋_GB2312" w:cs="仿宋_GB2312"/>
          <w:i w:val="0"/>
          <w:iCs w:val="0"/>
          <w:caps w:val="0"/>
          <w:color w:val="000000"/>
          <w:spacing w:val="0"/>
          <w:sz w:val="32"/>
          <w:szCs w:val="32"/>
        </w:rPr>
      </w:pPr>
      <w:bookmarkStart w:id="0" w:name="_GoBack"/>
      <w:bookmarkEnd w:id="0"/>
    </w:p>
    <w:p>
      <w:pPr>
        <w:pStyle w:val="2"/>
        <w:widowControl/>
        <w:spacing w:beforeAutospacing="0" w:afterAutospacing="0"/>
        <w:rPr>
          <w:rFonts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sz w:val="27"/>
          <w:szCs w:val="27"/>
        </w:rPr>
        <w:t>附件：</w:t>
      </w:r>
    </w:p>
    <w:p>
      <w:pPr>
        <w:pStyle w:val="2"/>
        <w:widowControl/>
        <w:spacing w:beforeAutospacing="0" w:afterAutospacing="0"/>
        <w:jc w:val="center"/>
        <w:rPr>
          <w:rFonts w:ascii="方正小标宋简体" w:hAnsi="方正小标宋简体" w:eastAsia="方正小标宋简体" w:cs="方正小标宋简体"/>
          <w:bCs/>
          <w:sz w:val="32"/>
          <w:szCs w:val="32"/>
        </w:rPr>
      </w:pPr>
      <w:r>
        <w:rPr>
          <w:rStyle w:val="5"/>
          <w:rFonts w:ascii="Helvetica" w:hAnsi="Helvetica" w:eastAsia="Helvetica" w:cs="Helvetica"/>
          <w:color w:val="000000"/>
          <w:sz w:val="27"/>
          <w:szCs w:val="27"/>
        </w:rPr>
        <w:t>　</w:t>
      </w:r>
      <w:r>
        <w:rPr>
          <w:rStyle w:val="5"/>
          <w:rFonts w:hint="eastAsia" w:ascii="方正小标宋简体" w:hAnsi="方正小标宋简体" w:eastAsia="方正小标宋简体" w:cs="方正小标宋简体"/>
          <w:b w:val="0"/>
          <w:bCs/>
          <w:color w:val="000000"/>
          <w:sz w:val="32"/>
          <w:szCs w:val="32"/>
        </w:rPr>
        <w:t>　博罗县国土空间总体规划（2020-2035年）</w:t>
      </w:r>
    </w:p>
    <w:p>
      <w:pPr>
        <w:pStyle w:val="2"/>
        <w:widowControl/>
        <w:spacing w:beforeAutospacing="0" w:afterAutospacing="0"/>
        <w:jc w:val="center"/>
        <w:rPr>
          <w:rFonts w:ascii="方正小标宋简体" w:hAnsi="方正小标宋简体" w:eastAsia="方正小标宋简体" w:cs="方正小标宋简体"/>
          <w:bCs/>
          <w:sz w:val="32"/>
          <w:szCs w:val="32"/>
        </w:rPr>
      </w:pPr>
      <w:r>
        <w:rPr>
          <w:rStyle w:val="5"/>
          <w:rFonts w:hint="eastAsia" w:ascii="方正小标宋简体" w:hAnsi="方正小标宋简体" w:eastAsia="方正小标宋简体" w:cs="方正小标宋简体"/>
          <w:b w:val="0"/>
          <w:bCs/>
          <w:color w:val="000000"/>
          <w:sz w:val="32"/>
          <w:szCs w:val="32"/>
        </w:rPr>
        <w:t>　　意见建议反馈表</w:t>
      </w:r>
    </w:p>
    <w:tbl>
      <w:tblPr>
        <w:tblStyle w:val="3"/>
        <w:tblW w:w="10485"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2013"/>
        <w:gridCol w:w="2779"/>
        <w:gridCol w:w="2148"/>
        <w:gridCol w:w="354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01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2"/>
              <w:widowControl/>
              <w:wordWrap w:val="0"/>
              <w:spacing w:beforeAutospacing="0" w:afterAutospacing="0"/>
            </w:pPr>
            <w:r>
              <w:rPr>
                <w:sz w:val="27"/>
                <w:szCs w:val="27"/>
              </w:rPr>
              <w:t>来信人名称</w:t>
            </w:r>
          </w:p>
        </w:tc>
        <w:tc>
          <w:tcPr>
            <w:tcW w:w="2779"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widowControl/>
              <w:wordWrap w:val="0"/>
              <w:jc w:val="left"/>
              <w:textAlignment w:val="center"/>
            </w:pPr>
            <w:r>
              <w:rPr>
                <w:rFonts w:hint="eastAsia"/>
              </w:rPr>
              <w:t>林生</w:t>
            </w:r>
          </w:p>
        </w:tc>
        <w:tc>
          <w:tcPr>
            <w:tcW w:w="2148"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2"/>
              <w:widowControl/>
              <w:wordWrap w:val="0"/>
              <w:spacing w:beforeAutospacing="0" w:afterAutospacing="0"/>
            </w:pPr>
            <w:r>
              <w:rPr>
                <w:sz w:val="27"/>
                <w:szCs w:val="27"/>
              </w:rPr>
              <w:t>联系电话</w:t>
            </w:r>
          </w:p>
        </w:tc>
        <w:tc>
          <w:tcPr>
            <w:tcW w:w="3545"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widowControl/>
              <w:wordWrap w:val="0"/>
              <w:jc w:val="left"/>
              <w:textAlignment w:val="center"/>
              <w:rPr>
                <w:rFonts w:hint="default" w:eastAsiaTheme="minorEastAsia"/>
                <w:lang w:val="en-US" w:eastAsia="zh-CN"/>
              </w:rPr>
            </w:pPr>
            <w:r>
              <w:rPr>
                <w:rFonts w:hint="eastAsia"/>
              </w:rPr>
              <w:t>1892887</w:t>
            </w:r>
            <w:r>
              <w:rPr>
                <w:rFonts w:hint="eastAsia"/>
                <w:lang w:val="en-US" w:eastAsia="zh-CN"/>
              </w:rPr>
              <w:t>xxxx</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01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2"/>
              <w:widowControl/>
              <w:wordWrap w:val="0"/>
              <w:spacing w:beforeAutospacing="0" w:afterAutospacing="0"/>
            </w:pPr>
            <w:r>
              <w:rPr>
                <w:sz w:val="27"/>
                <w:szCs w:val="27"/>
              </w:rPr>
              <w:t>电子邮箱</w:t>
            </w:r>
          </w:p>
        </w:tc>
        <w:tc>
          <w:tcPr>
            <w:tcW w:w="8472" w:type="dxa"/>
            <w:gridSpan w:val="3"/>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widowControl/>
              <w:wordWrap w:val="0"/>
              <w:jc w:val="left"/>
              <w:textAlignment w:val="center"/>
            </w:pPr>
            <w:r>
              <w:rPr>
                <w:rFonts w:hint="eastAsia"/>
              </w:rPr>
              <w:t>117910</w:t>
            </w:r>
            <w:r>
              <w:rPr>
                <w:rFonts w:hint="eastAsia"/>
                <w:lang w:val="en-US" w:eastAsia="zh-CN"/>
              </w:rPr>
              <w:t>xxxx</w:t>
            </w:r>
            <w:r>
              <w:rPr>
                <w:rFonts w:hint="eastAsia"/>
              </w:rPr>
              <w:t>@QQ.COM</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013" w:type="dxa"/>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2"/>
              <w:widowControl/>
              <w:wordWrap w:val="0"/>
              <w:spacing w:beforeAutospacing="0" w:afterAutospacing="0"/>
            </w:pPr>
            <w:r>
              <w:rPr>
                <w:sz w:val="27"/>
                <w:szCs w:val="27"/>
              </w:rPr>
              <w:t>意见建议</w:t>
            </w:r>
          </w:p>
        </w:tc>
        <w:tc>
          <w:tcPr>
            <w:tcW w:w="8472" w:type="dxa"/>
            <w:gridSpan w:val="3"/>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widowControl/>
              <w:wordWrap w:val="0"/>
              <w:jc w:val="left"/>
              <w:textAlignment w:val="center"/>
              <w:rPr>
                <w:rFonts w:eastAsia="宋体"/>
              </w:rPr>
            </w:pPr>
            <w:r>
              <w:rPr>
                <w:rFonts w:hint="eastAsia"/>
              </w:rPr>
              <w:t>7.3-01建议增加表述为：加快推进广汕高铁、赣深高铁博罗段建设，着手研建</w:t>
            </w:r>
            <w:r>
              <w:rPr>
                <w:rFonts w:ascii="Arial" w:hAnsi="Arial" w:eastAsia="Arial" w:cs="Arial"/>
                <w:color w:val="191919"/>
                <w:sz w:val="24"/>
                <w:shd w:val="clear" w:color="auto" w:fill="FFFFFF"/>
              </w:rPr>
              <w:t>惠博（博罗站－ 惠州北站）城际轨道</w:t>
            </w:r>
            <w:r>
              <w:rPr>
                <w:rFonts w:hint="eastAsia" w:ascii="Arial" w:hAnsi="Arial" w:eastAsia="宋体" w:cs="Arial"/>
                <w:color w:val="191919"/>
                <w:sz w:val="24"/>
                <w:shd w:val="clear" w:color="auto" w:fill="FFFFFF"/>
              </w:rPr>
              <w:t>（</w:t>
            </w:r>
            <w:r>
              <w:rPr>
                <w:rStyle w:val="5"/>
                <w:rFonts w:ascii="Arial" w:hAnsi="Arial" w:eastAsia="Arial" w:cs="Arial"/>
                <w:bCs/>
                <w:color w:val="191919"/>
                <w:sz w:val="24"/>
                <w:shd w:val="clear" w:color="auto" w:fill="FFFFFF"/>
              </w:rPr>
              <w:t>惠州城际 2 号（惠博）线</w:t>
            </w:r>
            <w:r>
              <w:rPr>
                <w:rStyle w:val="5"/>
                <w:rFonts w:hint="eastAsia" w:ascii="Arial" w:hAnsi="Arial" w:eastAsia="宋体" w:cs="Arial"/>
                <w:bCs/>
                <w:color w:val="191919"/>
                <w:sz w:val="24"/>
                <w:shd w:val="clear" w:color="auto" w:fill="FFFFFF"/>
              </w:rPr>
              <w:t>），远期-------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20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2"/>
              <w:widowControl/>
              <w:wordWrap w:val="0"/>
              <w:spacing w:beforeAutospacing="0" w:afterAutospacing="0"/>
            </w:pPr>
            <w:r>
              <w:rPr>
                <w:sz w:val="27"/>
                <w:szCs w:val="27"/>
              </w:rPr>
              <w:t>主要理由</w:t>
            </w:r>
          </w:p>
        </w:tc>
        <w:tc>
          <w:tcPr>
            <w:tcW w:w="8472" w:type="dxa"/>
            <w:gridSpan w:val="3"/>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widowControl/>
              <w:numPr>
                <w:ilvl w:val="0"/>
                <w:numId w:val="1"/>
              </w:numPr>
              <w:wordWrap w:val="0"/>
              <w:jc w:val="left"/>
              <w:textAlignment w:val="center"/>
              <w:rPr>
                <w:rStyle w:val="5"/>
                <w:rFonts w:ascii="Arial" w:hAnsi="Arial" w:eastAsia="Arial" w:cs="Arial"/>
                <w:bCs/>
                <w:color w:val="191919"/>
                <w:sz w:val="24"/>
                <w:shd w:val="clear" w:color="auto" w:fill="FFFFFF"/>
              </w:rPr>
            </w:pPr>
            <w:r>
              <w:rPr>
                <w:rFonts w:hint="eastAsia" w:ascii="Arial" w:hAnsi="Arial" w:eastAsia="Arial" w:cs="Arial"/>
                <w:color w:val="191919"/>
                <w:sz w:val="24"/>
                <w:shd w:val="clear" w:color="auto" w:fill="FFFFFF"/>
              </w:rPr>
              <w:t>惠州市住建局</w:t>
            </w:r>
            <w:r>
              <w:rPr>
                <w:rFonts w:hint="eastAsia" w:ascii="Arial" w:hAnsi="Arial" w:eastAsia="宋体" w:cs="Arial"/>
                <w:color w:val="191919"/>
                <w:sz w:val="24"/>
                <w:shd w:val="clear" w:color="auto" w:fill="FFFFFF"/>
              </w:rPr>
              <w:t>于2018年</w:t>
            </w:r>
            <w:r>
              <w:rPr>
                <w:rFonts w:hint="eastAsia" w:ascii="Arial" w:hAnsi="Arial" w:eastAsia="Arial" w:cs="Arial"/>
                <w:color w:val="191919"/>
                <w:sz w:val="24"/>
                <w:shd w:val="clear" w:color="auto" w:fill="FFFFFF"/>
              </w:rPr>
              <w:t>发布了关于《博罗县县城总体规划（2011-2035年）》（草案）的公告，这意味着</w:t>
            </w:r>
            <w:r>
              <w:rPr>
                <w:rStyle w:val="5"/>
                <w:rFonts w:ascii="Arial" w:hAnsi="Arial" w:eastAsia="Arial" w:cs="Arial"/>
                <w:bCs/>
                <w:color w:val="191919"/>
                <w:sz w:val="24"/>
                <w:shd w:val="clear" w:color="auto" w:fill="FFFFFF"/>
              </w:rPr>
              <w:t>博罗全方位的规划，</w:t>
            </w:r>
            <w:r>
              <w:rPr>
                <w:rStyle w:val="5"/>
                <w:rFonts w:hint="eastAsia" w:ascii="Arial" w:hAnsi="Arial" w:eastAsia="宋体" w:cs="Arial"/>
                <w:bCs/>
                <w:color w:val="191919"/>
                <w:sz w:val="24"/>
                <w:shd w:val="clear" w:color="auto" w:fill="FFFFFF"/>
              </w:rPr>
              <w:t>已</w:t>
            </w:r>
            <w:r>
              <w:rPr>
                <w:rStyle w:val="5"/>
                <w:rFonts w:ascii="Arial" w:hAnsi="Arial" w:eastAsia="Arial" w:cs="Arial"/>
                <w:bCs/>
                <w:color w:val="191919"/>
                <w:sz w:val="24"/>
                <w:shd w:val="clear" w:color="auto" w:fill="FFFFFF"/>
              </w:rPr>
              <w:t>系统的呈现出来，</w:t>
            </w:r>
            <w:r>
              <w:rPr>
                <w:rStyle w:val="5"/>
                <w:rFonts w:hint="eastAsia" w:ascii="Arial" w:hAnsi="Arial" w:eastAsia="宋体" w:cs="Arial"/>
                <w:bCs/>
                <w:color w:val="191919"/>
                <w:sz w:val="24"/>
                <w:shd w:val="clear" w:color="auto" w:fill="FFFFFF"/>
              </w:rPr>
              <w:t>保持与市规划的一致性。</w:t>
            </w:r>
            <w:r>
              <w:rPr>
                <w:rFonts w:hint="eastAsia" w:ascii="Arial" w:hAnsi="Arial" w:eastAsia="Arial" w:cs="Arial"/>
                <w:color w:val="191919"/>
                <w:sz w:val="24"/>
                <w:shd w:val="clear" w:color="auto" w:fill="FFFFFF"/>
              </w:rPr>
              <w:t>本次规划提出了要</w:t>
            </w:r>
            <w:r>
              <w:rPr>
                <w:rStyle w:val="5"/>
                <w:rFonts w:ascii="Arial" w:hAnsi="Arial" w:eastAsia="Arial" w:cs="Arial"/>
                <w:bCs/>
                <w:color w:val="191919"/>
                <w:sz w:val="24"/>
                <w:shd w:val="clear" w:color="auto" w:fill="FFFFFF"/>
              </w:rPr>
              <w:t>拟建惠州城际 2 号（惠博）线（义和镇-惠州火车站）</w:t>
            </w:r>
            <w:r>
              <w:rPr>
                <w:rFonts w:ascii="Arial" w:hAnsi="Arial" w:eastAsia="Arial" w:cs="Arial"/>
                <w:color w:val="191919"/>
                <w:sz w:val="24"/>
                <w:shd w:val="clear" w:color="auto" w:fill="FFFFFF"/>
              </w:rPr>
              <w:t>，即研建惠博（博罗站－ 惠州北站）城际轨道，对接莞惠城际轨道，进一步强化与广州、东莞及惠州主城区的轨道交通联系。</w:t>
            </w:r>
            <w:r>
              <w:rPr>
                <w:rStyle w:val="5"/>
                <w:rFonts w:ascii="Arial" w:hAnsi="Arial" w:eastAsia="Arial" w:cs="Arial"/>
                <w:bCs/>
                <w:color w:val="191919"/>
                <w:sz w:val="24"/>
                <w:shd w:val="clear" w:color="auto" w:fill="FFFFFF"/>
              </w:rPr>
              <w:t>线路全长约 30 公里，设置车站 12 座；</w:t>
            </w:r>
          </w:p>
          <w:p>
            <w:pPr>
              <w:widowControl/>
              <w:numPr>
                <w:ilvl w:val="0"/>
                <w:numId w:val="1"/>
              </w:numPr>
              <w:wordWrap w:val="0"/>
              <w:jc w:val="left"/>
              <w:textAlignment w:val="center"/>
              <w:rPr>
                <w:rFonts w:eastAsia="宋体"/>
              </w:rPr>
            </w:pPr>
            <w:r>
              <w:rPr>
                <w:rFonts w:hint="eastAsia" w:eastAsia="宋体"/>
              </w:rPr>
              <w:t>博罗县要发展，第一件事就要打通两座高铁的连接线，从而实现全罗阳人去深圳、香港、广州日常上班的交通对接（1小时上班的距离:半小时地铁+半小时高铁），罗阳就有可能真正成为深圳、香港、广州的夜城。</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89" w:hRule="atLeast"/>
          <w:jc w:val="center"/>
        </w:trPr>
        <w:tc>
          <w:tcPr>
            <w:tcW w:w="2013" w:type="dxa"/>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pPr>
              <w:pStyle w:val="2"/>
              <w:widowControl/>
              <w:wordWrap w:val="0"/>
              <w:spacing w:beforeAutospacing="0" w:afterAutospacing="0"/>
              <w:rPr>
                <w:sz w:val="27"/>
                <w:szCs w:val="27"/>
              </w:rPr>
            </w:pPr>
            <w:r>
              <w:rPr>
                <w:rFonts w:hint="eastAsia"/>
                <w:sz w:val="27"/>
                <w:szCs w:val="27"/>
              </w:rPr>
              <w:t>回 复</w:t>
            </w:r>
          </w:p>
        </w:tc>
        <w:tc>
          <w:tcPr>
            <w:tcW w:w="8472" w:type="dxa"/>
            <w:gridSpan w:val="3"/>
            <w:tcBorders>
              <w:top w:val="single" w:color="000000" w:sz="6" w:space="0"/>
              <w:left w:val="single" w:color="000000" w:sz="6" w:space="0"/>
              <w:right w:val="single" w:color="000000" w:sz="6" w:space="0"/>
            </w:tcBorders>
            <w:shd w:val="clear" w:color="auto" w:fill="auto"/>
            <w:tcMar>
              <w:top w:w="75" w:type="dxa"/>
              <w:left w:w="150" w:type="dxa"/>
              <w:bottom w:w="75" w:type="dxa"/>
              <w:right w:w="150" w:type="dxa"/>
            </w:tcMar>
            <w:vAlign w:val="center"/>
          </w:tcPr>
          <w:p>
            <w:pPr>
              <w:widowControl/>
              <w:wordWrap w:val="0"/>
              <w:jc w:val="left"/>
              <w:textAlignment w:val="center"/>
              <w:rPr>
                <w:rFonts w:eastAsia="宋体"/>
              </w:rPr>
            </w:pPr>
            <w:r>
              <w:rPr>
                <w:rFonts w:hint="eastAsia" w:eastAsia="宋体"/>
              </w:rPr>
              <w:t>1、根据国家发改委《关于粤港澳大湾区城际铁路建设规划的批复》，莞惠城际小金口至惠州北段已列为大湾区城际铁路近期建设项目。因此，本次博罗县国土空间总体规划提出“积极对接莞惠城际</w:t>
            </w:r>
            <w:r>
              <w:rPr>
                <w:rFonts w:eastAsia="宋体"/>
              </w:rPr>
              <w:t>……</w:t>
            </w:r>
            <w:r>
              <w:rPr>
                <w:rFonts w:hint="eastAsia" w:eastAsia="宋体"/>
              </w:rPr>
              <w:t>引入博罗的线位优化工作”。旨在积极谋划、策划和规划，依托广汕高铁增建1条复线，将莞惠城际小金口至惠州北段延伸引至广汕高铁博罗站、罗浮山站，共建轨道上的大湾区，推动博罗县全域融入大湾区1小时宜居宜业宜游的优质生活圈。</w:t>
            </w:r>
          </w:p>
          <w:p>
            <w:pPr>
              <w:widowControl/>
              <w:wordWrap w:val="0"/>
              <w:jc w:val="left"/>
              <w:textAlignment w:val="center"/>
              <w:rPr>
                <w:rFonts w:hint="eastAsia" w:eastAsia="宋体"/>
              </w:rPr>
            </w:pPr>
            <w:r>
              <w:rPr>
                <w:rFonts w:eastAsia="宋体"/>
              </w:rPr>
              <w:t>2</w:t>
            </w:r>
            <w:r>
              <w:rPr>
                <w:rFonts w:hint="eastAsia" w:eastAsia="宋体"/>
              </w:rPr>
              <w:t>、广汕高铁博罗段和赣深高铁博罗段间的联络线已与广汕铁路同步规划、同步设计、同步施工，也将同步运营使用。联络线西起于罗阳街道江南片巷口村岗头小组，东止于赣深高铁惠州剑潭东江特大桥，全长约5</w:t>
            </w:r>
            <w:r>
              <w:rPr>
                <w:rFonts w:eastAsia="宋体"/>
              </w:rPr>
              <w:t>.0</w:t>
            </w:r>
            <w:r>
              <w:rPr>
                <w:rFonts w:hint="eastAsia" w:eastAsia="宋体"/>
              </w:rPr>
              <w:t>公里，建成后将实现广汕高铁博罗段和赣深高铁博罗段的联通。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rPr>
          <w:rFonts w:hint="eastAsia" w:ascii="仿宋_GB2312" w:hAnsi="仿宋_GB2312" w:eastAsia="仿宋_GB2312" w:cs="仿宋_GB2312"/>
          <w:i w:val="0"/>
          <w:iCs w:val="0"/>
          <w:caps w:val="0"/>
          <w:color w:val="000000"/>
          <w:spacing w:val="0"/>
          <w:sz w:val="32"/>
          <w:szCs w:val="32"/>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4EDB59"/>
    <w:multiLevelType w:val="singleLevel"/>
    <w:tmpl w:val="274EDB5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yOWZlMmM0MmZiOGEwZGNlMjdlNGY2NWJhOWYzOGYifQ=="/>
  </w:docVars>
  <w:rsids>
    <w:rsidRoot w:val="00000000"/>
    <w:rsid w:val="3C245690"/>
    <w:rsid w:val="60623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2023-02-16T06:51:00Z</dcterms:created>
  <dc:creator>Lenovo</dc:creator>
  <cp:lastModifiedBy>幸运的人</cp:lastModifiedBy>
  <dcterms:modified xsi:type="dcterms:W3CDTF">2023-02-16T07:17:51Z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EA132CBDD6E0402383FB62BA65802D13</vt:lpwstr>
  </property>
</Properties>
</file>