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20" w:lineRule="auto"/>
        <w:jc w:val="both"/>
        <w:rPr>
          <w:sz w:val="24"/>
          <w:szCs w:val="24"/>
        </w:rPr>
      </w:pPr>
      <w:bookmarkStart w:id="298" w:name="_GoBack"/>
      <w:bookmarkEnd w:id="298"/>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jc w:val="center"/>
        <w:rPr>
          <w:rFonts w:ascii="黑体" w:eastAsia="黑体"/>
          <w:b/>
          <w:bCs/>
          <w:sz w:val="72"/>
          <w:szCs w:val="72"/>
        </w:rPr>
      </w:pPr>
      <w:r>
        <w:rPr>
          <w:rFonts w:hint="eastAsia" w:ascii="黑体" w:hAnsi="华文中宋" w:eastAsia="黑体" w:cs="华文中宋"/>
          <w:b/>
          <w:bCs/>
          <w:sz w:val="72"/>
          <w:szCs w:val="72"/>
        </w:rPr>
        <w:t>服务采购</w:t>
      </w:r>
    </w:p>
    <w:p>
      <w:pPr>
        <w:snapToGrid w:val="0"/>
        <w:spacing w:beforeLines="50"/>
        <w:jc w:val="center"/>
        <w:rPr>
          <w:rFonts w:ascii="仿宋_GB2312" w:eastAsia="仿宋_GB2312"/>
          <w:b/>
          <w:bCs/>
          <w:sz w:val="72"/>
          <w:szCs w:val="72"/>
        </w:rPr>
      </w:pPr>
      <w:r>
        <w:rPr>
          <w:rFonts w:hint="eastAsia" w:ascii="黑体" w:hAnsi="华文中宋" w:eastAsia="黑体" w:cs="华文中宋"/>
          <w:b/>
          <w:bCs/>
          <w:sz w:val="72"/>
          <w:szCs w:val="72"/>
        </w:rPr>
        <w:t>竞争性磋商文件</w:t>
      </w:r>
    </w:p>
    <w:p>
      <w:pPr>
        <w:spacing w:line="480" w:lineRule="auto"/>
        <w:rPr>
          <w:rFonts w:ascii="宋体" w:hAnsi="宋体"/>
          <w:sz w:val="24"/>
        </w:rPr>
      </w:pPr>
    </w:p>
    <w:p>
      <w:pPr>
        <w:spacing w:line="480" w:lineRule="auto"/>
        <w:rPr>
          <w:rFonts w:ascii="宋体" w:hAnsi="宋体"/>
          <w:sz w:val="24"/>
        </w:rPr>
      </w:pPr>
    </w:p>
    <w:p>
      <w:pPr>
        <w:spacing w:line="360" w:lineRule="auto"/>
        <w:rPr>
          <w:rFonts w:ascii="宋体" w:hAnsi="宋体"/>
          <w:sz w:val="24"/>
        </w:rPr>
      </w:pPr>
    </w:p>
    <w:p>
      <w:pPr>
        <w:snapToGrid w:val="0"/>
        <w:spacing w:line="360" w:lineRule="auto"/>
        <w:ind w:firstLine="880" w:firstLineChars="200"/>
        <w:rPr>
          <w:rFonts w:ascii="宋体" w:hAnsi="宋体"/>
          <w:bCs/>
          <w:sz w:val="44"/>
          <w:szCs w:val="44"/>
          <w:lang w:val="zh-CN"/>
        </w:rPr>
      </w:pPr>
    </w:p>
    <w:p>
      <w:pPr>
        <w:snapToGrid w:val="0"/>
        <w:spacing w:line="360" w:lineRule="auto"/>
        <w:ind w:firstLine="883" w:firstLineChars="200"/>
        <w:rPr>
          <w:rFonts w:ascii="宋体" w:hAnsi="宋体"/>
          <w:b/>
          <w:bCs/>
          <w:sz w:val="44"/>
          <w:szCs w:val="44"/>
          <w:lang w:val="zh-CN"/>
        </w:rPr>
      </w:pPr>
      <w:r>
        <w:rPr>
          <w:rFonts w:hint="eastAsia" w:ascii="宋体" w:hAnsi="宋体"/>
          <w:b/>
          <w:bCs/>
          <w:sz w:val="44"/>
          <w:szCs w:val="44"/>
          <w:lang w:val="zh-CN"/>
        </w:rPr>
        <w:t>项目名称：202</w:t>
      </w:r>
      <w:r>
        <w:rPr>
          <w:rFonts w:hint="eastAsia" w:ascii="宋体" w:hAnsi="宋体"/>
          <w:b/>
          <w:bCs/>
          <w:sz w:val="44"/>
          <w:szCs w:val="44"/>
        </w:rPr>
        <w:t>3</w:t>
      </w:r>
      <w:r>
        <w:rPr>
          <w:rFonts w:hint="eastAsia" w:ascii="宋体" w:hAnsi="宋体"/>
          <w:b/>
          <w:bCs/>
          <w:sz w:val="44"/>
          <w:szCs w:val="44"/>
          <w:lang w:val="zh-CN"/>
        </w:rPr>
        <w:t>年度博罗县业余体育学校业训校车接送服务项目采购</w:t>
      </w:r>
    </w:p>
    <w:p>
      <w:pPr>
        <w:snapToGrid w:val="0"/>
        <w:spacing w:line="420" w:lineRule="auto"/>
        <w:jc w:val="center"/>
        <w:rPr>
          <w:b/>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b/>
          <w:sz w:val="24"/>
          <w:szCs w:val="24"/>
        </w:rPr>
      </w:pPr>
    </w:p>
    <w:p>
      <w:pPr>
        <w:snapToGrid w:val="0"/>
        <w:spacing w:line="420" w:lineRule="auto"/>
        <w:jc w:val="center"/>
        <w:rPr>
          <w:b/>
          <w:sz w:val="32"/>
          <w:szCs w:val="32"/>
        </w:rPr>
      </w:pPr>
    </w:p>
    <w:p>
      <w:pPr>
        <w:jc w:val="center"/>
        <w:rPr>
          <w:rFonts w:ascii="宋体" w:hAnsi="宋体"/>
          <w:b/>
          <w:bCs/>
          <w:sz w:val="32"/>
          <w:szCs w:val="32"/>
          <w:lang w:val="zh-CN"/>
        </w:rPr>
      </w:pPr>
      <w:r>
        <w:rPr>
          <w:rFonts w:hint="eastAsia" w:ascii="宋体" w:hAnsi="宋体"/>
          <w:b/>
          <w:bCs/>
          <w:sz w:val="32"/>
          <w:szCs w:val="32"/>
          <w:lang w:val="zh-CN"/>
        </w:rPr>
        <w:t>博罗县</w:t>
      </w:r>
      <w:r>
        <w:rPr>
          <w:rFonts w:hint="eastAsia" w:ascii="宋体" w:hAnsi="宋体"/>
          <w:b/>
          <w:bCs/>
          <w:sz w:val="32"/>
          <w:szCs w:val="32"/>
        </w:rPr>
        <w:t>文化广电旅游体育</w:t>
      </w:r>
      <w:r>
        <w:rPr>
          <w:rFonts w:hint="eastAsia" w:ascii="宋体" w:hAnsi="宋体"/>
          <w:b/>
          <w:bCs/>
          <w:sz w:val="32"/>
          <w:szCs w:val="32"/>
          <w:lang w:val="zh-CN"/>
        </w:rPr>
        <w:t>局</w:t>
      </w:r>
    </w:p>
    <w:p>
      <w:pPr>
        <w:snapToGrid w:val="0"/>
        <w:spacing w:line="360" w:lineRule="auto"/>
        <w:jc w:val="center"/>
        <w:rPr>
          <w:rFonts w:ascii="宋体" w:hAnsi="宋体"/>
          <w:b/>
          <w:bCs/>
          <w:sz w:val="32"/>
          <w:szCs w:val="32"/>
          <w:lang w:val="zh-CN"/>
        </w:rPr>
      </w:pPr>
    </w:p>
    <w:p>
      <w:pPr>
        <w:snapToGrid w:val="0"/>
        <w:spacing w:line="360" w:lineRule="auto"/>
        <w:jc w:val="center"/>
        <w:rPr>
          <w:rFonts w:hint="default" w:ascii="宋体" w:hAnsi="宋体" w:eastAsia="宋体"/>
          <w:b/>
          <w:bCs/>
          <w:sz w:val="32"/>
          <w:szCs w:val="32"/>
          <w:lang w:val="en-US" w:eastAsia="zh-CN"/>
        </w:rPr>
      </w:pPr>
      <w:r>
        <w:rPr>
          <w:rFonts w:hint="eastAsia" w:ascii="宋体" w:hAnsi="宋体"/>
          <w:b/>
          <w:bCs/>
          <w:sz w:val="32"/>
          <w:szCs w:val="32"/>
          <w:lang w:val="zh-CN"/>
        </w:rPr>
        <w:t>20</w:t>
      </w:r>
      <w:r>
        <w:rPr>
          <w:rFonts w:hint="eastAsia" w:ascii="宋体" w:hAnsi="宋体"/>
          <w:b/>
          <w:bCs/>
          <w:sz w:val="32"/>
          <w:szCs w:val="32"/>
        </w:rPr>
        <w:t>23</w:t>
      </w:r>
      <w:r>
        <w:rPr>
          <w:rFonts w:hint="eastAsia" w:ascii="宋体" w:hAnsi="宋体"/>
          <w:b/>
          <w:bCs/>
          <w:sz w:val="32"/>
          <w:szCs w:val="32"/>
          <w:lang w:val="zh-CN"/>
        </w:rPr>
        <w:t>年</w:t>
      </w:r>
      <w:r>
        <w:rPr>
          <w:rFonts w:hint="eastAsia" w:ascii="宋体" w:hAnsi="宋体"/>
          <w:b/>
          <w:bCs/>
          <w:sz w:val="32"/>
          <w:szCs w:val="32"/>
        </w:rPr>
        <w:t>4</w:t>
      </w:r>
      <w:r>
        <w:rPr>
          <w:rFonts w:hint="eastAsia" w:ascii="宋体" w:hAnsi="宋体"/>
          <w:b/>
          <w:bCs/>
          <w:sz w:val="32"/>
          <w:szCs w:val="32"/>
          <w:lang w:val="zh-CN"/>
        </w:rPr>
        <w:t>月</w:t>
      </w:r>
    </w:p>
    <w:p>
      <w:pPr>
        <w:snapToGrid w:val="0"/>
        <w:spacing w:beforeLines="50" w:afterLines="50" w:line="360" w:lineRule="auto"/>
        <w:jc w:val="center"/>
        <w:rPr>
          <w:rFonts w:ascii="宋体" w:hAnsi="宋体"/>
          <w:b/>
          <w:sz w:val="44"/>
          <w:szCs w:val="44"/>
        </w:rPr>
      </w:pPr>
    </w:p>
    <w:p>
      <w:pPr>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spacing w:beforeLines="50" w:afterLines="50" w:line="360" w:lineRule="auto"/>
        <w:jc w:val="center"/>
        <w:rPr>
          <w:rFonts w:ascii="宋体" w:hAnsi="宋体"/>
        </w:rPr>
      </w:pPr>
      <w:r>
        <w:rPr>
          <w:rFonts w:hint="eastAsia" w:ascii="宋体" w:hAnsi="宋体"/>
        </w:rPr>
        <w:t>（本提示内容非采购文件的组成部分，仅为善意提醒。如有不一致的地方，以采购文件为准）</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如无另行说明，响应文件递交时间为提交响应文件截止时间</w:t>
      </w:r>
      <w:r>
        <w:rPr>
          <w:rFonts w:hint="eastAsia" w:ascii="宋体" w:hAnsi="宋体"/>
          <w:b/>
          <w:u w:val="single"/>
        </w:rPr>
        <w:t>前30分钟</w:t>
      </w:r>
      <w:r>
        <w:rPr>
          <w:rFonts w:hint="eastAsia" w:ascii="宋体" w:hAnsi="宋体"/>
        </w:rPr>
        <w:t>内。</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本项目须法定代表人或授权代表到场参与磋商，为避免因迟到而失去投标资格，请</w:t>
      </w:r>
      <w:r>
        <w:rPr>
          <w:rFonts w:hint="eastAsia" w:ascii="宋体" w:hAnsi="宋体"/>
          <w:b/>
          <w:u w:val="single"/>
        </w:rPr>
        <w:t>适当提前到达</w:t>
      </w:r>
      <w:r>
        <w:rPr>
          <w:rFonts w:hint="eastAsia" w:ascii="宋体" w:hAnsi="宋体"/>
        </w:rPr>
        <w:t>。</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请仔细检查响应文件是否已按采购文件要求</w:t>
      </w:r>
      <w:r>
        <w:rPr>
          <w:rFonts w:hint="eastAsia" w:ascii="宋体" w:hAnsi="宋体"/>
          <w:b/>
          <w:u w:val="single"/>
        </w:rPr>
        <w:t>盖章、签名、签署日期</w:t>
      </w:r>
      <w:r>
        <w:rPr>
          <w:rFonts w:hint="eastAsia" w:ascii="宋体" w:hAnsi="宋体"/>
        </w:rPr>
        <w:t>。</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请正确填写《报价表》。多包组项目请仔细检查包组号，包组号与包组采购内容必须对应。</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如投标产品属于许可证管理范围内的，须提交相应的许可证复印件。</w:t>
      </w:r>
    </w:p>
    <w:p>
      <w:pPr>
        <w:numPr>
          <w:ilvl w:val="0"/>
          <w:numId w:val="4"/>
        </w:numPr>
        <w:tabs>
          <w:tab w:val="left" w:pos="709"/>
        </w:tabs>
        <w:autoSpaceDE/>
        <w:autoSpaceDN/>
        <w:adjustRightInd/>
        <w:spacing w:line="360" w:lineRule="auto"/>
        <w:ind w:left="700" w:hanging="700"/>
        <w:jc w:val="both"/>
        <w:rPr>
          <w:rFonts w:ascii="宋体" w:hAnsi="宋体"/>
          <w:kern w:val="2"/>
        </w:rPr>
      </w:pPr>
      <w:r>
        <w:rPr>
          <w:rFonts w:hint="eastAsia" w:ascii="宋体" w:hAnsi="宋体"/>
          <w:kern w:val="2"/>
        </w:rPr>
        <w:t>响应供应商如需对项目提出询问或质疑，应按采购文件附件中的询问函和质疑函的格式提交。</w:t>
      </w:r>
    </w:p>
    <w:p>
      <w:pPr>
        <w:snapToGrid w:val="0"/>
        <w:spacing w:beforeLines="50" w:afterLines="50" w:line="360" w:lineRule="auto"/>
        <w:jc w:val="center"/>
        <w:rPr>
          <w:rFonts w:ascii="黑体" w:hAnsi="华文中宋" w:eastAsia="黑体" w:cs="华文中宋"/>
          <w:color w:val="FF0000"/>
          <w:sz w:val="30"/>
          <w:szCs w:val="30"/>
        </w:rPr>
        <w:sectPr>
          <w:headerReference r:id="rId3" w:type="default"/>
          <w:footerReference r:id="rId4" w:type="default"/>
          <w:pgSz w:w="11907" w:h="16839"/>
          <w:pgMar w:top="1134" w:right="1134" w:bottom="1134" w:left="1134" w:header="720" w:footer="720" w:gutter="0"/>
          <w:pgNumType w:start="1"/>
          <w:cols w:space="720" w:num="1"/>
          <w:titlePg/>
          <w:docGrid w:linePitch="272" w:charSpace="0"/>
        </w:sectPr>
      </w:pPr>
    </w:p>
    <w:p>
      <w:pPr>
        <w:snapToGrid w:val="0"/>
        <w:spacing w:line="360" w:lineRule="auto"/>
        <w:jc w:val="center"/>
        <w:rPr>
          <w:rFonts w:ascii="黑体" w:eastAsia="黑体"/>
          <w:color w:val="3366FF"/>
          <w:sz w:val="30"/>
          <w:szCs w:val="30"/>
        </w:rPr>
      </w:pPr>
      <w:r>
        <w:rPr>
          <w:rFonts w:hint="eastAsia" w:ascii="宋体" w:hAnsi="宋体" w:cs="黑体"/>
          <w:b/>
          <w:bCs/>
          <w:sz w:val="44"/>
          <w:szCs w:val="44"/>
          <w:lang w:eastAsia="zh-TW"/>
        </w:rPr>
        <w:t>目　　录</w:t>
      </w:r>
    </w:p>
    <w:p>
      <w:pPr>
        <w:pStyle w:val="27"/>
        <w:rPr>
          <w:rFonts w:asciiTheme="minorHAnsi" w:hAnsiTheme="minorHAnsi" w:eastAsiaTheme="minorEastAsia" w:cstheme="minorBidi"/>
          <w:b w:val="0"/>
          <w:kern w:val="2"/>
          <w:szCs w:val="22"/>
        </w:rPr>
      </w:pPr>
      <w:r>
        <w:fldChar w:fldCharType="begin"/>
      </w:r>
      <w:r>
        <w:instrText xml:space="preserve"> TOC \o "1-1" \h \z \u </w:instrText>
      </w:r>
      <w:r>
        <w:fldChar w:fldCharType="separate"/>
      </w:r>
      <w:r>
        <w:fldChar w:fldCharType="begin"/>
      </w:r>
      <w:r>
        <w:instrText xml:space="preserve"> HYPERLINK \l "_Toc523168276" </w:instrText>
      </w:r>
      <w:r>
        <w:fldChar w:fldCharType="separate"/>
      </w:r>
      <w:r>
        <w:rPr>
          <w:rStyle w:val="44"/>
          <w:rFonts w:hint="eastAsia"/>
          <w:bCs/>
        </w:rPr>
        <w:t>第一章磋商邀请</w:t>
      </w:r>
      <w:r>
        <w:tab/>
      </w:r>
      <w:r>
        <w:fldChar w:fldCharType="begin"/>
      </w:r>
      <w:r>
        <w:instrText xml:space="preserve"> PAGEREF _Toc523168276 \h </w:instrText>
      </w:r>
      <w:r>
        <w:fldChar w:fldCharType="separate"/>
      </w:r>
      <w:r>
        <w:t>4</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"_Toc523168277" </w:instrText>
      </w:r>
      <w:r>
        <w:fldChar w:fldCharType="separate"/>
      </w:r>
      <w:r>
        <w:rPr>
          <w:rStyle w:val="44"/>
          <w:rFonts w:hint="eastAsia"/>
        </w:rPr>
        <w:t>第二章磋商资料表</w:t>
      </w:r>
      <w:r>
        <w:tab/>
      </w:r>
      <w:r>
        <w:fldChar w:fldCharType="begin"/>
      </w:r>
      <w:r>
        <w:instrText xml:space="preserve"> PAGEREF _Toc523168277 \h </w:instrText>
      </w:r>
      <w:r>
        <w:fldChar w:fldCharType="separate"/>
      </w:r>
      <w:r>
        <w:t>7</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"_Toc523168278" </w:instrText>
      </w:r>
      <w:r>
        <w:fldChar w:fldCharType="separate"/>
      </w:r>
      <w:r>
        <w:rPr>
          <w:rStyle w:val="44"/>
          <w:rFonts w:hint="eastAsia"/>
        </w:rPr>
        <w:t>第三章评分体系与标准</w:t>
      </w:r>
      <w:r>
        <w:tab/>
      </w:r>
      <w:r>
        <w:fldChar w:fldCharType="begin"/>
      </w:r>
      <w:r>
        <w:instrText xml:space="preserve"> PAGEREF _Toc523168278 \h </w:instrText>
      </w:r>
      <w:r>
        <w:fldChar w:fldCharType="separate"/>
      </w:r>
      <w:r>
        <w:t>9</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"_Toc523168279" </w:instrText>
      </w:r>
      <w:r>
        <w:fldChar w:fldCharType="separate"/>
      </w:r>
      <w:r>
        <w:rPr>
          <w:rStyle w:val="44"/>
          <w:rFonts w:hint="eastAsia"/>
        </w:rPr>
        <w:t>第四章用户需求书</w:t>
      </w:r>
      <w:r>
        <w:tab/>
      </w:r>
      <w:r>
        <w:fldChar w:fldCharType="begin"/>
      </w:r>
      <w:r>
        <w:instrText xml:space="preserve"> PAGEREF _Toc523168279 \h </w:instrText>
      </w:r>
      <w:r>
        <w:fldChar w:fldCharType="separate"/>
      </w:r>
      <w:r>
        <w:t>15</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"_Toc523168280" </w:instrText>
      </w:r>
      <w:r>
        <w:fldChar w:fldCharType="separate"/>
      </w:r>
      <w:r>
        <w:rPr>
          <w:rStyle w:val="44"/>
          <w:rFonts w:hint="eastAsia"/>
          <w:bCs/>
        </w:rPr>
        <w:t>第五章合同文本</w:t>
      </w:r>
      <w:r>
        <w:tab/>
      </w:r>
      <w:r>
        <w:fldChar w:fldCharType="begin"/>
      </w:r>
      <w:r>
        <w:instrText xml:space="preserve"> PAGEREF _Toc523168280 \h </w:instrText>
      </w:r>
      <w:r>
        <w:fldChar w:fldCharType="separate"/>
      </w:r>
      <w:r>
        <w:t>19</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"_Toc523168281" </w:instrText>
      </w:r>
      <w:r>
        <w:fldChar w:fldCharType="separate"/>
      </w:r>
      <w:r>
        <w:rPr>
          <w:rStyle w:val="44"/>
          <w:rFonts w:hint="eastAsia"/>
        </w:rPr>
        <w:t>第六章响应文件格式</w:t>
      </w:r>
      <w:r>
        <w:tab/>
      </w:r>
      <w:r>
        <w:fldChar w:fldCharType="begin"/>
      </w:r>
      <w:r>
        <w:instrText xml:space="preserve"> PAGEREF _Toc523168281 \h </w:instrText>
      </w:r>
      <w:r>
        <w:fldChar w:fldCharType="separate"/>
      </w:r>
      <w:r>
        <w:t>22</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"_Toc523168282" </w:instrText>
      </w:r>
      <w:r>
        <w:fldChar w:fldCharType="separate"/>
      </w:r>
      <w:r>
        <w:rPr>
          <w:rStyle w:val="44"/>
          <w:rFonts w:hint="eastAsia"/>
        </w:rPr>
        <w:t>第七章磋商须知</w:t>
      </w:r>
      <w:r>
        <w:tab/>
      </w:r>
      <w:r>
        <w:fldChar w:fldCharType="begin"/>
      </w:r>
      <w:r>
        <w:instrText xml:space="preserve"> PAGEREF _Toc523168282 \h </w:instrText>
      </w:r>
      <w:r>
        <w:fldChar w:fldCharType="separate"/>
      </w:r>
      <w:r>
        <w:t>41</w:t>
      </w:r>
      <w:r>
        <w:fldChar w:fldCharType="end"/>
      </w:r>
      <w:r>
        <w:fldChar w:fldCharType="end"/>
      </w:r>
    </w:p>
    <w:p>
      <w:pPr>
        <w:rPr>
          <w:rFonts w:ascii="宋体" w:hAnsi="宋体"/>
        </w:rPr>
      </w:pPr>
      <w:r>
        <w:rPr>
          <w:rFonts w:ascii="宋体" w:hAnsi="宋体"/>
        </w:rPr>
        <w:fldChar w:fldCharType="end"/>
      </w:r>
    </w:p>
    <w:p>
      <w:pPr>
        <w:snapToGrid w:val="0"/>
        <w:spacing w:line="360" w:lineRule="auto"/>
        <w:jc w:val="center"/>
        <w:outlineLvl w:val="0"/>
        <w:rPr>
          <w:b/>
          <w:bCs/>
          <w:color w:val="000000" w:themeColor="text1"/>
          <w:sz w:val="28"/>
          <w:szCs w:val="28"/>
        </w:rPr>
      </w:pPr>
      <w:r>
        <w:rPr>
          <w:rFonts w:eastAsia="隶书" w:cs="隶书"/>
          <w:sz w:val="28"/>
          <w:szCs w:val="28"/>
        </w:rPr>
        <w:br w:type="page"/>
      </w:r>
      <w:bookmarkStart w:id="0" w:name="_Toc435614385"/>
      <w:bookmarkStart w:id="1" w:name="_Toc523168276"/>
      <w:r>
        <w:rPr>
          <w:rFonts w:hint="eastAsia"/>
          <w:b/>
          <w:bCs/>
          <w:color w:val="000000" w:themeColor="text1"/>
          <w:sz w:val="28"/>
          <w:szCs w:val="28"/>
        </w:rPr>
        <w:t>第一</w:t>
      </w:r>
      <w:r>
        <w:rPr>
          <w:b/>
          <w:bCs/>
          <w:color w:val="000000" w:themeColor="text1"/>
          <w:sz w:val="28"/>
          <w:szCs w:val="28"/>
        </w:rPr>
        <w:t xml:space="preserve">章  </w:t>
      </w:r>
      <w:r>
        <w:rPr>
          <w:rFonts w:hint="eastAsia"/>
          <w:b/>
          <w:bCs/>
          <w:color w:val="000000" w:themeColor="text1"/>
          <w:sz w:val="28"/>
          <w:szCs w:val="28"/>
        </w:rPr>
        <w:t>磋商邀请</w:t>
      </w:r>
      <w:bookmarkEnd w:id="0"/>
      <w:bookmarkEnd w:id="1"/>
    </w:p>
    <w:p>
      <w:pPr>
        <w:snapToGrid w:val="0"/>
        <w:spacing w:line="360" w:lineRule="auto"/>
        <w:ind w:firstLine="420" w:firstLineChars="200"/>
        <w:rPr>
          <w:rFonts w:ascii="宋体" w:hAnsi="宋体"/>
          <w:bCs/>
          <w:color w:val="000000" w:themeColor="text1"/>
        </w:rPr>
      </w:pPr>
      <w:r>
        <w:rPr>
          <w:rFonts w:hint="eastAsia" w:ascii="宋体" w:hAnsi="宋体"/>
          <w:color w:val="000000" w:themeColor="text1"/>
        </w:rPr>
        <w:t>博罗县文化广电旅游体育局</w:t>
      </w:r>
      <w:r>
        <w:rPr>
          <w:rFonts w:ascii="宋体" w:hAnsi="宋体"/>
          <w:bCs/>
          <w:color w:val="000000" w:themeColor="text1"/>
        </w:rPr>
        <w:t>（以下简称</w:t>
      </w:r>
      <w:r>
        <w:rPr>
          <w:rFonts w:hint="eastAsia" w:ascii="宋体" w:hAnsi="宋体"/>
          <w:color w:val="000000" w:themeColor="text1"/>
        </w:rPr>
        <w:t>‘</w:t>
      </w:r>
      <w:r>
        <w:rPr>
          <w:rFonts w:ascii="宋体" w:hAnsi="宋体"/>
          <w:bCs/>
          <w:color w:val="000000" w:themeColor="text1"/>
        </w:rPr>
        <w:t>采购人</w:t>
      </w:r>
      <w:r>
        <w:rPr>
          <w:rFonts w:hint="eastAsia" w:ascii="宋体" w:hAnsi="宋体"/>
          <w:color w:val="000000" w:themeColor="text1"/>
        </w:rPr>
        <w:t>’</w:t>
      </w:r>
      <w:r>
        <w:rPr>
          <w:rFonts w:ascii="宋体" w:hAnsi="宋体"/>
          <w:bCs/>
          <w:color w:val="000000" w:themeColor="text1"/>
        </w:rPr>
        <w:t>）</w:t>
      </w:r>
      <w:r>
        <w:rPr>
          <w:rFonts w:hint="eastAsia" w:ascii="宋体" w:hAnsi="宋体"/>
          <w:bCs/>
          <w:color w:val="000000" w:themeColor="text1"/>
        </w:rPr>
        <w:t>，</w:t>
      </w:r>
      <w:r>
        <w:rPr>
          <w:rFonts w:hint="eastAsia" w:ascii="宋体" w:hAnsi="宋体"/>
          <w:bCs/>
          <w:color w:val="000000" w:themeColor="text1"/>
          <w:lang w:val="zh-CN"/>
        </w:rPr>
        <w:t>拟</w:t>
      </w:r>
      <w:r>
        <w:rPr>
          <w:rFonts w:hint="eastAsia" w:ascii="宋体" w:hAnsi="宋体"/>
          <w:bCs/>
          <w:color w:val="000000" w:themeColor="text1"/>
        </w:rPr>
        <w:t>对2023年度博罗县业余体育学校业训校车接送服务项目进行竞争性磋商采购，欢迎符合资格条件的供应商参加。                               　</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rPr>
      </w:pPr>
      <w:r>
        <w:rPr>
          <w:rFonts w:hint="eastAsia" w:ascii="宋体" w:hAnsi="宋体"/>
          <w:bCs/>
          <w:color w:val="000000" w:themeColor="text1"/>
        </w:rPr>
        <w:t>采购项目名称：2023年度博罗县业余体育学校业训校车接送服务项目</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rPr>
      </w:pPr>
      <w:r>
        <w:rPr>
          <w:rFonts w:hint="eastAsia" w:ascii="宋体" w:hAnsi="宋体"/>
          <w:bCs/>
          <w:color w:val="000000" w:themeColor="text1"/>
        </w:rPr>
        <w:t>采购项目预算金额（元） ：540000.00；</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rPr>
      </w:pPr>
      <w:r>
        <w:rPr>
          <w:rFonts w:hint="eastAsia" w:ascii="宋体" w:hAnsi="宋体"/>
          <w:bCs/>
          <w:color w:val="000000" w:themeColor="text1"/>
        </w:rPr>
        <w:t xml:space="preserve">采购数量 ：1年； </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rPr>
      </w:pPr>
      <w:r>
        <w:rPr>
          <w:rFonts w:hint="eastAsia" w:ascii="宋体" w:hAnsi="宋体"/>
          <w:bCs/>
          <w:color w:val="000000" w:themeColor="text1"/>
        </w:rPr>
        <w:t>项目内容及需求(采购项目技术规格、参数及要求，需要落实的政府采购政策) ：</w:t>
      </w:r>
    </w:p>
    <w:p>
      <w:pPr>
        <w:numPr>
          <w:ilvl w:val="0"/>
          <w:numId w:val="6"/>
        </w:numPr>
        <w:autoSpaceDE/>
        <w:autoSpaceDN/>
        <w:snapToGrid w:val="0"/>
        <w:spacing w:line="360" w:lineRule="auto"/>
        <w:ind w:left="426"/>
        <w:jc w:val="both"/>
        <w:rPr>
          <w:rFonts w:ascii="宋体" w:hAnsi="宋体"/>
          <w:bCs/>
          <w:color w:val="000000" w:themeColor="text1"/>
        </w:rPr>
      </w:pPr>
      <w:r>
        <w:rPr>
          <w:rFonts w:hint="eastAsia" w:ascii="宋体" w:hAnsi="宋体"/>
          <w:bCs/>
          <w:color w:val="000000" w:themeColor="text1"/>
        </w:rPr>
        <w:t>采购项目内容及最高限价：校车接送服务，540000.00元/年；</w:t>
      </w:r>
    </w:p>
    <w:p>
      <w:pPr>
        <w:numPr>
          <w:ilvl w:val="0"/>
          <w:numId w:val="6"/>
        </w:numPr>
        <w:autoSpaceDE/>
        <w:autoSpaceDN/>
        <w:snapToGrid w:val="0"/>
        <w:spacing w:line="360" w:lineRule="auto"/>
        <w:ind w:left="426"/>
        <w:jc w:val="both"/>
        <w:rPr>
          <w:rFonts w:ascii="宋体" w:hAnsi="宋体"/>
          <w:bCs/>
          <w:color w:val="000000" w:themeColor="text1"/>
        </w:rPr>
      </w:pPr>
      <w:r>
        <w:rPr>
          <w:rFonts w:hint="eastAsia" w:ascii="宋体" w:hAnsi="宋体"/>
          <w:bCs/>
          <w:color w:val="000000" w:themeColor="text1"/>
        </w:rPr>
        <w:t>采购项目品目：车辆及其他运输机械租赁服务（C0403）。</w:t>
      </w:r>
    </w:p>
    <w:p>
      <w:pPr>
        <w:numPr>
          <w:ilvl w:val="0"/>
          <w:numId w:val="6"/>
        </w:numPr>
        <w:autoSpaceDE/>
        <w:autoSpaceDN/>
        <w:snapToGrid w:val="0"/>
        <w:spacing w:line="360" w:lineRule="auto"/>
        <w:ind w:left="426"/>
        <w:jc w:val="both"/>
        <w:rPr>
          <w:rFonts w:ascii="宋体" w:hAnsi="宋体"/>
          <w:bCs/>
          <w:color w:val="000000" w:themeColor="text1"/>
        </w:rPr>
      </w:pPr>
      <w:r>
        <w:rPr>
          <w:rFonts w:hint="eastAsia" w:ascii="宋体" w:hAnsi="宋体"/>
          <w:bCs/>
          <w:color w:val="000000" w:themeColor="text1"/>
        </w:rPr>
        <w:t>项目基本概况介绍：</w:t>
      </w:r>
      <w:r>
        <w:rPr>
          <w:rFonts w:ascii="宋体" w:hAnsi="宋体"/>
          <w:bCs/>
          <w:color w:val="000000" w:themeColor="text1"/>
        </w:rPr>
        <w:t>本项目为</w:t>
      </w:r>
      <w:r>
        <w:rPr>
          <w:rFonts w:hint="eastAsia" w:ascii="宋体" w:hAnsi="宋体"/>
          <w:bCs/>
          <w:color w:val="000000" w:themeColor="text1"/>
        </w:rPr>
        <w:t>惠州市博罗县文化广电旅游体育局</w:t>
      </w:r>
      <w:r>
        <w:rPr>
          <w:rFonts w:ascii="宋体" w:hAnsi="宋体"/>
          <w:bCs/>
          <w:color w:val="000000" w:themeColor="text1"/>
        </w:rPr>
        <w:t>确定校车接送的服务单位，</w:t>
      </w:r>
      <w:r>
        <w:rPr>
          <w:rFonts w:hint="eastAsia" w:ascii="宋体" w:hAnsi="宋体"/>
          <w:bCs/>
          <w:color w:val="000000" w:themeColor="text1"/>
        </w:rPr>
        <w:t>目的是为学生提供往返体育中心的接送服务。</w:t>
      </w:r>
    </w:p>
    <w:p>
      <w:pPr>
        <w:numPr>
          <w:ilvl w:val="0"/>
          <w:numId w:val="6"/>
        </w:numPr>
        <w:autoSpaceDE/>
        <w:autoSpaceDN/>
        <w:snapToGrid w:val="0"/>
        <w:spacing w:line="360" w:lineRule="auto"/>
        <w:ind w:left="426"/>
        <w:jc w:val="both"/>
        <w:rPr>
          <w:rFonts w:ascii="宋体" w:hAnsi="宋体"/>
          <w:bCs/>
          <w:color w:val="000000" w:themeColor="text1"/>
        </w:rPr>
      </w:pPr>
      <w:r>
        <w:rPr>
          <w:rFonts w:hint="eastAsia" w:ascii="宋体" w:hAnsi="宋体"/>
          <w:bCs/>
          <w:color w:val="000000" w:themeColor="text1"/>
        </w:rPr>
        <w:t>采购人的具体采购需求:详见磋商文件中的“用户需求书”。</w:t>
      </w:r>
    </w:p>
    <w:p>
      <w:pPr>
        <w:numPr>
          <w:ilvl w:val="0"/>
          <w:numId w:val="6"/>
        </w:numPr>
        <w:autoSpaceDE/>
        <w:autoSpaceDN/>
        <w:snapToGrid w:val="0"/>
        <w:spacing w:line="360" w:lineRule="auto"/>
        <w:ind w:left="426"/>
        <w:jc w:val="both"/>
        <w:rPr>
          <w:rFonts w:ascii="宋体" w:hAnsi="宋体"/>
          <w:bCs/>
        </w:rPr>
      </w:pPr>
      <w:r>
        <w:rPr>
          <w:rFonts w:hint="eastAsia" w:ascii="宋体" w:hAnsi="宋体"/>
          <w:bCs/>
        </w:rPr>
        <w:t xml:space="preserve">本项目属于政府采购项目。 </w:t>
      </w:r>
    </w:p>
    <w:p>
      <w:pPr>
        <w:numPr>
          <w:ilvl w:val="0"/>
          <w:numId w:val="6"/>
        </w:numPr>
        <w:autoSpaceDE/>
        <w:autoSpaceDN/>
        <w:snapToGrid w:val="0"/>
        <w:spacing w:line="360" w:lineRule="auto"/>
        <w:ind w:left="426"/>
        <w:jc w:val="both"/>
        <w:rPr>
          <w:rFonts w:ascii="宋体" w:hAnsi="宋体"/>
          <w:bCs/>
          <w:color w:val="000000" w:themeColor="text1"/>
        </w:rPr>
      </w:pPr>
      <w:r>
        <w:rPr>
          <w:rFonts w:hint="eastAsia" w:ascii="宋体" w:hAnsi="宋体"/>
          <w:bCs/>
          <w:color w:val="000000" w:themeColor="text1"/>
        </w:rPr>
        <w:t>政府采购监督管理部门：博罗县财政局。</w:t>
      </w:r>
    </w:p>
    <w:p>
      <w:pPr>
        <w:numPr>
          <w:ilvl w:val="0"/>
          <w:numId w:val="6"/>
        </w:numPr>
        <w:autoSpaceDE/>
        <w:autoSpaceDN/>
        <w:snapToGrid w:val="0"/>
        <w:spacing w:line="360" w:lineRule="auto"/>
        <w:ind w:left="426"/>
        <w:jc w:val="both"/>
        <w:rPr>
          <w:rFonts w:ascii="宋体" w:hAnsi="宋体"/>
          <w:bCs/>
          <w:color w:val="000000" w:themeColor="text1"/>
        </w:rPr>
      </w:pPr>
      <w:r>
        <w:rPr>
          <w:rFonts w:hint="eastAsia" w:ascii="宋体" w:hAnsi="宋体"/>
          <w:bCs/>
          <w:color w:val="000000" w:themeColor="text1"/>
        </w:rPr>
        <w:t>需要落实的政府采购政策：《政府采购促进中小企业发展暂行办法》（财库〔2011〕181号）、《关于政府采购支持监狱企业发展有关问题的通知》(财库〔2014〕68号)、《关于促进残疾人就业政府采购政策的通知》（财库〔2017〕141号)。</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rPr>
      </w:pPr>
      <w:r>
        <w:rPr>
          <w:rFonts w:hint="eastAsia" w:ascii="宋体" w:hAnsi="宋体"/>
          <w:bCs/>
          <w:color w:val="000000" w:themeColor="text1"/>
        </w:rPr>
        <w:t>供应商资格：</w:t>
      </w:r>
    </w:p>
    <w:p>
      <w:pPr>
        <w:numPr>
          <w:ilvl w:val="1"/>
          <w:numId w:val="7"/>
        </w:numPr>
        <w:autoSpaceDE/>
        <w:autoSpaceDN/>
        <w:adjustRightInd/>
        <w:snapToGrid w:val="0"/>
        <w:spacing w:line="360" w:lineRule="auto"/>
        <w:jc w:val="both"/>
        <w:rPr>
          <w:rFonts w:ascii="宋体" w:hAnsi="宋体"/>
          <w:bCs/>
          <w:color w:val="000000" w:themeColor="text1"/>
          <w:kern w:val="2"/>
        </w:rPr>
      </w:pPr>
      <w:r>
        <w:rPr>
          <w:rFonts w:hint="eastAsia" w:ascii="宋体" w:hAnsi="宋体"/>
          <w:bCs/>
          <w:color w:val="000000" w:themeColor="text1"/>
          <w:kern w:val="2"/>
        </w:rPr>
        <w:t>具备《中华人民共和国政府采购法》第二十二条规定的条件，提供下列材料：</w:t>
      </w:r>
    </w:p>
    <w:p>
      <w:pPr>
        <w:pStyle w:val="103"/>
        <w:numPr>
          <w:ilvl w:val="1"/>
          <w:numId w:val="8"/>
        </w:numPr>
        <w:adjustRightInd w:val="0"/>
        <w:snapToGrid w:val="0"/>
        <w:spacing w:line="360" w:lineRule="auto"/>
        <w:ind w:firstLineChars="0"/>
        <w:rPr>
          <w:rFonts w:ascii="宋体" w:hAnsi="宋体" w:eastAsia="宋体"/>
          <w:color w:val="000000" w:themeColor="text1"/>
          <w:sz w:val="21"/>
          <w:szCs w:val="21"/>
        </w:rPr>
      </w:pPr>
      <w:r>
        <w:rPr>
          <w:rFonts w:hint="eastAsia" w:ascii="宋体" w:hAnsi="宋体" w:eastAsia="宋体"/>
          <w:color w:val="000000" w:themeColor="text1"/>
          <w:sz w:val="21"/>
          <w:szCs w:val="21"/>
        </w:rPr>
        <w:t>提供在中华人民共和国境内注册的法人或其他组织的营业执照（或事业单位法人证书，或社会团体法人登记证书）、组织机构代码证、税务登记证【如已办理了多证合一，则仅需提供合证后的营业执照】，如投标人为自然人的需提供自然人身份证明；</w:t>
      </w:r>
    </w:p>
    <w:p>
      <w:pPr>
        <w:pStyle w:val="103"/>
        <w:numPr>
          <w:ilvl w:val="1"/>
          <w:numId w:val="8"/>
        </w:numPr>
        <w:adjustRightInd w:val="0"/>
        <w:snapToGrid w:val="0"/>
        <w:spacing w:line="360" w:lineRule="auto"/>
        <w:ind w:firstLineChars="0"/>
        <w:rPr>
          <w:rFonts w:ascii="宋体" w:hAnsi="宋体" w:eastAsia="宋体"/>
          <w:bCs w:val="0"/>
          <w:color w:val="000000" w:themeColor="text1"/>
          <w:sz w:val="21"/>
          <w:szCs w:val="21"/>
        </w:rPr>
      </w:pPr>
      <w:r>
        <w:rPr>
          <w:rFonts w:hint="eastAsia" w:ascii="宋体" w:hAnsi="宋体" w:eastAsia="宋体"/>
          <w:color w:val="000000" w:themeColor="text1"/>
          <w:sz w:val="21"/>
          <w:szCs w:val="21"/>
        </w:rPr>
        <w:t>提供</w:t>
      </w:r>
      <w:r>
        <w:rPr>
          <w:rFonts w:hint="eastAsia" w:ascii="宋体" w:hAnsi="宋体" w:eastAsia="宋体"/>
          <w:color w:val="FF0000"/>
          <w:sz w:val="21"/>
          <w:szCs w:val="21"/>
          <w:shd w:val="pct10" w:color="auto" w:fill="FFFFFF"/>
        </w:rPr>
        <w:t>2021年或2022年</w:t>
      </w:r>
      <w:r>
        <w:rPr>
          <w:rFonts w:hint="eastAsia" w:ascii="宋体" w:hAnsi="宋体" w:eastAsia="宋体"/>
          <w:color w:val="000000" w:themeColor="text1"/>
          <w:sz w:val="21"/>
          <w:szCs w:val="21"/>
        </w:rPr>
        <w:t>任意1个月的财务状况报告复印件，或银行出具的资信证明材料复印件；</w:t>
      </w:r>
    </w:p>
    <w:p>
      <w:pPr>
        <w:pStyle w:val="103"/>
        <w:numPr>
          <w:ilvl w:val="1"/>
          <w:numId w:val="8"/>
        </w:numPr>
        <w:adjustRightInd w:val="0"/>
        <w:snapToGrid w:val="0"/>
        <w:spacing w:line="360" w:lineRule="auto"/>
        <w:ind w:firstLineChars="0"/>
        <w:rPr>
          <w:rFonts w:ascii="宋体" w:hAnsi="宋体" w:eastAsia="宋体"/>
          <w:bCs w:val="0"/>
          <w:color w:val="000000" w:themeColor="text1"/>
          <w:sz w:val="21"/>
          <w:szCs w:val="21"/>
        </w:rPr>
      </w:pPr>
      <w:r>
        <w:rPr>
          <w:rFonts w:hint="eastAsia" w:ascii="宋体" w:hAnsi="宋体" w:eastAsia="宋体"/>
          <w:color w:val="000000" w:themeColor="text1"/>
          <w:sz w:val="21"/>
          <w:szCs w:val="21"/>
        </w:rPr>
        <w:t>提供</w:t>
      </w:r>
      <w:r>
        <w:rPr>
          <w:rFonts w:hint="eastAsia" w:ascii="宋体" w:hAnsi="宋体" w:eastAsia="宋体"/>
          <w:color w:val="FF0000"/>
          <w:sz w:val="21"/>
          <w:szCs w:val="21"/>
          <w:shd w:val="pct10" w:color="auto" w:fill="FFFFFF"/>
        </w:rPr>
        <w:t>2021年或2022年</w:t>
      </w:r>
      <w:r>
        <w:rPr>
          <w:rFonts w:hint="eastAsia" w:ascii="宋体" w:hAnsi="宋体" w:eastAsia="宋体"/>
          <w:color w:val="000000" w:themeColor="text1"/>
          <w:sz w:val="21"/>
          <w:szCs w:val="21"/>
        </w:rPr>
        <w:t>任意1个月缴纳税收和社会保险的凭据证明材料复印件；如依法免税或不需要缴纳社会保障资金的，应提供相关材料；</w:t>
      </w:r>
    </w:p>
    <w:p>
      <w:pPr>
        <w:pStyle w:val="103"/>
        <w:numPr>
          <w:ilvl w:val="1"/>
          <w:numId w:val="8"/>
        </w:numPr>
        <w:adjustRightInd w:val="0"/>
        <w:snapToGrid w:val="0"/>
        <w:spacing w:line="360" w:lineRule="auto"/>
        <w:ind w:firstLineChars="0"/>
        <w:rPr>
          <w:rFonts w:ascii="宋体" w:hAnsi="宋体" w:eastAsia="宋体"/>
          <w:bCs w:val="0"/>
          <w:color w:val="000000" w:themeColor="text1"/>
          <w:sz w:val="21"/>
          <w:szCs w:val="21"/>
        </w:rPr>
      </w:pPr>
      <w:r>
        <w:rPr>
          <w:rFonts w:hint="eastAsia" w:ascii="宋体" w:hAnsi="宋体" w:eastAsia="宋体"/>
          <w:color w:val="000000" w:themeColor="text1"/>
          <w:sz w:val="21"/>
          <w:szCs w:val="21"/>
        </w:rPr>
        <w:t>提供履行合同所必需的设备和专业技术能力的书面声明；（提供《响应供应商资格声明函》）；</w:t>
      </w:r>
    </w:p>
    <w:p>
      <w:pPr>
        <w:pStyle w:val="103"/>
        <w:numPr>
          <w:ilvl w:val="1"/>
          <w:numId w:val="8"/>
        </w:numPr>
        <w:adjustRightInd w:val="0"/>
        <w:snapToGrid w:val="0"/>
        <w:spacing w:line="360" w:lineRule="auto"/>
        <w:ind w:firstLineChars="0"/>
        <w:rPr>
          <w:rFonts w:ascii="宋体" w:hAnsi="宋体" w:eastAsia="宋体"/>
          <w:bCs w:val="0"/>
          <w:color w:val="000000" w:themeColor="text1"/>
          <w:sz w:val="21"/>
          <w:szCs w:val="21"/>
        </w:rPr>
      </w:pPr>
      <w:r>
        <w:rPr>
          <w:rFonts w:hint="eastAsia" w:ascii="宋体" w:hAnsi="宋体" w:eastAsia="宋体"/>
          <w:color w:val="000000" w:themeColor="text1"/>
          <w:sz w:val="21"/>
          <w:szCs w:val="21"/>
        </w:rPr>
        <w:t>提供参加政府采购活动前3年内在经营活动中没有重大违法记录的书面声明；（提供《响应供应商资格声明函》）。</w:t>
      </w:r>
    </w:p>
    <w:p>
      <w:pPr>
        <w:numPr>
          <w:ilvl w:val="1"/>
          <w:numId w:val="7"/>
        </w:numPr>
        <w:autoSpaceDE/>
        <w:autoSpaceDN/>
        <w:adjustRightInd/>
        <w:snapToGrid w:val="0"/>
        <w:spacing w:line="360" w:lineRule="auto"/>
        <w:jc w:val="both"/>
        <w:rPr>
          <w:rFonts w:ascii="宋体" w:hAnsi="宋体"/>
          <w:bCs/>
          <w:color w:val="000000" w:themeColor="text1"/>
          <w:kern w:val="2"/>
        </w:rPr>
      </w:pPr>
      <w:r>
        <w:rPr>
          <w:rFonts w:hint="eastAsia" w:ascii="宋体" w:hAnsi="宋体"/>
          <w:bCs/>
          <w:color w:val="000000" w:themeColor="text1"/>
          <w:kern w:val="2"/>
        </w:rPr>
        <w:t>为采购项目提供整体设计、规范编制或者项目管理、监理、检测等服务的供应商，不得再参加该采购项目的其他采购活动</w:t>
      </w:r>
      <w:r>
        <w:rPr>
          <w:rFonts w:hint="eastAsia"/>
          <w:bCs/>
          <w:color w:val="000000" w:themeColor="text1"/>
        </w:rPr>
        <w:t>。</w:t>
      </w:r>
      <w:r>
        <w:rPr>
          <w:rFonts w:hint="eastAsia" w:ascii="宋体" w:hAnsi="宋体"/>
          <w:bCs/>
          <w:color w:val="000000" w:themeColor="text1"/>
          <w:szCs w:val="20"/>
        </w:rPr>
        <w:t>（提供《</w:t>
      </w:r>
      <w:r>
        <w:rPr>
          <w:rFonts w:hint="eastAsia" w:ascii="宋体" w:hAnsi="宋体"/>
          <w:color w:val="000000" w:themeColor="text1"/>
        </w:rPr>
        <w:t>响应供应商</w:t>
      </w:r>
      <w:r>
        <w:rPr>
          <w:rFonts w:hint="eastAsia" w:ascii="宋体" w:hAnsi="宋体"/>
          <w:bCs/>
          <w:color w:val="000000" w:themeColor="text1"/>
          <w:szCs w:val="20"/>
        </w:rPr>
        <w:t>资格声明函》）</w:t>
      </w:r>
    </w:p>
    <w:p>
      <w:pPr>
        <w:numPr>
          <w:ilvl w:val="1"/>
          <w:numId w:val="7"/>
        </w:numPr>
        <w:autoSpaceDE/>
        <w:autoSpaceDN/>
        <w:adjustRightInd/>
        <w:snapToGrid w:val="0"/>
        <w:spacing w:line="360" w:lineRule="auto"/>
        <w:jc w:val="both"/>
        <w:rPr>
          <w:rFonts w:ascii="宋体" w:hAnsi="宋体"/>
          <w:color w:val="000000" w:themeColor="text1"/>
        </w:rPr>
      </w:pPr>
      <w:r>
        <w:rPr>
          <w:rFonts w:hint="eastAsia" w:ascii="宋体" w:hAnsi="宋体"/>
          <w:color w:val="000000" w:themeColor="text1"/>
        </w:rPr>
        <w:t>单位负责人为同一人或者存在直接控股、管理关系的不同供应商，</w:t>
      </w:r>
      <w:r>
        <w:rPr>
          <w:rFonts w:hint="eastAsia"/>
          <w:bCs/>
          <w:color w:val="000000" w:themeColor="text1"/>
        </w:rPr>
        <w:t>不得参加同一合同项下的政府</w:t>
      </w:r>
      <w:r>
        <w:rPr>
          <w:rFonts w:hint="eastAsia" w:ascii="宋体" w:hAnsi="宋体"/>
          <w:color w:val="000000" w:themeColor="text1"/>
        </w:rPr>
        <w:t>采购活动。（提供《响应供应商资格声明函》）。</w:t>
      </w:r>
    </w:p>
    <w:p>
      <w:pPr>
        <w:numPr>
          <w:ilvl w:val="1"/>
          <w:numId w:val="7"/>
        </w:numPr>
        <w:wordWrap w:val="0"/>
        <w:autoSpaceDE/>
        <w:autoSpaceDN/>
        <w:adjustRightInd/>
        <w:snapToGrid w:val="0"/>
        <w:spacing w:line="360" w:lineRule="auto"/>
        <w:jc w:val="both"/>
        <w:rPr>
          <w:rFonts w:ascii="宋体" w:hAnsi="宋体"/>
          <w:bCs/>
          <w:color w:val="000000" w:themeColor="text1"/>
          <w:kern w:val="2"/>
        </w:rPr>
      </w:pPr>
      <w:r>
        <w:rPr>
          <w:rFonts w:hint="eastAsia" w:ascii="宋体" w:hAnsi="宋体"/>
          <w:color w:val="000000" w:themeColor="text1"/>
        </w:rPr>
        <w:t>在提交响应文件截止时间前响应供应商</w:t>
      </w:r>
      <w:r>
        <w:rPr>
          <w:rFonts w:ascii="宋体" w:hAnsi="宋体"/>
          <w:color w:val="000000" w:themeColor="text1"/>
        </w:rPr>
        <w:t>未被列入“信用中国”网站(www.creditchina.gov.cn)</w:t>
      </w:r>
      <w:r>
        <w:rPr>
          <w:rFonts w:hint="eastAsia" w:ascii="宋体" w:hAnsi="宋体"/>
          <w:color w:val="000000" w:themeColor="text1"/>
        </w:rPr>
        <w:t>以下任一记录名单之一：①记录失信被执行人；②重大税收违法案件当事人名单；③政府采购严重违法失信行为。同时，</w:t>
      </w:r>
      <w:r>
        <w:rPr>
          <w:rFonts w:ascii="宋体" w:hAnsi="宋体"/>
          <w:color w:val="000000" w:themeColor="text1"/>
        </w:rPr>
        <w:t>不处于中国政府采购网(www.ccgp.gov.cn)“政府采购严重违法失信行为信息记录”中的禁止参加政府采购活动期间。（</w:t>
      </w:r>
      <w:r>
        <w:rPr>
          <w:rFonts w:hint="eastAsia" w:ascii="宋体" w:hAnsi="宋体" w:cs="宋体"/>
          <w:color w:val="000000" w:themeColor="text1"/>
        </w:rPr>
        <w:t>说明：1）、</w:t>
      </w:r>
      <w:r>
        <w:rPr>
          <w:rFonts w:hint="eastAsia" w:ascii="宋体" w:hAnsi="宋体"/>
          <w:color w:val="000000" w:themeColor="text1"/>
        </w:rPr>
        <w:t>由负责资格审查人员</w:t>
      </w:r>
      <w:r>
        <w:rPr>
          <w:rFonts w:ascii="宋体" w:hAnsi="宋体"/>
          <w:color w:val="000000" w:themeColor="text1"/>
        </w:rPr>
        <w:t>于</w:t>
      </w:r>
      <w:r>
        <w:rPr>
          <w:rFonts w:hint="eastAsia" w:ascii="宋体" w:hAnsi="宋体"/>
          <w:color w:val="000000" w:themeColor="text1"/>
        </w:rPr>
        <w:t>递交响应文件截止日</w:t>
      </w:r>
      <w:r>
        <w:rPr>
          <w:rFonts w:ascii="宋体" w:hAnsi="宋体"/>
          <w:color w:val="000000" w:themeColor="text1"/>
        </w:rPr>
        <w:t>在“信用中国”网站（www.creditchina.gov.cn）及中国政府采购网(www.ccgp.gov.cn)查询结果为准</w:t>
      </w:r>
      <w:r>
        <w:rPr>
          <w:rFonts w:hint="eastAsia" w:ascii="宋体" w:hAnsi="宋体"/>
          <w:color w:val="000000" w:themeColor="text1"/>
        </w:rPr>
        <w:t>。</w:t>
      </w:r>
      <w:r>
        <w:rPr>
          <w:rFonts w:hint="eastAsia" w:ascii="宋体" w:hAnsi="宋体" w:cs="宋体"/>
          <w:color w:val="000000" w:themeColor="text1"/>
        </w:rPr>
        <w:t>2）、采购代理机构同时对信用信息查询记录和证据截图或下载存档。</w:t>
      </w:r>
    </w:p>
    <w:p>
      <w:pPr>
        <w:numPr>
          <w:ilvl w:val="1"/>
          <w:numId w:val="7"/>
        </w:numPr>
        <w:autoSpaceDE/>
        <w:autoSpaceDN/>
        <w:adjustRightInd/>
        <w:snapToGrid w:val="0"/>
        <w:spacing w:line="360" w:lineRule="auto"/>
        <w:jc w:val="both"/>
        <w:rPr>
          <w:rFonts w:ascii="宋体" w:hAnsi="宋体"/>
          <w:bCs/>
          <w:color w:val="000000" w:themeColor="text1"/>
        </w:rPr>
      </w:pPr>
      <w:r>
        <w:rPr>
          <w:rFonts w:hint="eastAsia" w:ascii="宋体" w:hAnsi="宋体"/>
          <w:bCs/>
          <w:color w:val="000000" w:themeColor="text1"/>
        </w:rPr>
        <w:t>已办理报名并成功购买本磋商文件的供应商。</w:t>
      </w:r>
    </w:p>
    <w:p>
      <w:pPr>
        <w:numPr>
          <w:ilvl w:val="1"/>
          <w:numId w:val="7"/>
        </w:numPr>
        <w:autoSpaceDE/>
        <w:autoSpaceDN/>
        <w:adjustRightInd/>
        <w:snapToGrid w:val="0"/>
        <w:spacing w:line="360" w:lineRule="auto"/>
        <w:jc w:val="both"/>
        <w:rPr>
          <w:rFonts w:ascii="宋体" w:hAnsi="宋体"/>
          <w:b/>
          <w:color w:val="000000" w:themeColor="text1"/>
        </w:rPr>
      </w:pPr>
      <w:r>
        <w:rPr>
          <w:rFonts w:hint="eastAsia" w:ascii="宋体" w:hAnsi="宋体"/>
          <w:bCs/>
          <w:color w:val="000000" w:themeColor="text1"/>
        </w:rPr>
        <w:t>本项目不接受联合体投标。</w:t>
      </w:r>
    </w:p>
    <w:p>
      <w:pPr>
        <w:snapToGrid w:val="0"/>
        <w:spacing w:line="360" w:lineRule="auto"/>
        <w:ind w:firstLine="422" w:firstLineChars="200"/>
        <w:rPr>
          <w:rFonts w:ascii="宋体" w:hAnsi="宋体"/>
          <w:b/>
          <w:color w:val="000000" w:themeColor="text1"/>
        </w:rPr>
      </w:pPr>
      <w:r>
        <w:rPr>
          <w:rFonts w:hint="eastAsia" w:ascii="宋体" w:hAnsi="宋体"/>
          <w:b/>
          <w:color w:val="000000" w:themeColor="text1"/>
        </w:rPr>
        <w:t>说明：获取磋商文件时，供应商代表须提供以下资料</w:t>
      </w:r>
      <w:r>
        <w:rPr>
          <w:rFonts w:hint="eastAsia" w:ascii="宋体" w:hAnsi="宋体"/>
          <w:color w:val="000000" w:themeColor="text1"/>
        </w:rPr>
        <w:t>（加盖响应供应商公章）</w:t>
      </w:r>
      <w:r>
        <w:rPr>
          <w:rFonts w:hint="eastAsia" w:ascii="宋体" w:hAnsi="宋体"/>
          <w:b/>
          <w:color w:val="000000" w:themeColor="text1"/>
        </w:rPr>
        <w:t>：</w:t>
      </w:r>
    </w:p>
    <w:p>
      <w:pPr>
        <w:pStyle w:val="103"/>
        <w:numPr>
          <w:ilvl w:val="0"/>
          <w:numId w:val="9"/>
        </w:numPr>
        <w:adjustRightInd w:val="0"/>
        <w:snapToGrid w:val="0"/>
        <w:spacing w:line="360" w:lineRule="auto"/>
        <w:ind w:firstLineChars="0"/>
        <w:rPr>
          <w:rFonts w:ascii="宋体" w:hAnsi="宋体" w:eastAsia="宋体"/>
          <w:color w:val="000000" w:themeColor="text1"/>
          <w:sz w:val="21"/>
          <w:szCs w:val="21"/>
        </w:rPr>
      </w:pPr>
      <w:r>
        <w:rPr>
          <w:rFonts w:hint="eastAsia" w:ascii="宋体" w:hAnsi="宋体" w:eastAsia="宋体"/>
          <w:color w:val="000000" w:themeColor="text1"/>
          <w:sz w:val="21"/>
          <w:szCs w:val="21"/>
        </w:rPr>
        <w:t>提供在中华人民共和国境内注册的法人或其他组织的营业执照（或事业单位法人证书，或社会团体法人登记证书）、组织机构代码证、税务登记证【如已办理了多证合一，则仅需提供合证后的营业执照】，如投标人为自然人的需提供自然人身份证明；</w:t>
      </w:r>
    </w:p>
    <w:p>
      <w:pPr>
        <w:pStyle w:val="103"/>
        <w:numPr>
          <w:ilvl w:val="0"/>
          <w:numId w:val="9"/>
        </w:numPr>
        <w:adjustRightInd w:val="0"/>
        <w:snapToGrid w:val="0"/>
        <w:spacing w:line="360" w:lineRule="auto"/>
        <w:ind w:firstLineChars="0"/>
        <w:rPr>
          <w:rFonts w:ascii="宋体" w:hAnsi="宋体" w:eastAsia="宋体"/>
          <w:color w:val="000000" w:themeColor="text1"/>
          <w:sz w:val="21"/>
          <w:szCs w:val="21"/>
        </w:rPr>
      </w:pPr>
      <w:r>
        <w:rPr>
          <w:rFonts w:hint="eastAsia" w:ascii="宋体" w:hAnsi="宋体" w:eastAsia="宋体"/>
          <w:color w:val="000000" w:themeColor="text1"/>
          <w:sz w:val="21"/>
          <w:szCs w:val="21"/>
        </w:rPr>
        <w:t>法定代表人证明书及法定代表人身份证复印件和法定代表人授权委托书及授权代表身份证复印件；（如法定代表人亲自办理获取磋商文件事宜的，无需提交法定代表人授权委托书及授权代表身份证复印件。）</w:t>
      </w:r>
    </w:p>
    <w:p>
      <w:pPr>
        <w:pStyle w:val="35"/>
        <w:widowControl w:val="0"/>
        <w:adjustRightInd w:val="0"/>
        <w:snapToGrid w:val="0"/>
        <w:spacing w:before="0" w:beforeAutospacing="0" w:after="0" w:afterAutospacing="0" w:line="360" w:lineRule="auto"/>
        <w:ind w:left="426"/>
        <w:jc w:val="both"/>
        <w:rPr>
          <w:strike/>
          <w:color w:val="000000" w:themeColor="text1"/>
          <w:sz w:val="21"/>
          <w:szCs w:val="21"/>
        </w:rPr>
      </w:pPr>
      <w:r>
        <w:rPr>
          <w:rFonts w:hint="eastAsia"/>
          <w:color w:val="000000" w:themeColor="text1"/>
          <w:sz w:val="21"/>
          <w:szCs w:val="21"/>
        </w:rPr>
        <w:t>注：</w:t>
      </w:r>
    </w:p>
    <w:p>
      <w:pPr>
        <w:pStyle w:val="35"/>
        <w:widowControl w:val="0"/>
        <w:numPr>
          <w:ilvl w:val="0"/>
          <w:numId w:val="10"/>
        </w:numPr>
        <w:adjustRightInd w:val="0"/>
        <w:snapToGrid w:val="0"/>
        <w:spacing w:before="0" w:beforeAutospacing="0" w:after="0" w:afterAutospacing="0" w:line="360" w:lineRule="auto"/>
        <w:jc w:val="both"/>
        <w:rPr>
          <w:color w:val="000000" w:themeColor="text1"/>
          <w:sz w:val="21"/>
          <w:szCs w:val="21"/>
        </w:rPr>
      </w:pPr>
      <w:r>
        <w:rPr>
          <w:rFonts w:hint="eastAsia"/>
          <w:color w:val="000000" w:themeColor="text1"/>
          <w:sz w:val="21"/>
          <w:szCs w:val="21"/>
        </w:rPr>
        <w:t>供应商</w:t>
      </w:r>
      <w:r>
        <w:rPr>
          <w:color w:val="000000" w:themeColor="text1"/>
          <w:sz w:val="21"/>
          <w:szCs w:val="21"/>
        </w:rPr>
        <w:t>未被列入“信用中国”网站(www.creditchina.gov.cn)</w:t>
      </w:r>
      <w:r>
        <w:rPr>
          <w:rFonts w:hint="eastAsia"/>
          <w:color w:val="000000" w:themeColor="text1"/>
          <w:sz w:val="21"/>
          <w:szCs w:val="21"/>
        </w:rPr>
        <w:t>以下任一记录名单之一：①记录失信被执行人；②重大税收违法案件当事人名单；③政府采购严重违法失信行为。同时，</w:t>
      </w:r>
      <w:r>
        <w:rPr>
          <w:color w:val="000000" w:themeColor="text1"/>
          <w:sz w:val="21"/>
          <w:szCs w:val="21"/>
        </w:rPr>
        <w:t>不处于中国政府采购网(www.ccgp.gov.cn)“政府采购严重违法失信行为信息记录”中的禁止参加政府采购活动期间。</w:t>
      </w:r>
      <w:r>
        <w:rPr>
          <w:rFonts w:hint="eastAsia"/>
          <w:color w:val="000000" w:themeColor="text1"/>
          <w:sz w:val="21"/>
          <w:szCs w:val="21"/>
        </w:rPr>
        <w:t>（以采购代理机构查询结果为准，如不符合的，不应参与本次政府采购活动，否则在查核后将被拒绝参与政府采购活动）</w:t>
      </w:r>
      <w:r>
        <w:rPr>
          <w:bCs/>
          <w:color w:val="000000" w:themeColor="text1"/>
          <w:sz w:val="21"/>
          <w:szCs w:val="21"/>
        </w:rPr>
        <w:t>。</w:t>
      </w:r>
    </w:p>
    <w:p>
      <w:pPr>
        <w:pStyle w:val="35"/>
        <w:widowControl w:val="0"/>
        <w:adjustRightInd w:val="0"/>
        <w:snapToGrid w:val="0"/>
        <w:spacing w:before="0" w:beforeAutospacing="0" w:after="0" w:afterAutospacing="0" w:line="360" w:lineRule="auto"/>
        <w:ind w:left="426"/>
        <w:jc w:val="both"/>
        <w:rPr>
          <w:color w:val="000000" w:themeColor="text1"/>
          <w:sz w:val="21"/>
          <w:szCs w:val="21"/>
        </w:rPr>
      </w:pPr>
      <w:r>
        <w:rPr>
          <w:rFonts w:hint="eastAsia"/>
          <w:color w:val="000000" w:themeColor="text1"/>
          <w:sz w:val="21"/>
          <w:szCs w:val="21"/>
        </w:rPr>
        <w:t>2）已办理报名并成功购买磋商文件的供应商参加投标的，不代表通过资格、符合性审查。</w:t>
      </w:r>
    </w:p>
    <w:p>
      <w:pPr>
        <w:pStyle w:val="35"/>
        <w:widowControl w:val="0"/>
        <w:wordWrap w:val="0"/>
        <w:adjustRightInd w:val="0"/>
        <w:snapToGrid w:val="0"/>
        <w:spacing w:before="0" w:beforeAutospacing="0" w:after="0" w:afterAutospacing="0" w:line="360" w:lineRule="auto"/>
        <w:ind w:left="425"/>
        <w:jc w:val="both"/>
        <w:rPr>
          <w:color w:val="000000" w:themeColor="text1"/>
          <w:sz w:val="21"/>
          <w:szCs w:val="21"/>
        </w:rPr>
      </w:pPr>
      <w:r>
        <w:rPr>
          <w:rFonts w:hint="eastAsia"/>
          <w:color w:val="000000" w:themeColor="text1"/>
          <w:sz w:val="21"/>
          <w:szCs w:val="21"/>
        </w:rPr>
        <w:t>3）已办理报名并成功购买磋商文件的供应商请登陆广东省政府采购网（http://www.gdgpo.gov.cn/）注册（相关事宜详见广东省政府采购网《关于做好供应商注册登记有关工作的通知》）。</w:t>
      </w:r>
    </w:p>
    <w:p>
      <w:pPr>
        <w:pStyle w:val="35"/>
        <w:widowControl w:val="0"/>
        <w:numPr>
          <w:ilvl w:val="0"/>
          <w:numId w:val="5"/>
        </w:numPr>
        <w:tabs>
          <w:tab w:val="left" w:pos="567"/>
          <w:tab w:val="clear" w:pos="1200"/>
        </w:tabs>
        <w:adjustRightInd w:val="0"/>
        <w:snapToGrid w:val="0"/>
        <w:spacing w:before="0" w:beforeAutospacing="0" w:after="0" w:afterAutospacing="0" w:line="360" w:lineRule="auto"/>
        <w:ind w:left="426"/>
        <w:jc w:val="both"/>
        <w:rPr>
          <w:bCs/>
          <w:color w:val="000000" w:themeColor="text1"/>
          <w:sz w:val="21"/>
          <w:szCs w:val="21"/>
        </w:rPr>
      </w:pPr>
      <w:r>
        <w:rPr>
          <w:rFonts w:hint="eastAsia"/>
          <w:color w:val="000000" w:themeColor="text1"/>
          <w:sz w:val="21"/>
          <w:szCs w:val="21"/>
        </w:rPr>
        <w:t>符合资格的供应商应当在</w:t>
      </w:r>
      <w:r>
        <w:rPr>
          <w:rFonts w:hint="eastAsia"/>
          <w:bCs/>
          <w:color w:val="000000" w:themeColor="text1"/>
          <w:sz w:val="21"/>
          <w:szCs w:val="21"/>
        </w:rPr>
        <w:t>2023年4月12日至2023年4月18日</w:t>
      </w:r>
      <w:r>
        <w:rPr>
          <w:rFonts w:hint="eastAsia"/>
          <w:color w:val="000000" w:themeColor="text1"/>
          <w:sz w:val="21"/>
          <w:szCs w:val="21"/>
        </w:rPr>
        <w:t>期间登录博罗县文化广电旅游体育局网站自主下载竞争性磋商文件。</w:t>
      </w:r>
    </w:p>
    <w:p>
      <w:pPr>
        <w:numPr>
          <w:ilvl w:val="0"/>
          <w:numId w:val="5"/>
        </w:numPr>
        <w:tabs>
          <w:tab w:val="left" w:pos="567"/>
          <w:tab w:val="clear" w:pos="1200"/>
        </w:tabs>
        <w:autoSpaceDE/>
        <w:autoSpaceDN/>
        <w:snapToGrid w:val="0"/>
        <w:spacing w:line="360" w:lineRule="auto"/>
        <w:ind w:left="426"/>
        <w:jc w:val="both"/>
        <w:rPr>
          <w:rFonts w:ascii="宋体" w:hAnsi="宋体"/>
          <w:color w:val="000000" w:themeColor="text1"/>
        </w:rPr>
      </w:pPr>
      <w:r>
        <w:rPr>
          <w:rFonts w:hint="eastAsia" w:ascii="宋体" w:hAnsi="宋体"/>
          <w:color w:val="000000" w:themeColor="text1"/>
        </w:rPr>
        <w:t>提交响应文件截止时间：</w:t>
      </w:r>
      <w:r>
        <w:rPr>
          <w:rFonts w:hint="eastAsia" w:ascii="宋体" w:hAnsi="宋体"/>
          <w:bCs/>
          <w:color w:val="000000" w:themeColor="text1"/>
        </w:rPr>
        <w:t>2023年4月18日23时59分。</w:t>
      </w:r>
    </w:p>
    <w:p>
      <w:pPr>
        <w:numPr>
          <w:ilvl w:val="0"/>
          <w:numId w:val="5"/>
        </w:numPr>
        <w:tabs>
          <w:tab w:val="left" w:pos="567"/>
          <w:tab w:val="clear" w:pos="1200"/>
        </w:tabs>
        <w:autoSpaceDE/>
        <w:autoSpaceDN/>
        <w:snapToGrid w:val="0"/>
        <w:spacing w:line="360" w:lineRule="auto"/>
        <w:ind w:left="426"/>
        <w:jc w:val="both"/>
        <w:rPr>
          <w:rFonts w:ascii="宋体" w:hAnsi="宋体"/>
          <w:color w:val="000000" w:themeColor="text1"/>
        </w:rPr>
      </w:pPr>
      <w:r>
        <w:rPr>
          <w:rFonts w:hint="eastAsia" w:ascii="宋体" w:hAnsi="宋体"/>
          <w:color w:val="000000" w:themeColor="text1"/>
        </w:rPr>
        <w:t>提交响应文件地点：博罗县文化广电旅游体育局博罗县业余体校（博罗县罗阳街道体育大道体育中心1号篮球\田径训练中心）</w:t>
      </w:r>
    </w:p>
    <w:p>
      <w:pPr>
        <w:numPr>
          <w:ilvl w:val="0"/>
          <w:numId w:val="5"/>
        </w:numPr>
        <w:tabs>
          <w:tab w:val="left" w:pos="567"/>
          <w:tab w:val="clear" w:pos="1200"/>
        </w:tabs>
        <w:autoSpaceDE/>
        <w:autoSpaceDN/>
        <w:snapToGrid w:val="0"/>
        <w:spacing w:line="360" w:lineRule="auto"/>
        <w:ind w:left="426"/>
        <w:jc w:val="both"/>
        <w:rPr>
          <w:rFonts w:ascii="宋体" w:hAnsi="宋体"/>
          <w:color w:val="000000" w:themeColor="text1"/>
        </w:rPr>
      </w:pPr>
      <w:r>
        <w:rPr>
          <w:rFonts w:hint="eastAsia" w:ascii="宋体" w:hAnsi="宋体"/>
          <w:color w:val="000000" w:themeColor="text1"/>
        </w:rPr>
        <w:t>磋商时间：2023年</w:t>
      </w:r>
      <w:r>
        <w:rPr>
          <w:rFonts w:hint="eastAsia" w:ascii="宋体" w:hAnsi="宋体"/>
          <w:bCs/>
          <w:color w:val="000000" w:themeColor="text1"/>
        </w:rPr>
        <w:t>4月19日9时00分。</w:t>
      </w:r>
    </w:p>
    <w:p>
      <w:pPr>
        <w:numPr>
          <w:ilvl w:val="0"/>
          <w:numId w:val="5"/>
        </w:numPr>
        <w:tabs>
          <w:tab w:val="left" w:pos="567"/>
          <w:tab w:val="clear" w:pos="1200"/>
        </w:tabs>
        <w:autoSpaceDE/>
        <w:autoSpaceDN/>
        <w:snapToGrid w:val="0"/>
        <w:spacing w:line="360" w:lineRule="auto"/>
        <w:ind w:left="426"/>
        <w:jc w:val="both"/>
        <w:rPr>
          <w:rFonts w:ascii="宋体" w:hAnsi="宋体"/>
          <w:color w:val="000000" w:themeColor="text1"/>
        </w:rPr>
      </w:pPr>
      <w:r>
        <w:rPr>
          <w:rFonts w:hint="eastAsia" w:ascii="宋体" w:hAnsi="宋体"/>
          <w:color w:val="000000" w:themeColor="text1"/>
        </w:rPr>
        <w:t>磋商地点：博罗县文化广电旅游体育局博罗县业余体育学校（博罗县罗阳街道体育大道体育中心1号篮球\田径训练中心）</w:t>
      </w:r>
    </w:p>
    <w:p>
      <w:pPr>
        <w:numPr>
          <w:ilvl w:val="0"/>
          <w:numId w:val="5"/>
        </w:numPr>
        <w:tabs>
          <w:tab w:val="left" w:pos="567"/>
          <w:tab w:val="clear" w:pos="1200"/>
        </w:tabs>
        <w:autoSpaceDE/>
        <w:autoSpaceDN/>
        <w:snapToGrid w:val="0"/>
        <w:spacing w:line="360" w:lineRule="auto"/>
        <w:ind w:left="426"/>
        <w:jc w:val="both"/>
        <w:rPr>
          <w:rFonts w:ascii="宋体" w:hAnsi="宋体"/>
          <w:color w:val="000000" w:themeColor="text1"/>
        </w:rPr>
      </w:pPr>
      <w:r>
        <w:rPr>
          <w:rFonts w:hint="eastAsia" w:ascii="宋体" w:hAnsi="宋体"/>
          <w:color w:val="000000" w:themeColor="text1"/>
        </w:rPr>
        <w:t>本公告期限自</w:t>
      </w:r>
      <w:r>
        <w:rPr>
          <w:rFonts w:hint="eastAsia" w:ascii="宋体" w:hAnsi="宋体"/>
          <w:bCs/>
          <w:color w:val="000000" w:themeColor="text1"/>
        </w:rPr>
        <w:t>2023年4月12日至2023年4月18日</w:t>
      </w:r>
      <w:r>
        <w:rPr>
          <w:rFonts w:hint="eastAsia" w:ascii="宋体" w:hAnsi="宋体"/>
          <w:color w:val="000000" w:themeColor="text1"/>
        </w:rPr>
        <w:t>止。</w:t>
      </w:r>
    </w:p>
    <w:p>
      <w:pPr>
        <w:numPr>
          <w:ilvl w:val="0"/>
          <w:numId w:val="5"/>
        </w:numPr>
        <w:tabs>
          <w:tab w:val="left" w:pos="425"/>
          <w:tab w:val="left" w:pos="567"/>
          <w:tab w:val="clear" w:pos="1200"/>
        </w:tabs>
        <w:autoSpaceDE/>
        <w:autoSpaceDN/>
        <w:snapToGrid w:val="0"/>
        <w:spacing w:line="360" w:lineRule="auto"/>
        <w:ind w:left="426"/>
        <w:jc w:val="both"/>
        <w:rPr>
          <w:rFonts w:ascii="宋体" w:hAnsi="宋体"/>
          <w:color w:val="000000" w:themeColor="text1"/>
        </w:rPr>
      </w:pPr>
      <w:r>
        <w:rPr>
          <w:rFonts w:ascii="宋体" w:hAnsi="宋体"/>
          <w:color w:val="000000" w:themeColor="text1"/>
        </w:rPr>
        <w:t>联系</w:t>
      </w:r>
      <w:r>
        <w:rPr>
          <w:rFonts w:hint="eastAsia" w:ascii="宋体" w:hAnsi="宋体"/>
          <w:color w:val="000000" w:themeColor="text1"/>
        </w:rPr>
        <w:t>事项：</w:t>
      </w:r>
    </w:p>
    <w:p>
      <w:pPr>
        <w:pStyle w:val="69"/>
        <w:numPr>
          <w:ilvl w:val="3"/>
          <w:numId w:val="0"/>
        </w:numPr>
        <w:spacing w:line="360" w:lineRule="auto"/>
        <w:ind w:firstLine="630" w:firstLineChars="300"/>
        <w:rPr>
          <w:rFonts w:ascii="宋体" w:hAnsi="宋体"/>
          <w:bCs/>
          <w:color w:val="000000" w:themeColor="text1"/>
          <w:szCs w:val="21"/>
        </w:rPr>
      </w:pPr>
      <w:r>
        <w:rPr>
          <w:rFonts w:hint="eastAsia" w:ascii="宋体" w:hAnsi="宋体"/>
          <w:color w:val="000000" w:themeColor="text1"/>
          <w:szCs w:val="21"/>
        </w:rPr>
        <w:t>采购人：</w:t>
      </w:r>
      <w:r>
        <w:rPr>
          <w:rFonts w:hint="eastAsia" w:ascii="宋体" w:hAnsi="宋体"/>
          <w:bCs/>
          <w:color w:val="000000" w:themeColor="text1"/>
          <w:szCs w:val="21"/>
        </w:rPr>
        <w:t>博罗县文化广电旅游体育局</w:t>
      </w:r>
    </w:p>
    <w:p>
      <w:pPr>
        <w:pStyle w:val="69"/>
        <w:numPr>
          <w:ilvl w:val="3"/>
          <w:numId w:val="0"/>
        </w:numPr>
        <w:spacing w:line="360" w:lineRule="auto"/>
        <w:ind w:firstLine="630" w:firstLineChars="300"/>
        <w:rPr>
          <w:rFonts w:ascii="宋体" w:hAnsi="宋体"/>
          <w:bCs/>
          <w:color w:val="000000" w:themeColor="text1"/>
          <w:szCs w:val="21"/>
        </w:rPr>
      </w:pPr>
      <w:r>
        <w:rPr>
          <w:rFonts w:hint="eastAsia" w:ascii="宋体" w:hAnsi="宋体"/>
          <w:bCs/>
          <w:color w:val="000000" w:themeColor="text1"/>
          <w:szCs w:val="21"/>
        </w:rPr>
        <w:t>地址：惠州市博罗县体育中心</w:t>
      </w:r>
    </w:p>
    <w:p>
      <w:pPr>
        <w:pStyle w:val="69"/>
        <w:numPr>
          <w:ilvl w:val="3"/>
          <w:numId w:val="0"/>
        </w:numPr>
        <w:spacing w:line="360" w:lineRule="auto"/>
        <w:ind w:firstLine="630" w:firstLineChars="300"/>
        <w:rPr>
          <w:rFonts w:ascii="宋体" w:hAnsi="宋体"/>
          <w:bCs/>
          <w:color w:val="000000" w:themeColor="text1"/>
          <w:szCs w:val="21"/>
        </w:rPr>
      </w:pPr>
      <w:r>
        <w:rPr>
          <w:rFonts w:hint="eastAsia" w:ascii="宋体" w:hAnsi="宋体"/>
          <w:bCs/>
          <w:color w:val="000000" w:themeColor="text1"/>
          <w:szCs w:val="21"/>
        </w:rPr>
        <w:t>联系人：吴女士</w:t>
      </w:r>
    </w:p>
    <w:p>
      <w:pPr>
        <w:pStyle w:val="69"/>
        <w:numPr>
          <w:ilvl w:val="3"/>
          <w:numId w:val="0"/>
        </w:numPr>
        <w:spacing w:line="360" w:lineRule="auto"/>
        <w:ind w:firstLine="630" w:firstLineChars="300"/>
        <w:rPr>
          <w:rFonts w:ascii="宋体" w:hAnsi="宋体"/>
          <w:bCs/>
          <w:color w:val="000000" w:themeColor="text1"/>
          <w:szCs w:val="21"/>
        </w:rPr>
      </w:pPr>
      <w:r>
        <w:rPr>
          <w:rFonts w:hint="eastAsia" w:ascii="宋体" w:hAnsi="宋体"/>
          <w:bCs/>
          <w:color w:val="000000" w:themeColor="text1"/>
          <w:szCs w:val="21"/>
        </w:rPr>
        <w:t>联系电话：0752-6299638</w:t>
      </w:r>
    </w:p>
    <w:p>
      <w:pPr>
        <w:pStyle w:val="69"/>
        <w:numPr>
          <w:ilvl w:val="3"/>
          <w:numId w:val="0"/>
        </w:numPr>
        <w:spacing w:line="360" w:lineRule="auto"/>
        <w:ind w:firstLine="630" w:firstLineChars="300"/>
        <w:rPr>
          <w:rFonts w:ascii="宋体" w:hAnsi="宋体"/>
          <w:bCs/>
          <w:color w:val="000000" w:themeColor="text1"/>
          <w:szCs w:val="21"/>
        </w:rPr>
      </w:pPr>
      <w:r>
        <w:rPr>
          <w:rFonts w:hint="eastAsia" w:ascii="宋体" w:hAnsi="宋体"/>
          <w:bCs/>
          <w:color w:val="000000" w:themeColor="text1"/>
          <w:szCs w:val="21"/>
        </w:rPr>
        <w:t>邮编：516100</w:t>
      </w:r>
    </w:p>
    <w:p>
      <w:pPr>
        <w:pStyle w:val="69"/>
        <w:numPr>
          <w:ilvl w:val="0"/>
          <w:numId w:val="0"/>
        </w:numPr>
        <w:snapToGrid w:val="0"/>
        <w:spacing w:line="360" w:lineRule="auto"/>
        <w:ind w:left="720" w:firstLine="554" w:firstLineChars="264"/>
        <w:rPr>
          <w:rFonts w:ascii="宋体" w:hAnsi="宋体"/>
          <w:color w:val="000000" w:themeColor="text1"/>
          <w:szCs w:val="21"/>
        </w:rPr>
      </w:pPr>
    </w:p>
    <w:p>
      <w:pPr>
        <w:snapToGrid w:val="0"/>
        <w:spacing w:line="360" w:lineRule="auto"/>
        <w:ind w:firstLine="420" w:firstLineChars="200"/>
        <w:rPr>
          <w:rFonts w:ascii="宋体" w:hAnsi="宋体"/>
          <w:color w:val="000000" w:themeColor="text1"/>
        </w:rPr>
      </w:pPr>
      <w:r>
        <w:rPr>
          <w:rFonts w:hint="eastAsia" w:ascii="宋体" w:hAnsi="宋体"/>
          <w:color w:val="000000" w:themeColor="text1"/>
        </w:rPr>
        <w:t>附件：1.委托代理协议</w:t>
      </w:r>
    </w:p>
    <w:p>
      <w:pPr>
        <w:snapToGrid w:val="0"/>
        <w:spacing w:line="360" w:lineRule="auto"/>
        <w:ind w:firstLine="426"/>
        <w:rPr>
          <w:rFonts w:ascii="宋体" w:hAnsi="宋体"/>
          <w:color w:val="000000" w:themeColor="text1"/>
        </w:rPr>
      </w:pPr>
      <w:r>
        <w:rPr>
          <w:rFonts w:hint="eastAsia" w:ascii="宋体" w:hAnsi="宋体"/>
          <w:color w:val="000000" w:themeColor="text1"/>
        </w:rPr>
        <w:t xml:space="preserve">      2.竞争性磋商文件</w:t>
      </w:r>
    </w:p>
    <w:p>
      <w:pPr>
        <w:tabs>
          <w:tab w:val="right" w:pos="9180"/>
        </w:tabs>
        <w:snapToGrid w:val="0"/>
        <w:spacing w:line="360" w:lineRule="auto"/>
        <w:ind w:firstLine="435"/>
        <w:jc w:val="right"/>
        <w:rPr>
          <w:rFonts w:ascii="宋体" w:hAnsi="宋体"/>
          <w:b/>
          <w:color w:val="000000" w:themeColor="text1"/>
        </w:rPr>
      </w:pPr>
      <w:r>
        <w:rPr>
          <w:rFonts w:hint="eastAsia" w:ascii="宋体" w:hAnsi="宋体"/>
          <w:b/>
          <w:color w:val="000000" w:themeColor="text1"/>
        </w:rPr>
        <w:t>发布人：博罗县文化广电旅游体育局</w:t>
      </w:r>
    </w:p>
    <w:p>
      <w:pPr>
        <w:wordWrap w:val="0"/>
        <w:snapToGrid w:val="0"/>
        <w:spacing w:line="360" w:lineRule="auto"/>
        <w:ind w:firstLine="435"/>
        <w:jc w:val="right"/>
        <w:rPr>
          <w:rFonts w:ascii="宋体" w:hAnsi="宋体"/>
          <w:b/>
          <w:color w:val="000000" w:themeColor="text1"/>
        </w:rPr>
      </w:pPr>
      <w:r>
        <w:rPr>
          <w:rFonts w:hint="eastAsia" w:ascii="宋体" w:hAnsi="宋体"/>
          <w:b/>
          <w:color w:val="000000" w:themeColor="text1"/>
        </w:rPr>
        <w:t>发布时间：2023年4月12日</w:t>
      </w:r>
    </w:p>
    <w:p>
      <w:pPr>
        <w:pStyle w:val="36"/>
        <w:rPr>
          <w:color w:val="000000" w:themeColor="text1"/>
        </w:rPr>
      </w:pPr>
      <w:r>
        <w:rPr>
          <w:rFonts w:ascii="宋体" w:hAnsi="宋体"/>
          <w:b w:val="0"/>
          <w:color w:val="000000" w:themeColor="text1"/>
          <w:sz w:val="21"/>
          <w:szCs w:val="21"/>
        </w:rPr>
        <w:br w:type="page"/>
      </w:r>
      <w:bookmarkStart w:id="2" w:name="_Toc416771319"/>
      <w:bookmarkStart w:id="3" w:name="_Toc523168277"/>
      <w:bookmarkStart w:id="4" w:name="_Toc410736129"/>
      <w:bookmarkStart w:id="5" w:name="_Toc416770209"/>
      <w:r>
        <w:rPr>
          <w:color w:val="000000" w:themeColor="text1"/>
        </w:rPr>
        <w:t>第</w:t>
      </w:r>
      <w:r>
        <w:rPr>
          <w:rFonts w:hint="eastAsia"/>
          <w:color w:val="000000" w:themeColor="text1"/>
        </w:rPr>
        <w:t>二</w:t>
      </w:r>
      <w:r>
        <w:rPr>
          <w:color w:val="000000" w:themeColor="text1"/>
        </w:rPr>
        <w:t>章  磋商资料表</w:t>
      </w:r>
      <w:bookmarkEnd w:id="2"/>
      <w:bookmarkEnd w:id="3"/>
      <w:bookmarkEnd w:id="4"/>
      <w:bookmarkEnd w:id="5"/>
    </w:p>
    <w:p>
      <w:pPr>
        <w:spacing w:line="360" w:lineRule="auto"/>
        <w:ind w:left="283" w:leftChars="135" w:right="-1" w:firstLine="340" w:firstLineChars="162"/>
        <w:rPr>
          <w:color w:val="000000" w:themeColor="text1"/>
        </w:rPr>
      </w:pPr>
      <w:r>
        <w:rPr>
          <w:rFonts w:hint="eastAsia"/>
          <w:color w:val="000000" w:themeColor="text1"/>
        </w:rPr>
        <w:t>该资料表的条款项号是与第七章《磋商须知》条款项号对应的，或增加的条款，是对第七章《磋商须知》的补充、修改和完善，如果有矛盾的话，应以本资料表为准。</w:t>
      </w:r>
    </w:p>
    <w:tbl>
      <w:tblPr>
        <w:tblStyle w:val="38"/>
        <w:tblW w:w="99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pPr>
              <w:snapToGrid w:val="0"/>
              <w:spacing w:line="360" w:lineRule="auto"/>
              <w:jc w:val="center"/>
              <w:rPr>
                <w:rFonts w:ascii="宋体" w:hAnsi="宋体"/>
                <w:color w:val="000000" w:themeColor="text1"/>
              </w:rPr>
            </w:pPr>
            <w:r>
              <w:rPr>
                <w:rFonts w:ascii="宋体" w:hAnsi="宋体"/>
                <w:color w:val="000000" w:themeColor="text1"/>
              </w:rPr>
              <w:t>条款</w:t>
            </w:r>
            <w:r>
              <w:rPr>
                <w:rFonts w:hint="eastAsia" w:ascii="宋体" w:hAnsi="宋体"/>
                <w:color w:val="000000" w:themeColor="text1"/>
              </w:rPr>
              <w:t>项号</w:t>
            </w:r>
          </w:p>
        </w:tc>
        <w:tc>
          <w:tcPr>
            <w:tcW w:w="8753" w:type="dxa"/>
            <w:vAlign w:val="center"/>
          </w:tcPr>
          <w:p>
            <w:pPr>
              <w:snapToGrid w:val="0"/>
              <w:spacing w:line="360" w:lineRule="auto"/>
              <w:jc w:val="center"/>
              <w:rPr>
                <w:rFonts w:ascii="宋体" w:hAnsi="宋体"/>
                <w:b/>
                <w:color w:val="000000" w:themeColor="text1"/>
              </w:rPr>
            </w:pPr>
            <w:r>
              <w:rPr>
                <w:rFonts w:ascii="宋体" w:hAnsi="宋体"/>
                <w:b/>
                <w:color w:val="000000" w:themeColor="text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b/>
                <w:color w:val="000000" w:themeColor="text1"/>
              </w:rPr>
            </w:pPr>
            <w:r>
              <w:rPr>
                <w:rFonts w:ascii="宋体" w:hAnsi="宋体"/>
                <w:b/>
                <w:color w:val="000000" w:themeColor="text1"/>
              </w:rPr>
              <w:t>一、说明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4" w:type="dxa"/>
            <w:shd w:val="clear" w:color="auto" w:fill="auto"/>
            <w:vAlign w:val="center"/>
          </w:tcPr>
          <w:p>
            <w:pPr>
              <w:snapToGrid w:val="0"/>
              <w:spacing w:line="360" w:lineRule="auto"/>
              <w:jc w:val="center"/>
              <w:rPr>
                <w:rFonts w:ascii="宋体" w:hAnsi="宋体"/>
                <w:color w:val="000000" w:themeColor="text1"/>
              </w:rPr>
            </w:pPr>
            <w:r>
              <w:rPr>
                <w:rFonts w:ascii="宋体" w:hAnsi="宋体"/>
                <w:color w:val="000000" w:themeColor="text1"/>
              </w:rPr>
              <w:t>2.</w:t>
            </w:r>
            <w:r>
              <w:rPr>
                <w:rFonts w:hint="eastAsia" w:ascii="宋体" w:hAnsi="宋体"/>
                <w:color w:val="000000" w:themeColor="text1"/>
              </w:rPr>
              <w:t>2</w:t>
            </w:r>
          </w:p>
        </w:tc>
        <w:tc>
          <w:tcPr>
            <w:tcW w:w="8753" w:type="dxa"/>
            <w:vAlign w:val="center"/>
          </w:tcPr>
          <w:p>
            <w:pPr>
              <w:snapToGrid w:val="0"/>
              <w:spacing w:line="360" w:lineRule="auto"/>
              <w:rPr>
                <w:rFonts w:ascii="宋体" w:hAnsi="宋体"/>
                <w:color w:val="000000" w:themeColor="text1"/>
              </w:rPr>
            </w:pPr>
            <w:r>
              <w:rPr>
                <w:rFonts w:ascii="宋体" w:hAnsi="宋体"/>
                <w:color w:val="000000" w:themeColor="text1"/>
              </w:rPr>
              <w:t>采购人名称：</w:t>
            </w:r>
            <w:r>
              <w:rPr>
                <w:rFonts w:hint="eastAsia" w:ascii="宋体" w:hAnsi="宋体"/>
                <w:color w:val="000000" w:themeColor="text1"/>
                <w:kern w:val="28"/>
              </w:rPr>
              <w:t>博罗县文化广电旅游体育局</w:t>
            </w:r>
          </w:p>
          <w:p>
            <w:pPr>
              <w:snapToGrid w:val="0"/>
              <w:spacing w:line="360" w:lineRule="auto"/>
              <w:rPr>
                <w:rFonts w:ascii="宋体" w:hAnsi="宋体" w:cs="宋体"/>
                <w:color w:val="000000" w:themeColor="text1"/>
              </w:rPr>
            </w:pPr>
            <w:r>
              <w:rPr>
                <w:rFonts w:hint="eastAsia" w:ascii="宋体" w:hAnsi="宋体" w:cs="宋体"/>
                <w:color w:val="000000" w:themeColor="text1"/>
              </w:rPr>
              <w:t>资金来源：财政性资金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917" w:type="dxa"/>
            <w:gridSpan w:val="2"/>
            <w:vAlign w:val="center"/>
          </w:tcPr>
          <w:p>
            <w:pPr>
              <w:snapToGrid w:val="0"/>
              <w:spacing w:line="360" w:lineRule="auto"/>
              <w:jc w:val="center"/>
              <w:rPr>
                <w:rFonts w:ascii="宋体" w:hAnsi="宋体"/>
                <w:color w:val="000000" w:themeColor="text1"/>
              </w:rPr>
            </w:pPr>
            <w:r>
              <w:rPr>
                <w:rFonts w:hint="eastAsia" w:ascii="宋体" w:hAnsi="宋体"/>
                <w:b/>
                <w:color w:val="000000" w:themeColor="text1"/>
              </w:rPr>
              <w:t>二、竞争性磋商文件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9</w:t>
            </w:r>
            <w:r>
              <w:rPr>
                <w:rFonts w:ascii="宋体" w:hAnsi="宋体"/>
                <w:color w:val="000000" w:themeColor="text1"/>
              </w:rPr>
              <w:t>.</w:t>
            </w:r>
            <w:r>
              <w:rPr>
                <w:rFonts w:hint="eastAsia" w:ascii="宋体" w:hAnsi="宋体"/>
                <w:color w:val="000000" w:themeColor="text1"/>
              </w:rPr>
              <w:t>1</w:t>
            </w:r>
          </w:p>
        </w:tc>
        <w:tc>
          <w:tcPr>
            <w:tcW w:w="8753" w:type="dxa"/>
            <w:vAlign w:val="center"/>
          </w:tcPr>
          <w:p>
            <w:pPr>
              <w:snapToGrid w:val="0"/>
              <w:spacing w:line="360" w:lineRule="auto"/>
              <w:rPr>
                <w:rFonts w:ascii="宋体" w:hAnsi="宋体"/>
                <w:color w:val="000000" w:themeColor="text1"/>
              </w:rPr>
            </w:pPr>
            <w:r>
              <w:rPr>
                <w:rFonts w:hint="eastAsia" w:ascii="宋体" w:hAnsi="宋体"/>
                <w:color w:val="000000" w:themeColor="text1"/>
              </w:rPr>
              <w:t>现场考察或磋商前答疑会：不举行。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917" w:type="dxa"/>
            <w:gridSpan w:val="2"/>
            <w:vAlign w:val="center"/>
          </w:tcPr>
          <w:p>
            <w:pPr>
              <w:snapToGrid w:val="0"/>
              <w:spacing w:line="360" w:lineRule="auto"/>
              <w:jc w:val="center"/>
              <w:rPr>
                <w:rFonts w:ascii="宋体" w:hAnsi="宋体"/>
                <w:b/>
                <w:color w:val="000000" w:themeColor="text1"/>
              </w:rPr>
            </w:pPr>
            <w:r>
              <w:rPr>
                <w:rFonts w:ascii="宋体" w:hAnsi="宋体"/>
                <w:b/>
                <w:color w:val="000000" w:themeColor="text1"/>
              </w:rPr>
              <w:t>三、响应文件的编制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tcBorders>
              <w:bottom w:val="single" w:color="auto" w:sz="4" w:space="0"/>
            </w:tcBorders>
            <w:vAlign w:val="center"/>
          </w:tcPr>
          <w:p>
            <w:pPr>
              <w:spacing w:line="360" w:lineRule="auto"/>
              <w:jc w:val="center"/>
              <w:rPr>
                <w:rFonts w:ascii="宋体" w:hAnsi="宋体"/>
                <w:color w:val="000000" w:themeColor="text1"/>
                <w:highlight w:val="yellow"/>
              </w:rPr>
            </w:pPr>
            <w:r>
              <w:rPr>
                <w:rFonts w:hint="eastAsia" w:ascii="宋体" w:hAnsi="宋体"/>
                <w:color w:val="000000" w:themeColor="text1"/>
              </w:rPr>
              <w:t>13.2</w:t>
            </w:r>
          </w:p>
        </w:tc>
        <w:tc>
          <w:tcPr>
            <w:tcW w:w="8753" w:type="dxa"/>
            <w:tcBorders>
              <w:bottom w:val="single" w:color="auto" w:sz="4" w:space="0"/>
            </w:tcBorders>
            <w:vAlign w:val="center"/>
          </w:tcPr>
          <w:p>
            <w:pPr>
              <w:snapToGrid w:val="0"/>
              <w:spacing w:line="360" w:lineRule="auto"/>
              <w:rPr>
                <w:rFonts w:ascii="宋体" w:hAnsi="宋体" w:cs="宋体"/>
                <w:color w:val="000000" w:themeColor="text1"/>
              </w:rPr>
            </w:pPr>
            <w:r>
              <w:rPr>
                <w:rFonts w:hint="eastAsia" w:ascii="宋体" w:hAnsi="宋体" w:cs="宋体"/>
                <w:color w:val="000000" w:themeColor="text1"/>
                <w:lang w:eastAsia="zh-TW"/>
              </w:rPr>
              <w:t>报价中不得包含</w:t>
            </w:r>
            <w:r>
              <w:rPr>
                <w:rFonts w:hint="eastAsia" w:ascii="宋体" w:hAnsi="宋体" w:cs="宋体"/>
                <w:color w:val="000000" w:themeColor="text1"/>
              </w:rPr>
              <w:t>磋商</w:t>
            </w:r>
            <w:r>
              <w:rPr>
                <w:rFonts w:hint="eastAsia" w:ascii="宋体" w:hAnsi="宋体" w:cs="宋体"/>
                <w:color w:val="000000" w:themeColor="text1"/>
                <w:lang w:eastAsia="zh-TW"/>
              </w:rPr>
              <w:t>文件要求以外的内容，否则，在评标时不予核减。若</w:t>
            </w:r>
            <w:r>
              <w:rPr>
                <w:rFonts w:hint="eastAsia" w:ascii="宋体" w:hAnsi="宋体" w:cs="宋体"/>
                <w:color w:val="000000" w:themeColor="text1"/>
              </w:rPr>
              <w:t>针对本项目服务</w:t>
            </w:r>
            <w:r>
              <w:rPr>
                <w:rFonts w:hint="eastAsia" w:ascii="宋体" w:hAnsi="宋体" w:cs="宋体"/>
                <w:color w:val="000000" w:themeColor="text1"/>
                <w:lang w:eastAsia="zh-TW"/>
              </w:rPr>
              <w:t>报价有缺漏项的，缺漏项部分的价格视为已包含在报价中，</w:t>
            </w:r>
            <w:r>
              <w:rPr>
                <w:rFonts w:hint="eastAsia" w:ascii="宋体" w:hAnsi="宋体" w:cs="宋体"/>
                <w:color w:val="000000" w:themeColor="text1"/>
              </w:rPr>
              <w:t>成交</w:t>
            </w:r>
            <w:r>
              <w:rPr>
                <w:rFonts w:hint="eastAsia" w:ascii="宋体" w:hAnsi="宋体" w:cs="宋体"/>
                <w:color w:val="000000" w:themeColor="text1"/>
                <w:lang w:eastAsia="zh-TW"/>
              </w:rPr>
              <w:t>后不作任何调整</w:t>
            </w:r>
            <w:r>
              <w:rPr>
                <w:rFonts w:hint="eastAsia" w:ascii="宋体" w:hAnsi="宋体" w:cs="宋体"/>
                <w:color w:val="000000" w:themeColor="text1"/>
              </w:rPr>
              <w:t>。成交人需按照磋商文件要求提供货物或服务</w:t>
            </w:r>
            <w:r>
              <w:rPr>
                <w:rFonts w:hint="eastAsia" w:ascii="宋体" w:hAnsi="宋体" w:cs="宋体"/>
                <w:color w:val="000000" w:themeColor="text1"/>
                <w:lang w:eastAsia="zh-T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tcBorders>
              <w:bottom w:val="single" w:color="auto" w:sz="4" w:space="0"/>
            </w:tcBorders>
            <w:vAlign w:val="center"/>
          </w:tcPr>
          <w:p>
            <w:pPr>
              <w:spacing w:line="360" w:lineRule="auto"/>
              <w:jc w:val="center"/>
              <w:rPr>
                <w:rFonts w:ascii="宋体" w:hAnsi="宋体"/>
                <w:dstrike/>
                <w:color w:val="000000" w:themeColor="text1"/>
                <w:em w:val="dot"/>
              </w:rPr>
            </w:pPr>
            <w:r>
              <w:rPr>
                <w:rFonts w:ascii="宋体" w:hAnsi="宋体"/>
                <w:color w:val="000000" w:themeColor="text1"/>
              </w:rPr>
              <w:t>1</w:t>
            </w:r>
            <w:r>
              <w:rPr>
                <w:rFonts w:hint="eastAsia" w:ascii="宋体" w:hAnsi="宋体"/>
                <w:color w:val="000000" w:themeColor="text1"/>
              </w:rPr>
              <w:t>3.2.1</w:t>
            </w:r>
          </w:p>
        </w:tc>
        <w:tc>
          <w:tcPr>
            <w:tcW w:w="8753" w:type="dxa"/>
            <w:tcBorders>
              <w:bottom w:val="single" w:color="auto" w:sz="4" w:space="0"/>
            </w:tcBorders>
            <w:vAlign w:val="center"/>
          </w:tcPr>
          <w:p>
            <w:pPr>
              <w:snapToGrid w:val="0"/>
              <w:spacing w:line="360" w:lineRule="auto"/>
              <w:ind w:left="210" w:hanging="210"/>
              <w:rPr>
                <w:rFonts w:ascii="宋体" w:hAnsi="宋体"/>
                <w:color w:val="000000" w:themeColor="text1"/>
              </w:rPr>
            </w:pPr>
            <w:r>
              <w:rPr>
                <w:rFonts w:hint="eastAsia" w:ascii="宋体" w:hAnsi="宋体"/>
                <w:color w:val="000000" w:themeColor="text1"/>
              </w:rPr>
              <w:t>（境外货物）</w:t>
            </w:r>
            <w:r>
              <w:rPr>
                <w:rFonts w:hint="eastAsia" w:ascii="宋体" w:hAnsi="宋体" w:cs="宋体"/>
                <w:color w:val="000000" w:themeColor="text1"/>
                <w:lang w:val="zh-CN"/>
              </w:rPr>
              <w:t>进口环节关税和增值税：无。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tcBorders>
              <w:bottom w:val="single" w:color="auto" w:sz="4" w:space="0"/>
            </w:tcBorders>
            <w:vAlign w:val="center"/>
          </w:tcPr>
          <w:p>
            <w:pPr>
              <w:snapToGrid w:val="0"/>
              <w:spacing w:line="360" w:lineRule="auto"/>
              <w:jc w:val="center"/>
              <w:rPr>
                <w:rFonts w:ascii="宋体" w:hAnsi="宋体"/>
                <w:color w:val="000000" w:themeColor="text1"/>
              </w:rPr>
            </w:pPr>
            <w:r>
              <w:rPr>
                <w:rFonts w:ascii="宋体" w:hAnsi="宋体"/>
                <w:color w:val="000000" w:themeColor="text1"/>
              </w:rPr>
              <w:t>1</w:t>
            </w:r>
            <w:r>
              <w:rPr>
                <w:rFonts w:hint="eastAsia" w:ascii="宋体" w:hAnsi="宋体"/>
                <w:color w:val="000000" w:themeColor="text1"/>
              </w:rPr>
              <w:t>3.3</w:t>
            </w:r>
          </w:p>
        </w:tc>
        <w:tc>
          <w:tcPr>
            <w:tcW w:w="8753" w:type="dxa"/>
            <w:tcBorders>
              <w:bottom w:val="single" w:color="auto" w:sz="4" w:space="0"/>
            </w:tcBorders>
            <w:vAlign w:val="center"/>
          </w:tcPr>
          <w:p>
            <w:pPr>
              <w:snapToGrid w:val="0"/>
              <w:spacing w:line="360" w:lineRule="auto"/>
              <w:rPr>
                <w:rFonts w:ascii="宋体" w:hAnsi="宋体"/>
                <w:color w:val="000000" w:themeColor="text1"/>
              </w:rPr>
            </w:pPr>
            <w:r>
              <w:rPr>
                <w:rFonts w:hint="eastAsia" w:ascii="宋体" w:hAnsi="宋体"/>
                <w:color w:val="000000" w:themeColor="text1"/>
              </w:rPr>
              <w:t>响应供应商所报的投标价在合同执行过程中是固定不变的，不得以任何理由予以变更。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13.4</w:t>
            </w:r>
          </w:p>
        </w:tc>
        <w:tc>
          <w:tcPr>
            <w:tcW w:w="8753" w:type="dxa"/>
            <w:shd w:val="clear" w:color="auto" w:fill="auto"/>
            <w:vAlign w:val="center"/>
          </w:tcPr>
          <w:p>
            <w:pPr>
              <w:snapToGrid w:val="0"/>
              <w:spacing w:line="360" w:lineRule="auto"/>
              <w:rPr>
                <w:rFonts w:ascii="宋体" w:hAnsi="宋体"/>
                <w:color w:val="000000" w:themeColor="text1"/>
              </w:rPr>
            </w:pPr>
            <w:r>
              <w:rPr>
                <w:rFonts w:hint="eastAsia" w:ascii="宋体" w:hAnsi="宋体"/>
                <w:color w:val="000000" w:themeColor="text1"/>
              </w:rPr>
              <w:t>不允许有备选方案。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13.5</w:t>
            </w:r>
          </w:p>
        </w:tc>
        <w:tc>
          <w:tcPr>
            <w:tcW w:w="8753" w:type="dxa"/>
            <w:shd w:val="clear" w:color="auto" w:fill="auto"/>
            <w:vAlign w:val="center"/>
          </w:tcPr>
          <w:p>
            <w:pPr>
              <w:snapToGrid w:val="0"/>
              <w:spacing w:line="360" w:lineRule="auto"/>
              <w:rPr>
                <w:rFonts w:ascii="宋体" w:hAnsi="宋体"/>
                <w:color w:val="000000" w:themeColor="text1"/>
              </w:rPr>
            </w:pPr>
            <w:r>
              <w:rPr>
                <w:rFonts w:hint="eastAsia" w:ascii="宋体" w:hAnsi="宋体"/>
                <w:color w:val="000000" w:themeColor="text1"/>
              </w:rPr>
              <w:t>不允许附加条件报价。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19</w:t>
            </w:r>
            <w:r>
              <w:rPr>
                <w:rFonts w:ascii="宋体" w:hAnsi="宋体"/>
                <w:color w:val="000000" w:themeColor="text1"/>
              </w:rPr>
              <w:t>.1</w:t>
            </w:r>
          </w:p>
        </w:tc>
        <w:tc>
          <w:tcPr>
            <w:tcW w:w="8753" w:type="dxa"/>
            <w:vAlign w:val="center"/>
          </w:tcPr>
          <w:p>
            <w:pPr>
              <w:snapToGrid w:val="0"/>
              <w:spacing w:line="360" w:lineRule="auto"/>
              <w:rPr>
                <w:rFonts w:ascii="宋体" w:hAnsi="宋体"/>
                <w:color w:val="000000" w:themeColor="text1"/>
              </w:rPr>
            </w:pPr>
            <w:r>
              <w:rPr>
                <w:rFonts w:ascii="宋体" w:hAnsi="宋体"/>
                <w:color w:val="000000" w:themeColor="text1"/>
              </w:rPr>
              <w:t>磋商有效期：90天</w:t>
            </w:r>
            <w:r>
              <w:rPr>
                <w:rFonts w:hint="eastAsia" w:ascii="宋体" w:hAnsi="宋体"/>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20</w:t>
            </w:r>
            <w:r>
              <w:rPr>
                <w:rFonts w:ascii="宋体" w:hAnsi="宋体"/>
                <w:color w:val="000000" w:themeColor="text1"/>
              </w:rPr>
              <w:t>.1</w:t>
            </w:r>
          </w:p>
        </w:tc>
        <w:tc>
          <w:tcPr>
            <w:tcW w:w="8753" w:type="dxa"/>
            <w:vAlign w:val="center"/>
          </w:tcPr>
          <w:p>
            <w:pPr>
              <w:snapToGrid w:val="0"/>
              <w:spacing w:line="360" w:lineRule="auto"/>
              <w:rPr>
                <w:rFonts w:ascii="宋体" w:hAnsi="宋体"/>
                <w:color w:val="000000" w:themeColor="text1"/>
              </w:rPr>
            </w:pPr>
            <w:r>
              <w:rPr>
                <w:rFonts w:ascii="宋体" w:hAnsi="宋体"/>
                <w:color w:val="000000" w:themeColor="text1"/>
              </w:rPr>
              <w:t>响应文件份数：正本一份，副本</w:t>
            </w:r>
            <w:r>
              <w:rPr>
                <w:rFonts w:hint="eastAsia" w:ascii="宋体" w:hAnsi="宋体"/>
                <w:color w:val="000000" w:themeColor="text1"/>
              </w:rPr>
              <w:t>三</w:t>
            </w:r>
            <w:r>
              <w:rPr>
                <w:rFonts w:ascii="宋体" w:hAnsi="宋体"/>
                <w:color w:val="000000" w:themeColor="text1"/>
              </w:rPr>
              <w:t>份，电子文件</w:t>
            </w:r>
            <w:r>
              <w:rPr>
                <w:rFonts w:hint="eastAsia" w:ascii="宋体" w:hAnsi="宋体"/>
                <w:color w:val="000000" w:themeColor="text1"/>
              </w:rPr>
              <w:t>一</w:t>
            </w:r>
            <w:r>
              <w:rPr>
                <w:rFonts w:ascii="宋体" w:hAnsi="宋体"/>
                <w:color w:val="000000" w:themeColor="text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b/>
                <w:color w:val="000000" w:themeColor="text1"/>
              </w:rPr>
            </w:pPr>
            <w:r>
              <w:rPr>
                <w:rFonts w:ascii="宋体" w:hAnsi="宋体"/>
                <w:b/>
                <w:color w:val="000000" w:themeColor="text1"/>
              </w:rPr>
              <w:t>四、响应文件的递交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22</w:t>
            </w:r>
            <w:r>
              <w:rPr>
                <w:rFonts w:ascii="宋体" w:hAnsi="宋体"/>
                <w:color w:val="000000" w:themeColor="text1"/>
              </w:rPr>
              <w:t>.1</w:t>
            </w:r>
          </w:p>
        </w:tc>
        <w:tc>
          <w:tcPr>
            <w:tcW w:w="8753" w:type="dxa"/>
            <w:vAlign w:val="center"/>
          </w:tcPr>
          <w:p>
            <w:pPr>
              <w:snapToGrid w:val="0"/>
              <w:spacing w:line="360" w:lineRule="auto"/>
              <w:rPr>
                <w:rFonts w:ascii="宋体" w:hAnsi="宋体"/>
                <w:color w:val="000000" w:themeColor="text1"/>
              </w:rPr>
            </w:pPr>
            <w:r>
              <w:rPr>
                <w:rFonts w:hint="eastAsia" w:ascii="宋体" w:hAnsi="宋体"/>
                <w:color w:val="000000" w:themeColor="text1"/>
              </w:rPr>
              <w:t>响应文件递交截止</w:t>
            </w:r>
            <w:r>
              <w:rPr>
                <w:rFonts w:ascii="宋体" w:hAnsi="宋体"/>
                <w:color w:val="000000" w:themeColor="text1"/>
              </w:rPr>
              <w:t>日期</w:t>
            </w:r>
            <w:r>
              <w:rPr>
                <w:rFonts w:hint="eastAsia" w:ascii="宋体" w:hAnsi="宋体"/>
                <w:color w:val="000000" w:themeColor="text1"/>
              </w:rPr>
              <w:t>、</w:t>
            </w:r>
            <w:r>
              <w:rPr>
                <w:rFonts w:ascii="宋体" w:hAnsi="宋体"/>
                <w:color w:val="000000" w:themeColor="text1"/>
              </w:rPr>
              <w:t>时间</w:t>
            </w:r>
            <w:r>
              <w:rPr>
                <w:rFonts w:hint="eastAsia" w:ascii="宋体" w:hAnsi="宋体"/>
                <w:color w:val="000000" w:themeColor="text1"/>
              </w:rPr>
              <w:t>和</w:t>
            </w:r>
            <w:r>
              <w:rPr>
                <w:rFonts w:ascii="宋体" w:hAnsi="宋体"/>
                <w:color w:val="000000" w:themeColor="text1"/>
              </w:rPr>
              <w:t>地点：</w:t>
            </w:r>
            <w:r>
              <w:rPr>
                <w:rFonts w:hint="eastAsia" w:ascii="宋体" w:hAnsi="宋体"/>
                <w:color w:val="000000" w:themeColor="text1"/>
              </w:rPr>
              <w:t>按竞争性磋商文件第一章规定。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color w:val="000000" w:themeColor="text1"/>
              </w:rPr>
            </w:pPr>
            <w:r>
              <w:rPr>
                <w:rFonts w:ascii="宋体" w:hAnsi="宋体"/>
                <w:b/>
                <w:color w:val="000000" w:themeColor="text1"/>
              </w:rPr>
              <w:t>五、</w:t>
            </w:r>
            <w:r>
              <w:rPr>
                <w:rFonts w:hint="eastAsia" w:ascii="宋体" w:hAnsi="宋体"/>
                <w:b/>
                <w:color w:val="000000" w:themeColor="text1"/>
              </w:rPr>
              <w:t>竞争性磋商流程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tcBorders>
              <w:bottom w:val="single" w:color="auto" w:sz="4" w:space="0"/>
            </w:tcBorders>
            <w:vAlign w:val="center"/>
          </w:tcPr>
          <w:p>
            <w:pPr>
              <w:snapToGrid w:val="0"/>
              <w:spacing w:line="360" w:lineRule="auto"/>
              <w:jc w:val="center"/>
              <w:rPr>
                <w:rFonts w:ascii="宋体" w:hAnsi="宋体"/>
                <w:color w:val="000000" w:themeColor="text1"/>
              </w:rPr>
            </w:pPr>
            <w:r>
              <w:rPr>
                <w:rFonts w:ascii="宋体" w:hAnsi="宋体"/>
                <w:color w:val="000000" w:themeColor="text1"/>
              </w:rPr>
              <w:t>2</w:t>
            </w:r>
            <w:r>
              <w:rPr>
                <w:rFonts w:hint="eastAsia" w:ascii="宋体" w:hAnsi="宋体"/>
                <w:color w:val="000000" w:themeColor="text1"/>
              </w:rPr>
              <w:t>5</w:t>
            </w:r>
            <w:r>
              <w:rPr>
                <w:rFonts w:ascii="宋体" w:hAnsi="宋体"/>
                <w:color w:val="000000" w:themeColor="text1"/>
              </w:rPr>
              <w:t>.1</w:t>
            </w:r>
          </w:p>
        </w:tc>
        <w:tc>
          <w:tcPr>
            <w:tcW w:w="8753" w:type="dxa"/>
            <w:vAlign w:val="center"/>
          </w:tcPr>
          <w:p>
            <w:pPr>
              <w:snapToGrid w:val="0"/>
              <w:spacing w:line="360" w:lineRule="auto"/>
              <w:rPr>
                <w:rFonts w:ascii="宋体" w:hAnsi="宋体"/>
                <w:color w:val="000000" w:themeColor="text1"/>
              </w:rPr>
            </w:pPr>
            <w:r>
              <w:rPr>
                <w:rFonts w:hint="eastAsia" w:ascii="宋体" w:hAnsi="宋体" w:cs="宋体"/>
                <w:color w:val="000000" w:themeColor="text1"/>
              </w:rPr>
              <w:t>本次磋商</w:t>
            </w:r>
            <w:r>
              <w:rPr>
                <w:rFonts w:hint="eastAsia" w:ascii="宋体" w:hAnsi="宋体" w:cs="宋体"/>
                <w:color w:val="000000" w:themeColor="text1"/>
                <w:lang w:eastAsia="zh-TW"/>
              </w:rPr>
              <w:t>依法组建</w:t>
            </w:r>
            <w:r>
              <w:rPr>
                <w:rFonts w:hint="eastAsia" w:ascii="宋体" w:hAnsi="宋体" w:cs="宋体"/>
                <w:color w:val="000000" w:themeColor="text1"/>
              </w:rPr>
              <w:t>磋商小组</w:t>
            </w:r>
            <w:r>
              <w:rPr>
                <w:rFonts w:hint="eastAsia" w:ascii="宋体" w:hAnsi="宋体" w:cs="宋体"/>
                <w:color w:val="000000" w:themeColor="text1"/>
                <w:lang w:eastAsia="zh-TW"/>
              </w:rPr>
              <w:t>，</w:t>
            </w:r>
            <w:r>
              <w:rPr>
                <w:rFonts w:hint="eastAsia" w:ascii="宋体" w:hAnsi="宋体"/>
                <w:bCs/>
                <w:color w:val="000000" w:themeColor="text1"/>
              </w:rPr>
              <w:t>磋商小组人数</w:t>
            </w:r>
            <w:r>
              <w:rPr>
                <w:rFonts w:hint="eastAsia" w:ascii="宋体" w:hAnsi="宋体" w:cs="宋体"/>
                <w:color w:val="000000" w:themeColor="text1"/>
                <w:lang w:val="zh-CN"/>
              </w:rPr>
              <w:t>为3名以上单数。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1164" w:type="dxa"/>
            <w:tcBorders>
              <w:bottom w:val="single" w:color="auto" w:sz="4" w:space="0"/>
            </w:tcBorders>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27.2</w:t>
            </w:r>
          </w:p>
        </w:tc>
        <w:tc>
          <w:tcPr>
            <w:tcW w:w="8753" w:type="dxa"/>
            <w:vAlign w:val="center"/>
          </w:tcPr>
          <w:p>
            <w:pPr>
              <w:snapToGrid w:val="0"/>
              <w:spacing w:line="360" w:lineRule="auto"/>
              <w:rPr>
                <w:rFonts w:ascii="宋体" w:hAnsi="宋体" w:cs="宋体"/>
                <w:color w:val="000000" w:themeColor="text1"/>
              </w:rPr>
            </w:pPr>
            <w:r>
              <w:rPr>
                <w:rFonts w:hint="eastAsia" w:ascii="宋体" w:hAnsi="宋体"/>
                <w:bCs/>
                <w:color w:val="000000" w:themeColor="text1"/>
              </w:rPr>
              <w:t>评标方法：经磋商确定最终采购需求和提交最后报价的供应商后，由磋商小组采用综合评分法对提交最后报价的供应商的响应文件和最后报价进行综合评分。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shd w:val="clear" w:color="auto" w:fill="auto"/>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27.3</w:t>
            </w:r>
          </w:p>
        </w:tc>
        <w:tc>
          <w:tcPr>
            <w:tcW w:w="8753" w:type="dxa"/>
            <w:vAlign w:val="center"/>
          </w:tcPr>
          <w:p>
            <w:pPr>
              <w:snapToGrid w:val="0"/>
              <w:spacing w:line="360" w:lineRule="auto"/>
              <w:rPr>
                <w:rFonts w:ascii="宋体" w:hAnsi="宋体" w:cs="宋体"/>
                <w:color w:val="000000" w:themeColor="text1"/>
              </w:rPr>
            </w:pPr>
            <w:r>
              <w:rPr>
                <w:rFonts w:hint="eastAsia" w:ascii="宋体" w:hAnsi="宋体" w:cs="宋体"/>
                <w:color w:val="000000" w:themeColor="text1"/>
              </w:rPr>
              <w:t>根据综合评分情况</w:t>
            </w:r>
            <w:r>
              <w:rPr>
                <w:rFonts w:hint="eastAsia" w:ascii="宋体" w:hAnsi="宋体"/>
                <w:color w:val="000000" w:themeColor="text1"/>
              </w:rPr>
              <w:t>按照评审得分由高到低推荐成交候选人。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color w:val="000000" w:themeColor="text1"/>
              </w:rPr>
            </w:pPr>
            <w:r>
              <w:rPr>
                <w:rFonts w:ascii="宋体" w:hAnsi="宋体"/>
                <w:b/>
                <w:color w:val="000000" w:themeColor="text1"/>
              </w:rPr>
              <w:t>六、授予合同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rPr>
            </w:pPr>
            <w:r>
              <w:rPr>
                <w:rFonts w:hint="eastAsia" w:ascii="宋体" w:hAnsi="宋体"/>
                <w:color w:val="000000" w:themeColor="text1"/>
              </w:rPr>
              <w:t>30</w:t>
            </w:r>
            <w:r>
              <w:rPr>
                <w:rFonts w:ascii="宋体" w:hAnsi="宋体"/>
                <w:color w:val="000000" w:themeColor="text1"/>
              </w:rPr>
              <w:t>.1</w:t>
            </w:r>
          </w:p>
        </w:tc>
        <w:tc>
          <w:tcPr>
            <w:tcW w:w="8753" w:type="dxa"/>
            <w:vAlign w:val="center"/>
          </w:tcPr>
          <w:p>
            <w:pPr>
              <w:snapToGrid w:val="0"/>
              <w:spacing w:line="360" w:lineRule="auto"/>
              <w:rPr>
                <w:rFonts w:ascii="宋体" w:hAnsi="宋体"/>
                <w:color w:val="000000" w:themeColor="text1"/>
              </w:rPr>
            </w:pPr>
            <w:r>
              <w:rPr>
                <w:rFonts w:hint="eastAsia" w:ascii="宋体" w:hAnsi="宋体"/>
                <w:color w:val="000000" w:themeColor="text1"/>
              </w:rPr>
              <w:t>合同签订时间：自《成交通知书》发出之日起三十日内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917" w:type="dxa"/>
            <w:gridSpan w:val="2"/>
            <w:vAlign w:val="center"/>
          </w:tcPr>
          <w:p>
            <w:pPr>
              <w:autoSpaceDE/>
              <w:autoSpaceDN/>
              <w:snapToGrid w:val="0"/>
              <w:spacing w:line="380" w:lineRule="exact"/>
              <w:ind w:left="420"/>
              <w:jc w:val="center"/>
              <w:rPr>
                <w:rFonts w:ascii="宋体" w:hAnsi="宋体"/>
                <w:color w:val="000000" w:themeColor="text1"/>
              </w:rPr>
            </w:pPr>
            <w:bookmarkStart w:id="6" w:name="_Toc410736130"/>
            <w:bookmarkEnd w:id="6"/>
            <w:bookmarkStart w:id="7" w:name="_Toc410738930"/>
            <w:bookmarkEnd w:id="7"/>
            <w:r>
              <w:rPr>
                <w:rFonts w:hint="eastAsia" w:ascii="宋体" w:hAnsi="宋体"/>
                <w:b/>
                <w:color w:val="000000" w:themeColor="text1"/>
              </w:rPr>
              <w:t>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jc w:val="center"/>
              <w:rPr>
                <w:rFonts w:ascii="宋体" w:hAnsi="宋体"/>
                <w:color w:val="000000" w:themeColor="text1"/>
              </w:rPr>
            </w:pPr>
            <w:r>
              <w:rPr>
                <w:rFonts w:hint="eastAsia" w:ascii="宋体" w:hAnsi="宋体"/>
                <w:color w:val="000000" w:themeColor="text1"/>
              </w:rPr>
              <w:t>/</w:t>
            </w:r>
          </w:p>
        </w:tc>
        <w:tc>
          <w:tcPr>
            <w:tcW w:w="8753" w:type="dxa"/>
            <w:vAlign w:val="center"/>
          </w:tcPr>
          <w:p>
            <w:pPr>
              <w:snapToGrid w:val="0"/>
              <w:rPr>
                <w:rFonts w:ascii="宋体" w:hAnsi="宋体" w:cs="宋体"/>
                <w:color w:val="000000" w:themeColor="text1"/>
              </w:rPr>
            </w:pPr>
            <w:r>
              <w:rPr>
                <w:rFonts w:hint="eastAsia" w:ascii="宋体" w:hAnsi="宋体"/>
                <w:bCs/>
                <w:color w:val="000000" w:themeColor="text1"/>
                <w:szCs w:val="20"/>
              </w:rPr>
              <w:t>本项目相关公告在以下媒体发布:</w:t>
            </w:r>
          </w:p>
          <w:p>
            <w:pPr>
              <w:snapToGrid w:val="0"/>
              <w:rPr>
                <w:rFonts w:ascii="宋体" w:hAnsi="宋体"/>
                <w:color w:val="000000" w:themeColor="text1"/>
              </w:rPr>
            </w:pPr>
            <w:r>
              <w:rPr>
                <w:rFonts w:hint="eastAsia" w:ascii="宋体" w:hAnsi="宋体"/>
                <w:color w:val="000000" w:themeColor="text1"/>
              </w:rPr>
              <w:t>1、法定媒体：博罗县人民政府网(</w:t>
            </w:r>
            <w:r>
              <w:rPr>
                <w:rFonts w:ascii="宋体" w:hAnsi="宋体"/>
                <w:color w:val="000000" w:themeColor="text1"/>
              </w:rPr>
              <w:t>http://www.boluo.gov.cn/xwhgdlytyj/index.html</w:t>
            </w:r>
            <w:r>
              <w:rPr>
                <w:rFonts w:hint="eastAsia" w:ascii="宋体" w:hAnsi="宋体"/>
                <w:color w:val="000000" w:themeColor="text1"/>
              </w:rPr>
              <w:t>)。相关公告在法定媒体上公布之日即视为有效送达，不再另行通知。</w:t>
            </w:r>
          </w:p>
        </w:tc>
      </w:tr>
    </w:tbl>
    <w:p>
      <w:pPr>
        <w:pStyle w:val="36"/>
      </w:pPr>
      <w:bookmarkStart w:id="8" w:name="_Toc410736131"/>
      <w:bookmarkStart w:id="9" w:name="_Toc410738931"/>
      <w:r>
        <w:rPr>
          <w:b w:val="0"/>
          <w:bCs w:val="0"/>
          <w:sz w:val="28"/>
          <w:szCs w:val="28"/>
        </w:rPr>
        <w:br w:type="page"/>
      </w:r>
      <w:bookmarkStart w:id="10" w:name="_Toc523168278"/>
      <w:bookmarkStart w:id="11" w:name="_Toc410736174"/>
      <w:bookmarkStart w:id="12" w:name="_Toc410738973"/>
      <w:bookmarkStart w:id="13" w:name="_Toc416770249"/>
      <w:bookmarkStart w:id="14" w:name="_Toc416771359"/>
      <w:bookmarkStart w:id="15" w:name="_Toc379872471"/>
      <w:bookmarkStart w:id="16" w:name="_Toc416770210"/>
      <w:bookmarkStart w:id="17" w:name="_Toc416771320"/>
      <w:r>
        <w:rPr>
          <w:rFonts w:hint="eastAsia"/>
        </w:rPr>
        <w:t>第三章  评分体系与标准</w:t>
      </w:r>
      <w:bookmarkEnd w:id="10"/>
    </w:p>
    <w:p>
      <w:pPr>
        <w:numPr>
          <w:ilvl w:val="0"/>
          <w:numId w:val="11"/>
        </w:numPr>
        <w:tabs>
          <w:tab w:val="left" w:pos="630"/>
        </w:tabs>
        <w:spacing w:line="360" w:lineRule="auto"/>
        <w:jc w:val="both"/>
        <w:rPr>
          <w:rFonts w:ascii="宋体" w:cs="宋体"/>
        </w:rPr>
      </w:pPr>
      <w:r>
        <w:rPr>
          <w:rFonts w:hint="eastAsia" w:ascii="宋体" w:cs="宋体"/>
        </w:rPr>
        <w:t>本评标办法采用综合评分法。</w:t>
      </w:r>
    </w:p>
    <w:p>
      <w:pPr>
        <w:numPr>
          <w:ilvl w:val="0"/>
          <w:numId w:val="11"/>
        </w:numPr>
        <w:tabs>
          <w:tab w:val="left" w:pos="851"/>
        </w:tabs>
        <w:autoSpaceDE/>
        <w:autoSpaceDN/>
        <w:adjustRightInd/>
        <w:spacing w:line="360" w:lineRule="auto"/>
        <w:rPr>
          <w:rFonts w:ascii="宋体" w:hAnsi="宋体"/>
        </w:rPr>
      </w:pPr>
      <w:r>
        <w:rPr>
          <w:rFonts w:hint="eastAsia" w:ascii="宋体" w:hAnsi="宋体"/>
        </w:rPr>
        <w:t>通过资格、符合性审查的响应</w:t>
      </w:r>
      <w:bookmarkStart w:id="18" w:name="OLE_LINK1"/>
      <w:r>
        <w:rPr>
          <w:rFonts w:hint="eastAsia" w:ascii="宋体" w:hAnsi="宋体"/>
        </w:rPr>
        <w:t>供应商</w:t>
      </w:r>
      <w:bookmarkEnd w:id="18"/>
      <w:r>
        <w:rPr>
          <w:rFonts w:hint="eastAsia" w:ascii="宋体" w:hAnsi="宋体"/>
        </w:rPr>
        <w:t>方有资格提交最后报价及</w:t>
      </w:r>
      <w:r>
        <w:rPr>
          <w:rFonts w:hint="eastAsia" w:ascii="宋体" w:cs="宋体"/>
        </w:rPr>
        <w:t>进行技术、商务及价格的详细评审，最后磋商小组出具评标报告。</w:t>
      </w:r>
    </w:p>
    <w:p>
      <w:pPr>
        <w:numPr>
          <w:ilvl w:val="0"/>
          <w:numId w:val="11"/>
        </w:numPr>
        <w:tabs>
          <w:tab w:val="left" w:pos="630"/>
        </w:tabs>
        <w:spacing w:line="360" w:lineRule="auto"/>
        <w:jc w:val="both"/>
        <w:rPr>
          <w:rFonts w:ascii="宋体" w:cs="宋体"/>
        </w:rPr>
      </w:pPr>
      <w:r>
        <w:rPr>
          <w:rFonts w:hint="eastAsia" w:ascii="宋体" w:cs="宋体"/>
        </w:rPr>
        <w:t>评分及其统计：按照评标程序、评分标准以及权重分配的规定，磋商小组各成员分别就各个响应供应商的技术状况、商务状况及其对磋商文件要求的响应情况进行评议和比较，评出其技术评分和商务评分、价格评分相加得出其综合得分。</w:t>
      </w:r>
    </w:p>
    <w:p/>
    <w:p>
      <w:pPr>
        <w:numPr>
          <w:ilvl w:val="0"/>
          <w:numId w:val="12"/>
        </w:numPr>
        <w:tabs>
          <w:tab w:val="left" w:pos="851"/>
        </w:tabs>
        <w:spacing w:line="360" w:lineRule="auto"/>
        <w:rPr>
          <w:rFonts w:ascii="宋体" w:hAnsi="宋体" w:cs="宋体"/>
          <w:b/>
          <w:color w:val="FF0000"/>
        </w:rPr>
      </w:pPr>
      <w:r>
        <w:rPr>
          <w:rFonts w:hint="eastAsia" w:ascii="宋体" w:hAnsi="宋体" w:cs="宋体"/>
          <w:b/>
        </w:rPr>
        <w:t>资格、符合性评审</w:t>
      </w:r>
    </w:p>
    <w:tbl>
      <w:tblPr>
        <w:tblStyle w:val="38"/>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0"/>
        <w:gridCol w:w="81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atLeast"/>
          <w:jc w:val="center"/>
        </w:trPr>
        <w:tc>
          <w:tcPr>
            <w:tcW w:w="990" w:type="dxa"/>
            <w:tcBorders>
              <w:right w:val="single" w:color="auto" w:sz="4" w:space="0"/>
            </w:tcBorders>
            <w:vAlign w:val="center"/>
          </w:tcPr>
          <w:p>
            <w:pPr>
              <w:jc w:val="center"/>
              <w:rPr>
                <w:rFonts w:ascii="宋体" w:cs="宋体"/>
                <w:b/>
              </w:rPr>
            </w:pPr>
            <w:r>
              <w:rPr>
                <w:rFonts w:hint="eastAsia" w:ascii="宋体" w:cs="宋体"/>
                <w:b/>
              </w:rPr>
              <w:t>序号</w:t>
            </w:r>
          </w:p>
        </w:tc>
        <w:tc>
          <w:tcPr>
            <w:tcW w:w="8137" w:type="dxa"/>
            <w:tcBorders>
              <w:left w:val="single" w:color="auto" w:sz="4" w:space="0"/>
            </w:tcBorders>
            <w:vAlign w:val="center"/>
          </w:tcPr>
          <w:p>
            <w:pPr>
              <w:jc w:val="center"/>
              <w:rPr>
                <w:rFonts w:ascii="宋体" w:cs="宋体"/>
                <w:b/>
              </w:rPr>
            </w:pPr>
            <w:r>
              <w:rPr>
                <w:rFonts w:hint="eastAsia" w:ascii="宋体" w:hAnsi="宋体" w:cs="宋体"/>
                <w:b/>
              </w:rPr>
              <w:t>评审内容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具备竞争性磋商文件中规定资格要求的及资格证明文件齐全；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磋商函已提交并符合竞争性磋商文件要求的；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ind w:left="315" w:hanging="315" w:hangingChars="150"/>
              <w:rPr>
                <w:rFonts w:ascii="宋体" w:hAnsi="宋体" w:cs="宋体"/>
              </w:rPr>
            </w:pPr>
            <w:r>
              <w:rPr>
                <w:rFonts w:hint="eastAsia" w:ascii="宋体" w:hAnsi="宋体" w:cs="宋体"/>
              </w:rPr>
              <w:t>最后报价未超过本项目最高限价的；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 xml:space="preserve">响应文件满足竞争性磋商文件中标注★号条款的；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响应文件没有竞争性磋商文件中规定的其它无效投标条款的；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3"/>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按有关法律、法规、规章不属于投标无效的。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127" w:type="dxa"/>
            <w:gridSpan w:val="2"/>
            <w:vAlign w:val="center"/>
          </w:tcPr>
          <w:p>
            <w:pPr>
              <w:rPr>
                <w:rFonts w:ascii="宋体" w:hAnsi="宋体" w:cs="宋体"/>
              </w:rPr>
            </w:pPr>
            <w:r>
              <w:rPr>
                <w:rFonts w:hint="eastAsia" w:ascii="宋体" w:hAnsi="宋体"/>
              </w:rPr>
              <w:t>备注：响应供应商必须严格按照资格、符合性评审条款的要求如实提供证明材料</w:t>
            </w:r>
            <w:r>
              <w:rPr>
                <w:rFonts w:hint="eastAsia" w:ascii="宋体" w:hAnsi="宋体"/>
                <w:bCs/>
              </w:rPr>
              <w:t>并应加盖响应供应商人公章</w:t>
            </w:r>
            <w:r>
              <w:rPr>
                <w:rFonts w:hint="eastAsia" w:ascii="宋体" w:hAnsi="宋体"/>
              </w:rPr>
              <w:t>，对缺漏或不符合项将直接导致无效投标，不进入综合评分。</w:t>
            </w:r>
          </w:p>
        </w:tc>
      </w:tr>
    </w:tbl>
    <w:p>
      <w:pPr>
        <w:tabs>
          <w:tab w:val="left" w:pos="851"/>
        </w:tabs>
        <w:spacing w:line="360" w:lineRule="auto"/>
        <w:ind w:left="200"/>
        <w:rPr>
          <w:rFonts w:ascii="宋体" w:hAnsi="宋体" w:cs="宋体"/>
          <w:b/>
        </w:rPr>
      </w:pPr>
    </w:p>
    <w:p>
      <w:pPr>
        <w:numPr>
          <w:ilvl w:val="0"/>
          <w:numId w:val="12"/>
        </w:numPr>
        <w:tabs>
          <w:tab w:val="left" w:pos="851"/>
        </w:tabs>
        <w:spacing w:line="360" w:lineRule="auto"/>
        <w:rPr>
          <w:rFonts w:ascii="宋体" w:hAnsi="宋体"/>
          <w:b/>
          <w:bCs/>
        </w:rPr>
      </w:pPr>
      <w:r>
        <w:rPr>
          <w:rFonts w:ascii="宋体" w:hAnsi="宋体" w:cs="宋体"/>
          <w:b/>
        </w:rPr>
        <w:br w:type="page"/>
      </w:r>
      <w:r>
        <w:rPr>
          <w:rFonts w:hint="eastAsia" w:ascii="宋体" w:hAnsi="宋体" w:cs="宋体"/>
          <w:b/>
        </w:rPr>
        <w:t>评审标准</w:t>
      </w:r>
    </w:p>
    <w:p>
      <w:pPr>
        <w:snapToGrid w:val="0"/>
        <w:spacing w:beforeLines="50" w:afterLines="50" w:line="360" w:lineRule="auto"/>
        <w:jc w:val="center"/>
        <w:outlineLvl w:val="2"/>
        <w:rPr>
          <w:rFonts w:ascii="黑体" w:hAnsi="宋体" w:eastAsia="黑体" w:cs="宋体"/>
          <w:color w:val="FF0000"/>
          <w:sz w:val="28"/>
          <w:szCs w:val="28"/>
        </w:rPr>
      </w:pPr>
      <w:bookmarkStart w:id="19" w:name="OLE_LINK2"/>
      <w:r>
        <w:rPr>
          <w:rFonts w:hint="eastAsia" w:ascii="黑体" w:hAnsi="宋体" w:eastAsia="黑体" w:cs="宋体"/>
          <w:sz w:val="28"/>
          <w:szCs w:val="28"/>
        </w:rPr>
        <w:t>综合评分表</w:t>
      </w:r>
    </w:p>
    <w:tbl>
      <w:tblPr>
        <w:tblStyle w:val="38"/>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701"/>
        <w:gridCol w:w="5245"/>
        <w:gridCol w:w="709"/>
        <w:gridCol w:w="85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ind w:left="-78" w:leftChars="-37" w:right="-73" w:rightChars="-35"/>
              <w:jc w:val="center"/>
              <w:rPr>
                <w:rFonts w:ascii="宋体" w:hAnsi="宋体" w:cs="宋体"/>
                <w:b/>
              </w:rPr>
            </w:pPr>
            <w:r>
              <w:rPr>
                <w:rFonts w:hint="eastAsia" w:ascii="宋体" w:hAnsi="宋体" w:cs="宋体"/>
                <w:b/>
              </w:rPr>
              <w:t>序号</w:t>
            </w:r>
          </w:p>
        </w:tc>
        <w:tc>
          <w:tcPr>
            <w:tcW w:w="1701" w:type="dxa"/>
            <w:vAlign w:val="center"/>
          </w:tcPr>
          <w:p>
            <w:pPr>
              <w:ind w:left="-78" w:leftChars="-37" w:right="-73" w:rightChars="-35"/>
              <w:jc w:val="center"/>
              <w:rPr>
                <w:rFonts w:ascii="宋体" w:hAnsi="宋体" w:cs="宋体"/>
                <w:b/>
              </w:rPr>
            </w:pPr>
            <w:r>
              <w:rPr>
                <w:rFonts w:hint="eastAsia" w:ascii="宋体" w:hAnsi="宋体" w:cs="宋体"/>
                <w:b/>
              </w:rPr>
              <w:t>评审因素</w:t>
            </w:r>
          </w:p>
        </w:tc>
        <w:tc>
          <w:tcPr>
            <w:tcW w:w="5245" w:type="dxa"/>
            <w:vAlign w:val="center"/>
          </w:tcPr>
          <w:p>
            <w:pPr>
              <w:ind w:left="-78" w:leftChars="-37" w:right="-73" w:rightChars="-35"/>
              <w:jc w:val="center"/>
              <w:rPr>
                <w:rFonts w:ascii="宋体" w:hAnsi="宋体" w:cs="宋体"/>
                <w:b/>
              </w:rPr>
            </w:pPr>
            <w:r>
              <w:rPr>
                <w:rFonts w:hint="eastAsia" w:ascii="宋体" w:hAnsi="宋体" w:cs="宋体"/>
                <w:b/>
              </w:rPr>
              <w:t>评分细则</w:t>
            </w:r>
          </w:p>
        </w:tc>
        <w:tc>
          <w:tcPr>
            <w:tcW w:w="709" w:type="dxa"/>
            <w:tcBorders>
              <w:right w:val="single" w:color="auto" w:sz="4" w:space="0"/>
            </w:tcBorders>
            <w:vAlign w:val="center"/>
          </w:tcPr>
          <w:p>
            <w:pPr>
              <w:ind w:left="-78" w:leftChars="-37" w:right="-73" w:rightChars="-35"/>
              <w:jc w:val="center"/>
              <w:rPr>
                <w:rFonts w:ascii="宋体" w:hAnsi="宋体" w:cs="宋体"/>
                <w:b/>
              </w:rPr>
            </w:pPr>
            <w:r>
              <w:rPr>
                <w:rFonts w:hint="eastAsia" w:ascii="宋体" w:hAnsi="宋体" w:cs="宋体"/>
                <w:b/>
              </w:rPr>
              <w:t>权重（%）</w:t>
            </w:r>
          </w:p>
        </w:tc>
        <w:tc>
          <w:tcPr>
            <w:tcW w:w="850" w:type="dxa"/>
            <w:tcBorders>
              <w:left w:val="single" w:color="auto" w:sz="4" w:space="0"/>
            </w:tcBorders>
            <w:vAlign w:val="center"/>
          </w:tcPr>
          <w:p>
            <w:pPr>
              <w:ind w:left="-78" w:leftChars="-37" w:right="-73" w:rightChars="-35"/>
              <w:jc w:val="center"/>
              <w:rPr>
                <w:rFonts w:ascii="宋体" w:hAnsi="宋体" w:cs="宋体"/>
                <w:b/>
              </w:rPr>
            </w:pPr>
            <w:r>
              <w:rPr>
                <w:rFonts w:hint="eastAsia" w:ascii="宋体" w:hAnsi="宋体" w:cs="宋体"/>
                <w:b/>
              </w:rPr>
              <w:t>分值（分）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ind w:left="-78" w:leftChars="-37" w:right="-73" w:rightChars="-35"/>
              <w:jc w:val="center"/>
              <w:rPr>
                <w:rFonts w:ascii="宋体" w:hAnsi="宋体" w:cs="宋体"/>
              </w:rPr>
            </w:pPr>
            <w:r>
              <w:rPr>
                <w:rFonts w:hint="eastAsia" w:ascii="宋体" w:hAnsi="宋体" w:cs="宋体"/>
              </w:rPr>
              <w:t>一</w:t>
            </w:r>
          </w:p>
        </w:tc>
        <w:tc>
          <w:tcPr>
            <w:tcW w:w="8505" w:type="dxa"/>
            <w:gridSpan w:val="4"/>
            <w:vAlign w:val="center"/>
          </w:tcPr>
          <w:p>
            <w:pPr>
              <w:ind w:left="-78" w:leftChars="-37" w:right="-73" w:rightChars="-35"/>
              <w:jc w:val="center"/>
              <w:rPr>
                <w:rFonts w:ascii="宋体" w:hAnsi="宋体" w:cs="宋体"/>
              </w:rPr>
            </w:pPr>
            <w:r>
              <w:rPr>
                <w:rFonts w:hint="eastAsia" w:ascii="宋体" w:hAnsi="宋体"/>
              </w:rPr>
              <w:t>技术部分(合计50分)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4"/>
              </w:numPr>
              <w:ind w:firstLineChars="0"/>
              <w:jc w:val="center"/>
              <w:rPr>
                <w:rFonts w:ascii="宋体" w:hAnsi="宋体"/>
                <w:szCs w:val="21"/>
              </w:rPr>
            </w:pPr>
          </w:p>
        </w:tc>
        <w:tc>
          <w:tcPr>
            <w:tcW w:w="1701" w:type="dxa"/>
            <w:vAlign w:val="center"/>
          </w:tcPr>
          <w:p>
            <w:pPr>
              <w:jc w:val="center"/>
              <w:rPr>
                <w:rFonts w:ascii="宋体" w:hAnsi="宋体" w:cs="宋体"/>
              </w:rPr>
            </w:pPr>
            <w:r>
              <w:rPr>
                <w:rFonts w:hint="eastAsia" w:ascii="宋体" w:hAnsi="宋体"/>
              </w:rPr>
              <w:t>拟投入车辆</w:t>
            </w:r>
          </w:p>
        </w:tc>
        <w:tc>
          <w:tcPr>
            <w:tcW w:w="5245" w:type="dxa"/>
            <w:vAlign w:val="center"/>
          </w:tcPr>
          <w:p>
            <w:pPr>
              <w:rPr>
                <w:rFonts w:ascii="宋体" w:hAnsi="宋体"/>
              </w:rPr>
            </w:pPr>
            <w:r>
              <w:rPr>
                <w:rFonts w:hint="eastAsia" w:ascii="宋体" w:hAnsi="宋体"/>
              </w:rPr>
              <w:t>对比各投标人拟投入车辆情况：</w:t>
            </w:r>
          </w:p>
          <w:p>
            <w:pPr>
              <w:rPr>
                <w:rFonts w:ascii="宋体" w:hAnsi="宋体"/>
              </w:rPr>
            </w:pPr>
            <w:r>
              <w:rPr>
                <w:rFonts w:hint="eastAsia" w:ascii="宋体" w:hAnsi="宋体"/>
              </w:rPr>
              <w:t>车辆先进性及稳定性：先进性及稳定性最好为优得3分，先进性及稳定性较好为良得2分，先进性及稳定性一般得1分。（以投标人拟投入车辆中最弱的车辆进行对比，提供相关证明材料加盖投标人公章）</w:t>
            </w:r>
          </w:p>
          <w:p>
            <w:pPr>
              <w:rPr>
                <w:rFonts w:ascii="宋体" w:hAnsi="宋体"/>
              </w:rPr>
            </w:pPr>
            <w:r>
              <w:rPr>
                <w:rFonts w:hint="eastAsia" w:ascii="宋体" w:hAnsi="宋体"/>
              </w:rPr>
              <w:t>车辆出厂日期：出厂日期最近为优得3分，出厂日期次近为良得2分，其它为一般得1分。（以投标人拟投入车辆中出厂日期最远的车辆进行对比，提供机动车行驶证复印件加盖投标人公章，原件核查）</w:t>
            </w:r>
          </w:p>
          <w:p>
            <w:pPr>
              <w:rPr>
                <w:rFonts w:ascii="宋体" w:hAnsi="宋体"/>
              </w:rPr>
            </w:pPr>
            <w:r>
              <w:rPr>
                <w:rFonts w:hint="eastAsia" w:ascii="宋体" w:hAnsi="宋体"/>
              </w:rPr>
              <w:t>车辆行驶公里数：0-5万公里为优得4分，5-10万公里为良得2分，10-15万公里为一般得1分，15万公里以上0分（以投标人拟投入车辆中行驶公里数最多的车辆进行对比，提供近半年4S店出具的检测报告或保养记录等证明材料加盖投标人公章）</w:t>
            </w:r>
          </w:p>
        </w:tc>
        <w:tc>
          <w:tcPr>
            <w:tcW w:w="709" w:type="dxa"/>
            <w:tcBorders>
              <w:right w:val="single" w:color="auto" w:sz="4" w:space="0"/>
            </w:tcBorders>
            <w:vAlign w:val="center"/>
          </w:tcPr>
          <w:p>
            <w:pPr>
              <w:jc w:val="center"/>
              <w:rPr>
                <w:rFonts w:ascii="宋体" w:hAnsi="宋体" w:cs="宋体"/>
              </w:rPr>
            </w:pPr>
            <w:r>
              <w:rPr>
                <w:rFonts w:hint="eastAsia" w:ascii="宋体" w:hAnsi="宋体" w:cs="宋体"/>
              </w:rPr>
              <w:t>10%</w:t>
            </w:r>
          </w:p>
        </w:tc>
        <w:tc>
          <w:tcPr>
            <w:tcW w:w="850" w:type="dxa"/>
            <w:tcBorders>
              <w:left w:val="single" w:color="auto" w:sz="4" w:space="0"/>
            </w:tcBorders>
            <w:vAlign w:val="center"/>
          </w:tcPr>
          <w:p>
            <w:pPr>
              <w:jc w:val="center"/>
              <w:rPr>
                <w:rFonts w:ascii="宋体" w:hAnsi="宋体"/>
              </w:rPr>
            </w:pPr>
            <w:r>
              <w:rPr>
                <w:rFonts w:hint="eastAsia" w:ascii="宋体" w:hAnsi="宋体"/>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4"/>
              </w:numPr>
              <w:ind w:firstLineChars="0"/>
              <w:jc w:val="center"/>
              <w:rPr>
                <w:rFonts w:ascii="宋体" w:hAnsi="宋体"/>
                <w:szCs w:val="21"/>
              </w:rPr>
            </w:pPr>
          </w:p>
        </w:tc>
        <w:tc>
          <w:tcPr>
            <w:tcW w:w="1701" w:type="dxa"/>
            <w:vAlign w:val="center"/>
          </w:tcPr>
          <w:p>
            <w:pPr>
              <w:jc w:val="center"/>
              <w:rPr>
                <w:rFonts w:hAnsi="宋体"/>
                <w:bCs/>
              </w:rPr>
            </w:pPr>
            <w:r>
              <w:rPr>
                <w:rFonts w:hint="eastAsia" w:ascii="宋体" w:hAnsi="宋体" w:cs="宋体"/>
              </w:rPr>
              <w:t>拟投入人员</w:t>
            </w:r>
          </w:p>
        </w:tc>
        <w:tc>
          <w:tcPr>
            <w:tcW w:w="5245" w:type="dxa"/>
            <w:vAlign w:val="center"/>
          </w:tcPr>
          <w:p>
            <w:pPr>
              <w:rPr>
                <w:rFonts w:ascii="宋体" w:hAnsi="宋体"/>
              </w:rPr>
            </w:pPr>
            <w:r>
              <w:rPr>
                <w:rFonts w:hint="eastAsia" w:ascii="宋体" w:hAnsi="宋体"/>
              </w:rPr>
              <w:t>对比各投标人拟投入3位驾驶员的情况：</w:t>
            </w:r>
          </w:p>
          <w:p>
            <w:pPr>
              <w:rPr>
                <w:rFonts w:ascii="宋体" w:hAnsi="宋体"/>
              </w:rPr>
            </w:pPr>
            <w:r>
              <w:rPr>
                <w:rFonts w:hint="eastAsia" w:ascii="宋体" w:hAnsi="宋体"/>
              </w:rPr>
              <w:t>获得准驾车型A2或以上驾驶证年限：总</w:t>
            </w:r>
            <w:r>
              <w:rPr>
                <w:rFonts w:hint="eastAsia"/>
              </w:rPr>
              <w:t>年限最长为</w:t>
            </w:r>
            <w:r>
              <w:rPr>
                <w:rFonts w:hint="eastAsia" w:ascii="宋体" w:hAnsi="宋体"/>
              </w:rPr>
              <w:t>优得5分，总</w:t>
            </w:r>
            <w:r>
              <w:rPr>
                <w:rFonts w:hint="eastAsia"/>
              </w:rPr>
              <w:t>年限次长为</w:t>
            </w:r>
            <w:r>
              <w:rPr>
                <w:rFonts w:hint="eastAsia" w:ascii="宋体" w:hAnsi="宋体"/>
              </w:rPr>
              <w:t>良得3分，其它为一般得1分。</w:t>
            </w:r>
          </w:p>
          <w:p>
            <w:pPr>
              <w:rPr>
                <w:rFonts w:ascii="宋体" w:hAnsi="宋体"/>
              </w:rPr>
            </w:pPr>
            <w:r>
              <w:rPr>
                <w:rFonts w:hint="eastAsia" w:ascii="宋体" w:hAnsi="宋体"/>
              </w:rPr>
              <w:t>当前记分周期前3个记分周期（不含当前记分周期）扣分情况：总扣分最少为优得5分，总扣分较少为良得3分，其它为一般得1分。</w:t>
            </w:r>
          </w:p>
          <w:p>
            <w:pPr>
              <w:rPr>
                <w:rFonts w:ascii="宋体" w:hAnsi="宋体"/>
              </w:rPr>
            </w:pPr>
            <w:r>
              <w:rPr>
                <w:rFonts w:hint="eastAsia" w:ascii="宋体" w:hAnsi="宋体"/>
              </w:rPr>
              <w:t>（以上提供交通部门出具的档案资料复印件加盖投标人公章）</w:t>
            </w:r>
          </w:p>
        </w:tc>
        <w:tc>
          <w:tcPr>
            <w:tcW w:w="709" w:type="dxa"/>
            <w:tcBorders>
              <w:right w:val="single" w:color="auto" w:sz="4" w:space="0"/>
            </w:tcBorders>
            <w:vAlign w:val="center"/>
          </w:tcPr>
          <w:p>
            <w:pPr>
              <w:jc w:val="center"/>
              <w:rPr>
                <w:rFonts w:ascii="宋体" w:hAnsi="宋体" w:cs="宋体"/>
              </w:rPr>
            </w:pPr>
            <w:r>
              <w:rPr>
                <w:rFonts w:hint="eastAsia" w:ascii="宋体" w:hAnsi="宋体" w:cs="宋体"/>
              </w:rPr>
              <w:t>10%</w:t>
            </w:r>
          </w:p>
        </w:tc>
        <w:tc>
          <w:tcPr>
            <w:tcW w:w="850" w:type="dxa"/>
            <w:tcBorders>
              <w:left w:val="single" w:color="auto" w:sz="4" w:space="0"/>
            </w:tcBorders>
            <w:vAlign w:val="center"/>
          </w:tcPr>
          <w:p>
            <w:pPr>
              <w:jc w:val="center"/>
              <w:rPr>
                <w:rFonts w:ascii="宋体" w:hAnsi="宋体" w:cs="宋体"/>
              </w:rPr>
            </w:pPr>
            <w:r>
              <w:rPr>
                <w:rFonts w:hint="eastAsia" w:ascii="宋体" w:hAnsi="宋体" w:cs="宋体"/>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4"/>
              </w:numPr>
              <w:ind w:firstLineChars="0"/>
              <w:jc w:val="center"/>
              <w:rPr>
                <w:rFonts w:ascii="宋体" w:hAnsi="宋体"/>
                <w:szCs w:val="21"/>
              </w:rPr>
            </w:pPr>
          </w:p>
        </w:tc>
        <w:tc>
          <w:tcPr>
            <w:tcW w:w="1701" w:type="dxa"/>
            <w:vAlign w:val="center"/>
          </w:tcPr>
          <w:p>
            <w:pPr>
              <w:jc w:val="center"/>
              <w:rPr>
                <w:rFonts w:hAnsi="宋体"/>
                <w:bCs/>
              </w:rPr>
            </w:pPr>
            <w:r>
              <w:rPr>
                <w:rFonts w:hint="eastAsia" w:hAnsi="宋体"/>
                <w:bCs/>
              </w:rPr>
              <w:t>服务方案</w:t>
            </w:r>
          </w:p>
        </w:tc>
        <w:tc>
          <w:tcPr>
            <w:tcW w:w="5245" w:type="dxa"/>
            <w:vAlign w:val="center"/>
          </w:tcPr>
          <w:p>
            <w:pPr>
              <w:rPr>
                <w:rFonts w:cs="宋体" w:asciiTheme="minorEastAsia" w:hAnsiTheme="minorEastAsia" w:eastAsiaTheme="minorEastAsia"/>
                <w:color w:val="000000"/>
                <w:sz w:val="22"/>
                <w:szCs w:val="22"/>
              </w:rPr>
            </w:pPr>
            <w:r>
              <w:rPr>
                <w:rFonts w:hint="eastAsia" w:asciiTheme="minorEastAsia" w:hAnsiTheme="minorEastAsia" w:eastAsiaTheme="minorEastAsia"/>
                <w:color w:val="000000"/>
                <w:sz w:val="22"/>
                <w:szCs w:val="22"/>
              </w:rPr>
              <w:t>根据各投标人提供的服务方案进行评比：服务方案完善为优得15分，服务方案较完整为良得8分，服务方案一般得3分，无提供不得分。</w:t>
            </w:r>
          </w:p>
          <w:p>
            <w:pPr>
              <w:rPr>
                <w:rFonts w:ascii="宋体" w:hAnsi="宋体"/>
                <w:color w:val="C00000"/>
              </w:rPr>
            </w:pPr>
          </w:p>
        </w:tc>
        <w:tc>
          <w:tcPr>
            <w:tcW w:w="709" w:type="dxa"/>
            <w:tcBorders>
              <w:right w:val="single" w:color="auto" w:sz="4" w:space="0"/>
            </w:tcBorders>
            <w:vAlign w:val="center"/>
          </w:tcPr>
          <w:p>
            <w:pPr>
              <w:jc w:val="center"/>
              <w:rPr>
                <w:rFonts w:ascii="宋体" w:hAnsi="宋体" w:cs="宋体"/>
              </w:rPr>
            </w:pPr>
            <w:r>
              <w:rPr>
                <w:rFonts w:hint="eastAsia" w:ascii="宋体" w:hAnsi="宋体" w:cs="宋体"/>
              </w:rPr>
              <w:t>15%</w:t>
            </w:r>
          </w:p>
        </w:tc>
        <w:tc>
          <w:tcPr>
            <w:tcW w:w="850" w:type="dxa"/>
            <w:tcBorders>
              <w:left w:val="single" w:color="auto" w:sz="4" w:space="0"/>
            </w:tcBorders>
            <w:vAlign w:val="center"/>
          </w:tcPr>
          <w:p>
            <w:pPr>
              <w:jc w:val="center"/>
              <w:rPr>
                <w:rFonts w:ascii="宋体" w:hAnsi="宋体" w:cs="宋体"/>
              </w:rPr>
            </w:pPr>
            <w:r>
              <w:rPr>
                <w:rFonts w:hint="eastAsia" w:ascii="宋体" w:hAnsi="宋体" w:cs="宋体"/>
              </w:rPr>
              <w:t>15分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4"/>
              </w:numPr>
              <w:ind w:firstLineChars="0"/>
              <w:jc w:val="center"/>
              <w:rPr>
                <w:rFonts w:ascii="宋体" w:hAnsi="宋体"/>
                <w:szCs w:val="21"/>
              </w:rPr>
            </w:pPr>
          </w:p>
        </w:tc>
        <w:tc>
          <w:tcPr>
            <w:tcW w:w="1701" w:type="dxa"/>
            <w:vAlign w:val="center"/>
          </w:tcPr>
          <w:p>
            <w:pPr>
              <w:jc w:val="center"/>
              <w:rPr>
                <w:rFonts w:hAnsi="宋体"/>
                <w:bCs/>
              </w:rPr>
            </w:pPr>
            <w:r>
              <w:rPr>
                <w:rFonts w:hint="eastAsia" w:hAnsi="宋体"/>
                <w:bCs/>
              </w:rPr>
              <w:t>安全措施</w:t>
            </w:r>
          </w:p>
        </w:tc>
        <w:tc>
          <w:tcPr>
            <w:tcW w:w="5245" w:type="dxa"/>
            <w:vAlign w:val="center"/>
          </w:tcPr>
          <w:p>
            <w:pPr>
              <w:rPr>
                <w:rFonts w:ascii="宋体" w:hAnsi="宋体"/>
              </w:rPr>
            </w:pPr>
            <w:bookmarkStart w:id="20" w:name="OLE_LINK3"/>
            <w:r>
              <w:rPr>
                <w:rFonts w:hint="eastAsia" w:ascii="宋体" w:hAnsi="宋体"/>
              </w:rPr>
              <w:t>根据各投标人提供的安全措施方案进行评比：安全措施方案完善为优得15分，安全措施方案较完整良得8分，安全措施方案一般得3分，无提供不得分。</w:t>
            </w:r>
            <w:bookmarkEnd w:id="20"/>
          </w:p>
        </w:tc>
        <w:tc>
          <w:tcPr>
            <w:tcW w:w="709" w:type="dxa"/>
            <w:tcBorders>
              <w:right w:val="single" w:color="auto" w:sz="4" w:space="0"/>
            </w:tcBorders>
            <w:vAlign w:val="center"/>
          </w:tcPr>
          <w:p>
            <w:pPr>
              <w:jc w:val="center"/>
              <w:rPr>
                <w:rFonts w:ascii="宋体" w:hAnsi="宋体" w:cs="宋体"/>
              </w:rPr>
            </w:pPr>
            <w:r>
              <w:rPr>
                <w:rFonts w:hint="eastAsia" w:ascii="宋体" w:hAnsi="宋体" w:cs="宋体"/>
              </w:rPr>
              <w:t>15%</w:t>
            </w:r>
          </w:p>
        </w:tc>
        <w:tc>
          <w:tcPr>
            <w:tcW w:w="850" w:type="dxa"/>
            <w:tcBorders>
              <w:left w:val="single" w:color="auto" w:sz="4" w:space="0"/>
            </w:tcBorders>
            <w:vAlign w:val="center"/>
          </w:tcPr>
          <w:p>
            <w:pPr>
              <w:jc w:val="center"/>
              <w:rPr>
                <w:rFonts w:ascii="宋体" w:hAnsi="宋体" w:cs="宋体"/>
              </w:rPr>
            </w:pPr>
            <w:r>
              <w:rPr>
                <w:rFonts w:hint="eastAsia" w:ascii="宋体" w:hAnsi="宋体" w:cs="宋体"/>
              </w:rPr>
              <w:t>15分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pPr>
              <w:jc w:val="center"/>
              <w:rPr>
                <w:rFonts w:ascii="宋体" w:hAnsi="宋体"/>
                <w:b/>
              </w:rPr>
            </w:pPr>
            <w:r>
              <w:rPr>
                <w:rFonts w:hint="eastAsia" w:ascii="宋体" w:hAnsi="宋体"/>
                <w:b/>
              </w:rPr>
              <w:t>二</w:t>
            </w:r>
          </w:p>
        </w:tc>
        <w:tc>
          <w:tcPr>
            <w:tcW w:w="8505" w:type="dxa"/>
            <w:gridSpan w:val="4"/>
            <w:vAlign w:val="center"/>
          </w:tcPr>
          <w:p>
            <w:pPr>
              <w:ind w:left="-78" w:leftChars="-37" w:right="-73" w:rightChars="-35"/>
              <w:jc w:val="center"/>
              <w:rPr>
                <w:rFonts w:ascii="宋体" w:hAnsi="宋体" w:cs="宋体"/>
                <w:b/>
              </w:rPr>
            </w:pPr>
            <w:r>
              <w:rPr>
                <w:rFonts w:hint="eastAsia" w:ascii="宋体" w:hAnsi="宋体"/>
                <w:b/>
              </w:rPr>
              <w:t>商务部分</w:t>
            </w:r>
            <w:r>
              <w:rPr>
                <w:rFonts w:hint="eastAsia" w:ascii="宋体" w:hAnsi="宋体"/>
              </w:rPr>
              <w:t>(合计40分)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pPr>
              <w:pStyle w:val="103"/>
              <w:numPr>
                <w:ilvl w:val="0"/>
                <w:numId w:val="15"/>
              </w:numPr>
              <w:ind w:firstLineChars="0"/>
              <w:jc w:val="center"/>
              <w:rPr>
                <w:rFonts w:ascii="宋体" w:hAnsi="宋体"/>
                <w:szCs w:val="21"/>
              </w:rPr>
            </w:pPr>
            <w:bookmarkStart w:id="21" w:name="OLE_LINK5" w:colFirst="1" w:colLast="2"/>
            <w:bookmarkStart w:id="22" w:name="OLE_LINK4" w:colFirst="1" w:colLast="2"/>
          </w:p>
        </w:tc>
        <w:tc>
          <w:tcPr>
            <w:tcW w:w="1701" w:type="dxa"/>
            <w:vAlign w:val="center"/>
          </w:tcPr>
          <w:p>
            <w:pPr>
              <w:ind w:left="-63" w:leftChars="-30" w:right="-88" w:rightChars="-42"/>
              <w:jc w:val="center"/>
              <w:rPr>
                <w:rFonts w:ascii="宋体" w:hAnsi="宋体" w:cs="宋体"/>
              </w:rPr>
            </w:pPr>
            <w:r>
              <w:rPr>
                <w:rFonts w:hint="eastAsia" w:ascii="宋体" w:hAnsi="宋体" w:cs="宋体"/>
              </w:rPr>
              <w:t>2020年至今同类接送业绩经验</w:t>
            </w:r>
          </w:p>
        </w:tc>
        <w:tc>
          <w:tcPr>
            <w:tcW w:w="5245" w:type="dxa"/>
            <w:vAlign w:val="center"/>
          </w:tcPr>
          <w:p>
            <w:pPr>
              <w:ind w:left="-63" w:leftChars="-30" w:right="-88" w:rightChars="-42"/>
              <w:rPr>
                <w:rFonts w:ascii="宋体" w:hAnsi="宋体"/>
              </w:rPr>
            </w:pPr>
            <w:r>
              <w:rPr>
                <w:rFonts w:hint="eastAsia" w:ascii="宋体" w:hAnsi="宋体"/>
              </w:rPr>
              <w:t>每提供一项得3分，本项最高得7分。</w:t>
            </w:r>
          </w:p>
          <w:p>
            <w:pPr>
              <w:ind w:left="-63" w:leftChars="-30" w:right="-88" w:rightChars="-42"/>
              <w:rPr>
                <w:rFonts w:ascii="宋体" w:hAnsi="宋体" w:cs="宋体"/>
              </w:rPr>
            </w:pPr>
            <w:r>
              <w:rPr>
                <w:rFonts w:hint="eastAsia" w:ascii="宋体" w:hAnsi="宋体"/>
              </w:rPr>
              <w:t>（提供合同复印件加盖投标人公章，原件核查）</w:t>
            </w:r>
          </w:p>
        </w:tc>
        <w:tc>
          <w:tcPr>
            <w:tcW w:w="709" w:type="dxa"/>
            <w:tcBorders>
              <w:right w:val="single" w:color="auto" w:sz="4" w:space="0"/>
            </w:tcBorders>
            <w:vAlign w:val="center"/>
          </w:tcPr>
          <w:p>
            <w:pPr>
              <w:ind w:left="-63" w:leftChars="-30" w:right="-88" w:rightChars="-42"/>
              <w:jc w:val="center"/>
              <w:rPr>
                <w:rFonts w:ascii="宋体" w:hAnsi="宋体"/>
              </w:rPr>
            </w:pPr>
            <w:r>
              <w:rPr>
                <w:rFonts w:hint="eastAsia" w:ascii="宋体" w:hAnsi="宋体"/>
              </w:rPr>
              <w:t>6%</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6分</w:t>
            </w:r>
          </w:p>
        </w:tc>
      </w:tr>
      <w:bookmarkEnd w:id="2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5"/>
              </w:numPr>
              <w:ind w:firstLineChars="0"/>
              <w:jc w:val="center"/>
              <w:rPr>
                <w:rFonts w:ascii="宋体" w:hAnsi="宋体"/>
                <w:szCs w:val="21"/>
              </w:rPr>
            </w:pPr>
          </w:p>
        </w:tc>
        <w:tc>
          <w:tcPr>
            <w:tcW w:w="1701" w:type="dxa"/>
            <w:vAlign w:val="center"/>
          </w:tcPr>
          <w:p>
            <w:pPr>
              <w:jc w:val="center"/>
              <w:rPr>
                <w:rFonts w:ascii="宋体" w:hAnsi="宋体"/>
              </w:rPr>
            </w:pPr>
            <w:r>
              <w:rPr>
                <w:rFonts w:hint="eastAsia" w:ascii="宋体" w:hAnsi="宋体"/>
              </w:rPr>
              <w:t>财务状况</w:t>
            </w:r>
          </w:p>
        </w:tc>
        <w:tc>
          <w:tcPr>
            <w:tcW w:w="5245" w:type="dxa"/>
            <w:vAlign w:val="center"/>
          </w:tcPr>
          <w:p>
            <w:pPr>
              <w:ind w:left="-78" w:leftChars="-37" w:right="-73" w:rightChars="-35"/>
              <w:rPr>
                <w:rFonts w:ascii="宋体" w:hAnsi="宋体" w:cs="宋体"/>
              </w:rPr>
            </w:pPr>
            <w:bookmarkStart w:id="23" w:name="OLE_LINK7"/>
            <w:r>
              <w:rPr>
                <w:rFonts w:hint="eastAsia" w:ascii="宋体" w:hAnsi="宋体"/>
              </w:rPr>
              <w:t>根据投标人2020、</w:t>
            </w:r>
            <w:r>
              <w:rPr>
                <w:rFonts w:ascii="宋体" w:hAnsi="宋体"/>
              </w:rPr>
              <w:t>20</w:t>
            </w:r>
            <w:r>
              <w:rPr>
                <w:rFonts w:hint="eastAsia" w:ascii="宋体" w:hAnsi="宋体"/>
              </w:rPr>
              <w:t>21、</w:t>
            </w:r>
            <w:r>
              <w:rPr>
                <w:rFonts w:ascii="宋体" w:hAnsi="宋体"/>
              </w:rPr>
              <w:t>20</w:t>
            </w:r>
            <w:r>
              <w:rPr>
                <w:rFonts w:hint="eastAsia" w:ascii="宋体" w:hAnsi="宋体"/>
              </w:rPr>
              <w:t>22年财务审计报告：提供三年得6分，提供二年得3分，提供一年得</w:t>
            </w:r>
            <w:r>
              <w:rPr>
                <w:rFonts w:ascii="宋体" w:hAnsi="宋体"/>
              </w:rPr>
              <w:t>1</w:t>
            </w:r>
            <w:r>
              <w:rPr>
                <w:rFonts w:hint="eastAsia" w:ascii="宋体" w:hAnsi="宋体"/>
              </w:rPr>
              <w:t>分，其它不得分。（以会计事务所出具的财务审计报告为准，提供复印件加盖投标人公章，原件核查）</w:t>
            </w:r>
            <w:bookmarkEnd w:id="23"/>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6%</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6分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5"/>
              </w:numPr>
              <w:ind w:firstLineChars="0"/>
              <w:jc w:val="center"/>
              <w:rPr>
                <w:rFonts w:ascii="宋体" w:hAnsi="宋体"/>
                <w:szCs w:val="21"/>
              </w:rPr>
            </w:pPr>
          </w:p>
        </w:tc>
        <w:tc>
          <w:tcPr>
            <w:tcW w:w="1701" w:type="dxa"/>
            <w:vAlign w:val="center"/>
          </w:tcPr>
          <w:p>
            <w:pPr>
              <w:jc w:val="center"/>
              <w:rPr>
                <w:rFonts w:ascii="宋体" w:hAnsi="宋体"/>
              </w:rPr>
            </w:pPr>
            <w:r>
              <w:rPr>
                <w:rFonts w:hint="eastAsia" w:ascii="宋体" w:hAnsi="宋体"/>
              </w:rPr>
              <w:t>企业实力</w:t>
            </w:r>
          </w:p>
        </w:tc>
        <w:tc>
          <w:tcPr>
            <w:tcW w:w="5245" w:type="dxa"/>
            <w:vAlign w:val="center"/>
          </w:tcPr>
          <w:p>
            <w:pPr>
              <w:autoSpaceDE/>
              <w:autoSpaceDN/>
              <w:adjustRightInd/>
              <w:snapToGrid w:val="0"/>
              <w:spacing w:line="360" w:lineRule="auto"/>
              <w:ind w:left="-2" w:leftChars="-1"/>
              <w:jc w:val="both"/>
              <w:rPr>
                <w:rFonts w:ascii="宋体" w:hAnsi="宋体"/>
              </w:rPr>
            </w:pPr>
            <w:r>
              <w:rPr>
                <w:rFonts w:hint="eastAsia" w:ascii="宋体" w:hAnsi="宋体"/>
              </w:rPr>
              <w:t>具有有效期内的《中华人民共和国道路运输经营许可证》或县级（含以上）地方人民政府（或其授权的相关主管部门规定设立的运营单位）得6分。（提供复印件加盖投标人公章，原件核查）</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6%</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6分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5"/>
              </w:numPr>
              <w:ind w:firstLineChars="0"/>
              <w:jc w:val="center"/>
              <w:rPr>
                <w:rFonts w:ascii="宋体" w:hAnsi="宋体"/>
                <w:szCs w:val="21"/>
              </w:rPr>
            </w:pPr>
          </w:p>
        </w:tc>
        <w:tc>
          <w:tcPr>
            <w:tcW w:w="1701" w:type="dxa"/>
            <w:vAlign w:val="center"/>
          </w:tcPr>
          <w:p>
            <w:pPr>
              <w:jc w:val="center"/>
              <w:rPr>
                <w:rFonts w:ascii="宋体" w:hAnsi="宋体"/>
              </w:rPr>
            </w:pPr>
            <w:r>
              <w:rPr>
                <w:rFonts w:hint="eastAsia" w:hAnsi="宋体"/>
                <w:bCs/>
              </w:rPr>
              <w:t>企业管理制度</w:t>
            </w:r>
          </w:p>
        </w:tc>
        <w:tc>
          <w:tcPr>
            <w:tcW w:w="5245" w:type="dxa"/>
            <w:vAlign w:val="center"/>
          </w:tcPr>
          <w:p>
            <w:pPr>
              <w:ind w:left="-78" w:leftChars="-37" w:right="-73" w:rightChars="-35"/>
              <w:rPr>
                <w:rFonts w:ascii="宋体" w:hAnsi="宋体"/>
              </w:rPr>
            </w:pPr>
            <w:r>
              <w:rPr>
                <w:rFonts w:hint="eastAsia" w:ascii="宋体" w:hAnsi="宋体" w:cs="宋体"/>
              </w:rPr>
              <w:t>根据各投标人的内部管理机制（服务流程、岗位职责、服务管理与评估、管理与培训制度、档案管理等制度）进行综合评比：内部管理机制完善为优得6分，内部管理机制比较完整为良得3分，内部管理机制一般得1分，无提供不得分。</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6%</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6分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5"/>
              </w:numPr>
              <w:ind w:firstLineChars="0"/>
              <w:jc w:val="center"/>
              <w:rPr>
                <w:rFonts w:ascii="宋体" w:hAnsi="宋体"/>
                <w:szCs w:val="21"/>
              </w:rPr>
            </w:pPr>
          </w:p>
        </w:tc>
        <w:tc>
          <w:tcPr>
            <w:tcW w:w="1701" w:type="dxa"/>
            <w:vAlign w:val="center"/>
          </w:tcPr>
          <w:p>
            <w:pPr>
              <w:spacing w:line="360" w:lineRule="exact"/>
              <w:jc w:val="center"/>
              <w:rPr>
                <w:rFonts w:ascii="宋体" w:hAnsi="宋体"/>
              </w:rPr>
            </w:pPr>
            <w:r>
              <w:rPr>
                <w:rFonts w:hint="eastAsia" w:ascii="宋体" w:hAnsi="宋体"/>
              </w:rPr>
              <w:t>服务便利性</w:t>
            </w:r>
          </w:p>
        </w:tc>
        <w:tc>
          <w:tcPr>
            <w:tcW w:w="5245" w:type="dxa"/>
            <w:vAlign w:val="center"/>
          </w:tcPr>
          <w:p>
            <w:pPr>
              <w:spacing w:line="360" w:lineRule="exact"/>
              <w:ind w:left="-78" w:leftChars="-37" w:right="-73" w:rightChars="-35"/>
              <w:rPr>
                <w:rFonts w:ascii="宋体" w:hAnsi="宋体"/>
              </w:rPr>
            </w:pPr>
            <w:r>
              <w:rPr>
                <w:rFonts w:hint="eastAsia" w:ascii="宋体" w:hAnsi="宋体"/>
                <w:lang w:val="en-GB"/>
              </w:rPr>
              <w:t>根据各投标人服务机构的便利性，是否方便为采购人提供突发事件、应急处理、项目实施情况等优质服务，对各投标人进行评审；（1）能够更好地为采购人提供优质便捷服务的为优，得10分；（2）为采购人提供便捷度良好的服务为良，得6分；（3）为采购人提供的服务便捷度一般的，得2分；（4）无提供不得分。（提供服务机构营业执照、自有房产证明或租赁合同的复印件并加盖投标人公章，无提供不得分）。</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10%</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5"/>
              </w:numPr>
              <w:ind w:firstLineChars="0"/>
              <w:jc w:val="center"/>
              <w:rPr>
                <w:rFonts w:ascii="宋体" w:hAnsi="宋体"/>
                <w:szCs w:val="21"/>
              </w:rPr>
            </w:pPr>
          </w:p>
        </w:tc>
        <w:tc>
          <w:tcPr>
            <w:tcW w:w="1701" w:type="dxa"/>
            <w:vAlign w:val="center"/>
          </w:tcPr>
          <w:p>
            <w:pPr>
              <w:spacing w:line="360" w:lineRule="exact"/>
              <w:jc w:val="center"/>
              <w:rPr>
                <w:rFonts w:ascii="宋体" w:hAnsi="宋体"/>
              </w:rPr>
            </w:pPr>
            <w:r>
              <w:rPr>
                <w:rFonts w:hint="eastAsia" w:ascii="宋体" w:hAnsi="宋体"/>
              </w:rPr>
              <w:t>招标文件响应程度</w:t>
            </w:r>
          </w:p>
        </w:tc>
        <w:tc>
          <w:tcPr>
            <w:tcW w:w="5245" w:type="dxa"/>
            <w:vAlign w:val="center"/>
          </w:tcPr>
          <w:p>
            <w:pPr>
              <w:spacing w:line="360" w:lineRule="exact"/>
              <w:ind w:left="-78" w:leftChars="-37" w:right="-73" w:rightChars="-35"/>
              <w:rPr>
                <w:rFonts w:ascii="宋体" w:hAnsi="宋体"/>
                <w:lang w:val="en-GB"/>
              </w:rPr>
            </w:pPr>
            <w:bookmarkStart w:id="24" w:name="OLE_LINK6"/>
            <w:r>
              <w:rPr>
                <w:rFonts w:hint="eastAsia" w:ascii="宋体" w:hAnsi="宋体" w:cs="宋体"/>
              </w:rPr>
              <w:t>根据各投标人响应招标文件程度进行评审：优于或满足招标文件得6分，部分满足招标文件得2分，其它不得分。</w:t>
            </w:r>
            <w:bookmarkEnd w:id="24"/>
          </w:p>
        </w:tc>
        <w:tc>
          <w:tcPr>
            <w:tcW w:w="709" w:type="dxa"/>
            <w:tcBorders>
              <w:right w:val="single" w:color="auto" w:sz="4" w:space="0"/>
            </w:tcBorders>
            <w:vAlign w:val="center"/>
          </w:tcPr>
          <w:p>
            <w:pPr>
              <w:ind w:left="-78" w:leftChars="-37" w:right="-73" w:rightChars="-35"/>
              <w:jc w:val="center"/>
              <w:rPr>
                <w:rFonts w:ascii="宋体" w:hAnsi="宋体" w:cs="宋体"/>
                <w:lang w:val="en-GB"/>
              </w:rPr>
            </w:pPr>
            <w:r>
              <w:rPr>
                <w:rFonts w:hint="eastAsia" w:ascii="宋体" w:hAnsi="宋体" w:cs="宋体"/>
                <w:lang w:val="en-GB"/>
              </w:rPr>
              <w:t>6%</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6分</w:t>
            </w:r>
          </w:p>
        </w:tc>
      </w:tr>
      <w:bookmarkEnd w:id="22"/>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pPr>
              <w:jc w:val="center"/>
              <w:rPr>
                <w:rFonts w:ascii="宋体" w:hAnsi="宋体"/>
                <w:b/>
              </w:rPr>
            </w:pPr>
            <w:r>
              <w:rPr>
                <w:rFonts w:hint="eastAsia" w:ascii="宋体" w:hAnsi="宋体"/>
                <w:b/>
              </w:rPr>
              <w:t>三</w:t>
            </w:r>
          </w:p>
        </w:tc>
        <w:tc>
          <w:tcPr>
            <w:tcW w:w="8505" w:type="dxa"/>
            <w:gridSpan w:val="4"/>
            <w:vAlign w:val="center"/>
          </w:tcPr>
          <w:p>
            <w:pPr>
              <w:ind w:left="-78" w:leftChars="-37" w:right="-73" w:rightChars="-35"/>
              <w:jc w:val="center"/>
              <w:rPr>
                <w:rFonts w:ascii="宋体" w:hAnsi="宋体" w:cs="宋体"/>
              </w:rPr>
            </w:pPr>
            <w:r>
              <w:rPr>
                <w:rFonts w:hint="eastAsia" w:ascii="宋体" w:hAnsi="宋体"/>
              </w:rPr>
              <w:t>价格部分(合计10分)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jc w:val="center"/>
              <w:rPr>
                <w:rFonts w:ascii="宋体" w:hAnsi="宋体"/>
              </w:rPr>
            </w:pPr>
            <w:r>
              <w:rPr>
                <w:rFonts w:hint="eastAsia" w:ascii="宋体" w:hAnsi="宋体"/>
              </w:rPr>
              <w:t>1</w:t>
            </w:r>
          </w:p>
        </w:tc>
        <w:tc>
          <w:tcPr>
            <w:tcW w:w="1701" w:type="dxa"/>
            <w:vAlign w:val="center"/>
          </w:tcPr>
          <w:p>
            <w:pPr>
              <w:jc w:val="center"/>
              <w:rPr>
                <w:rFonts w:ascii="宋体" w:hAnsi="宋体"/>
              </w:rPr>
            </w:pPr>
            <w:r>
              <w:rPr>
                <w:rFonts w:hint="eastAsia" w:ascii="宋体" w:hAnsi="宋体"/>
              </w:rPr>
              <w:t>投标报价</w:t>
            </w:r>
          </w:p>
        </w:tc>
        <w:tc>
          <w:tcPr>
            <w:tcW w:w="5245" w:type="dxa"/>
            <w:vAlign w:val="center"/>
          </w:tcPr>
          <w:p>
            <w:pPr>
              <w:snapToGrid w:val="0"/>
              <w:spacing w:line="360" w:lineRule="auto"/>
              <w:rPr>
                <w:rFonts w:ascii="宋体" w:hAnsi="宋体" w:cs="宋体"/>
              </w:rPr>
            </w:pPr>
            <w:r>
              <w:rPr>
                <w:rFonts w:ascii="宋体" w:hAnsi="宋体" w:cs="宋体"/>
              </w:rPr>
              <w:t>价格分</w:t>
            </w:r>
            <w:r>
              <w:rPr>
                <w:rFonts w:hint="eastAsia" w:ascii="宋体" w:hAnsi="宋体" w:cs="宋体"/>
              </w:rPr>
              <w:t>应当采用低价优先法计算，即满足磋商文件要求且投标价格最低的投标报价为评标基准价，其价格分为满分。其他响应供应商的价格分统一按照下列公式计算：</w:t>
            </w:r>
          </w:p>
          <w:p>
            <w:pPr>
              <w:widowControl/>
              <w:spacing w:line="360" w:lineRule="auto"/>
              <w:rPr>
                <w:rFonts w:ascii="宋体" w:hAnsi="宋体" w:cs="宋体"/>
              </w:rPr>
            </w:pPr>
            <w:r>
              <w:rPr>
                <w:rFonts w:hint="eastAsia" w:ascii="宋体" w:hAnsi="宋体" w:cs="宋体"/>
              </w:rPr>
              <w:t>投标报价得分=(评标基准价／投标报价)×100×权重</w:t>
            </w:r>
          </w:p>
          <w:p>
            <w:pPr>
              <w:widowControl/>
              <w:spacing w:line="360" w:lineRule="auto"/>
              <w:rPr>
                <w:rFonts w:ascii="宋体" w:cs="宋体"/>
              </w:rPr>
            </w:pPr>
            <w:r>
              <w:rPr>
                <w:rFonts w:hint="eastAsia" w:ascii="宋体" w:hAnsi="宋体"/>
                <w:bCs/>
              </w:rPr>
              <w:t>备注：1、因落实政府采购政策进行价格调整的，以调整后的价格计算投标报价得分</w:t>
            </w:r>
            <w:r>
              <w:rPr>
                <w:rFonts w:hint="eastAsia" w:ascii="宋体" w:cs="宋体"/>
              </w:rPr>
              <w:t>,详见《价格扣除》。</w:t>
            </w:r>
          </w:p>
          <w:p>
            <w:pPr>
              <w:spacing w:line="360" w:lineRule="auto"/>
              <w:rPr>
                <w:rFonts w:ascii="宋体" w:hAnsi="宋体"/>
                <w:bCs/>
              </w:rPr>
            </w:pPr>
            <w:r>
              <w:rPr>
                <w:rFonts w:hint="eastAsia" w:ascii="宋体" w:hAnsi="宋体"/>
                <w:bCs/>
              </w:rPr>
              <w:t>2、投标报价得分四舍五入后，</w:t>
            </w:r>
            <w:r>
              <w:rPr>
                <w:rFonts w:hint="eastAsia" w:ascii="Arial" w:hAnsi="Arial" w:cs="Arial"/>
                <w:szCs w:val="20"/>
              </w:rPr>
              <w:t>小数点后保留两位有效数</w:t>
            </w:r>
            <w:r>
              <w:rPr>
                <w:rFonts w:hint="eastAsia" w:ascii="宋体" w:hAnsi="宋体"/>
                <w:bCs/>
              </w:rPr>
              <w:t>；</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10%</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rPr>
              <w:t>10分</w:t>
            </w:r>
          </w:p>
        </w:tc>
      </w:tr>
      <w:bookmarkEnd w:id="1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pPr>
              <w:ind w:left="-78" w:leftChars="-37" w:right="-73" w:rightChars="-35"/>
              <w:jc w:val="center"/>
              <w:rPr>
                <w:rFonts w:ascii="宋体" w:hAnsi="宋体" w:cs="宋体"/>
              </w:rPr>
            </w:pPr>
            <w:r>
              <w:rPr>
                <w:rFonts w:hint="eastAsia" w:ascii="宋体" w:hAnsi="宋体"/>
              </w:rPr>
              <w:t>合计</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100%</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100分</w:t>
            </w:r>
          </w:p>
        </w:tc>
      </w:tr>
    </w:tbl>
    <w:p>
      <w:pPr>
        <w:snapToGrid w:val="0"/>
        <w:spacing w:line="360" w:lineRule="auto"/>
        <w:rPr>
          <w:rFonts w:ascii="宋体" w:cs="宋体"/>
          <w:snapToGrid w:val="0"/>
        </w:rPr>
      </w:pPr>
    </w:p>
    <w:p>
      <w:pPr>
        <w:snapToGrid w:val="0"/>
        <w:spacing w:line="360" w:lineRule="auto"/>
        <w:rPr>
          <w:rFonts w:ascii="宋体" w:cs="宋体"/>
          <w:snapToGrid w:val="0"/>
        </w:rPr>
      </w:pPr>
      <w:r>
        <w:rPr>
          <w:rFonts w:hint="eastAsia" w:ascii="宋体" w:cs="宋体"/>
          <w:snapToGrid w:val="0"/>
        </w:rPr>
        <w:t>备注：</w:t>
      </w:r>
    </w:p>
    <w:p>
      <w:pPr>
        <w:numPr>
          <w:ilvl w:val="0"/>
          <w:numId w:val="16"/>
        </w:numPr>
        <w:tabs>
          <w:tab w:val="left" w:pos="284"/>
        </w:tabs>
        <w:autoSpaceDE/>
        <w:autoSpaceDN/>
        <w:adjustRightInd/>
        <w:snapToGrid w:val="0"/>
        <w:spacing w:line="360" w:lineRule="auto"/>
        <w:ind w:left="284" w:hanging="284"/>
        <w:jc w:val="both"/>
        <w:rPr>
          <w:rFonts w:ascii="宋体" w:hAnsi="宋体"/>
          <w:bCs/>
        </w:rPr>
      </w:pPr>
      <w:r>
        <w:rPr>
          <w:rFonts w:hint="eastAsia" w:ascii="宋体" w:hAnsi="宋体"/>
          <w:bCs/>
        </w:rPr>
        <w:t>竞争性磋商文件要求提交的与评价指标体系相关的各类有效资料，响应供应商如未按要求提交的，该项评分为零分。</w:t>
      </w:r>
    </w:p>
    <w:p>
      <w:pPr>
        <w:numPr>
          <w:ilvl w:val="0"/>
          <w:numId w:val="16"/>
        </w:numPr>
        <w:tabs>
          <w:tab w:val="left" w:pos="284"/>
        </w:tabs>
        <w:autoSpaceDE/>
        <w:autoSpaceDN/>
        <w:adjustRightInd/>
        <w:snapToGrid w:val="0"/>
        <w:spacing w:line="360" w:lineRule="auto"/>
        <w:ind w:left="284" w:hanging="284"/>
        <w:jc w:val="both"/>
        <w:rPr>
          <w:rFonts w:ascii="宋体" w:hAnsi="宋体"/>
          <w:bCs/>
        </w:rPr>
      </w:pPr>
      <w:r>
        <w:rPr>
          <w:rFonts w:hint="eastAsia" w:ascii="宋体" w:hAnsi="宋体"/>
          <w:bCs/>
        </w:rPr>
        <w:t>技术、商务部分评分：所有评委评分分值的算术平均值（四舍五入后，</w:t>
      </w:r>
      <w:r>
        <w:rPr>
          <w:rFonts w:hint="eastAsia" w:ascii="Arial" w:hAnsi="Arial" w:cs="Arial"/>
        </w:rPr>
        <w:t>小数点后保留两位有效数</w:t>
      </w:r>
      <w:r>
        <w:rPr>
          <w:rFonts w:hint="eastAsia" w:ascii="宋体" w:hAnsi="宋体"/>
          <w:bCs/>
        </w:rPr>
        <w:t>）。</w:t>
      </w:r>
    </w:p>
    <w:p>
      <w:pPr>
        <w:numPr>
          <w:ilvl w:val="0"/>
          <w:numId w:val="16"/>
        </w:numPr>
        <w:tabs>
          <w:tab w:val="left" w:pos="284"/>
        </w:tabs>
        <w:autoSpaceDE/>
        <w:autoSpaceDN/>
        <w:adjustRightInd/>
        <w:snapToGrid w:val="0"/>
        <w:spacing w:line="360" w:lineRule="auto"/>
        <w:ind w:left="284" w:hanging="284"/>
        <w:jc w:val="both"/>
        <w:rPr>
          <w:rFonts w:ascii="宋体" w:hAnsi="宋体"/>
          <w:bCs/>
        </w:rPr>
      </w:pPr>
      <w:r>
        <w:rPr>
          <w:rFonts w:hint="eastAsia" w:ascii="宋体" w:hAnsi="宋体"/>
          <w:bCs/>
        </w:rPr>
        <w:t>评审内容中所要求提交“原件”独立包装，并内附“资料原件提交清单”（详见第六章响应文件格式），以便评审委员会核对，如未提供原件的，该项评分为0分。“原件”与响应文件同时递交（采购代理机构不接收投标截止后递交的原件），评标结束当日退回</w:t>
      </w:r>
      <w:r>
        <w:rPr>
          <w:rFonts w:hint="eastAsia"/>
        </w:rPr>
        <w:t>。</w:t>
      </w:r>
    </w:p>
    <w:p>
      <w:pPr>
        <w:snapToGrid w:val="0"/>
        <w:spacing w:line="360" w:lineRule="auto"/>
        <w:ind w:left="210" w:leftChars="100"/>
        <w:rPr>
          <w:rFonts w:ascii="宋体" w:hAnsi="宋体"/>
          <w:bCs/>
          <w:color w:val="FF0000"/>
        </w:rPr>
        <w:sectPr>
          <w:pgSz w:w="11906" w:h="16838"/>
          <w:pgMar w:top="1440" w:right="1286" w:bottom="1440" w:left="1440" w:header="851" w:footer="992" w:gutter="0"/>
          <w:cols w:space="425" w:num="1"/>
          <w:docGrid w:type="lines" w:linePitch="312" w:charSpace="0"/>
        </w:sectPr>
      </w:pPr>
    </w:p>
    <w:p>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价 格 扣 除</w:t>
      </w:r>
    </w:p>
    <w:p>
      <w:pPr>
        <w:numPr>
          <w:ilvl w:val="0"/>
          <w:numId w:val="17"/>
        </w:numPr>
        <w:tabs>
          <w:tab w:val="clear" w:pos="425"/>
        </w:tabs>
        <w:autoSpaceDE/>
        <w:autoSpaceDN/>
        <w:adjustRightInd/>
        <w:spacing w:line="360" w:lineRule="auto"/>
        <w:jc w:val="both"/>
        <w:rPr>
          <w:rFonts w:ascii="宋体" w:hAnsi="宋体"/>
          <w:bCs/>
        </w:rPr>
      </w:pPr>
      <w:r>
        <w:rPr>
          <w:rFonts w:hint="eastAsia" w:ascii="宋体" w:hAnsi="宋体"/>
          <w:bCs/>
        </w:rPr>
        <w:t>价格核准：</w:t>
      </w:r>
    </w:p>
    <w:p>
      <w:pPr>
        <w:numPr>
          <w:ilvl w:val="1"/>
          <w:numId w:val="17"/>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pPr>
        <w:numPr>
          <w:ilvl w:val="0"/>
          <w:numId w:val="17"/>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pPr>
        <w:numPr>
          <w:ilvl w:val="1"/>
          <w:numId w:val="17"/>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政府采购促进中小企业发展暂行办法》（财库[2011]181号）的规定，对小型和微型企业产品的价格给予6%的扣除，用扣除后的价格参与评审；投标产品中仅有部分小型和微型企业产品的，则此部分按所投小型和微型企业产品的价格予以扣除。</w:t>
      </w:r>
    </w:p>
    <w:p>
      <w:pPr>
        <w:numPr>
          <w:ilvl w:val="1"/>
          <w:numId w:val="17"/>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7"/>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pPr>
        <w:numPr>
          <w:ilvl w:val="2"/>
          <w:numId w:val="17"/>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pPr>
        <w:numPr>
          <w:ilvl w:val="1"/>
          <w:numId w:val="17"/>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pPr>
        <w:numPr>
          <w:ilvl w:val="1"/>
          <w:numId w:val="17"/>
        </w:numPr>
        <w:autoSpaceDE/>
        <w:autoSpaceDN/>
        <w:adjustRightInd/>
        <w:spacing w:line="360" w:lineRule="auto"/>
        <w:jc w:val="both"/>
      </w:pPr>
      <w:r>
        <w:rPr>
          <w:rFonts w:hint="eastAsia"/>
        </w:rPr>
        <w:t>监狱企业产品价格扣除</w:t>
      </w:r>
    </w:p>
    <w:p>
      <w:pPr>
        <w:numPr>
          <w:ilvl w:val="2"/>
          <w:numId w:val="17"/>
        </w:numPr>
        <w:autoSpaceDE/>
        <w:autoSpaceDN/>
        <w:adjustRightInd/>
        <w:spacing w:line="360" w:lineRule="auto"/>
        <w:jc w:val="both"/>
      </w:pPr>
      <w:r>
        <w:rPr>
          <w:rFonts w:hint="eastAsia"/>
        </w:rPr>
        <w:t>监狱企业视同小型、微型企业，按上述2.1、2.2条款享受评审中价格扣除。</w:t>
      </w:r>
    </w:p>
    <w:p>
      <w:pPr>
        <w:numPr>
          <w:ilvl w:val="2"/>
          <w:numId w:val="17"/>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7"/>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pPr>
        <w:numPr>
          <w:ilvl w:val="1"/>
          <w:numId w:val="17"/>
        </w:numPr>
        <w:autoSpaceDE/>
        <w:autoSpaceDN/>
        <w:adjustRightInd/>
        <w:spacing w:line="360" w:lineRule="auto"/>
        <w:jc w:val="both"/>
      </w:pPr>
      <w:r>
        <w:rPr>
          <w:rFonts w:hint="eastAsia"/>
        </w:rPr>
        <w:t>残疾人福利性单位产品价格扣除</w:t>
      </w:r>
    </w:p>
    <w:p>
      <w:pPr>
        <w:numPr>
          <w:ilvl w:val="2"/>
          <w:numId w:val="17"/>
        </w:numPr>
        <w:autoSpaceDE/>
        <w:autoSpaceDN/>
        <w:adjustRightInd/>
        <w:spacing w:line="360" w:lineRule="auto"/>
        <w:jc w:val="both"/>
      </w:pPr>
      <w:r>
        <w:rPr>
          <w:rFonts w:hint="eastAsia"/>
        </w:rPr>
        <w:t>残疾人福利性单位视同小型、微型企业，按上述2.1、2.2条款享受评审中价格扣除。</w:t>
      </w:r>
    </w:p>
    <w:p>
      <w:pPr>
        <w:numPr>
          <w:ilvl w:val="2"/>
          <w:numId w:val="17"/>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pPr>
        <w:numPr>
          <w:ilvl w:val="0"/>
          <w:numId w:val="17"/>
        </w:numPr>
        <w:autoSpaceDE/>
        <w:autoSpaceDN/>
        <w:adjustRightInd/>
        <w:spacing w:line="360" w:lineRule="auto"/>
        <w:jc w:val="both"/>
      </w:pPr>
      <w:r>
        <w:rPr>
          <w:rFonts w:hint="eastAsia"/>
        </w:rPr>
        <w:t>响应供应商同时为小型、微型企业、监狱企业、残疾人福利性单位任两种或以上情况的，评审中只享受一次价格扣除，不重复进行价格扣除。</w:t>
      </w:r>
    </w:p>
    <w:p>
      <w:pPr>
        <w:spacing w:line="360" w:lineRule="auto"/>
        <w:ind w:left="588"/>
        <w:rPr>
          <w:rFonts w:ascii="宋体" w:hAnsi="宋体"/>
          <w:b/>
          <w:color w:val="FF0000"/>
        </w:rPr>
        <w:sectPr>
          <w:pgSz w:w="11906" w:h="16838"/>
          <w:pgMar w:top="1440" w:right="1286" w:bottom="1440" w:left="1440" w:header="851" w:footer="992" w:gutter="0"/>
          <w:cols w:space="425" w:num="1"/>
          <w:docGrid w:type="lines" w:linePitch="312" w:charSpace="0"/>
        </w:sectPr>
      </w:pPr>
    </w:p>
    <w:bookmarkEnd w:id="11"/>
    <w:bookmarkEnd w:id="12"/>
    <w:bookmarkEnd w:id="13"/>
    <w:bookmarkEnd w:id="14"/>
    <w:bookmarkEnd w:id="15"/>
    <w:p>
      <w:pPr>
        <w:pStyle w:val="36"/>
        <w:rPr>
          <w:rFonts w:ascii="宋体" w:hAnsi="宋体"/>
          <w:b w:val="0"/>
          <w:bCs w:val="0"/>
          <w:sz w:val="28"/>
        </w:rPr>
      </w:pPr>
      <w:bookmarkStart w:id="25" w:name="_Toc523168279"/>
      <w:r>
        <w:rPr>
          <w:rFonts w:hint="eastAsia"/>
        </w:rPr>
        <w:t>第四章  用户需求书</w:t>
      </w:r>
      <w:bookmarkEnd w:id="25"/>
    </w:p>
    <w:p>
      <w:pPr>
        <w:numPr>
          <w:ilvl w:val="0"/>
          <w:numId w:val="18"/>
        </w:numPr>
        <w:tabs>
          <w:tab w:val="left" w:pos="426"/>
          <w:tab w:val="clear" w:pos="600"/>
        </w:tabs>
        <w:autoSpaceDE/>
        <w:autoSpaceDN/>
        <w:adjustRightInd/>
        <w:snapToGrid w:val="0"/>
        <w:spacing w:line="360" w:lineRule="auto"/>
        <w:ind w:left="422" w:hanging="422" w:hangingChars="200"/>
        <w:jc w:val="both"/>
        <w:rPr>
          <w:rFonts w:ascii="宋体" w:hAnsi="宋体"/>
          <w:b/>
          <w:bCs/>
        </w:rPr>
      </w:pPr>
      <w:r>
        <w:rPr>
          <w:rFonts w:hint="eastAsia" w:ascii="宋体" w:hAnsi="宋体"/>
          <w:b/>
          <w:bCs/>
        </w:rPr>
        <w:t>供应商须对本项目为单位的服务内容进行整体响应，任何只对其中一部分服务内容进行的响应都被视为无效响应。</w:t>
      </w:r>
    </w:p>
    <w:p>
      <w:pPr>
        <w:numPr>
          <w:ilvl w:val="0"/>
          <w:numId w:val="18"/>
        </w:numPr>
        <w:tabs>
          <w:tab w:val="left" w:pos="426"/>
          <w:tab w:val="clear" w:pos="600"/>
        </w:tabs>
        <w:autoSpaceDE/>
        <w:autoSpaceDN/>
        <w:adjustRightInd/>
        <w:snapToGrid w:val="0"/>
        <w:spacing w:line="360" w:lineRule="auto"/>
        <w:ind w:left="422" w:hanging="422" w:hangingChars="200"/>
        <w:jc w:val="both"/>
        <w:rPr>
          <w:rFonts w:ascii="宋体" w:hAnsi="宋体"/>
          <w:b/>
          <w:bCs/>
        </w:rPr>
      </w:pPr>
      <w:r>
        <w:rPr>
          <w:rFonts w:hint="eastAsia" w:ascii="宋体" w:hAnsi="宋体"/>
          <w:b/>
          <w:bCs/>
        </w:rPr>
        <w:t>用户需求书中打</w:t>
      </w:r>
      <w:r>
        <w:rPr>
          <w:rFonts w:ascii="宋体" w:hAnsi="宋体"/>
          <w:b/>
          <w:bCs/>
        </w:rPr>
        <w:t>“</w:t>
      </w:r>
      <w:r>
        <w:rPr>
          <w:rFonts w:hint="eastAsia" w:ascii="宋体" w:hAnsi="宋体"/>
          <w:b/>
          <w:bCs/>
        </w:rPr>
        <w:t>★</w:t>
      </w:r>
      <w:r>
        <w:rPr>
          <w:rFonts w:ascii="宋体" w:hAnsi="宋体"/>
          <w:b/>
          <w:bCs/>
        </w:rPr>
        <w:t>”</w:t>
      </w:r>
      <w:r>
        <w:rPr>
          <w:rFonts w:hint="eastAsia" w:ascii="宋体" w:hAnsi="宋体"/>
          <w:b/>
          <w:bCs/>
        </w:rPr>
        <w:t>号条款为实质性条款，响应供应商如有任何一条未响应或不满足，按无效响应处理。</w:t>
      </w:r>
    </w:p>
    <w:p>
      <w:pPr>
        <w:autoSpaceDE/>
        <w:autoSpaceDN/>
        <w:adjustRightInd/>
        <w:snapToGrid w:val="0"/>
        <w:spacing w:line="360" w:lineRule="auto"/>
        <w:jc w:val="both"/>
        <w:rPr>
          <w:rFonts w:ascii="宋体" w:hAnsi="宋体"/>
          <w:b/>
          <w:bCs/>
        </w:rPr>
      </w:pPr>
      <w:r>
        <w:rPr>
          <w:rFonts w:hint="eastAsia" w:ascii="宋体" w:hAnsi="宋体"/>
          <w:b/>
          <w:bCs/>
        </w:rPr>
        <w:t>一、项目一览表</w:t>
      </w:r>
    </w:p>
    <w:tbl>
      <w:tblPr>
        <w:tblStyle w:val="38"/>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5"/>
        <w:gridCol w:w="755"/>
        <w:gridCol w:w="2910"/>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3005" w:type="dxa"/>
            <w:shd w:val="clear" w:color="auto" w:fill="EEECE1"/>
            <w:vAlign w:val="center"/>
          </w:tcPr>
          <w:p>
            <w:pPr>
              <w:spacing w:line="360" w:lineRule="auto"/>
              <w:jc w:val="center"/>
              <w:rPr>
                <w:rFonts w:ascii="宋体" w:hAnsi="宋体"/>
                <w:b/>
              </w:rPr>
            </w:pPr>
            <w:r>
              <w:rPr>
                <w:rFonts w:hint="eastAsia" w:ascii="宋体" w:hAnsi="宋体"/>
                <w:b/>
              </w:rPr>
              <w:t>采购内容</w:t>
            </w:r>
          </w:p>
        </w:tc>
        <w:tc>
          <w:tcPr>
            <w:tcW w:w="755" w:type="dxa"/>
            <w:shd w:val="clear" w:color="auto" w:fill="EEECE1"/>
            <w:vAlign w:val="center"/>
          </w:tcPr>
          <w:p>
            <w:pPr>
              <w:spacing w:line="360" w:lineRule="auto"/>
              <w:jc w:val="center"/>
              <w:rPr>
                <w:rFonts w:ascii="宋体" w:hAnsi="宋体"/>
                <w:b/>
              </w:rPr>
            </w:pPr>
            <w:r>
              <w:rPr>
                <w:rFonts w:hint="eastAsia" w:ascii="宋体" w:hAnsi="宋体"/>
                <w:b/>
              </w:rPr>
              <w:t>数量</w:t>
            </w:r>
          </w:p>
        </w:tc>
        <w:tc>
          <w:tcPr>
            <w:tcW w:w="2910" w:type="dxa"/>
            <w:shd w:val="clear" w:color="auto" w:fill="EEECE1"/>
            <w:vAlign w:val="center"/>
          </w:tcPr>
          <w:p>
            <w:pPr>
              <w:spacing w:line="360" w:lineRule="auto"/>
              <w:jc w:val="center"/>
              <w:rPr>
                <w:rFonts w:ascii="宋体" w:hAnsi="宋体"/>
                <w:b/>
              </w:rPr>
            </w:pPr>
            <w:r>
              <w:rPr>
                <w:rFonts w:hint="eastAsia" w:ascii="宋体" w:hAnsi="宋体"/>
                <w:b/>
              </w:rPr>
              <w:t>服务期限</w:t>
            </w:r>
          </w:p>
        </w:tc>
        <w:tc>
          <w:tcPr>
            <w:tcW w:w="2357" w:type="dxa"/>
            <w:shd w:val="clear" w:color="auto" w:fill="EEECE1"/>
            <w:vAlign w:val="center"/>
          </w:tcPr>
          <w:p>
            <w:pPr>
              <w:spacing w:line="360" w:lineRule="auto"/>
              <w:jc w:val="center"/>
              <w:rPr>
                <w:rFonts w:ascii="宋体" w:hAnsi="宋体"/>
                <w:b/>
              </w:rPr>
            </w:pPr>
            <w:r>
              <w:rPr>
                <w:rFonts w:hint="eastAsia" w:ascii="宋体" w:hAnsi="宋体"/>
                <w:b/>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3005" w:type="dxa"/>
            <w:vAlign w:val="center"/>
          </w:tcPr>
          <w:p>
            <w:pPr>
              <w:spacing w:line="360" w:lineRule="auto"/>
              <w:jc w:val="center"/>
              <w:rPr>
                <w:rFonts w:ascii="宋体" w:hAnsi="宋体"/>
                <w:bCs/>
              </w:rPr>
            </w:pPr>
            <w:r>
              <w:rPr>
                <w:rFonts w:hint="eastAsia" w:ascii="宋体" w:hAnsi="宋体"/>
              </w:rPr>
              <w:t>校车接送服务</w:t>
            </w:r>
          </w:p>
        </w:tc>
        <w:tc>
          <w:tcPr>
            <w:tcW w:w="755" w:type="dxa"/>
            <w:vAlign w:val="center"/>
          </w:tcPr>
          <w:p>
            <w:pPr>
              <w:spacing w:line="360" w:lineRule="auto"/>
              <w:jc w:val="center"/>
              <w:rPr>
                <w:rFonts w:ascii="宋体" w:hAnsi="宋体"/>
                <w:bCs/>
              </w:rPr>
            </w:pPr>
            <w:r>
              <w:rPr>
                <w:rFonts w:hint="eastAsia" w:ascii="宋体" w:hAnsi="宋体"/>
                <w:bCs/>
              </w:rPr>
              <w:t>1项</w:t>
            </w:r>
          </w:p>
        </w:tc>
        <w:tc>
          <w:tcPr>
            <w:tcW w:w="2910" w:type="dxa"/>
            <w:vAlign w:val="center"/>
          </w:tcPr>
          <w:p>
            <w:pPr>
              <w:pStyle w:val="80"/>
              <w:spacing w:line="360" w:lineRule="auto"/>
              <w:ind w:hanging="67"/>
              <w:rPr>
                <w:rFonts w:ascii="宋体" w:hAnsi="宋体"/>
                <w:snapToGrid/>
                <w:spacing w:val="0"/>
                <w:kern w:val="2"/>
                <w:sz w:val="21"/>
              </w:rPr>
            </w:pPr>
            <w:r>
              <w:rPr>
                <w:rFonts w:hint="eastAsia" w:ascii="宋体" w:hAnsi="宋体"/>
                <w:snapToGrid/>
                <w:spacing w:val="0"/>
                <w:kern w:val="2"/>
                <w:sz w:val="21"/>
              </w:rPr>
              <w:t>自合同签订之日起1年</w:t>
            </w:r>
          </w:p>
        </w:tc>
        <w:tc>
          <w:tcPr>
            <w:tcW w:w="2357" w:type="dxa"/>
            <w:vAlign w:val="center"/>
          </w:tcPr>
          <w:p>
            <w:pPr>
              <w:pStyle w:val="80"/>
              <w:spacing w:line="360" w:lineRule="auto"/>
              <w:ind w:firstLine="120"/>
              <w:rPr>
                <w:rFonts w:ascii="宋体" w:hAnsi="宋体"/>
                <w:snapToGrid/>
                <w:spacing w:val="0"/>
                <w:kern w:val="2"/>
                <w:sz w:val="21"/>
              </w:rPr>
            </w:pPr>
            <w:r>
              <w:rPr>
                <w:rFonts w:hint="eastAsia" w:ascii="宋体" w:hAnsi="宋体"/>
                <w:snapToGrid/>
                <w:spacing w:val="0"/>
                <w:kern w:val="2"/>
                <w:sz w:val="21"/>
              </w:rPr>
              <w:t>人民币54万元</w:t>
            </w:r>
          </w:p>
        </w:tc>
      </w:tr>
    </w:tbl>
    <w:p>
      <w:pPr>
        <w:pStyle w:val="20"/>
        <w:numPr>
          <w:ilvl w:val="0"/>
          <w:numId w:val="19"/>
        </w:numPr>
        <w:tabs>
          <w:tab w:val="left" w:pos="540"/>
        </w:tabs>
        <w:adjustRightInd w:val="0"/>
        <w:snapToGrid w:val="0"/>
        <w:spacing w:line="360" w:lineRule="auto"/>
        <w:rPr>
          <w:rFonts w:hAnsi="宋体"/>
          <w:b/>
        </w:rPr>
      </w:pPr>
      <w:r>
        <w:rPr>
          <w:rFonts w:hint="eastAsia"/>
          <w:b/>
          <w:bCs/>
          <w:szCs w:val="20"/>
        </w:rPr>
        <w:t>项目基本概况：</w:t>
      </w:r>
    </w:p>
    <w:p>
      <w:pPr>
        <w:tabs>
          <w:tab w:val="left" w:pos="900"/>
        </w:tabs>
        <w:snapToGrid w:val="0"/>
        <w:spacing w:line="360" w:lineRule="auto"/>
        <w:jc w:val="both"/>
      </w:pPr>
      <w:r>
        <w:t>本项目为</w:t>
      </w:r>
      <w:r>
        <w:rPr>
          <w:rFonts w:hint="eastAsia"/>
        </w:rPr>
        <w:t>博罗县文化广电旅游体育局</w:t>
      </w:r>
      <w:r>
        <w:t>确定校车接送的服务单位，</w:t>
      </w:r>
      <w:r>
        <w:rPr>
          <w:rFonts w:hint="eastAsia"/>
        </w:rPr>
        <w:t>目的是为学生提供往返体育中心的接送服务。</w:t>
      </w:r>
    </w:p>
    <w:p>
      <w:pPr>
        <w:pStyle w:val="20"/>
        <w:numPr>
          <w:ilvl w:val="0"/>
          <w:numId w:val="20"/>
        </w:numPr>
        <w:tabs>
          <w:tab w:val="left" w:pos="540"/>
        </w:tabs>
        <w:adjustRightInd w:val="0"/>
        <w:snapToGrid w:val="0"/>
        <w:spacing w:line="360" w:lineRule="auto"/>
        <w:rPr>
          <w:rFonts w:hAnsi="宋体"/>
          <w:b/>
        </w:rPr>
      </w:pPr>
      <w:r>
        <w:rPr>
          <w:rFonts w:hint="eastAsia" w:hAnsi="宋体"/>
          <w:b/>
        </w:rPr>
        <w:t>项目服务内容:</w:t>
      </w:r>
    </w:p>
    <w:tbl>
      <w:tblPr>
        <w:tblStyle w:val="38"/>
        <w:tblW w:w="8930"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2"/>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812" w:type="dxa"/>
            <w:vAlign w:val="center"/>
          </w:tcPr>
          <w:p>
            <w:pPr>
              <w:pStyle w:val="20"/>
              <w:tabs>
                <w:tab w:val="left" w:pos="420"/>
                <w:tab w:val="left" w:pos="540"/>
              </w:tabs>
              <w:adjustRightInd w:val="0"/>
              <w:snapToGrid w:val="0"/>
              <w:spacing w:line="360" w:lineRule="auto"/>
              <w:ind w:firstLine="422" w:firstLineChars="200"/>
              <w:jc w:val="center"/>
              <w:rPr>
                <w:rFonts w:hAnsi="宋体"/>
                <w:b/>
                <w:bCs/>
              </w:rPr>
            </w:pPr>
            <w:r>
              <w:rPr>
                <w:rFonts w:hint="eastAsia" w:hAnsi="宋体"/>
                <w:b/>
                <w:bCs/>
              </w:rPr>
              <w:t>服务内容</w:t>
            </w:r>
          </w:p>
        </w:tc>
        <w:tc>
          <w:tcPr>
            <w:tcW w:w="3118" w:type="dxa"/>
            <w:vAlign w:val="center"/>
          </w:tcPr>
          <w:p>
            <w:pPr>
              <w:pStyle w:val="20"/>
              <w:tabs>
                <w:tab w:val="left" w:pos="420"/>
                <w:tab w:val="left" w:pos="540"/>
              </w:tabs>
              <w:adjustRightInd w:val="0"/>
              <w:snapToGrid w:val="0"/>
              <w:spacing w:line="360" w:lineRule="auto"/>
              <w:ind w:firstLine="422" w:firstLineChars="200"/>
              <w:jc w:val="center"/>
              <w:rPr>
                <w:rFonts w:hAnsi="宋体"/>
                <w:b/>
                <w:bCs/>
              </w:rPr>
            </w:pPr>
            <w:r>
              <w:rPr>
                <w:rFonts w:hint="eastAsia" w:hAnsi="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5812" w:type="dxa"/>
            <w:vAlign w:val="center"/>
          </w:tcPr>
          <w:p>
            <w:pPr>
              <w:pStyle w:val="20"/>
              <w:tabs>
                <w:tab w:val="left" w:pos="420"/>
                <w:tab w:val="left" w:pos="540"/>
              </w:tabs>
              <w:adjustRightInd w:val="0"/>
              <w:snapToGrid w:val="0"/>
              <w:spacing w:line="360" w:lineRule="auto"/>
              <w:ind w:firstLine="420" w:firstLineChars="200"/>
              <w:jc w:val="center"/>
              <w:rPr>
                <w:rFonts w:hAnsi="宋体"/>
                <w:b/>
                <w:bCs/>
              </w:rPr>
            </w:pPr>
            <w:r>
              <w:rPr>
                <w:rFonts w:hint="eastAsia" w:hAnsi="宋体"/>
              </w:rPr>
              <w:t>2023年度博罗县业余体育学校业训校车接送服务</w:t>
            </w:r>
          </w:p>
        </w:tc>
        <w:tc>
          <w:tcPr>
            <w:tcW w:w="3118" w:type="dxa"/>
            <w:vAlign w:val="center"/>
          </w:tcPr>
          <w:p>
            <w:pPr>
              <w:pStyle w:val="20"/>
              <w:tabs>
                <w:tab w:val="left" w:pos="420"/>
                <w:tab w:val="left" w:pos="540"/>
              </w:tabs>
              <w:adjustRightInd w:val="0"/>
              <w:snapToGrid w:val="0"/>
              <w:spacing w:line="360" w:lineRule="auto"/>
              <w:ind w:firstLine="420" w:firstLineChars="200"/>
              <w:jc w:val="center"/>
              <w:rPr>
                <w:rFonts w:hAnsi="宋体"/>
                <w:bCs/>
              </w:rPr>
            </w:pPr>
          </w:p>
        </w:tc>
      </w:tr>
    </w:tbl>
    <w:p>
      <w:pPr>
        <w:tabs>
          <w:tab w:val="left" w:pos="900"/>
        </w:tabs>
        <w:snapToGrid w:val="0"/>
        <w:spacing w:line="360" w:lineRule="auto"/>
        <w:jc w:val="both"/>
        <w:rPr>
          <w:rFonts w:ascii="宋体" w:hAnsi="宋体" w:cs="宋体"/>
        </w:rPr>
      </w:pPr>
    </w:p>
    <w:p>
      <w:pPr>
        <w:pStyle w:val="20"/>
        <w:numPr>
          <w:ilvl w:val="0"/>
          <w:numId w:val="20"/>
        </w:numPr>
        <w:tabs>
          <w:tab w:val="left" w:pos="540"/>
        </w:tabs>
        <w:adjustRightInd w:val="0"/>
        <w:snapToGrid w:val="0"/>
        <w:spacing w:line="360" w:lineRule="auto"/>
        <w:rPr>
          <w:rFonts w:hAnsi="宋体" w:cs="宋体"/>
          <w:b/>
        </w:rPr>
      </w:pPr>
      <w:r>
        <w:rPr>
          <w:rFonts w:hint="eastAsia" w:hAnsi="宋体" w:cs="宋体"/>
          <w:b/>
        </w:rPr>
        <w:t>服务要求</w:t>
      </w:r>
    </w:p>
    <w:p>
      <w:pPr>
        <w:pStyle w:val="20"/>
        <w:adjustRightInd w:val="0"/>
        <w:snapToGrid w:val="0"/>
        <w:spacing w:line="360" w:lineRule="auto"/>
        <w:rPr>
          <w:rFonts w:hAnsi="宋体"/>
        </w:rPr>
      </w:pPr>
      <w:r>
        <w:rPr>
          <w:rFonts w:hint="eastAsia" w:hAnsi="宋体"/>
        </w:rPr>
        <w:t>★ 1、成交人须提供3辆19座及以上校车接送学生。车辆须完全符合</w:t>
      </w:r>
      <w:r>
        <w:rPr>
          <w:rFonts w:hAnsi="宋体"/>
        </w:rPr>
        <w:t>《专用校车安全国家标准》</w:t>
      </w:r>
      <w:r>
        <w:rPr>
          <w:rFonts w:hint="eastAsia" w:hAnsi="宋体"/>
        </w:rPr>
        <w:t xml:space="preserve"> （即《专用校车安全技术条件》（GB24407-2012）和《专用校车学生座椅系统及其车辆固定件的强度》(GB24406-2012)），提供承诺函。</w:t>
      </w:r>
    </w:p>
    <w:p>
      <w:pPr>
        <w:pStyle w:val="20"/>
        <w:adjustRightInd w:val="0"/>
        <w:snapToGrid w:val="0"/>
        <w:spacing w:line="360" w:lineRule="auto"/>
        <w:ind w:firstLine="371" w:firstLineChars="177"/>
        <w:rPr>
          <w:rFonts w:hAnsi="宋体"/>
        </w:rPr>
      </w:pPr>
      <w:r>
        <w:rPr>
          <w:rFonts w:hint="eastAsia" w:hAnsi="宋体"/>
        </w:rPr>
        <w:t>2、车辆均为国内一线知名客车厂生产。</w:t>
      </w:r>
    </w:p>
    <w:p>
      <w:pPr>
        <w:pStyle w:val="20"/>
        <w:adjustRightInd w:val="0"/>
        <w:snapToGrid w:val="0"/>
        <w:spacing w:line="360" w:lineRule="auto"/>
        <w:ind w:firstLine="371" w:firstLineChars="177"/>
        <w:rPr>
          <w:rFonts w:hAnsi="宋体"/>
        </w:rPr>
      </w:pPr>
      <w:r>
        <w:rPr>
          <w:rFonts w:hint="eastAsia" w:hAnsi="宋体"/>
        </w:rPr>
        <w:t>3、</w:t>
      </w:r>
      <w:r>
        <w:rPr>
          <w:rFonts w:hint="eastAsia" w:hAnsi="宋体"/>
          <w:b/>
        </w:rPr>
        <w:t>每辆车每周训练日每日（不含周末和节假日）</w:t>
      </w:r>
      <w:r>
        <w:rPr>
          <w:rFonts w:hint="eastAsia" w:hAnsi="宋体"/>
        </w:rPr>
        <w:t>接送学生7次（具体次数自行安排），学生上下车地点为博罗县城各中小学、博罗县体育中心以及学校指定的学生上下车地点。（具体见车辆接送学生日程表）</w:t>
      </w:r>
    </w:p>
    <w:p>
      <w:pPr>
        <w:pStyle w:val="20"/>
        <w:adjustRightInd w:val="0"/>
        <w:snapToGrid w:val="0"/>
        <w:spacing w:line="360" w:lineRule="auto"/>
        <w:rPr>
          <w:rFonts w:hAnsi="宋体"/>
        </w:rPr>
      </w:pPr>
      <w:r>
        <w:rPr>
          <w:rFonts w:hint="eastAsia" w:hAnsi="宋体"/>
        </w:rPr>
        <w:t xml:space="preserve"> ★ 4、</w:t>
      </w:r>
      <w:r>
        <w:rPr>
          <w:rFonts w:hAnsi="宋体"/>
        </w:rPr>
        <w:t>承包运送学生期间，</w:t>
      </w:r>
      <w:r>
        <w:rPr>
          <w:rFonts w:hint="eastAsia" w:hAnsi="宋体"/>
        </w:rPr>
        <w:t>成交</w:t>
      </w:r>
      <w:r>
        <w:rPr>
          <w:rFonts w:hAnsi="宋体"/>
        </w:rPr>
        <w:t>人派出的司机都必须持有合法</w:t>
      </w:r>
      <w:r>
        <w:rPr>
          <w:rFonts w:hint="eastAsia" w:hAnsi="宋体"/>
        </w:rPr>
        <w:t>且</w:t>
      </w:r>
      <w:r>
        <w:rPr>
          <w:rFonts w:hAnsi="宋体"/>
        </w:rPr>
        <w:t>与驾驶车辆相符的驾驶证、资格证，必须符合中华人民共和国《校车安全管理条例》</w:t>
      </w:r>
      <w:r>
        <w:rPr>
          <w:rFonts w:hint="eastAsia" w:hAnsi="宋体"/>
        </w:rPr>
        <w:t xml:space="preserve"> （</w:t>
      </w:r>
      <w:r>
        <w:rPr>
          <w:rFonts w:hAnsi="宋体"/>
        </w:rPr>
        <w:t xml:space="preserve">中华人民共和国国务院令第617 号）规定： </w:t>
      </w:r>
      <w:r>
        <w:rPr>
          <w:rFonts w:hint="eastAsia" w:hAnsi="宋体"/>
        </w:rPr>
        <w:t>（提供承诺函）</w:t>
      </w:r>
    </w:p>
    <w:p>
      <w:pPr>
        <w:pStyle w:val="20"/>
        <w:adjustRightInd w:val="0"/>
        <w:snapToGrid w:val="0"/>
        <w:spacing w:line="360" w:lineRule="auto"/>
        <w:rPr>
          <w:rFonts w:hAnsi="宋体"/>
        </w:rPr>
      </w:pPr>
      <w:r>
        <w:rPr>
          <w:rFonts w:hAnsi="宋体"/>
        </w:rPr>
        <w:t>（一）取得相应准驾车型驾驶证并具有3年以上驾驶经历，年龄在25周岁以上、不超过60周岁；</w:t>
      </w:r>
    </w:p>
    <w:p>
      <w:pPr>
        <w:pStyle w:val="20"/>
        <w:adjustRightInd w:val="0"/>
        <w:snapToGrid w:val="0"/>
        <w:spacing w:line="360" w:lineRule="auto"/>
        <w:rPr>
          <w:rFonts w:hAnsi="宋体"/>
        </w:rPr>
      </w:pPr>
      <w:r>
        <w:rPr>
          <w:rFonts w:hAnsi="宋体"/>
        </w:rPr>
        <w:t>（二）最近连续3个记分周期内没有被记</w:t>
      </w:r>
      <w:r>
        <w:rPr>
          <w:rFonts w:hint="eastAsia" w:hAnsi="宋体"/>
        </w:rPr>
        <w:t>扣</w:t>
      </w:r>
      <w:r>
        <w:rPr>
          <w:rFonts w:hAnsi="宋体"/>
        </w:rPr>
        <w:t>满分记录；</w:t>
      </w:r>
    </w:p>
    <w:p>
      <w:pPr>
        <w:pStyle w:val="20"/>
        <w:adjustRightInd w:val="0"/>
        <w:snapToGrid w:val="0"/>
        <w:spacing w:line="360" w:lineRule="auto"/>
        <w:rPr>
          <w:rFonts w:hAnsi="宋体"/>
        </w:rPr>
      </w:pPr>
      <w:r>
        <w:rPr>
          <w:rFonts w:hAnsi="宋体"/>
        </w:rPr>
        <w:t>（三）无致人死亡或者重伤的交通事故责任记录；</w:t>
      </w:r>
    </w:p>
    <w:p>
      <w:pPr>
        <w:pStyle w:val="20"/>
        <w:adjustRightInd w:val="0"/>
        <w:snapToGrid w:val="0"/>
        <w:spacing w:line="360" w:lineRule="auto"/>
        <w:rPr>
          <w:rFonts w:hAnsi="宋体"/>
        </w:rPr>
      </w:pPr>
      <w:r>
        <w:rPr>
          <w:rFonts w:hAnsi="宋体"/>
        </w:rPr>
        <w:t>（四）无饮酒后驾驶或者醉酒驾驶机动车记录，最近 1 年内无驾驶客运车辆超员、超速等严重交通违法行为记录；</w:t>
      </w:r>
    </w:p>
    <w:p>
      <w:pPr>
        <w:pStyle w:val="20"/>
        <w:adjustRightInd w:val="0"/>
        <w:snapToGrid w:val="0"/>
        <w:spacing w:line="360" w:lineRule="auto"/>
        <w:rPr>
          <w:rFonts w:hAnsi="宋体"/>
        </w:rPr>
      </w:pPr>
      <w:r>
        <w:rPr>
          <w:rFonts w:hAnsi="宋体"/>
        </w:rPr>
        <w:t>（五）无犯罪记录；</w:t>
      </w:r>
    </w:p>
    <w:p>
      <w:pPr>
        <w:pStyle w:val="20"/>
        <w:adjustRightInd w:val="0"/>
        <w:snapToGrid w:val="0"/>
        <w:spacing w:line="360" w:lineRule="auto"/>
        <w:rPr>
          <w:rFonts w:hAnsi="宋体"/>
        </w:rPr>
      </w:pPr>
      <w:r>
        <w:rPr>
          <w:rFonts w:hAnsi="宋体"/>
        </w:rPr>
        <w:t>（六）身心健康，无传染性疾病，无癫痫、精神病等可能危及行车安全的疾病病史，无酗酒、吸毒行为记录。</w:t>
      </w:r>
    </w:p>
    <w:p>
      <w:pPr>
        <w:pStyle w:val="20"/>
        <w:adjustRightInd w:val="0"/>
        <w:snapToGrid w:val="0"/>
        <w:spacing w:line="360" w:lineRule="auto"/>
        <w:ind w:firstLine="371" w:firstLineChars="177"/>
        <w:rPr>
          <w:rFonts w:hAnsi="宋体"/>
        </w:rPr>
      </w:pPr>
      <w:r>
        <w:rPr>
          <w:rFonts w:hint="eastAsia" w:hAnsi="宋体"/>
        </w:rPr>
        <w:t>5、成交</w:t>
      </w:r>
      <w:r>
        <w:rPr>
          <w:rFonts w:hAnsi="宋体"/>
        </w:rPr>
        <w:t>人</w:t>
      </w:r>
      <w:r>
        <w:rPr>
          <w:rFonts w:hint="eastAsia" w:hAnsi="宋体"/>
        </w:rPr>
        <w:t>须</w:t>
      </w:r>
      <w:r>
        <w:rPr>
          <w:rFonts w:hAnsi="宋体"/>
        </w:rPr>
        <w:t>每年对司机体检一次，并向采购人提供司机的身体健康证明材料（体检结果）。身体健康，无不良嗜好，遵守道路交通安全法律、法规，确保运送学生的交通安全。</w:t>
      </w:r>
    </w:p>
    <w:p>
      <w:pPr>
        <w:pStyle w:val="20"/>
        <w:adjustRightInd w:val="0"/>
        <w:snapToGrid w:val="0"/>
        <w:spacing w:line="360" w:lineRule="auto"/>
        <w:rPr>
          <w:rFonts w:hAnsi="宋体"/>
        </w:rPr>
      </w:pPr>
      <w:r>
        <w:rPr>
          <w:rFonts w:hint="eastAsia" w:hAnsi="宋体"/>
        </w:rPr>
        <w:t xml:space="preserve">    6、校巴为专用车，所有校巴不能用于公交营运或用于其它租车服务（用于学校的其它接送除外）；成交人要保证接送学生途中不得乘载其他乘客，车辆要按指定的路线行驶，运送学生时车速不得超过交通、教育等相关部门规定的速度，车辆要按额定载人数，不能超载。</w:t>
      </w:r>
    </w:p>
    <w:p>
      <w:pPr>
        <w:pStyle w:val="20"/>
        <w:adjustRightInd w:val="0"/>
        <w:snapToGrid w:val="0"/>
        <w:spacing w:line="360" w:lineRule="auto"/>
        <w:ind w:firstLine="371" w:firstLineChars="177"/>
        <w:rPr>
          <w:rFonts w:hAnsi="宋体"/>
        </w:rPr>
      </w:pPr>
      <w:r>
        <w:rPr>
          <w:rFonts w:hint="eastAsia" w:hAnsi="宋体"/>
        </w:rPr>
        <w:t>7、成交人提供运送学生的车辆，须是经交通管理部门和交警部门检验合格的车辆；</w:t>
      </w:r>
    </w:p>
    <w:p>
      <w:pPr>
        <w:pStyle w:val="20"/>
        <w:adjustRightInd w:val="0"/>
        <w:snapToGrid w:val="0"/>
        <w:spacing w:line="360" w:lineRule="auto"/>
        <w:ind w:firstLine="371" w:firstLineChars="177"/>
        <w:rPr>
          <w:rFonts w:hAnsi="宋体"/>
        </w:rPr>
      </w:pPr>
      <w:r>
        <w:rPr>
          <w:rFonts w:hint="eastAsia" w:hAnsi="宋体"/>
        </w:rPr>
        <w:t>8、成交人须按规定将车辆送到指定部门进行保养、维修、检验，严禁驾驶检验不合格或带有毛病的车辆运送学生。</w:t>
      </w:r>
    </w:p>
    <w:p>
      <w:pPr>
        <w:pStyle w:val="20"/>
        <w:adjustRightInd w:val="0"/>
        <w:snapToGrid w:val="0"/>
        <w:spacing w:line="360" w:lineRule="auto"/>
        <w:ind w:firstLine="480"/>
        <w:rPr>
          <w:rFonts w:hAnsi="宋体"/>
        </w:rPr>
      </w:pPr>
      <w:r>
        <w:rPr>
          <w:rFonts w:hint="eastAsia" w:hAnsi="宋体"/>
        </w:rPr>
        <w:t>9、校车应当配备逃生锤、干粉灭火器、急救箱等安全设备。安全设备应当放置在便于取用的位置，并确保性能良好、有效适用。</w:t>
      </w:r>
    </w:p>
    <w:p>
      <w:pPr>
        <w:pStyle w:val="20"/>
        <w:adjustRightInd w:val="0"/>
        <w:snapToGrid w:val="0"/>
        <w:spacing w:line="360" w:lineRule="auto"/>
        <w:ind w:firstLine="480"/>
        <w:rPr>
          <w:rFonts w:hAnsi="宋体"/>
        </w:rPr>
      </w:pPr>
      <w:r>
        <w:rPr>
          <w:rFonts w:hint="eastAsia" w:hAnsi="宋体"/>
        </w:rPr>
        <w:t>10、校车应当按照规定配备具有行驶记录功能的卫星定位装置。</w:t>
      </w:r>
    </w:p>
    <w:p>
      <w:pPr>
        <w:pStyle w:val="20"/>
        <w:adjustRightInd w:val="0"/>
        <w:snapToGrid w:val="0"/>
        <w:spacing w:line="360" w:lineRule="auto"/>
        <w:ind w:firstLine="480"/>
        <w:rPr>
          <w:rFonts w:hAnsi="宋体"/>
        </w:rPr>
      </w:pPr>
      <w:r>
        <w:rPr>
          <w:rFonts w:hint="eastAsia" w:hAnsi="宋体"/>
        </w:rPr>
        <w:t>11、成交</w:t>
      </w:r>
      <w:r>
        <w:rPr>
          <w:rFonts w:hAnsi="宋体"/>
        </w:rPr>
        <w:t>人在接送学生的过程中，要每车派一名经培训合格后上岗的随车护送人员，负责维持学生的乘车秩序，保证乘车学生的安全，并做好学生接送的交接登记工作。</w:t>
      </w:r>
    </w:p>
    <w:p>
      <w:pPr>
        <w:pStyle w:val="20"/>
        <w:adjustRightInd w:val="0"/>
        <w:snapToGrid w:val="0"/>
        <w:spacing w:line="360" w:lineRule="auto"/>
        <w:ind w:firstLine="79" w:firstLineChars="38"/>
        <w:rPr>
          <w:rFonts w:hAnsi="宋体"/>
        </w:rPr>
      </w:pPr>
      <w:r>
        <w:rPr>
          <w:rFonts w:hint="eastAsia" w:hAnsi="宋体"/>
        </w:rPr>
        <w:t xml:space="preserve">   12、成交人须在签订合同后7天内派校巴到学校实地试运行。</w:t>
      </w:r>
    </w:p>
    <w:p>
      <w:pPr>
        <w:pStyle w:val="20"/>
        <w:adjustRightInd w:val="0"/>
        <w:snapToGrid w:val="0"/>
        <w:spacing w:line="360" w:lineRule="auto"/>
        <w:ind w:firstLine="79" w:firstLineChars="38"/>
        <w:rPr>
          <w:rFonts w:hAnsi="宋体"/>
        </w:rPr>
      </w:pPr>
      <w:r>
        <w:rPr>
          <w:rFonts w:hint="eastAsia" w:hAnsi="宋体"/>
        </w:rPr>
        <w:t xml:space="preserve"> ★13、在成交后20天内合同签订前必须</w:t>
      </w:r>
      <w:r>
        <w:rPr>
          <w:rFonts w:hAnsi="宋体"/>
        </w:rPr>
        <w:t>获得</w:t>
      </w:r>
      <w:r>
        <w:rPr>
          <w:rFonts w:hint="eastAsia" w:hAnsi="宋体"/>
        </w:rPr>
        <w:t>校车运营相关</w:t>
      </w:r>
      <w:r>
        <w:rPr>
          <w:rFonts w:hAnsi="宋体"/>
        </w:rPr>
        <w:t>手续及证件</w:t>
      </w:r>
      <w:r>
        <w:rPr>
          <w:rFonts w:hint="eastAsia" w:hAnsi="宋体"/>
        </w:rPr>
        <w:t>（包括办理博罗县教育局、博罗县交通运输局、博罗县公安局的相关手续及证件），否则采购人有权取消其成交资格并保留法律追究的权利及因此造成的损失,提供承诺函。</w:t>
      </w:r>
    </w:p>
    <w:p>
      <w:pPr>
        <w:pStyle w:val="20"/>
        <w:adjustRightInd w:val="0"/>
        <w:snapToGrid w:val="0"/>
        <w:spacing w:line="360" w:lineRule="auto"/>
        <w:ind w:firstLine="480"/>
        <w:rPr>
          <w:rFonts w:hAnsi="宋体"/>
        </w:rPr>
      </w:pPr>
      <w:r>
        <w:rPr>
          <w:rFonts w:hint="eastAsia" w:hAnsi="宋体"/>
        </w:rPr>
        <w:t>14、成交人须保证每天依时接送学生，不得故意拖延时间出车，成交</w:t>
      </w:r>
      <w:r>
        <w:rPr>
          <w:rFonts w:hAnsi="宋体"/>
        </w:rPr>
        <w:t>人如遇特殊情况部分车辆不能依时出车，要预先告知采购人或有关学校，并安排好其他车辆运送学生。</w:t>
      </w:r>
      <w:r>
        <w:rPr>
          <w:rFonts w:hint="eastAsia" w:hAnsi="宋体"/>
        </w:rPr>
        <w:t>漏接或</w:t>
      </w:r>
      <w:r>
        <w:rPr>
          <w:rFonts w:hAnsi="宋体"/>
        </w:rPr>
        <w:t>因</w:t>
      </w:r>
      <w:r>
        <w:rPr>
          <w:rFonts w:hint="eastAsia" w:hAnsi="宋体"/>
        </w:rPr>
        <w:t>成交</w:t>
      </w:r>
      <w:r>
        <w:rPr>
          <w:rFonts w:hAnsi="宋体"/>
        </w:rPr>
        <w:t>人车辆未能依时运送学生，造成学生迟到，每次扣罚该车次</w:t>
      </w:r>
      <w:r>
        <w:rPr>
          <w:rFonts w:hint="eastAsia" w:hAnsi="宋体"/>
        </w:rPr>
        <w:t>200元</w:t>
      </w:r>
      <w:r>
        <w:rPr>
          <w:rFonts w:hAnsi="宋体"/>
        </w:rPr>
        <w:t>；</w:t>
      </w:r>
      <w:r>
        <w:rPr>
          <w:rFonts w:hint="eastAsia" w:hAnsi="宋体"/>
        </w:rPr>
        <w:t>成交</w:t>
      </w:r>
      <w:r>
        <w:rPr>
          <w:rFonts w:hAnsi="宋体"/>
        </w:rPr>
        <w:t>人因不能在学生上课前接送学生而要采购人另外租车的，须赔偿采购人租车费用的200%；如遇法定不可抗力的原因造成</w:t>
      </w:r>
      <w:r>
        <w:rPr>
          <w:rFonts w:hint="eastAsia" w:hAnsi="宋体"/>
        </w:rPr>
        <w:t>成交</w:t>
      </w:r>
      <w:r>
        <w:rPr>
          <w:rFonts w:hAnsi="宋体"/>
        </w:rPr>
        <w:t>人无法正常出车运送学生的，</w:t>
      </w:r>
      <w:r>
        <w:rPr>
          <w:rFonts w:hint="eastAsia" w:hAnsi="宋体"/>
        </w:rPr>
        <w:t>成交</w:t>
      </w:r>
      <w:r>
        <w:rPr>
          <w:rFonts w:hAnsi="宋体"/>
        </w:rPr>
        <w:t>人不承担责任。</w:t>
      </w: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jc w:val="center"/>
        <w:rPr>
          <w:rFonts w:hAnsi="宋体"/>
          <w:sz w:val="24"/>
        </w:rPr>
      </w:pPr>
      <w:r>
        <w:rPr>
          <w:rFonts w:hint="eastAsia" w:hAnsi="宋体"/>
          <w:sz w:val="24"/>
        </w:rPr>
        <w:t>（附）车辆接送学生日程表</w:t>
      </w:r>
    </w:p>
    <w:tbl>
      <w:tblPr>
        <w:tblStyle w:val="38"/>
        <w:tblW w:w="9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545"/>
        <w:gridCol w:w="3180"/>
        <w:gridCol w:w="1199"/>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04" w:type="dxa"/>
            <w:vAlign w:val="center"/>
          </w:tcPr>
          <w:p>
            <w:pPr>
              <w:snapToGrid w:val="0"/>
              <w:jc w:val="center"/>
              <w:rPr>
                <w:rFonts w:ascii="宋体" w:hAnsi="宋体"/>
                <w:snapToGrid w:val="0"/>
              </w:rPr>
            </w:pPr>
            <w:r>
              <w:rPr>
                <w:rFonts w:hint="eastAsia" w:ascii="宋体" w:hAnsi="宋体"/>
                <w:snapToGrid w:val="0"/>
              </w:rPr>
              <w:t>车号</w:t>
            </w:r>
          </w:p>
        </w:tc>
        <w:tc>
          <w:tcPr>
            <w:tcW w:w="1545" w:type="dxa"/>
            <w:vAlign w:val="center"/>
          </w:tcPr>
          <w:p>
            <w:pPr>
              <w:snapToGrid w:val="0"/>
              <w:jc w:val="center"/>
              <w:rPr>
                <w:rFonts w:ascii="宋体" w:hAnsi="宋体"/>
                <w:snapToGrid w:val="0"/>
              </w:rPr>
            </w:pPr>
            <w:r>
              <w:rPr>
                <w:rFonts w:hint="eastAsia" w:ascii="宋体" w:hAnsi="宋体"/>
                <w:snapToGrid w:val="0"/>
              </w:rPr>
              <w:t>出发时间</w:t>
            </w:r>
          </w:p>
        </w:tc>
        <w:tc>
          <w:tcPr>
            <w:tcW w:w="3180" w:type="dxa"/>
            <w:vAlign w:val="center"/>
          </w:tcPr>
          <w:p>
            <w:pPr>
              <w:snapToGrid w:val="0"/>
              <w:jc w:val="center"/>
              <w:rPr>
                <w:rFonts w:ascii="宋体" w:hAnsi="宋体"/>
                <w:snapToGrid w:val="0"/>
              </w:rPr>
            </w:pPr>
            <w:r>
              <w:rPr>
                <w:rFonts w:hint="eastAsia" w:ascii="宋体" w:hAnsi="宋体"/>
                <w:snapToGrid w:val="0"/>
              </w:rPr>
              <w:t>行车线路</w:t>
            </w:r>
          </w:p>
        </w:tc>
        <w:tc>
          <w:tcPr>
            <w:tcW w:w="1199" w:type="dxa"/>
            <w:vAlign w:val="center"/>
          </w:tcPr>
          <w:p>
            <w:pPr>
              <w:snapToGrid w:val="0"/>
              <w:jc w:val="center"/>
              <w:rPr>
                <w:rFonts w:ascii="宋体" w:hAnsi="宋体"/>
                <w:snapToGrid w:val="0"/>
              </w:rPr>
            </w:pPr>
            <w:r>
              <w:rPr>
                <w:rFonts w:hint="eastAsia" w:ascii="宋体" w:hAnsi="宋体"/>
                <w:snapToGrid w:val="0"/>
              </w:rPr>
              <w:t>单程距离</w:t>
            </w:r>
          </w:p>
        </w:tc>
        <w:tc>
          <w:tcPr>
            <w:tcW w:w="2160" w:type="dxa"/>
            <w:vAlign w:val="center"/>
          </w:tcPr>
          <w:p>
            <w:pPr>
              <w:snapToGrid w:val="0"/>
              <w:jc w:val="center"/>
              <w:rPr>
                <w:rFonts w:ascii="宋体" w:hAnsi="宋体"/>
                <w:snapToGrid w:val="0"/>
              </w:rPr>
            </w:pPr>
            <w:r>
              <w:rPr>
                <w:rFonts w:hint="eastAsia" w:ascii="宋体" w:hAnsi="宋体"/>
                <w:snapToGrid w:val="0"/>
              </w:rPr>
              <w:t>乘车人员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restart"/>
            <w:vAlign w:val="center"/>
          </w:tcPr>
          <w:p>
            <w:pPr>
              <w:snapToGrid w:val="0"/>
              <w:jc w:val="center"/>
              <w:rPr>
                <w:rFonts w:ascii="宋体" w:hAnsi="宋体"/>
                <w:snapToGrid w:val="0"/>
              </w:rPr>
            </w:pPr>
            <w:r>
              <w:rPr>
                <w:rFonts w:hint="eastAsia" w:ascii="宋体" w:hAnsi="宋体"/>
                <w:snapToGrid w:val="0"/>
              </w:rPr>
              <w:t>学 期 期 间</w:t>
            </w:r>
          </w:p>
          <w:p>
            <w:pPr>
              <w:snapToGrid w:val="0"/>
              <w:jc w:val="center"/>
              <w:rPr>
                <w:rFonts w:ascii="宋体" w:hAnsi="宋体"/>
                <w:snapToGrid w:val="0"/>
              </w:rPr>
            </w:pPr>
            <w:r>
              <w:rPr>
                <w:rFonts w:hint="eastAsia" w:ascii="宋体" w:hAnsi="宋体"/>
                <w:snapToGrid w:val="0"/>
              </w:rPr>
              <w:t>接 送 安 排</w:t>
            </w:r>
          </w:p>
        </w:tc>
        <w:tc>
          <w:tcPr>
            <w:tcW w:w="1545" w:type="dxa"/>
            <w:vAlign w:val="center"/>
          </w:tcPr>
          <w:p>
            <w:pPr>
              <w:widowControl/>
              <w:jc w:val="center"/>
              <w:rPr>
                <w:rFonts w:ascii="宋体" w:hAnsi="宋体" w:cs="宋体"/>
              </w:rPr>
            </w:pPr>
            <w:r>
              <w:rPr>
                <w:rFonts w:hint="eastAsia" w:ascii="宋体" w:hAnsi="宋体" w:cs="宋体"/>
              </w:rPr>
              <w:t xml:space="preserve"> 6:30</w:t>
            </w:r>
          </w:p>
        </w:tc>
        <w:tc>
          <w:tcPr>
            <w:tcW w:w="3180" w:type="dxa"/>
            <w:vAlign w:val="center"/>
          </w:tcPr>
          <w:p>
            <w:pPr>
              <w:widowControl/>
              <w:jc w:val="center"/>
              <w:rPr>
                <w:rFonts w:ascii="宋体" w:hAnsi="宋体" w:cs="宋体"/>
              </w:rPr>
            </w:pPr>
            <w:r>
              <w:rPr>
                <w:rFonts w:hint="eastAsia" w:ascii="宋体" w:hAnsi="宋体" w:cs="宋体"/>
              </w:rPr>
              <w:t>体育中心→县城各中小学</w:t>
            </w:r>
          </w:p>
        </w:tc>
        <w:tc>
          <w:tcPr>
            <w:tcW w:w="1199" w:type="dxa"/>
            <w:vAlign w:val="center"/>
          </w:tcPr>
          <w:p>
            <w:pPr>
              <w:snapToGrid w:val="0"/>
              <w:jc w:val="center"/>
              <w:rPr>
                <w:rFonts w:ascii="宋体" w:hAnsi="宋体"/>
                <w:snapToGrid w:val="0"/>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 xml:space="preserve">  住宿生（0-76人）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pPr>
          </w:p>
        </w:tc>
        <w:tc>
          <w:tcPr>
            <w:tcW w:w="1545" w:type="dxa"/>
            <w:vAlign w:val="center"/>
          </w:tcPr>
          <w:p>
            <w:pPr>
              <w:widowControl/>
              <w:jc w:val="center"/>
              <w:rPr>
                <w:rFonts w:ascii="宋体" w:hAnsi="宋体" w:cs="宋体"/>
              </w:rPr>
            </w:pPr>
            <w:r>
              <w:rPr>
                <w:rFonts w:hint="eastAsia" w:ascii="宋体" w:hAnsi="宋体" w:cs="宋体"/>
              </w:rPr>
              <w:t>11:30</w:t>
            </w:r>
          </w:p>
        </w:tc>
        <w:tc>
          <w:tcPr>
            <w:tcW w:w="3180" w:type="dxa"/>
            <w:vAlign w:val="center"/>
          </w:tcPr>
          <w:p>
            <w:pPr>
              <w:snapToGrid w:val="0"/>
              <w:rPr>
                <w:rFonts w:ascii="宋体" w:hAnsi="宋体" w:cs="宋体"/>
              </w:rPr>
            </w:pPr>
            <w:r>
              <w:rPr>
                <w:rFonts w:hint="eastAsia" w:ascii="宋体" w:hAnsi="宋体" w:cs="宋体"/>
              </w:rPr>
              <w:t xml:space="preserve">   县城各中小学→体育中心</w:t>
            </w:r>
          </w:p>
        </w:tc>
        <w:tc>
          <w:tcPr>
            <w:tcW w:w="1199" w:type="dxa"/>
            <w:vAlign w:val="center"/>
          </w:tcPr>
          <w:p>
            <w:pPr>
              <w:snapToGrid w:val="0"/>
              <w:jc w:val="center"/>
              <w:rPr>
                <w:rFonts w:ascii="宋体" w:hAnsi="宋体" w:cs="宋体"/>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 xml:space="preserve">  住宿生（0-76人）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rPr>
                <w:rFonts w:ascii="宋体" w:hAnsi="宋体"/>
                <w:snapToGrid w:val="0"/>
              </w:rPr>
            </w:pPr>
          </w:p>
        </w:tc>
        <w:tc>
          <w:tcPr>
            <w:tcW w:w="1545" w:type="dxa"/>
            <w:vAlign w:val="center"/>
          </w:tcPr>
          <w:p>
            <w:pPr>
              <w:widowControl/>
              <w:jc w:val="center"/>
              <w:rPr>
                <w:rFonts w:ascii="宋体" w:hAnsi="宋体" w:cs="宋体"/>
              </w:rPr>
            </w:pPr>
            <w:r>
              <w:rPr>
                <w:rFonts w:hint="eastAsia" w:ascii="宋体" w:hAnsi="宋体" w:cs="宋体"/>
              </w:rPr>
              <w:t>14:00</w:t>
            </w:r>
          </w:p>
        </w:tc>
        <w:tc>
          <w:tcPr>
            <w:tcW w:w="3180" w:type="dxa"/>
            <w:vAlign w:val="center"/>
          </w:tcPr>
          <w:p>
            <w:pPr>
              <w:widowControl/>
              <w:jc w:val="center"/>
              <w:rPr>
                <w:rFonts w:ascii="宋体" w:hAnsi="宋体" w:cs="宋体"/>
              </w:rPr>
            </w:pPr>
            <w:r>
              <w:rPr>
                <w:rFonts w:hint="eastAsia" w:ascii="宋体" w:hAnsi="宋体" w:cs="宋体"/>
              </w:rPr>
              <w:t>体育中心→县城各中小学</w:t>
            </w:r>
          </w:p>
        </w:tc>
        <w:tc>
          <w:tcPr>
            <w:tcW w:w="1199" w:type="dxa"/>
            <w:vAlign w:val="center"/>
          </w:tcPr>
          <w:p>
            <w:pPr>
              <w:snapToGrid w:val="0"/>
              <w:jc w:val="center"/>
              <w:rPr>
                <w:rFonts w:ascii="宋体" w:hAnsi="宋体"/>
                <w:snapToGrid w:val="0"/>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 xml:space="preserve">  住宿生（0-76人）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pPr>
          </w:p>
        </w:tc>
        <w:tc>
          <w:tcPr>
            <w:tcW w:w="1545" w:type="dxa"/>
            <w:vAlign w:val="center"/>
          </w:tcPr>
          <w:p>
            <w:pPr>
              <w:widowControl/>
              <w:jc w:val="center"/>
              <w:rPr>
                <w:rFonts w:ascii="宋体" w:hAnsi="宋体" w:cs="宋体"/>
              </w:rPr>
            </w:pPr>
            <w:r>
              <w:rPr>
                <w:rFonts w:hint="eastAsia" w:ascii="宋体" w:hAnsi="宋体" w:cs="宋体"/>
              </w:rPr>
              <w:t>16:30-17:30</w:t>
            </w:r>
          </w:p>
        </w:tc>
        <w:tc>
          <w:tcPr>
            <w:tcW w:w="3180" w:type="dxa"/>
            <w:vAlign w:val="center"/>
          </w:tcPr>
          <w:p>
            <w:pPr>
              <w:snapToGrid w:val="0"/>
              <w:rPr>
                <w:rFonts w:ascii="宋体" w:hAnsi="宋体" w:cs="宋体"/>
              </w:rPr>
            </w:pPr>
            <w:r>
              <w:rPr>
                <w:rFonts w:hint="eastAsia" w:ascii="宋体" w:hAnsi="宋体" w:cs="宋体"/>
              </w:rPr>
              <w:t xml:space="preserve">   县城各中小学→体育中心</w:t>
            </w:r>
          </w:p>
        </w:tc>
        <w:tc>
          <w:tcPr>
            <w:tcW w:w="1199" w:type="dxa"/>
            <w:vAlign w:val="center"/>
          </w:tcPr>
          <w:p>
            <w:pPr>
              <w:snapToGrid w:val="0"/>
              <w:jc w:val="center"/>
              <w:rPr>
                <w:rFonts w:ascii="宋体" w:hAnsi="宋体" w:cs="宋体"/>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全体学生（约0-152人）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rPr>
                <w:rFonts w:ascii="宋体" w:hAnsi="宋体"/>
                <w:snapToGrid w:val="0"/>
              </w:rPr>
            </w:pPr>
          </w:p>
        </w:tc>
        <w:tc>
          <w:tcPr>
            <w:tcW w:w="1545" w:type="dxa"/>
            <w:vAlign w:val="center"/>
          </w:tcPr>
          <w:p>
            <w:pPr>
              <w:widowControl/>
              <w:jc w:val="center"/>
              <w:rPr>
                <w:rFonts w:ascii="宋体" w:hAnsi="宋体" w:cs="宋体"/>
              </w:rPr>
            </w:pPr>
            <w:r>
              <w:rPr>
                <w:rFonts w:hint="eastAsia" w:ascii="宋体" w:hAnsi="宋体" w:cs="宋体"/>
              </w:rPr>
              <w:t>19:00</w:t>
            </w:r>
          </w:p>
        </w:tc>
        <w:tc>
          <w:tcPr>
            <w:tcW w:w="3180" w:type="dxa"/>
            <w:vAlign w:val="center"/>
          </w:tcPr>
          <w:p>
            <w:pPr>
              <w:widowControl/>
              <w:jc w:val="center"/>
              <w:rPr>
                <w:rFonts w:ascii="宋体" w:hAnsi="宋体" w:cs="宋体"/>
              </w:rPr>
            </w:pPr>
            <w:r>
              <w:rPr>
                <w:rFonts w:hint="eastAsia" w:ascii="宋体" w:hAnsi="宋体" w:cs="宋体"/>
              </w:rPr>
              <w:t>体育中心→学校指定学生上落点</w:t>
            </w:r>
          </w:p>
        </w:tc>
        <w:tc>
          <w:tcPr>
            <w:tcW w:w="1199" w:type="dxa"/>
            <w:vAlign w:val="center"/>
          </w:tcPr>
          <w:p>
            <w:pPr>
              <w:snapToGrid w:val="0"/>
              <w:jc w:val="center"/>
              <w:rPr>
                <w:rFonts w:ascii="宋体" w:hAnsi="宋体"/>
                <w:snapToGrid w:val="0"/>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外宿学生（约0-76人）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restart"/>
            <w:vAlign w:val="center"/>
          </w:tcPr>
          <w:p>
            <w:pPr>
              <w:snapToGrid w:val="0"/>
              <w:jc w:val="center"/>
              <w:rPr>
                <w:rFonts w:ascii="宋体" w:hAnsi="宋体"/>
                <w:snapToGrid w:val="0"/>
              </w:rPr>
            </w:pPr>
            <w:r>
              <w:rPr>
                <w:rFonts w:hint="eastAsia" w:ascii="宋体" w:hAnsi="宋体"/>
                <w:snapToGrid w:val="0"/>
              </w:rPr>
              <w:t>寒 暑 假 期 间</w:t>
            </w:r>
          </w:p>
          <w:p>
            <w:pPr>
              <w:snapToGrid w:val="0"/>
              <w:jc w:val="center"/>
              <w:rPr>
                <w:rFonts w:ascii="宋体" w:hAnsi="宋体"/>
                <w:snapToGrid w:val="0"/>
              </w:rPr>
            </w:pPr>
            <w:r>
              <w:rPr>
                <w:rFonts w:hint="eastAsia" w:ascii="宋体" w:hAnsi="宋体"/>
                <w:snapToGrid w:val="0"/>
              </w:rPr>
              <w:t>接 送 安 排</w:t>
            </w:r>
          </w:p>
        </w:tc>
        <w:tc>
          <w:tcPr>
            <w:tcW w:w="1545" w:type="dxa"/>
            <w:vAlign w:val="center"/>
          </w:tcPr>
          <w:p>
            <w:pPr>
              <w:widowControl/>
              <w:jc w:val="center"/>
              <w:rPr>
                <w:rFonts w:ascii="宋体" w:hAnsi="宋体" w:cs="宋体"/>
              </w:rPr>
            </w:pPr>
            <w:r>
              <w:rPr>
                <w:rFonts w:hint="eastAsia" w:ascii="宋体" w:hAnsi="宋体" w:cs="宋体"/>
              </w:rPr>
              <w:t>8:30</w:t>
            </w:r>
          </w:p>
        </w:tc>
        <w:tc>
          <w:tcPr>
            <w:tcW w:w="3180" w:type="dxa"/>
            <w:vAlign w:val="center"/>
          </w:tcPr>
          <w:p>
            <w:pPr>
              <w:widowControl/>
              <w:jc w:val="center"/>
              <w:rPr>
                <w:rFonts w:ascii="宋体" w:hAnsi="宋体" w:cs="宋体"/>
              </w:rPr>
            </w:pPr>
            <w:r>
              <w:rPr>
                <w:rFonts w:hint="eastAsia" w:ascii="宋体" w:hAnsi="宋体" w:cs="宋体"/>
              </w:rPr>
              <w:t>学校指定学生上落点→体育中心</w:t>
            </w:r>
          </w:p>
        </w:tc>
        <w:tc>
          <w:tcPr>
            <w:tcW w:w="1199" w:type="dxa"/>
            <w:vAlign w:val="center"/>
          </w:tcPr>
          <w:p>
            <w:pPr>
              <w:snapToGrid w:val="0"/>
              <w:jc w:val="center"/>
              <w:rPr>
                <w:rFonts w:ascii="宋体" w:hAnsi="宋体"/>
                <w:snapToGrid w:val="0"/>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外宿学生（约0-76人）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pPr>
          </w:p>
        </w:tc>
        <w:tc>
          <w:tcPr>
            <w:tcW w:w="1545" w:type="dxa"/>
            <w:vAlign w:val="center"/>
          </w:tcPr>
          <w:p>
            <w:pPr>
              <w:widowControl/>
              <w:jc w:val="center"/>
              <w:rPr>
                <w:rFonts w:ascii="宋体" w:hAnsi="宋体" w:cs="宋体"/>
              </w:rPr>
            </w:pPr>
            <w:r>
              <w:rPr>
                <w:rFonts w:hint="eastAsia" w:ascii="宋体" w:hAnsi="宋体" w:cs="宋体"/>
              </w:rPr>
              <w:t>11:30</w:t>
            </w:r>
          </w:p>
        </w:tc>
        <w:tc>
          <w:tcPr>
            <w:tcW w:w="3180" w:type="dxa"/>
            <w:vAlign w:val="center"/>
          </w:tcPr>
          <w:p>
            <w:pPr>
              <w:widowControl/>
              <w:jc w:val="center"/>
              <w:rPr>
                <w:rFonts w:ascii="宋体" w:hAnsi="宋体" w:cs="宋体"/>
              </w:rPr>
            </w:pPr>
            <w:r>
              <w:rPr>
                <w:rFonts w:hint="eastAsia" w:ascii="宋体" w:hAnsi="宋体" w:cs="宋体"/>
              </w:rPr>
              <w:t>体育中心→学校指定学生上落点</w:t>
            </w:r>
          </w:p>
        </w:tc>
        <w:tc>
          <w:tcPr>
            <w:tcW w:w="1199" w:type="dxa"/>
            <w:vAlign w:val="center"/>
          </w:tcPr>
          <w:p>
            <w:pPr>
              <w:snapToGrid w:val="0"/>
              <w:jc w:val="center"/>
              <w:rPr>
                <w:rFonts w:ascii="宋体" w:hAnsi="宋体" w:cs="宋体"/>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外宿学生（约0-76人）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rPr>
                <w:rFonts w:ascii="宋体" w:hAnsi="宋体"/>
                <w:snapToGrid w:val="0"/>
              </w:rPr>
            </w:pPr>
          </w:p>
        </w:tc>
        <w:tc>
          <w:tcPr>
            <w:tcW w:w="1545" w:type="dxa"/>
            <w:vAlign w:val="center"/>
          </w:tcPr>
          <w:p>
            <w:pPr>
              <w:widowControl/>
              <w:jc w:val="center"/>
              <w:rPr>
                <w:rFonts w:ascii="宋体" w:hAnsi="宋体" w:cs="宋体"/>
              </w:rPr>
            </w:pPr>
            <w:r>
              <w:rPr>
                <w:rFonts w:hint="eastAsia" w:ascii="宋体" w:hAnsi="宋体" w:cs="宋体"/>
              </w:rPr>
              <w:t>15:00</w:t>
            </w:r>
          </w:p>
        </w:tc>
        <w:tc>
          <w:tcPr>
            <w:tcW w:w="3180" w:type="dxa"/>
            <w:vAlign w:val="center"/>
          </w:tcPr>
          <w:p>
            <w:pPr>
              <w:widowControl/>
              <w:jc w:val="center"/>
              <w:rPr>
                <w:rFonts w:ascii="宋体" w:hAnsi="宋体" w:cs="宋体"/>
              </w:rPr>
            </w:pPr>
            <w:r>
              <w:rPr>
                <w:rFonts w:hint="eastAsia" w:ascii="宋体" w:hAnsi="宋体" w:cs="宋体"/>
              </w:rPr>
              <w:t>学校指定学生上落点→体育中心</w:t>
            </w:r>
          </w:p>
        </w:tc>
        <w:tc>
          <w:tcPr>
            <w:tcW w:w="1199" w:type="dxa"/>
            <w:vAlign w:val="center"/>
          </w:tcPr>
          <w:p>
            <w:pPr>
              <w:snapToGrid w:val="0"/>
              <w:jc w:val="center"/>
              <w:rPr>
                <w:rFonts w:ascii="宋体" w:hAnsi="宋体"/>
                <w:snapToGrid w:val="0"/>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外宿学生（约0-76人）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4" w:type="dxa"/>
            <w:vMerge w:val="continue"/>
            <w:vAlign w:val="center"/>
          </w:tcPr>
          <w:p>
            <w:pPr>
              <w:snapToGrid w:val="0"/>
            </w:pPr>
          </w:p>
        </w:tc>
        <w:tc>
          <w:tcPr>
            <w:tcW w:w="1545" w:type="dxa"/>
            <w:vAlign w:val="center"/>
          </w:tcPr>
          <w:p>
            <w:pPr>
              <w:widowControl/>
              <w:jc w:val="center"/>
              <w:rPr>
                <w:rFonts w:ascii="宋体" w:hAnsi="宋体" w:cs="宋体"/>
              </w:rPr>
            </w:pPr>
            <w:r>
              <w:rPr>
                <w:rFonts w:hint="eastAsia" w:ascii="宋体" w:hAnsi="宋体" w:cs="宋体"/>
              </w:rPr>
              <w:t>18:30</w:t>
            </w:r>
          </w:p>
        </w:tc>
        <w:tc>
          <w:tcPr>
            <w:tcW w:w="3180" w:type="dxa"/>
            <w:vAlign w:val="center"/>
          </w:tcPr>
          <w:p>
            <w:pPr>
              <w:snapToGrid w:val="0"/>
              <w:rPr>
                <w:rFonts w:ascii="宋体" w:hAnsi="宋体" w:cs="宋体"/>
              </w:rPr>
            </w:pPr>
            <w:r>
              <w:rPr>
                <w:rFonts w:hint="eastAsia" w:ascii="宋体" w:hAnsi="宋体" w:cs="宋体"/>
              </w:rPr>
              <w:t>体育中心→学校指定学生上落点</w:t>
            </w:r>
          </w:p>
        </w:tc>
        <w:tc>
          <w:tcPr>
            <w:tcW w:w="1199" w:type="dxa"/>
            <w:vAlign w:val="center"/>
          </w:tcPr>
          <w:p>
            <w:pPr>
              <w:snapToGrid w:val="0"/>
              <w:jc w:val="center"/>
              <w:rPr>
                <w:rFonts w:ascii="宋体" w:hAnsi="宋体" w:cs="宋体"/>
              </w:rPr>
            </w:pPr>
            <w:r>
              <w:rPr>
                <w:rFonts w:hint="eastAsia" w:ascii="宋体" w:hAnsi="宋体"/>
                <w:snapToGrid w:val="0"/>
              </w:rPr>
              <w:t>8KM内</w:t>
            </w:r>
          </w:p>
        </w:tc>
        <w:tc>
          <w:tcPr>
            <w:tcW w:w="2160" w:type="dxa"/>
            <w:vAlign w:val="center"/>
          </w:tcPr>
          <w:p>
            <w:pPr>
              <w:snapToGrid w:val="0"/>
              <w:rPr>
                <w:rFonts w:ascii="宋体" w:hAnsi="宋体"/>
                <w:snapToGrid w:val="0"/>
              </w:rPr>
            </w:pPr>
            <w:r>
              <w:rPr>
                <w:rFonts w:hint="eastAsia" w:ascii="宋体" w:hAnsi="宋体"/>
                <w:snapToGrid w:val="0"/>
              </w:rPr>
              <w:t>外宿学生（约0-76人）</w:t>
            </w:r>
          </w:p>
        </w:tc>
      </w:tr>
    </w:tbl>
    <w:p>
      <w:pPr>
        <w:spacing w:line="360" w:lineRule="auto"/>
        <w:rPr>
          <w:rFonts w:ascii="宋体" w:hAnsi="宋体" w:cs="宋体"/>
        </w:rPr>
      </w:pPr>
      <w:r>
        <w:rPr>
          <w:rFonts w:hint="eastAsia" w:ascii="宋体" w:hAnsi="宋体" w:cs="宋体"/>
        </w:rPr>
        <w:t>备注：</w:t>
      </w:r>
    </w:p>
    <w:p>
      <w:pPr>
        <w:spacing w:line="360" w:lineRule="auto"/>
        <w:rPr>
          <w:rFonts w:ascii="宋体" w:hAnsi="宋体" w:cs="宋体"/>
        </w:rPr>
      </w:pPr>
      <w:r>
        <w:rPr>
          <w:rFonts w:hint="eastAsia" w:ascii="宋体" w:hAnsi="宋体" w:cs="宋体"/>
        </w:rPr>
        <w:t>1、学校指定学生上落点为采购人根据实际情况为外宿学生指定的上下车停靠站。</w:t>
      </w:r>
    </w:p>
    <w:p>
      <w:pPr>
        <w:spacing w:line="360" w:lineRule="auto"/>
        <w:rPr>
          <w:rFonts w:ascii="宋体" w:hAnsi="宋体" w:cs="宋体"/>
        </w:rPr>
      </w:pPr>
      <w:r>
        <w:rPr>
          <w:rFonts w:hint="eastAsia" w:ascii="宋体" w:hAnsi="宋体" w:cs="宋体"/>
        </w:rPr>
        <w:t>2、采购人将根据实际情况调整确定始发点、具体停靠站以及具体发车时间。投标人须满足。</w:t>
      </w:r>
    </w:p>
    <w:p>
      <w:pPr>
        <w:spacing w:line="360" w:lineRule="auto"/>
        <w:rPr>
          <w:rFonts w:ascii="宋体" w:hAnsi="宋体" w:cs="宋体"/>
        </w:rPr>
      </w:pPr>
      <w:r>
        <w:rPr>
          <w:rFonts w:hint="eastAsia" w:ascii="宋体" w:hAnsi="宋体" w:cs="宋体"/>
        </w:rPr>
        <w:t>3、校车线路以教育和交通等相关部门核定的规定路线为准。</w:t>
      </w:r>
    </w:p>
    <w:p>
      <w:pPr>
        <w:pStyle w:val="20"/>
        <w:numPr>
          <w:ilvl w:val="0"/>
          <w:numId w:val="20"/>
        </w:numPr>
        <w:tabs>
          <w:tab w:val="left" w:pos="540"/>
        </w:tabs>
        <w:adjustRightInd w:val="0"/>
        <w:snapToGrid w:val="0"/>
        <w:spacing w:line="360" w:lineRule="auto"/>
        <w:rPr>
          <w:rFonts w:hAnsi="宋体" w:cs="宋体"/>
          <w:b/>
        </w:rPr>
      </w:pPr>
      <w:r>
        <w:rPr>
          <w:rFonts w:hint="eastAsia" w:hAnsi="宋体" w:cs="宋体"/>
          <w:b/>
        </w:rPr>
        <w:t>商务要求</w:t>
      </w:r>
    </w:p>
    <w:p>
      <w:pPr>
        <w:spacing w:line="360" w:lineRule="auto"/>
        <w:ind w:firstLine="420" w:firstLineChars="200"/>
        <w:rPr>
          <w:rFonts w:ascii="宋体" w:hAnsi="宋体" w:cs="宋体"/>
        </w:rPr>
      </w:pPr>
      <w:r>
        <w:rPr>
          <w:rFonts w:hint="eastAsia" w:ascii="宋体" w:hAnsi="宋体" w:cs="宋体"/>
        </w:rPr>
        <w:t>1、工期要求：</w:t>
      </w:r>
    </w:p>
    <w:p>
      <w:pPr>
        <w:spacing w:line="360" w:lineRule="auto"/>
        <w:ind w:firstLine="39" w:firstLineChars="19"/>
        <w:rPr>
          <w:rFonts w:ascii="宋体" w:hAnsi="宋体" w:cs="宋体"/>
        </w:rPr>
      </w:pPr>
      <w:r>
        <w:rPr>
          <w:rFonts w:hint="eastAsia" w:ascii="宋体" w:hAnsi="宋体" w:cs="宋体"/>
        </w:rPr>
        <w:t xml:space="preserve"> ★（1）工期时间：合同签订后7天内，完成校车配备及随车人员配备并交付使用。</w:t>
      </w:r>
    </w:p>
    <w:p>
      <w:pPr>
        <w:spacing w:line="360" w:lineRule="auto"/>
        <w:ind w:firstLine="420"/>
        <w:rPr>
          <w:rFonts w:ascii="宋体" w:hAnsi="宋体" w:cs="宋体"/>
        </w:rPr>
      </w:pPr>
      <w:r>
        <w:rPr>
          <w:rFonts w:hint="eastAsia" w:ascii="宋体" w:hAnsi="宋体" w:cs="宋体"/>
        </w:rPr>
        <w:t>（2）实施地点：采购人指定地点。</w:t>
      </w:r>
    </w:p>
    <w:p>
      <w:pPr>
        <w:spacing w:line="360" w:lineRule="auto"/>
        <w:ind w:firstLine="420"/>
        <w:rPr>
          <w:rFonts w:ascii="宋体" w:hAnsi="宋体" w:cs="宋体"/>
        </w:rPr>
      </w:pPr>
      <w:r>
        <w:rPr>
          <w:rFonts w:hint="eastAsia" w:ascii="宋体" w:hAnsi="宋体" w:cs="宋体"/>
        </w:rPr>
        <w:t>（3）质量标准：成交人应保证其质量、规格及技术特征符合国家标准、规范及谈判文件的要求。</w:t>
      </w:r>
    </w:p>
    <w:p>
      <w:pPr>
        <w:spacing w:line="360" w:lineRule="auto"/>
        <w:ind w:firstLine="420" w:firstLineChars="200"/>
        <w:rPr>
          <w:rFonts w:ascii="宋体" w:hAnsi="宋体" w:cs="宋体"/>
        </w:rPr>
      </w:pPr>
      <w:r>
        <w:rPr>
          <w:rFonts w:hint="eastAsia" w:ascii="宋体" w:hAnsi="宋体" w:cs="宋体"/>
        </w:rPr>
        <w:t>2、服务费用报价要求：</w:t>
      </w:r>
    </w:p>
    <w:p>
      <w:pPr>
        <w:pStyle w:val="20"/>
        <w:spacing w:line="360" w:lineRule="auto"/>
        <w:ind w:firstLine="411" w:firstLineChars="196"/>
        <w:rPr>
          <w:rFonts w:hAnsi="宋体" w:cs="宋体"/>
          <w:kern w:val="0"/>
        </w:rPr>
      </w:pPr>
      <w:r>
        <w:rPr>
          <w:rFonts w:hint="eastAsia" w:hAnsi="宋体" w:cs="宋体"/>
          <w:kern w:val="0"/>
        </w:rPr>
        <w:t>投标人须对采购项目需求一览表要求的服务项目进行报价，投标报价应包括完成该服务项目工作的一切费用（含随车人员工资、油费、车辆保养、保险等）。各种费用不管是否在投标人报价书中单列，均视为投标总价中已包含该费用。投标人的报价必须低于本项目的采购预算。</w:t>
      </w:r>
    </w:p>
    <w:p>
      <w:pPr>
        <w:spacing w:line="360" w:lineRule="auto"/>
        <w:ind w:firstLine="420" w:firstLineChars="200"/>
        <w:rPr>
          <w:rFonts w:ascii="宋体" w:hAnsi="宋体" w:cs="宋体"/>
        </w:rPr>
      </w:pPr>
      <w:r>
        <w:rPr>
          <w:rFonts w:hint="eastAsia" w:ascii="宋体" w:hAnsi="宋体" w:cs="宋体"/>
        </w:rPr>
        <w:t>3、服务费用的结算方式：</w:t>
      </w:r>
    </w:p>
    <w:p>
      <w:pPr>
        <w:spacing w:line="360" w:lineRule="auto"/>
        <w:ind w:firstLine="420" w:firstLineChars="200"/>
        <w:rPr>
          <w:rFonts w:ascii="宋体" w:hAnsi="宋体" w:cs="宋体"/>
        </w:rPr>
      </w:pPr>
      <w:r>
        <w:rPr>
          <w:rFonts w:hint="eastAsia" w:ascii="宋体" w:hAnsi="宋体" w:cs="宋体"/>
        </w:rPr>
        <w:t>成交价为成交人所报投标价，作为本项目的合同价，并以合同价进行包干。</w:t>
      </w:r>
    </w:p>
    <w:p>
      <w:pPr>
        <w:pStyle w:val="20"/>
        <w:spacing w:line="360" w:lineRule="auto"/>
        <w:ind w:firstLine="411" w:firstLineChars="196"/>
        <w:rPr>
          <w:rFonts w:hAnsi="宋体" w:cs="宋体"/>
          <w:kern w:val="0"/>
        </w:rPr>
      </w:pPr>
      <w:r>
        <w:rPr>
          <w:rFonts w:hint="eastAsia" w:hAnsi="宋体" w:cs="宋体"/>
          <w:kern w:val="0"/>
        </w:rPr>
        <w:t>4、验收要求：按国家有关标准和采购人要求执行。</w:t>
      </w:r>
    </w:p>
    <w:p>
      <w:pPr>
        <w:pStyle w:val="20"/>
        <w:spacing w:line="360" w:lineRule="auto"/>
        <w:ind w:firstLine="411" w:firstLineChars="196"/>
        <w:rPr>
          <w:rFonts w:hAnsi="宋体" w:cs="宋体"/>
          <w:kern w:val="0"/>
        </w:rPr>
      </w:pPr>
      <w:r>
        <w:rPr>
          <w:rFonts w:hint="eastAsia" w:hAnsi="宋体" w:cs="宋体"/>
          <w:kern w:val="0"/>
        </w:rPr>
        <w:t>5、售后服务：</w:t>
      </w:r>
    </w:p>
    <w:p>
      <w:pPr>
        <w:pStyle w:val="20"/>
        <w:spacing w:line="360" w:lineRule="auto"/>
        <w:ind w:firstLine="411" w:firstLineChars="196"/>
        <w:rPr>
          <w:rFonts w:hAnsi="宋体" w:cs="宋体"/>
          <w:kern w:val="0"/>
        </w:rPr>
      </w:pPr>
      <w:r>
        <w:rPr>
          <w:rFonts w:hint="eastAsia" w:hAnsi="宋体" w:cs="宋体"/>
          <w:kern w:val="0"/>
        </w:rPr>
        <w:t>（1）成交人接受采购人的服务监督，对成交人提出的改进要求和投诉，予以及时整改和处理。成交人应加强对驾驶员安全行车的教育及校车运行秩序的管理，提高安全行车和优质服务意识。</w:t>
      </w:r>
    </w:p>
    <w:p>
      <w:pPr>
        <w:pStyle w:val="20"/>
        <w:spacing w:line="360" w:lineRule="auto"/>
        <w:ind w:firstLine="411" w:firstLineChars="196"/>
        <w:rPr>
          <w:rFonts w:hAnsi="宋体" w:cs="宋体"/>
          <w:kern w:val="0"/>
        </w:rPr>
      </w:pPr>
      <w:r>
        <w:rPr>
          <w:rFonts w:hint="eastAsia" w:hAnsi="宋体" w:cs="宋体"/>
          <w:kern w:val="0"/>
        </w:rPr>
        <w:t>（2）遇有学生突发急病，驾驶员可将生病学生直接送往就近的医院救治，因此造成的校车晚点、更改线路等后果成交人不需承担违约责任。</w:t>
      </w:r>
    </w:p>
    <w:p>
      <w:pPr>
        <w:pStyle w:val="20"/>
        <w:spacing w:line="360" w:lineRule="auto"/>
        <w:ind w:firstLine="411" w:firstLineChars="196"/>
        <w:rPr>
          <w:rFonts w:hAnsi="宋体" w:cs="宋体"/>
          <w:kern w:val="0"/>
        </w:rPr>
      </w:pPr>
      <w:r>
        <w:rPr>
          <w:rFonts w:hint="eastAsia" w:hAnsi="宋体" w:cs="宋体"/>
          <w:kern w:val="0"/>
        </w:rPr>
        <w:t>（3）遇有不可抗力事件不能完成运输任务的，成交人应及时通知采购人，双方协商确定就近安置学生地点，采购方人员应在约定的时间内及时到达妥善处理。</w:t>
      </w:r>
    </w:p>
    <w:p>
      <w:pPr>
        <w:pStyle w:val="20"/>
        <w:spacing w:line="360" w:lineRule="auto"/>
        <w:ind w:firstLine="411" w:firstLineChars="196"/>
        <w:rPr>
          <w:rFonts w:hAnsi="宋体" w:cs="宋体"/>
          <w:kern w:val="0"/>
        </w:rPr>
      </w:pPr>
      <w:r>
        <w:rPr>
          <w:rFonts w:hint="eastAsia" w:hAnsi="宋体" w:cs="宋体"/>
          <w:kern w:val="0"/>
        </w:rPr>
        <w:t>（4）</w:t>
      </w:r>
      <w:r>
        <w:rPr>
          <w:rFonts w:hAnsi="宋体" w:cs="宋体"/>
          <w:kern w:val="0"/>
        </w:rPr>
        <w:t>在接送路途中，如有发生交通事故，造成学生伤亡的，由</w:t>
      </w:r>
      <w:r>
        <w:rPr>
          <w:rFonts w:hint="eastAsia" w:hAnsi="宋体" w:cs="宋体"/>
          <w:kern w:val="0"/>
        </w:rPr>
        <w:t>成交</w:t>
      </w:r>
      <w:r>
        <w:rPr>
          <w:rFonts w:hAnsi="宋体" w:cs="宋体"/>
          <w:kern w:val="0"/>
        </w:rPr>
        <w:t>人承担全部责任。</w:t>
      </w:r>
      <w:r>
        <w:rPr>
          <w:rFonts w:hint="eastAsia" w:hAnsi="宋体" w:cs="宋体"/>
          <w:kern w:val="0"/>
        </w:rPr>
        <w:t>成交</w:t>
      </w:r>
      <w:r>
        <w:rPr>
          <w:rFonts w:hAnsi="宋体" w:cs="宋体"/>
          <w:kern w:val="0"/>
        </w:rPr>
        <w:t>人须按照相关法律、法规的规定作出赔偿。</w:t>
      </w:r>
    </w:p>
    <w:p>
      <w:pPr>
        <w:pStyle w:val="103"/>
        <w:ind w:firstLineChars="0"/>
        <w:rPr>
          <w:rFonts w:ascii="宋体" w:hAnsi="宋体" w:eastAsia="宋体" w:cs="宋体"/>
          <w:bCs w:val="0"/>
          <w:kern w:val="0"/>
          <w:sz w:val="21"/>
          <w:szCs w:val="21"/>
        </w:rPr>
      </w:pPr>
      <w:r>
        <w:rPr>
          <w:rFonts w:hint="eastAsia" w:ascii="宋体" w:hAnsi="宋体" w:eastAsia="宋体" w:cs="宋体"/>
          <w:bCs w:val="0"/>
          <w:kern w:val="0"/>
          <w:sz w:val="21"/>
          <w:szCs w:val="21"/>
        </w:rPr>
        <w:t>（5）成交</w:t>
      </w:r>
      <w:r>
        <w:rPr>
          <w:rFonts w:ascii="宋体" w:hAnsi="宋体" w:eastAsia="宋体" w:cs="宋体"/>
          <w:bCs w:val="0"/>
          <w:kern w:val="0"/>
          <w:sz w:val="21"/>
          <w:szCs w:val="21"/>
        </w:rPr>
        <w:t>人须每年对司机和随车护送人员进行安全教育及应急培训</w:t>
      </w:r>
      <w:r>
        <w:rPr>
          <w:rFonts w:hint="eastAsia" w:ascii="宋体" w:hAnsi="宋体" w:eastAsia="宋体" w:cs="宋体"/>
          <w:bCs w:val="0"/>
          <w:kern w:val="0"/>
          <w:sz w:val="21"/>
          <w:szCs w:val="21"/>
        </w:rPr>
        <w:t>（培训费用含在成交价中）</w:t>
      </w:r>
      <w:r>
        <w:rPr>
          <w:rFonts w:ascii="宋体" w:hAnsi="宋体" w:eastAsia="宋体" w:cs="宋体"/>
          <w:bCs w:val="0"/>
          <w:kern w:val="0"/>
          <w:sz w:val="21"/>
          <w:szCs w:val="21"/>
        </w:rPr>
        <w:t>，并向采购人提供教育培训记录。培训内容包括组织校车驾驶人学习道路交通安全法律法规以及安全防范、应急处置和应急救援知识等，保障学生乘坐校车安全。</w:t>
      </w:r>
    </w:p>
    <w:p>
      <w:pPr>
        <w:pStyle w:val="103"/>
        <w:ind w:firstLineChars="0"/>
        <w:rPr>
          <w:rFonts w:ascii="宋体" w:hAnsi="宋体" w:eastAsia="宋体" w:cs="宋体"/>
          <w:bCs w:val="0"/>
          <w:kern w:val="0"/>
          <w:sz w:val="21"/>
          <w:szCs w:val="21"/>
        </w:rPr>
      </w:pPr>
    </w:p>
    <w:p>
      <w:pPr>
        <w:pStyle w:val="20"/>
        <w:numPr>
          <w:ilvl w:val="0"/>
          <w:numId w:val="20"/>
        </w:numPr>
        <w:tabs>
          <w:tab w:val="left" w:pos="540"/>
        </w:tabs>
        <w:adjustRightInd w:val="0"/>
        <w:snapToGrid w:val="0"/>
        <w:spacing w:line="360" w:lineRule="auto"/>
        <w:rPr>
          <w:rFonts w:hAnsi="宋体" w:cs="宋体"/>
          <w:b/>
        </w:rPr>
      </w:pPr>
      <w:r>
        <w:rPr>
          <w:rFonts w:hint="eastAsia" w:hAnsi="宋体" w:cs="宋体"/>
          <w:b/>
        </w:rPr>
        <w:t>付款方式</w:t>
      </w:r>
    </w:p>
    <w:p>
      <w:pPr>
        <w:snapToGrid w:val="0"/>
        <w:spacing w:line="360" w:lineRule="auto"/>
        <w:ind w:firstLine="420" w:firstLineChars="200"/>
        <w:rPr>
          <w:rFonts w:ascii="宋体" w:hAnsi="宋体" w:cs="宋体"/>
        </w:rPr>
      </w:pPr>
      <w:r>
        <w:rPr>
          <w:rFonts w:hint="eastAsia" w:ascii="宋体" w:hAnsi="宋体" w:cs="宋体"/>
        </w:rPr>
        <w:t>由采购人按下列程序付款：</w:t>
      </w:r>
    </w:p>
    <w:p>
      <w:pPr>
        <w:numPr>
          <w:ilvl w:val="0"/>
          <w:numId w:val="21"/>
        </w:numPr>
        <w:snapToGrid w:val="0"/>
        <w:spacing w:line="360" w:lineRule="auto"/>
        <w:jc w:val="both"/>
        <w:rPr>
          <w:rFonts w:ascii="宋体" w:hAnsi="宋体" w:cs="宋体"/>
        </w:rPr>
      </w:pPr>
      <w:r>
        <w:rPr>
          <w:rFonts w:hint="eastAsia" w:ascii="宋体" w:hAnsi="宋体" w:cs="宋体"/>
        </w:rPr>
        <w:t>每月结算一次，按（中标价/月-罚款）进行结算。先由成交人提供上个月结算清单（含每辆车出车登记清单）和成交人开具的正式发票，采购人核审完成后5个工作日内以支票或转账形式支付给成交人。</w:t>
      </w:r>
    </w:p>
    <w:p>
      <w:pPr>
        <w:numPr>
          <w:ilvl w:val="0"/>
          <w:numId w:val="22"/>
        </w:numPr>
        <w:snapToGrid w:val="0"/>
        <w:spacing w:line="360" w:lineRule="auto"/>
        <w:rPr>
          <w:rFonts w:ascii="宋体" w:hAnsi="宋体" w:cs="宋体"/>
        </w:rPr>
      </w:pPr>
      <w:r>
        <w:rPr>
          <w:rFonts w:hint="eastAsia" w:ascii="宋体" w:hAnsi="宋体" w:cs="宋体"/>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pStyle w:val="36"/>
        <w:rPr>
          <w:rFonts w:ascii="宋体" w:hAnsi="宋体" w:cs="宋体"/>
          <w:b w:val="0"/>
          <w:bCs w:val="0"/>
          <w:sz w:val="21"/>
          <w:szCs w:val="21"/>
        </w:rPr>
      </w:pPr>
      <w:r>
        <w:rPr>
          <w:rFonts w:ascii="宋体" w:hAnsi="宋体" w:cs="宋体"/>
          <w:b w:val="0"/>
          <w:bCs w:val="0"/>
          <w:sz w:val="21"/>
          <w:szCs w:val="21"/>
        </w:rPr>
        <w:br w:type="page"/>
      </w:r>
      <w:bookmarkEnd w:id="8"/>
      <w:bookmarkEnd w:id="9"/>
      <w:bookmarkEnd w:id="16"/>
      <w:bookmarkEnd w:id="17"/>
    </w:p>
    <w:p>
      <w:pPr>
        <w:spacing w:beforeLines="50" w:afterLines="50" w:line="360" w:lineRule="auto"/>
        <w:jc w:val="center"/>
        <w:outlineLvl w:val="0"/>
        <w:rPr>
          <w:b/>
          <w:bCs/>
          <w:sz w:val="28"/>
          <w:szCs w:val="28"/>
        </w:rPr>
      </w:pPr>
      <w:bookmarkStart w:id="26" w:name="_Toc494203631"/>
      <w:bookmarkStart w:id="27" w:name="_Toc523168280"/>
      <w:r>
        <w:rPr>
          <w:rFonts w:hint="eastAsia"/>
          <w:b/>
          <w:bCs/>
          <w:sz w:val="28"/>
          <w:szCs w:val="28"/>
        </w:rPr>
        <w:t>第五章 合同文本</w:t>
      </w:r>
      <w:bookmarkEnd w:id="26"/>
      <w:bookmarkEnd w:id="27"/>
    </w:p>
    <w:p>
      <w:pPr>
        <w:tabs>
          <w:tab w:val="left" w:pos="720"/>
        </w:tabs>
        <w:spacing w:line="360" w:lineRule="auto"/>
        <w:jc w:val="center"/>
        <w:rPr>
          <w:rFonts w:ascii="宋体" w:hAnsi="宋体" w:cs="宋体"/>
          <w:b/>
          <w:sz w:val="24"/>
        </w:rPr>
      </w:pPr>
      <w:r>
        <w:rPr>
          <w:rFonts w:hint="eastAsia" w:ascii="宋体" w:hAnsi="宋体" w:cs="宋体"/>
          <w:b/>
          <w:sz w:val="24"/>
        </w:rPr>
        <w:t>合同通用条款</w:t>
      </w:r>
    </w:p>
    <w:p>
      <w:pPr>
        <w:spacing w:line="360" w:lineRule="auto"/>
        <w:rPr>
          <w:rFonts w:ascii="宋体" w:hAnsi="宋体"/>
          <w:b/>
        </w:rPr>
      </w:pPr>
      <w:r>
        <w:rPr>
          <w:rFonts w:hint="eastAsia" w:ascii="宋体" w:hAnsi="宋体"/>
          <w:b/>
        </w:rPr>
        <w:t>甲    方</w:t>
      </w:r>
      <w:r>
        <w:rPr>
          <w:rFonts w:hint="eastAsia" w:ascii="宋体" w:hAnsi="宋体" w:cs="宋体"/>
        </w:rPr>
        <w:t>（采购人）</w:t>
      </w:r>
      <w:r>
        <w:rPr>
          <w:rFonts w:hint="eastAsia" w:ascii="宋体" w:hAnsi="宋体"/>
          <w:b/>
        </w:rPr>
        <w:t>：</w:t>
      </w:r>
    </w:p>
    <w:p>
      <w:pPr>
        <w:spacing w:line="360" w:lineRule="auto"/>
        <w:rPr>
          <w:rFonts w:ascii="宋体" w:hAnsi="宋体"/>
        </w:rPr>
      </w:pPr>
      <w:r>
        <w:rPr>
          <w:rFonts w:hint="eastAsia" w:ascii="宋体" w:hAnsi="宋体"/>
        </w:rPr>
        <w:t>电    话：           　   传  真：           住  所：</w:t>
      </w:r>
    </w:p>
    <w:p>
      <w:pPr>
        <w:spacing w:line="360" w:lineRule="auto"/>
        <w:rPr>
          <w:rFonts w:ascii="宋体" w:hAnsi="宋体"/>
          <w:b/>
        </w:rPr>
      </w:pPr>
    </w:p>
    <w:p>
      <w:pPr>
        <w:spacing w:line="360" w:lineRule="auto"/>
        <w:rPr>
          <w:rFonts w:ascii="宋体" w:hAnsi="宋体"/>
          <w:b/>
        </w:rPr>
      </w:pPr>
      <w:r>
        <w:rPr>
          <w:rFonts w:hint="eastAsia" w:ascii="宋体" w:hAnsi="宋体"/>
          <w:b/>
        </w:rPr>
        <w:t>乙    方</w:t>
      </w:r>
      <w:r>
        <w:rPr>
          <w:rFonts w:hint="eastAsia" w:ascii="宋体" w:hAnsi="宋体" w:cs="宋体"/>
        </w:rPr>
        <w:t>（成交人）</w:t>
      </w:r>
      <w:r>
        <w:rPr>
          <w:rFonts w:hint="eastAsia" w:ascii="宋体" w:hAnsi="宋体"/>
          <w:b/>
        </w:rPr>
        <w:t>：</w:t>
      </w:r>
    </w:p>
    <w:p>
      <w:pPr>
        <w:spacing w:line="360" w:lineRule="auto"/>
        <w:rPr>
          <w:rFonts w:ascii="宋体" w:hAnsi="宋体"/>
        </w:rPr>
      </w:pPr>
      <w:r>
        <w:rPr>
          <w:rFonts w:hint="eastAsia" w:ascii="宋体" w:hAnsi="宋体"/>
        </w:rPr>
        <w:t xml:space="preserve">电    话：                传  真：           住  所：   </w:t>
      </w:r>
    </w:p>
    <w:p>
      <w:pPr>
        <w:spacing w:line="360" w:lineRule="auto"/>
        <w:rPr>
          <w:rFonts w:ascii="宋体" w:hAnsi="宋体"/>
        </w:rPr>
      </w:pPr>
      <w:r>
        <w:rPr>
          <w:rFonts w:hint="eastAsia" w:ascii="宋体" w:hAnsi="宋体"/>
        </w:rPr>
        <w:t xml:space="preserve">项目名称：                                   </w:t>
      </w:r>
      <w:r>
        <w:rPr>
          <w:rFonts w:hint="eastAsia" w:ascii="宋体" w:hAnsi="宋体" w:cs="宋体"/>
        </w:rPr>
        <w:t>项目</w:t>
      </w:r>
      <w:r>
        <w:rPr>
          <w:rFonts w:hint="eastAsia" w:ascii="宋体" w:hAnsi="宋体"/>
        </w:rPr>
        <w:t xml:space="preserve">编号：  </w:t>
      </w:r>
    </w:p>
    <w:p>
      <w:pPr>
        <w:spacing w:line="360" w:lineRule="auto"/>
        <w:ind w:firstLine="420" w:firstLineChars="200"/>
        <w:rPr>
          <w:rFonts w:ascii="宋体" w:hAnsi="宋体"/>
        </w:rPr>
      </w:pPr>
      <w:r>
        <w:rPr>
          <w:rFonts w:hint="eastAsia" w:ascii="宋体" w:hAnsi="宋体" w:cs="宋体"/>
        </w:rPr>
        <w:t>根据</w:t>
      </w:r>
      <w:r>
        <w:rPr>
          <w:rFonts w:hint="eastAsia" w:ascii="宋体" w:hAnsi="宋体" w:cs="宋体"/>
          <w:u w:val="single"/>
        </w:rPr>
        <w:t xml:space="preserve">2023年度博罗县业余体校业训校车接送服务项目  </w:t>
      </w:r>
      <w:r>
        <w:rPr>
          <w:rFonts w:hint="eastAsia" w:ascii="宋体" w:hAnsi="宋体" w:cs="宋体"/>
        </w:rPr>
        <w:t>（项目编号：）</w:t>
      </w:r>
      <w:r>
        <w:rPr>
          <w:rFonts w:hint="eastAsia" w:ascii="宋体" w:hAnsi="宋体"/>
        </w:rPr>
        <w:t>的采购结果，按照《中华人民共和国政府采购法》</w:t>
      </w:r>
      <w:r>
        <w:rPr>
          <w:rFonts w:hint="eastAsia" w:ascii="宋体" w:hAnsi="宋体" w:cs="宋体"/>
        </w:rPr>
        <w:t>及其实施条例</w:t>
      </w:r>
      <w:r>
        <w:rPr>
          <w:rFonts w:hint="eastAsia" w:ascii="宋体" w:hAnsi="宋体"/>
        </w:rPr>
        <w:t>、《中华人民共和国合同法》的规定，</w:t>
      </w:r>
      <w:r>
        <w:rPr>
          <w:rFonts w:hint="eastAsia" w:ascii="宋体" w:hAnsi="宋体"/>
          <w:kern w:val="28"/>
        </w:rPr>
        <w:t>经双方协商，</w:t>
      </w:r>
      <w:r>
        <w:rPr>
          <w:rFonts w:hint="eastAsia" w:ascii="宋体" w:hAnsi="宋体"/>
        </w:rPr>
        <w:t>本着平等互利和诚实信用的原则，</w:t>
      </w:r>
      <w:r>
        <w:rPr>
          <w:rFonts w:hint="eastAsia" w:ascii="宋体" w:hAnsi="宋体"/>
          <w:kern w:val="28"/>
        </w:rPr>
        <w:t>一致同意签订本合同如下</w:t>
      </w:r>
      <w:r>
        <w:rPr>
          <w:rFonts w:hint="eastAsia" w:ascii="宋体" w:hAnsi="宋体"/>
        </w:rPr>
        <w:t>。</w:t>
      </w:r>
    </w:p>
    <w:p>
      <w:pPr>
        <w:numPr>
          <w:ilvl w:val="0"/>
          <w:numId w:val="23"/>
        </w:numPr>
        <w:tabs>
          <w:tab w:val="left" w:pos="426"/>
          <w:tab w:val="clear" w:pos="420"/>
        </w:tabs>
        <w:spacing w:line="360" w:lineRule="auto"/>
        <w:ind w:left="443" w:hanging="443" w:hangingChars="210"/>
        <w:outlineLvl w:val="2"/>
        <w:rPr>
          <w:rFonts w:ascii="宋体" w:hAnsi="宋体"/>
          <w:b/>
        </w:rPr>
      </w:pPr>
      <w:r>
        <w:rPr>
          <w:rFonts w:hint="eastAsia" w:ascii="宋体" w:hAnsi="宋体"/>
          <w:b/>
        </w:rPr>
        <w:t>采购标的、数量</w:t>
      </w:r>
    </w:p>
    <w:tbl>
      <w:tblPr>
        <w:tblStyle w:val="38"/>
        <w:tblW w:w="93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5022"/>
        <w:gridCol w:w="3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left" w:pos="426"/>
              </w:tabs>
              <w:spacing w:line="360" w:lineRule="auto"/>
              <w:ind w:firstLine="422" w:firstLineChars="200"/>
              <w:jc w:val="center"/>
              <w:outlineLvl w:val="2"/>
              <w:rPr>
                <w:rFonts w:ascii="宋体" w:hAnsi="宋体"/>
                <w:b/>
                <w:bCs/>
                <w:kern w:val="2"/>
              </w:rPr>
            </w:pPr>
            <w:r>
              <w:rPr>
                <w:rFonts w:hint="eastAsia" w:ascii="宋体" w:hAnsi="宋体"/>
                <w:b/>
                <w:bCs/>
                <w:kern w:val="2"/>
              </w:rPr>
              <w:t>序号</w:t>
            </w:r>
          </w:p>
        </w:tc>
        <w:tc>
          <w:tcPr>
            <w:tcW w:w="5022" w:type="dxa"/>
          </w:tcPr>
          <w:p>
            <w:pPr>
              <w:tabs>
                <w:tab w:val="left" w:pos="426"/>
              </w:tabs>
              <w:spacing w:line="360" w:lineRule="auto"/>
              <w:ind w:firstLine="422" w:firstLineChars="200"/>
              <w:jc w:val="center"/>
              <w:outlineLvl w:val="2"/>
              <w:rPr>
                <w:rFonts w:ascii="宋体" w:hAnsi="宋体"/>
                <w:bCs/>
                <w:kern w:val="2"/>
              </w:rPr>
            </w:pPr>
            <w:r>
              <w:rPr>
                <w:rFonts w:hint="eastAsia" w:ascii="宋体" w:hAnsi="宋体"/>
                <w:b/>
                <w:bCs/>
                <w:kern w:val="2"/>
              </w:rPr>
              <w:t>采购标的</w:t>
            </w:r>
          </w:p>
        </w:tc>
        <w:tc>
          <w:tcPr>
            <w:tcW w:w="3132" w:type="dxa"/>
          </w:tcPr>
          <w:p>
            <w:pPr>
              <w:tabs>
                <w:tab w:val="left" w:pos="426"/>
              </w:tabs>
              <w:spacing w:line="360" w:lineRule="auto"/>
              <w:ind w:firstLine="422" w:firstLineChars="200"/>
              <w:jc w:val="center"/>
              <w:outlineLvl w:val="2"/>
              <w:rPr>
                <w:rFonts w:ascii="宋体" w:hAnsi="宋体"/>
                <w:b/>
                <w:bCs/>
                <w:kern w:val="2"/>
              </w:rPr>
            </w:pPr>
            <w:r>
              <w:rPr>
                <w:rFonts w:hint="eastAsia" w:ascii="宋体" w:hAnsi="宋体"/>
                <w:b/>
                <w:bCs/>
                <w:kern w:val="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left" w:pos="426"/>
              </w:tabs>
              <w:spacing w:line="360" w:lineRule="auto"/>
              <w:ind w:firstLine="420" w:firstLineChars="200"/>
              <w:jc w:val="center"/>
              <w:outlineLvl w:val="2"/>
              <w:rPr>
                <w:rFonts w:ascii="宋体" w:hAnsi="宋体" w:eastAsia="黑体"/>
                <w:bCs/>
                <w:kern w:val="2"/>
              </w:rPr>
            </w:pPr>
            <w:r>
              <w:rPr>
                <w:rFonts w:hint="eastAsia" w:ascii="宋体" w:hAnsi="宋体" w:eastAsia="黑体"/>
                <w:bCs/>
                <w:kern w:val="2"/>
              </w:rPr>
              <w:t>1</w:t>
            </w:r>
          </w:p>
        </w:tc>
        <w:tc>
          <w:tcPr>
            <w:tcW w:w="5022" w:type="dxa"/>
          </w:tcPr>
          <w:p>
            <w:pPr>
              <w:tabs>
                <w:tab w:val="left" w:pos="426"/>
              </w:tabs>
              <w:spacing w:line="360" w:lineRule="auto"/>
              <w:ind w:firstLine="420" w:firstLineChars="200"/>
              <w:outlineLvl w:val="2"/>
              <w:rPr>
                <w:rFonts w:ascii="宋体" w:hAnsi="宋体" w:eastAsia="黑体"/>
                <w:bCs/>
                <w:kern w:val="2"/>
              </w:rPr>
            </w:pPr>
          </w:p>
        </w:tc>
        <w:tc>
          <w:tcPr>
            <w:tcW w:w="3132" w:type="dxa"/>
          </w:tcPr>
          <w:p>
            <w:pPr>
              <w:tabs>
                <w:tab w:val="left" w:pos="426"/>
              </w:tabs>
              <w:spacing w:line="360" w:lineRule="auto"/>
              <w:ind w:firstLine="420" w:firstLineChars="200"/>
              <w:outlineLvl w:val="2"/>
              <w:rPr>
                <w:rFonts w:ascii="宋体" w:hAnsi="宋体" w:eastAsia="黑体"/>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left" w:pos="426"/>
              </w:tabs>
              <w:spacing w:line="360" w:lineRule="auto"/>
              <w:ind w:firstLine="420" w:firstLineChars="200"/>
              <w:jc w:val="center"/>
              <w:outlineLvl w:val="2"/>
              <w:rPr>
                <w:rFonts w:ascii="宋体" w:hAnsi="宋体" w:eastAsia="黑体"/>
                <w:bCs/>
                <w:kern w:val="2"/>
              </w:rPr>
            </w:pPr>
            <w:r>
              <w:rPr>
                <w:rFonts w:hint="eastAsia" w:ascii="宋体" w:hAnsi="宋体" w:eastAsia="黑体"/>
                <w:bCs/>
                <w:kern w:val="2"/>
              </w:rPr>
              <w:t>2</w:t>
            </w:r>
          </w:p>
        </w:tc>
        <w:tc>
          <w:tcPr>
            <w:tcW w:w="5022" w:type="dxa"/>
          </w:tcPr>
          <w:p>
            <w:pPr>
              <w:pStyle w:val="103"/>
              <w:widowControl/>
              <w:spacing w:line="360" w:lineRule="auto"/>
              <w:ind w:left="425" w:firstLine="0" w:firstLineChars="0"/>
              <w:jc w:val="left"/>
              <w:rPr>
                <w:rFonts w:ascii="宋体" w:hAnsi="宋体"/>
                <w:bCs w:val="0"/>
                <w:sz w:val="21"/>
                <w:szCs w:val="21"/>
              </w:rPr>
            </w:pPr>
          </w:p>
        </w:tc>
        <w:tc>
          <w:tcPr>
            <w:tcW w:w="3132" w:type="dxa"/>
          </w:tcPr>
          <w:p>
            <w:pPr>
              <w:tabs>
                <w:tab w:val="left" w:pos="426"/>
              </w:tabs>
              <w:spacing w:line="360" w:lineRule="auto"/>
              <w:ind w:firstLine="420" w:firstLineChars="200"/>
              <w:outlineLvl w:val="2"/>
              <w:rPr>
                <w:rFonts w:ascii="宋体" w:hAnsi="宋体" w:eastAsia="黑体"/>
                <w:bCs/>
                <w:kern w:val="2"/>
              </w:rPr>
            </w:pPr>
          </w:p>
        </w:tc>
      </w:tr>
    </w:tbl>
    <w:p>
      <w:pPr>
        <w:numPr>
          <w:ilvl w:val="0"/>
          <w:numId w:val="23"/>
        </w:numPr>
        <w:tabs>
          <w:tab w:val="left" w:pos="426"/>
          <w:tab w:val="clear" w:pos="420"/>
        </w:tabs>
        <w:spacing w:line="360" w:lineRule="auto"/>
        <w:ind w:left="443" w:hanging="443" w:hangingChars="210"/>
        <w:outlineLvl w:val="2"/>
        <w:rPr>
          <w:rFonts w:ascii="宋体" w:hAnsi="宋体"/>
          <w:b/>
        </w:rPr>
      </w:pPr>
      <w:bookmarkStart w:id="28" w:name="_Toc435540759"/>
      <w:r>
        <w:rPr>
          <w:rFonts w:hint="eastAsia" w:ascii="宋体" w:hAnsi="宋体"/>
          <w:b/>
        </w:rPr>
        <w:t>合同金额</w:t>
      </w:r>
      <w:bookmarkEnd w:id="28"/>
    </w:p>
    <w:p>
      <w:pPr>
        <w:pStyle w:val="20"/>
        <w:spacing w:line="360" w:lineRule="auto"/>
        <w:ind w:firstLine="420" w:firstLineChars="200"/>
        <w:rPr>
          <w:rFonts w:hAnsi="宋体"/>
        </w:rPr>
      </w:pPr>
      <w:r>
        <w:rPr>
          <w:rFonts w:hint="eastAsia" w:hAnsi="宋体"/>
        </w:rPr>
        <w:t>合同金额为（大写）：_________________元（￥_______________元）。</w:t>
      </w:r>
    </w:p>
    <w:p>
      <w:pPr>
        <w:numPr>
          <w:ilvl w:val="0"/>
          <w:numId w:val="23"/>
        </w:numPr>
        <w:tabs>
          <w:tab w:val="left" w:pos="426"/>
          <w:tab w:val="clear" w:pos="420"/>
        </w:tabs>
        <w:spacing w:line="360" w:lineRule="auto"/>
        <w:ind w:left="443" w:hanging="443" w:hangingChars="210"/>
        <w:outlineLvl w:val="2"/>
        <w:rPr>
          <w:rFonts w:ascii="宋体" w:hAnsi="宋体"/>
          <w:b/>
        </w:rPr>
      </w:pPr>
      <w:bookmarkStart w:id="29" w:name="_Toc435540760"/>
      <w:r>
        <w:rPr>
          <w:rFonts w:hint="eastAsia" w:ascii="宋体" w:hAnsi="宋体"/>
          <w:b/>
        </w:rPr>
        <w:t>服务范围</w:t>
      </w:r>
      <w:bookmarkEnd w:id="29"/>
    </w:p>
    <w:p>
      <w:pPr>
        <w:spacing w:line="360" w:lineRule="auto"/>
        <w:rPr>
          <w:rFonts w:ascii="宋体" w:hAnsi="宋体"/>
        </w:rPr>
      </w:pPr>
      <w:r>
        <w:rPr>
          <w:rFonts w:hint="eastAsia" w:ascii="宋体" w:hAnsi="宋体"/>
        </w:rPr>
        <w:t>　　甲方聘请乙方提供以下服务：</w:t>
      </w:r>
    </w:p>
    <w:p>
      <w:pPr>
        <w:spacing w:line="360" w:lineRule="auto"/>
        <w:rPr>
          <w:rFonts w:ascii="宋体" w:hAnsi="宋体"/>
          <w:color w:val="C0504D" w:themeColor="accent2"/>
          <w:u w:val="single"/>
        </w:rPr>
      </w:pPr>
      <w:r>
        <w:rPr>
          <w:rFonts w:hint="eastAsia" w:ascii="宋体" w:hAnsi="宋体"/>
          <w:b/>
        </w:rPr>
        <w:t>　</w:t>
      </w:r>
      <w:r>
        <w:rPr>
          <w:rFonts w:hint="eastAsia" w:ascii="宋体" w:hAnsi="宋体"/>
          <w:color w:val="C0504D" w:themeColor="accent2"/>
        </w:rPr>
        <w:t>　1．本合同项下的服务指。</w:t>
      </w:r>
    </w:p>
    <w:p>
      <w:pPr>
        <w:spacing w:line="360" w:lineRule="auto"/>
        <w:rPr>
          <w:rFonts w:ascii="宋体" w:hAnsi="宋体"/>
        </w:rPr>
      </w:pPr>
      <w:r>
        <w:rPr>
          <w:rFonts w:hint="eastAsia" w:ascii="宋体" w:hAnsi="宋体"/>
        </w:rPr>
        <w:t>　　2．……</w:t>
      </w:r>
    </w:p>
    <w:p>
      <w:pPr>
        <w:spacing w:line="360" w:lineRule="auto"/>
        <w:ind w:firstLine="420" w:firstLineChars="200"/>
        <w:rPr>
          <w:rFonts w:ascii="宋体" w:hAnsi="宋体"/>
        </w:rPr>
      </w:pPr>
      <w:r>
        <w:rPr>
          <w:rFonts w:hint="eastAsia" w:ascii="宋体" w:hAnsi="宋体"/>
        </w:rPr>
        <w:t>3．……</w:t>
      </w:r>
    </w:p>
    <w:p>
      <w:pPr>
        <w:numPr>
          <w:ilvl w:val="0"/>
          <w:numId w:val="23"/>
        </w:numPr>
        <w:tabs>
          <w:tab w:val="left" w:pos="426"/>
          <w:tab w:val="clear" w:pos="420"/>
        </w:tabs>
        <w:spacing w:line="360" w:lineRule="auto"/>
        <w:ind w:left="443" w:hanging="443" w:hangingChars="210"/>
        <w:outlineLvl w:val="2"/>
        <w:rPr>
          <w:rFonts w:ascii="宋体" w:hAnsi="宋体"/>
          <w:b/>
        </w:rPr>
      </w:pPr>
      <w:r>
        <w:rPr>
          <w:rFonts w:hint="eastAsia" w:ascii="宋体" w:hAnsi="宋体"/>
          <w:b/>
        </w:rPr>
        <w:t>质量要求：</w:t>
      </w:r>
    </w:p>
    <w:p>
      <w:pPr>
        <w:spacing w:line="360" w:lineRule="auto"/>
        <w:ind w:firstLine="420" w:firstLineChars="200"/>
        <w:rPr>
          <w:rFonts w:ascii="宋体" w:hAnsi="宋体"/>
        </w:rPr>
      </w:pPr>
    </w:p>
    <w:p>
      <w:pPr>
        <w:numPr>
          <w:ilvl w:val="0"/>
          <w:numId w:val="23"/>
        </w:numPr>
        <w:tabs>
          <w:tab w:val="left" w:pos="426"/>
          <w:tab w:val="clear" w:pos="420"/>
        </w:tabs>
        <w:spacing w:line="360" w:lineRule="auto"/>
        <w:ind w:left="443" w:hanging="443" w:hangingChars="210"/>
        <w:outlineLvl w:val="2"/>
        <w:rPr>
          <w:rFonts w:ascii="宋体" w:hAnsi="宋体"/>
          <w:b/>
        </w:rPr>
      </w:pPr>
      <w:bookmarkStart w:id="30" w:name="_Toc435540761"/>
      <w:r>
        <w:rPr>
          <w:rFonts w:hint="eastAsia" w:ascii="宋体" w:hAnsi="宋体"/>
          <w:b/>
        </w:rPr>
        <w:t>甲方乙方的权利和义务</w:t>
      </w:r>
      <w:bookmarkEnd w:id="30"/>
    </w:p>
    <w:p>
      <w:pPr>
        <w:spacing w:line="360" w:lineRule="auto"/>
        <w:rPr>
          <w:rFonts w:ascii="宋体" w:hAnsi="宋体"/>
        </w:rPr>
      </w:pPr>
      <w:r>
        <w:rPr>
          <w:rFonts w:hint="eastAsia" w:ascii="宋体" w:hAnsi="宋体"/>
        </w:rPr>
        <w:t>　　（一） 甲方的权利和义务</w:t>
      </w:r>
    </w:p>
    <w:p>
      <w:pPr>
        <w:spacing w:line="360" w:lineRule="auto"/>
        <w:rPr>
          <w:rFonts w:ascii="宋体" w:hAnsi="宋体"/>
        </w:rPr>
      </w:pPr>
      <w:r>
        <w:rPr>
          <w:rFonts w:hint="eastAsia" w:ascii="宋体" w:hAnsi="宋体"/>
        </w:rPr>
        <w:t>　　（二） 乙方的权利和义务</w:t>
      </w:r>
    </w:p>
    <w:p>
      <w:pPr>
        <w:numPr>
          <w:ilvl w:val="0"/>
          <w:numId w:val="23"/>
        </w:numPr>
        <w:tabs>
          <w:tab w:val="left" w:pos="426"/>
          <w:tab w:val="clear" w:pos="420"/>
        </w:tabs>
        <w:spacing w:line="360" w:lineRule="auto"/>
        <w:ind w:left="443" w:hanging="443" w:hangingChars="210"/>
        <w:outlineLvl w:val="2"/>
        <w:rPr>
          <w:rFonts w:ascii="宋体" w:hAnsi="宋体"/>
          <w:b/>
        </w:rPr>
      </w:pPr>
      <w:r>
        <w:rPr>
          <w:rFonts w:hint="eastAsia" w:ascii="宋体" w:hAnsi="宋体"/>
          <w:b/>
        </w:rPr>
        <w:t>履行期限及地点和方式：</w:t>
      </w:r>
    </w:p>
    <w:p>
      <w:pPr>
        <w:spacing w:line="360" w:lineRule="auto"/>
        <w:ind w:firstLine="435"/>
        <w:rPr>
          <w:rFonts w:ascii="宋体" w:hAnsi="宋体"/>
        </w:rPr>
      </w:pPr>
      <w:r>
        <w:rPr>
          <w:rFonts w:hint="eastAsia" w:ascii="宋体" w:hAnsi="宋体"/>
        </w:rPr>
        <w:t>履行期限：委托服务期间自______年______月至______年______月止。</w:t>
      </w:r>
    </w:p>
    <w:p>
      <w:pPr>
        <w:spacing w:line="360" w:lineRule="auto"/>
        <w:ind w:firstLine="435"/>
        <w:rPr>
          <w:rFonts w:ascii="宋体" w:hAnsi="宋体"/>
        </w:rPr>
      </w:pPr>
      <w:r>
        <w:rPr>
          <w:rFonts w:hint="eastAsia" w:ascii="宋体" w:hAnsi="宋体"/>
        </w:rPr>
        <w:t>履约地点：</w:t>
      </w:r>
    </w:p>
    <w:p>
      <w:pPr>
        <w:spacing w:line="360" w:lineRule="auto"/>
        <w:ind w:firstLine="435"/>
        <w:rPr>
          <w:rFonts w:ascii="宋体" w:hAnsi="宋体"/>
        </w:rPr>
      </w:pPr>
      <w:r>
        <w:rPr>
          <w:rFonts w:hint="eastAsia" w:ascii="宋体" w:hAnsi="宋体"/>
        </w:rPr>
        <w:t>方式：</w:t>
      </w:r>
    </w:p>
    <w:p>
      <w:pPr>
        <w:numPr>
          <w:ilvl w:val="0"/>
          <w:numId w:val="23"/>
        </w:numPr>
        <w:tabs>
          <w:tab w:val="left" w:pos="426"/>
          <w:tab w:val="clear" w:pos="420"/>
        </w:tabs>
        <w:spacing w:line="360" w:lineRule="auto"/>
        <w:ind w:left="443" w:hanging="443" w:hangingChars="210"/>
        <w:outlineLvl w:val="2"/>
        <w:rPr>
          <w:rFonts w:ascii="宋体" w:hAnsi="宋体"/>
          <w:b/>
        </w:rPr>
      </w:pPr>
      <w:bookmarkStart w:id="31" w:name="_Toc435540763"/>
      <w:r>
        <w:rPr>
          <w:rFonts w:hint="eastAsia" w:ascii="宋体" w:hAnsi="宋体"/>
          <w:b/>
        </w:rPr>
        <w:t>付款方式</w:t>
      </w:r>
      <w:bookmarkEnd w:id="31"/>
      <w:bookmarkStart w:id="32" w:name="_Toc435540764"/>
      <w:r>
        <w:rPr>
          <w:rFonts w:hint="eastAsia" w:ascii="宋体" w:hAnsi="宋体" w:cs="宋体"/>
          <w:b/>
        </w:rPr>
        <w:t>：</w:t>
      </w:r>
    </w:p>
    <w:p>
      <w:pPr>
        <w:tabs>
          <w:tab w:val="left" w:pos="426"/>
        </w:tabs>
        <w:spacing w:line="360" w:lineRule="auto"/>
        <w:ind w:left="480"/>
        <w:outlineLvl w:val="2"/>
        <w:rPr>
          <w:rFonts w:ascii="宋体" w:hAnsi="宋体"/>
        </w:rPr>
      </w:pPr>
      <w:r>
        <w:rPr>
          <w:rFonts w:hint="eastAsia" w:ascii="宋体" w:hAnsi="宋体"/>
        </w:rPr>
        <w:t>由甲方按下列程序付款：</w:t>
      </w:r>
    </w:p>
    <w:p>
      <w:pPr>
        <w:numPr>
          <w:ilvl w:val="0"/>
          <w:numId w:val="24"/>
        </w:numPr>
        <w:tabs>
          <w:tab w:val="left" w:pos="426"/>
          <w:tab w:val="clear" w:pos="425"/>
        </w:tabs>
        <w:spacing w:line="360" w:lineRule="auto"/>
        <w:outlineLvl w:val="2"/>
        <w:rPr>
          <w:rFonts w:ascii="宋体" w:hAnsi="宋体"/>
        </w:rPr>
      </w:pPr>
      <w:r>
        <w:rPr>
          <w:rFonts w:hint="eastAsia" w:ascii="宋体" w:hAnsi="宋体"/>
        </w:rPr>
        <w:t>每月结算一次，</w:t>
      </w:r>
      <w:r>
        <w:rPr>
          <w:rFonts w:hint="eastAsia" w:ascii="宋体" w:hAnsi="宋体" w:cs="宋体"/>
        </w:rPr>
        <w:t>按（中标价/月-罚款）进行结算</w:t>
      </w:r>
      <w:r>
        <w:rPr>
          <w:rFonts w:hint="eastAsia" w:ascii="宋体" w:hAnsi="宋体"/>
        </w:rPr>
        <w:t>。先由乙方提供上个月结算清单</w:t>
      </w:r>
      <w:r>
        <w:rPr>
          <w:rFonts w:hint="eastAsia" w:ascii="宋体" w:hAnsi="宋体" w:cs="宋体"/>
        </w:rPr>
        <w:t>（含每辆车出车登记清单）</w:t>
      </w:r>
      <w:r>
        <w:rPr>
          <w:rFonts w:hint="eastAsia" w:ascii="宋体" w:hAnsi="宋体"/>
        </w:rPr>
        <w:t>和乙方开具的正式发票，甲方核审完成后</w:t>
      </w:r>
      <w:r>
        <w:rPr>
          <w:rFonts w:hint="eastAsia" w:ascii="宋体" w:hAnsi="宋体"/>
          <w:color w:val="C00000"/>
        </w:rPr>
        <w:t>7</w:t>
      </w:r>
      <w:r>
        <w:rPr>
          <w:rFonts w:hint="eastAsia" w:ascii="宋体" w:hAnsi="宋体"/>
        </w:rPr>
        <w:t>个工作日内以支票或转账形式支付给乙方。</w:t>
      </w:r>
    </w:p>
    <w:p>
      <w:pPr>
        <w:numPr>
          <w:ilvl w:val="0"/>
          <w:numId w:val="25"/>
        </w:numPr>
        <w:tabs>
          <w:tab w:val="left" w:pos="426"/>
        </w:tabs>
        <w:spacing w:line="360" w:lineRule="auto"/>
        <w:outlineLvl w:val="2"/>
        <w:rPr>
          <w:rFonts w:ascii="宋体" w:hAnsi="宋体"/>
        </w:rPr>
      </w:pPr>
      <w:r>
        <w:rPr>
          <w:rFonts w:hint="eastAsia" w:ascii="宋体" w:hAnsi="宋体"/>
        </w:rPr>
        <w:t>因甲方使用的是财政资金，甲方在前款规定的付款时间为向政府采购支付部门提出办理财政支付申请手续的时间（不含政府财政支付部门审核的时间），在规定时间内提出支付申请手续后即视为甲方已经按期支付。</w:t>
      </w:r>
    </w:p>
    <w:p>
      <w:pPr>
        <w:numPr>
          <w:ilvl w:val="0"/>
          <w:numId w:val="23"/>
        </w:numPr>
        <w:tabs>
          <w:tab w:val="left" w:pos="426"/>
          <w:tab w:val="clear" w:pos="420"/>
        </w:tabs>
        <w:spacing w:line="360" w:lineRule="auto"/>
        <w:ind w:left="443" w:hanging="443" w:hangingChars="210"/>
        <w:outlineLvl w:val="2"/>
        <w:rPr>
          <w:rFonts w:ascii="宋体" w:hAnsi="宋体"/>
          <w:b/>
        </w:rPr>
      </w:pPr>
      <w:r>
        <w:rPr>
          <w:rFonts w:hint="eastAsia" w:ascii="宋体" w:hAnsi="宋体"/>
          <w:b/>
        </w:rPr>
        <w:t>验收要求：</w:t>
      </w:r>
    </w:p>
    <w:p>
      <w:pPr>
        <w:tabs>
          <w:tab w:val="left" w:pos="426"/>
        </w:tabs>
        <w:spacing w:line="360" w:lineRule="auto"/>
        <w:outlineLvl w:val="2"/>
        <w:rPr>
          <w:rFonts w:ascii="宋体" w:hAnsi="宋体" w:cs="宋体"/>
          <w:b/>
        </w:rPr>
      </w:pPr>
      <w:r>
        <w:rPr>
          <w:rFonts w:hint="eastAsia" w:ascii="宋体" w:hAnsi="宋体" w:cs="宋体"/>
          <w:b/>
        </w:rPr>
        <w:t>(按用户需求的写法)</w:t>
      </w:r>
    </w:p>
    <w:p>
      <w:pPr>
        <w:widowControl/>
        <w:shd w:val="clear" w:color="auto" w:fill="FFFFFF"/>
        <w:spacing w:line="360" w:lineRule="auto"/>
        <w:ind w:firstLine="480"/>
        <w:rPr>
          <w:rFonts w:ascii="Arial" w:hAnsi="Arial" w:cs="Arial"/>
        </w:rPr>
      </w:pPr>
      <w:r>
        <w:rPr>
          <w:rFonts w:ascii="Arial" w:hAnsi="Arial" w:cs="Arial"/>
        </w:rPr>
        <w:t>技术服务或者技术培训按 _______标准，采用______方式验收，由_____方出具服务或者培训项目验收证明。</w:t>
      </w:r>
    </w:p>
    <w:p>
      <w:pPr>
        <w:widowControl/>
        <w:shd w:val="clear" w:color="auto" w:fill="FFFFFF"/>
        <w:spacing w:line="360" w:lineRule="auto"/>
        <w:ind w:firstLine="480"/>
        <w:rPr>
          <w:rFonts w:ascii="Arial" w:hAnsi="Arial" w:cs="Arial"/>
        </w:rPr>
      </w:pPr>
      <w:r>
        <w:rPr>
          <w:rFonts w:ascii="Arial" w:hAnsi="Arial" w:cs="Arial"/>
        </w:rPr>
        <w:t>本合同服务项目的保证期为______。在保证期内发现服务质量缺陷的，服务方应当负责返工或者采取补救措施。但因委托方使用、保管不当引起的问题除外。</w:t>
      </w:r>
    </w:p>
    <w:p>
      <w:pPr>
        <w:numPr>
          <w:ilvl w:val="0"/>
          <w:numId w:val="23"/>
        </w:numPr>
        <w:tabs>
          <w:tab w:val="left" w:pos="426"/>
          <w:tab w:val="clear" w:pos="420"/>
        </w:tabs>
        <w:spacing w:line="360" w:lineRule="auto"/>
        <w:ind w:left="443" w:hanging="443" w:hangingChars="210"/>
        <w:outlineLvl w:val="2"/>
        <w:rPr>
          <w:rFonts w:ascii="宋体" w:hAnsi="宋体"/>
          <w:b/>
        </w:rPr>
      </w:pPr>
      <w:r>
        <w:rPr>
          <w:rFonts w:hint="eastAsia" w:ascii="宋体" w:hAnsi="宋体"/>
          <w:b/>
        </w:rPr>
        <w:t>知识产权归属</w:t>
      </w:r>
      <w:bookmarkEnd w:id="32"/>
    </w:p>
    <w:p>
      <w:pPr>
        <w:spacing w:line="360" w:lineRule="auto"/>
        <w:ind w:firstLine="420" w:firstLineChars="200"/>
        <w:rPr>
          <w:rFonts w:ascii="宋体" w:hAnsi="宋体" w:cs="宋体"/>
        </w:rPr>
      </w:pPr>
      <w:r>
        <w:rPr>
          <w:rFonts w:hint="eastAsia" w:ascii="宋体" w:hAnsi="宋体" w:cs="宋体"/>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23"/>
        </w:numPr>
        <w:tabs>
          <w:tab w:val="left" w:pos="426"/>
          <w:tab w:val="clear" w:pos="420"/>
        </w:tabs>
        <w:spacing w:line="360" w:lineRule="auto"/>
        <w:ind w:left="443" w:hanging="443" w:hangingChars="210"/>
        <w:outlineLvl w:val="2"/>
        <w:rPr>
          <w:rFonts w:ascii="宋体" w:hAnsi="宋体"/>
          <w:b/>
        </w:rPr>
      </w:pPr>
      <w:bookmarkStart w:id="33" w:name="_Toc435540765"/>
      <w:r>
        <w:rPr>
          <w:rFonts w:hint="eastAsia" w:ascii="宋体" w:hAnsi="宋体"/>
          <w:b/>
        </w:rPr>
        <w:t>保密</w:t>
      </w:r>
      <w:bookmarkEnd w:id="33"/>
    </w:p>
    <w:p>
      <w:pPr>
        <w:spacing w:line="360" w:lineRule="auto"/>
        <w:ind w:firstLine="420" w:firstLineChars="200"/>
        <w:rPr>
          <w:rFonts w:ascii="宋体" w:hAnsi="宋体" w:cs="宋体"/>
        </w:rPr>
      </w:pPr>
      <w:r>
        <w:rPr>
          <w:rFonts w:hint="eastAsia" w:ascii="宋体" w:hAnsi="宋体" w:cs="宋体"/>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pPr>
        <w:tabs>
          <w:tab w:val="left" w:pos="900"/>
        </w:tabs>
        <w:spacing w:line="360" w:lineRule="auto"/>
        <w:ind w:left="315" w:hanging="315" w:hangingChars="150"/>
        <w:rPr>
          <w:rFonts w:ascii="宋体" w:hAnsi="宋体"/>
        </w:rPr>
      </w:pPr>
      <w:r>
        <w:rPr>
          <w:rFonts w:hint="eastAsia" w:ascii="宋体" w:hAnsi="宋体"/>
        </w:rPr>
        <w:t>1）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ind w:left="315" w:hanging="315" w:hangingChars="150"/>
        <w:rPr>
          <w:rFonts w:ascii="宋体" w:hAnsi="宋体"/>
        </w:rPr>
      </w:pPr>
      <w:r>
        <w:rPr>
          <w:rFonts w:hint="eastAsia" w:ascii="宋体" w:hAnsi="宋体"/>
        </w:rPr>
        <w:t>2）除了合同本身之外，上款所列举的任何物件均是乙方的财产。如果乙方有要求，甲方在完成合同后应将这些物件及全部复制件还给乙方。</w:t>
      </w:r>
    </w:p>
    <w:p>
      <w:pPr>
        <w:numPr>
          <w:ilvl w:val="0"/>
          <w:numId w:val="23"/>
        </w:numPr>
        <w:tabs>
          <w:tab w:val="left" w:pos="426"/>
          <w:tab w:val="clear" w:pos="420"/>
        </w:tabs>
        <w:spacing w:line="360" w:lineRule="auto"/>
        <w:ind w:left="443" w:hanging="443" w:hangingChars="210"/>
        <w:outlineLvl w:val="2"/>
        <w:rPr>
          <w:rFonts w:ascii="宋体" w:hAnsi="宋体"/>
          <w:b/>
        </w:rPr>
      </w:pPr>
      <w:bookmarkStart w:id="34" w:name="_Toc435540766"/>
      <w:r>
        <w:rPr>
          <w:rFonts w:hint="eastAsia" w:ascii="宋体" w:hAnsi="宋体"/>
          <w:b/>
        </w:rPr>
        <w:t>违约责任与赔偿损失</w:t>
      </w:r>
      <w:bookmarkEnd w:id="34"/>
    </w:p>
    <w:p>
      <w:pPr>
        <w:tabs>
          <w:tab w:val="left" w:pos="900"/>
        </w:tabs>
        <w:spacing w:line="360" w:lineRule="auto"/>
        <w:ind w:left="315" w:hanging="315" w:hangingChars="150"/>
        <w:rPr>
          <w:rFonts w:ascii="宋体" w:hAnsi="宋体"/>
        </w:rPr>
      </w:pPr>
      <w:r>
        <w:rPr>
          <w:rFonts w:hint="eastAsia" w:ascii="宋体" w:hAnsi="宋体"/>
        </w:rPr>
        <w:t>1）乙方提供的服务不符合采购文件、响应文件或本合同规定的，甲方有权拒收，并且乙方须向甲方支付本合同总价5%的违约金。</w:t>
      </w:r>
    </w:p>
    <w:p>
      <w:pPr>
        <w:tabs>
          <w:tab w:val="left" w:pos="720"/>
          <w:tab w:val="left" w:pos="900"/>
        </w:tabs>
        <w:spacing w:line="360" w:lineRule="auto"/>
        <w:ind w:left="315" w:right="51" w:hanging="315" w:hangingChars="150"/>
        <w:rPr>
          <w:rFonts w:ascii="宋体" w:hAnsi="宋体"/>
        </w:rPr>
      </w:pPr>
      <w:r>
        <w:rPr>
          <w:rFonts w:hint="eastAsia" w:ascii="宋体" w:hAnsi="宋体"/>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rPr>
      </w:pPr>
      <w:r>
        <w:rPr>
          <w:rFonts w:hint="eastAsia" w:ascii="宋体" w:hAnsi="宋体"/>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rPr>
      </w:pPr>
      <w:r>
        <w:rPr>
          <w:rFonts w:hint="eastAsia" w:ascii="宋体" w:hAnsi="宋体"/>
          <w:bCs/>
        </w:rPr>
        <w:t>4）其它违约责任按《中华人民共和国合同法》处理。</w:t>
      </w:r>
    </w:p>
    <w:p>
      <w:pPr>
        <w:numPr>
          <w:ilvl w:val="0"/>
          <w:numId w:val="23"/>
        </w:numPr>
        <w:tabs>
          <w:tab w:val="left" w:pos="426"/>
          <w:tab w:val="clear" w:pos="420"/>
        </w:tabs>
        <w:spacing w:line="360" w:lineRule="auto"/>
        <w:ind w:left="443" w:hanging="443" w:hangingChars="210"/>
        <w:outlineLvl w:val="2"/>
        <w:rPr>
          <w:rFonts w:ascii="宋体" w:hAnsi="宋体"/>
          <w:b/>
        </w:rPr>
      </w:pPr>
      <w:bookmarkStart w:id="35" w:name="_Toc435540767"/>
      <w:r>
        <w:rPr>
          <w:rFonts w:hint="eastAsia" w:ascii="宋体" w:hAnsi="宋体"/>
          <w:b/>
        </w:rPr>
        <w:t>争端的解决</w:t>
      </w:r>
      <w:bookmarkEnd w:id="35"/>
    </w:p>
    <w:p>
      <w:pPr>
        <w:spacing w:line="360" w:lineRule="auto"/>
        <w:ind w:firstLine="420" w:firstLineChars="200"/>
        <w:rPr>
          <w:rFonts w:ascii="宋体" w:hAnsi="宋体"/>
        </w:rPr>
      </w:pPr>
      <w:r>
        <w:rPr>
          <w:rFonts w:hint="eastAsia" w:ascii="宋体" w:hAnsi="宋体"/>
        </w:rPr>
        <w:t>合同执行过程中发生的任何争议，如双方不能通过友好协商解决，甲、乙双方一致同意向甲方所在地人民法院提起诉讼。</w:t>
      </w:r>
    </w:p>
    <w:p>
      <w:pPr>
        <w:numPr>
          <w:ilvl w:val="0"/>
          <w:numId w:val="23"/>
        </w:numPr>
        <w:tabs>
          <w:tab w:val="left" w:pos="426"/>
          <w:tab w:val="clear" w:pos="420"/>
        </w:tabs>
        <w:spacing w:line="360" w:lineRule="auto"/>
        <w:ind w:left="443" w:hanging="443" w:hangingChars="210"/>
        <w:outlineLvl w:val="2"/>
        <w:rPr>
          <w:rFonts w:ascii="宋体" w:hAnsi="宋体"/>
          <w:b/>
        </w:rPr>
      </w:pPr>
      <w:bookmarkStart w:id="36" w:name="_Toc435540768"/>
      <w:r>
        <w:rPr>
          <w:rFonts w:hint="eastAsia" w:ascii="宋体" w:hAnsi="宋体"/>
          <w:b/>
        </w:rPr>
        <w:t>不可抗力</w:t>
      </w:r>
      <w:bookmarkEnd w:id="36"/>
    </w:p>
    <w:p>
      <w:pPr>
        <w:spacing w:line="360" w:lineRule="auto"/>
        <w:ind w:firstLine="420" w:firstLineChars="200"/>
        <w:rPr>
          <w:rFonts w:ascii="宋体" w:hAnsi="宋体"/>
        </w:rPr>
      </w:pPr>
      <w:r>
        <w:rPr>
          <w:rFonts w:hint="eastAsia" w:ascii="宋体" w:hAnsi="宋体"/>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23"/>
        </w:numPr>
        <w:tabs>
          <w:tab w:val="left" w:pos="426"/>
          <w:tab w:val="clear" w:pos="420"/>
        </w:tabs>
        <w:spacing w:line="360" w:lineRule="auto"/>
        <w:ind w:left="443" w:hanging="443" w:hangingChars="210"/>
        <w:outlineLvl w:val="2"/>
        <w:rPr>
          <w:rFonts w:ascii="宋体" w:hAnsi="宋体"/>
          <w:b/>
        </w:rPr>
      </w:pPr>
      <w:bookmarkStart w:id="37" w:name="_Toc435540769"/>
      <w:r>
        <w:rPr>
          <w:rFonts w:hint="eastAsia" w:ascii="宋体" w:hAnsi="宋体"/>
          <w:b/>
        </w:rPr>
        <w:t>税费</w:t>
      </w:r>
      <w:bookmarkEnd w:id="37"/>
    </w:p>
    <w:p>
      <w:pPr>
        <w:spacing w:line="360" w:lineRule="auto"/>
        <w:ind w:firstLine="420" w:firstLineChars="200"/>
        <w:rPr>
          <w:rFonts w:ascii="宋体" w:hAnsi="宋体"/>
        </w:rPr>
      </w:pPr>
      <w:r>
        <w:rPr>
          <w:rFonts w:hint="eastAsia" w:ascii="宋体" w:hAnsi="宋体"/>
        </w:rPr>
        <w:t>在中国境内、外发生的与本合同执行有关的一切税费均由乙方负担。</w:t>
      </w:r>
    </w:p>
    <w:p>
      <w:pPr>
        <w:numPr>
          <w:ilvl w:val="0"/>
          <w:numId w:val="23"/>
        </w:numPr>
        <w:tabs>
          <w:tab w:val="left" w:pos="426"/>
          <w:tab w:val="clear" w:pos="420"/>
        </w:tabs>
        <w:spacing w:line="360" w:lineRule="auto"/>
        <w:ind w:left="443" w:hanging="443" w:hangingChars="210"/>
        <w:outlineLvl w:val="2"/>
        <w:rPr>
          <w:rFonts w:ascii="宋体" w:hAnsi="宋体"/>
          <w:b/>
        </w:rPr>
      </w:pPr>
      <w:bookmarkStart w:id="38" w:name="_Toc435540770"/>
      <w:r>
        <w:rPr>
          <w:rFonts w:hint="eastAsia" w:ascii="宋体" w:hAnsi="宋体"/>
          <w:b/>
        </w:rPr>
        <w:t>其它</w:t>
      </w:r>
      <w:bookmarkEnd w:id="38"/>
    </w:p>
    <w:p>
      <w:pPr>
        <w:spacing w:line="360" w:lineRule="auto"/>
        <w:ind w:left="349" w:hanging="348" w:hangingChars="166"/>
        <w:rPr>
          <w:rFonts w:ascii="宋体" w:hAnsi="宋体"/>
          <w:b/>
        </w:rPr>
      </w:pPr>
      <w:r>
        <w:rPr>
          <w:rFonts w:hint="eastAsia" w:ascii="宋体" w:hAnsi="宋体"/>
        </w:rPr>
        <w:t>1）本合同所有附件、磋商文件、响应文件、成交通知书均为合同的有效组成部分，与本合同具有同等法律效力。</w:t>
      </w:r>
    </w:p>
    <w:p>
      <w:pPr>
        <w:spacing w:line="360" w:lineRule="auto"/>
        <w:ind w:left="321" w:hanging="321" w:hangingChars="153"/>
        <w:rPr>
          <w:rFonts w:ascii="宋体" w:hAnsi="宋体"/>
        </w:rPr>
      </w:pPr>
      <w:r>
        <w:rPr>
          <w:rFonts w:hint="eastAsia" w:ascii="宋体" w:hAnsi="宋体"/>
          <w:bCs/>
        </w:rPr>
        <w:t>2</w:t>
      </w:r>
      <w:r>
        <w:rPr>
          <w:rFonts w:hint="eastAsia" w:ascii="宋体" w:hAnsi="宋体"/>
        </w:rPr>
        <w:t>）在执行本合同的过程中，所有经双方签署确认的文件（包括会议纪要、补充协议、往来信函）即成为本合同的有效组成部分。</w:t>
      </w:r>
    </w:p>
    <w:p>
      <w:pPr>
        <w:spacing w:line="360" w:lineRule="auto"/>
        <w:rPr>
          <w:rFonts w:ascii="宋体" w:hAnsi="宋体"/>
        </w:rPr>
      </w:pPr>
      <w:r>
        <w:rPr>
          <w:rFonts w:hint="eastAsia" w:ascii="宋体" w:hAnsi="宋体"/>
        </w:rPr>
        <w:t xml:space="preserve">3）如一方地址、电话、传真号码有变更，应在变更当日内书面通知对方，否则，应承担相应责任。 </w:t>
      </w:r>
    </w:p>
    <w:p>
      <w:pPr>
        <w:spacing w:line="360" w:lineRule="auto"/>
        <w:rPr>
          <w:rFonts w:ascii="宋体" w:hAnsi="宋体"/>
        </w:rPr>
      </w:pPr>
      <w:r>
        <w:rPr>
          <w:rFonts w:hint="eastAsia" w:ascii="宋体" w:hAnsi="宋体"/>
        </w:rPr>
        <w:t>4）除甲方事先书面同意外，乙方不得部分或全部转让其应履行的合同项下的义务。</w:t>
      </w:r>
    </w:p>
    <w:p>
      <w:pPr>
        <w:numPr>
          <w:ilvl w:val="0"/>
          <w:numId w:val="23"/>
        </w:numPr>
        <w:tabs>
          <w:tab w:val="left" w:pos="426"/>
          <w:tab w:val="clear" w:pos="420"/>
        </w:tabs>
        <w:spacing w:line="360" w:lineRule="auto"/>
        <w:ind w:left="443" w:hanging="443" w:hangingChars="210"/>
        <w:outlineLvl w:val="2"/>
        <w:rPr>
          <w:rFonts w:ascii="宋体" w:hAnsi="宋体"/>
          <w:b/>
        </w:rPr>
      </w:pPr>
      <w:bookmarkStart w:id="39" w:name="_Toc435540771"/>
      <w:r>
        <w:rPr>
          <w:rFonts w:hint="eastAsia" w:ascii="宋体" w:hAnsi="宋体"/>
          <w:b/>
        </w:rPr>
        <w:t>合同生效</w:t>
      </w:r>
      <w:bookmarkEnd w:id="39"/>
    </w:p>
    <w:p>
      <w:pPr>
        <w:spacing w:line="360" w:lineRule="auto"/>
        <w:rPr>
          <w:rFonts w:ascii="宋体" w:hAnsi="宋体" w:cs="宋体"/>
        </w:rPr>
      </w:pPr>
      <w:r>
        <w:rPr>
          <w:rFonts w:hint="eastAsia" w:ascii="宋体" w:hAnsi="宋体" w:cs="宋体"/>
        </w:rPr>
        <w:t>1）合同自甲乙双方法人代表或其授权代表签字盖章之日起生效。</w:t>
      </w:r>
    </w:p>
    <w:p>
      <w:pPr>
        <w:spacing w:line="360" w:lineRule="auto"/>
        <w:rPr>
          <w:rFonts w:ascii="宋体" w:hAnsi="宋体"/>
        </w:rPr>
      </w:pPr>
      <w:r>
        <w:rPr>
          <w:rFonts w:hint="eastAsia" w:ascii="宋体" w:hAnsi="宋体"/>
        </w:rPr>
        <w:t>2）</w:t>
      </w:r>
      <w:r>
        <w:rPr>
          <w:rFonts w:hint="eastAsia" w:ascii="宋体" w:hAnsi="宋体" w:cs="宋体"/>
        </w:rPr>
        <w:t>合同一式两份，其中甲乙双方各执一份</w:t>
      </w:r>
      <w:r>
        <w:rPr>
          <w:rFonts w:hint="eastAsia" w:ascii="宋体" w:hAnsi="宋体"/>
        </w:rPr>
        <w:t>。</w:t>
      </w:r>
    </w:p>
    <w:p>
      <w:pPr>
        <w:snapToGrid w:val="0"/>
        <w:spacing w:line="360" w:lineRule="auto"/>
        <w:rPr>
          <w:rFonts w:ascii="宋体" w:hAnsi="宋体" w:cs="宋体"/>
        </w:rPr>
      </w:pPr>
      <w:r>
        <w:rPr>
          <w:rFonts w:hint="eastAsia" w:ascii="宋体" w:hAnsi="宋体" w:cs="宋体"/>
        </w:rPr>
        <w:t>甲方（盖章）：                          乙方（盖章）：</w:t>
      </w:r>
    </w:p>
    <w:p>
      <w:pPr>
        <w:snapToGrid w:val="0"/>
        <w:spacing w:line="360" w:lineRule="auto"/>
        <w:rPr>
          <w:rFonts w:ascii="宋体" w:hAnsi="宋体" w:cs="宋体"/>
        </w:rPr>
      </w:pPr>
      <w:r>
        <w:rPr>
          <w:rFonts w:hint="eastAsia" w:ascii="宋体" w:hAnsi="宋体" w:cs="宋体"/>
        </w:rPr>
        <w:t xml:space="preserve">代表：                                  代表： </w:t>
      </w:r>
    </w:p>
    <w:p>
      <w:pPr>
        <w:snapToGrid w:val="0"/>
        <w:spacing w:line="360" w:lineRule="auto"/>
        <w:rPr>
          <w:rFonts w:ascii="宋体" w:hAnsi="宋体" w:cs="宋体"/>
        </w:rPr>
      </w:pPr>
      <w:r>
        <w:rPr>
          <w:rFonts w:hint="eastAsia" w:ascii="宋体" w:hAnsi="宋体" w:cs="宋体"/>
        </w:rPr>
        <w:t>签定地点：</w:t>
      </w:r>
    </w:p>
    <w:p>
      <w:pPr>
        <w:snapToGrid w:val="0"/>
        <w:spacing w:line="360" w:lineRule="auto"/>
        <w:rPr>
          <w:rFonts w:ascii="宋体" w:hAnsi="宋体" w:cs="宋体"/>
        </w:rPr>
      </w:pPr>
      <w:r>
        <w:rPr>
          <w:rFonts w:hint="eastAsia" w:ascii="宋体" w:hAnsi="宋体" w:cs="宋体"/>
        </w:rPr>
        <w:t xml:space="preserve">签定日期：        年     月    日       签定日期：        年     月     日    </w:t>
      </w:r>
    </w:p>
    <w:p>
      <w:pPr>
        <w:snapToGrid w:val="0"/>
        <w:spacing w:line="360" w:lineRule="auto"/>
        <w:ind w:firstLine="4200" w:firstLineChars="2000"/>
        <w:rPr>
          <w:rFonts w:ascii="宋体" w:hAnsi="宋体" w:cs="宋体"/>
        </w:rPr>
      </w:pPr>
      <w:r>
        <w:rPr>
          <w:rFonts w:hint="eastAsia" w:ascii="宋体" w:hAnsi="宋体" w:cs="宋体"/>
        </w:rPr>
        <w:t>开户名称：</w:t>
      </w:r>
    </w:p>
    <w:p>
      <w:pPr>
        <w:snapToGrid w:val="0"/>
        <w:spacing w:line="360" w:lineRule="auto"/>
        <w:ind w:firstLine="4200" w:firstLineChars="2000"/>
        <w:rPr>
          <w:rFonts w:ascii="宋体" w:hAnsi="宋体" w:cs="宋体"/>
        </w:rPr>
      </w:pPr>
      <w:r>
        <w:rPr>
          <w:rFonts w:hint="eastAsia" w:ascii="宋体" w:hAnsi="宋体" w:cs="宋体"/>
        </w:rPr>
        <w:t>银行账号：</w:t>
      </w:r>
    </w:p>
    <w:p>
      <w:pPr>
        <w:snapToGrid w:val="0"/>
        <w:spacing w:line="360" w:lineRule="auto"/>
        <w:ind w:firstLine="4200" w:firstLineChars="2000"/>
        <w:rPr>
          <w:rFonts w:ascii="宋体" w:hAnsi="宋体"/>
        </w:rPr>
      </w:pPr>
      <w:r>
        <w:rPr>
          <w:rFonts w:hint="eastAsia" w:ascii="宋体" w:hAnsi="宋体" w:cs="宋体"/>
        </w:rPr>
        <w:t>开 户 行：</w:t>
      </w:r>
    </w:p>
    <w:p>
      <w:pPr>
        <w:pStyle w:val="36"/>
        <w:rPr>
          <w:rFonts w:ascii="宋体" w:hAnsi="宋体"/>
          <w:b w:val="0"/>
          <w:bCs w:val="0"/>
          <w:sz w:val="28"/>
        </w:rPr>
      </w:pPr>
      <w:r>
        <w:rPr>
          <w:rFonts w:ascii="宋体" w:hAnsi="宋体"/>
          <w:sz w:val="21"/>
          <w:szCs w:val="21"/>
        </w:rPr>
        <w:br w:type="page"/>
      </w:r>
      <w:bookmarkStart w:id="40" w:name="_Toc410736175"/>
      <w:bookmarkStart w:id="41" w:name="_Toc416770251"/>
      <w:bookmarkStart w:id="42" w:name="_Toc523168281"/>
      <w:bookmarkStart w:id="43" w:name="_Toc416771361"/>
      <w:bookmarkStart w:id="44" w:name="_Toc410738974"/>
      <w:bookmarkStart w:id="45" w:name="_Toc379872472"/>
      <w:r>
        <w:rPr>
          <w:rFonts w:hint="eastAsia"/>
        </w:rPr>
        <w:t>第六章  响应文件格式</w:t>
      </w:r>
      <w:bookmarkEnd w:id="40"/>
      <w:bookmarkEnd w:id="41"/>
      <w:bookmarkEnd w:id="42"/>
      <w:bookmarkEnd w:id="43"/>
      <w:bookmarkEnd w:id="44"/>
      <w:bookmarkEnd w:id="45"/>
    </w:p>
    <w:p>
      <w:pPr>
        <w:pStyle w:val="3"/>
        <w:adjustRightInd w:val="0"/>
        <w:snapToGrid w:val="0"/>
        <w:spacing w:beforeLines="50" w:afterLines="50" w:line="360" w:lineRule="auto"/>
        <w:jc w:val="center"/>
        <w:rPr>
          <w:b w:val="0"/>
        </w:rPr>
      </w:pPr>
      <w:bookmarkStart w:id="46" w:name="_Toc410736176"/>
      <w:bookmarkStart w:id="47" w:name="_Toc410738975"/>
      <w:bookmarkStart w:id="48" w:name="_Toc416771362"/>
      <w:bookmarkStart w:id="49" w:name="_Toc416770252"/>
      <w:bookmarkStart w:id="50" w:name="_Toc275865604"/>
      <w:r>
        <w:rPr>
          <w:rFonts w:hint="eastAsia"/>
          <w:b w:val="0"/>
        </w:rPr>
        <w:t>包装封面参考</w:t>
      </w:r>
      <w:bookmarkEnd w:id="46"/>
      <w:bookmarkEnd w:id="47"/>
      <w:bookmarkEnd w:id="48"/>
      <w:bookmarkEnd w:id="49"/>
    </w:p>
    <w:tbl>
      <w:tblPr>
        <w:tblStyle w:val="38"/>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pPr>
              <w:pStyle w:val="16"/>
              <w:spacing w:line="360" w:lineRule="auto"/>
              <w:ind w:firstLine="482" w:firstLineChars="150"/>
              <w:rPr>
                <w:rFonts w:ascii="仿宋_GB2312" w:eastAsia="仿宋_GB2312"/>
                <w:b/>
                <w:sz w:val="32"/>
              </w:rPr>
            </w:pPr>
          </w:p>
          <w:p>
            <w:pPr>
              <w:pStyle w:val="16"/>
              <w:spacing w:line="360" w:lineRule="auto"/>
              <w:ind w:firstLine="482" w:firstLineChars="150"/>
              <w:rPr>
                <w:rFonts w:ascii="仿宋_GB2312" w:eastAsia="仿宋_GB2312"/>
                <w:b/>
                <w:sz w:val="32"/>
              </w:rPr>
            </w:pPr>
          </w:p>
          <w:p>
            <w:pPr>
              <w:pStyle w:val="16"/>
              <w:spacing w:line="360" w:lineRule="auto"/>
              <w:jc w:val="center"/>
              <w:rPr>
                <w:rFonts w:ascii="黑体" w:eastAsia="黑体"/>
                <w:b/>
                <w:sz w:val="72"/>
                <w:szCs w:val="72"/>
              </w:rPr>
            </w:pPr>
            <w:r>
              <w:rPr>
                <w:rFonts w:hint="eastAsia" w:ascii="黑体" w:eastAsia="黑体"/>
                <w:b/>
                <w:sz w:val="72"/>
                <w:szCs w:val="72"/>
              </w:rPr>
              <w:t>响 应 文 件</w:t>
            </w:r>
          </w:p>
          <w:p>
            <w:pPr>
              <w:pStyle w:val="16"/>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pPr>
              <w:pStyle w:val="1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pPr>
              <w:pStyle w:val="1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pPr>
              <w:pStyle w:val="16"/>
              <w:spacing w:line="360" w:lineRule="auto"/>
              <w:rPr>
                <w:rFonts w:ascii="仿宋_GB2312" w:eastAsia="仿宋_GB2312"/>
                <w:b/>
                <w:sz w:val="32"/>
              </w:rPr>
            </w:pPr>
          </w:p>
          <w:p>
            <w:pPr>
              <w:pStyle w:val="16"/>
              <w:spacing w:line="360" w:lineRule="auto"/>
              <w:rPr>
                <w:rFonts w:ascii="黑体" w:eastAsia="黑体"/>
                <w:b/>
                <w:sz w:val="32"/>
              </w:rPr>
            </w:pPr>
          </w:p>
          <w:p>
            <w:pPr>
              <w:pStyle w:val="16"/>
              <w:spacing w:line="400" w:lineRule="exact"/>
              <w:ind w:firstLine="1180" w:firstLineChars="369"/>
              <w:rPr>
                <w:rFonts w:ascii="黑体" w:hAnsi="黑体" w:eastAsia="黑体"/>
                <w:bCs/>
                <w:sz w:val="32"/>
                <w:szCs w:val="32"/>
              </w:rPr>
            </w:pPr>
            <w:r>
              <w:rPr>
                <w:rFonts w:hint="eastAsia" w:ascii="黑体" w:hAnsi="黑体" w:eastAsia="黑体"/>
                <w:bCs/>
                <w:sz w:val="32"/>
                <w:szCs w:val="32"/>
              </w:rPr>
              <w:t>项目编号：</w:t>
            </w:r>
          </w:p>
          <w:p>
            <w:pPr>
              <w:pStyle w:val="16"/>
              <w:spacing w:line="400" w:lineRule="exact"/>
              <w:ind w:firstLine="1180" w:firstLineChars="369"/>
              <w:rPr>
                <w:rFonts w:ascii="黑体" w:hAnsi="黑体" w:eastAsia="黑体"/>
                <w:bCs/>
                <w:sz w:val="32"/>
                <w:szCs w:val="32"/>
              </w:rPr>
            </w:pPr>
            <w:r>
              <w:rPr>
                <w:rFonts w:hint="eastAsia" w:ascii="黑体" w:hAnsi="黑体" w:eastAsia="黑体"/>
                <w:bCs/>
                <w:sz w:val="32"/>
                <w:szCs w:val="32"/>
              </w:rPr>
              <w:t>项目名称：2023年度博罗县业余体育学校业训校车接送服务项目</w:t>
            </w:r>
          </w:p>
          <w:p>
            <w:pPr>
              <w:pStyle w:val="16"/>
              <w:spacing w:line="400" w:lineRule="exact"/>
              <w:ind w:firstLine="1180" w:firstLineChars="369"/>
              <w:rPr>
                <w:rFonts w:ascii="黑体" w:hAnsi="黑体" w:eastAsia="黑体"/>
                <w:bCs/>
                <w:sz w:val="32"/>
                <w:szCs w:val="32"/>
              </w:rPr>
            </w:pPr>
            <w:r>
              <w:rPr>
                <w:rFonts w:hint="eastAsia" w:ascii="黑体" w:hAnsi="黑体" w:eastAsia="黑体"/>
                <w:bCs/>
                <w:sz w:val="32"/>
                <w:szCs w:val="32"/>
              </w:rPr>
              <w:t>响应供应商名称：</w:t>
            </w:r>
          </w:p>
          <w:p>
            <w:pPr>
              <w:pStyle w:val="16"/>
              <w:spacing w:line="400" w:lineRule="exact"/>
              <w:ind w:firstLine="1180" w:firstLineChars="369"/>
              <w:rPr>
                <w:rFonts w:ascii="黑体" w:hAnsi="黑体" w:eastAsia="黑体"/>
                <w:bCs/>
                <w:sz w:val="32"/>
                <w:szCs w:val="32"/>
              </w:rPr>
            </w:pPr>
            <w:r>
              <w:rPr>
                <w:rFonts w:hint="eastAsia" w:ascii="黑体" w:hAnsi="黑体" w:eastAsia="黑体"/>
                <w:bCs/>
                <w:sz w:val="32"/>
                <w:szCs w:val="32"/>
              </w:rPr>
              <w:t>响应供应商地址：</w:t>
            </w:r>
          </w:p>
          <w:p>
            <w:pPr>
              <w:pStyle w:val="16"/>
              <w:spacing w:line="400" w:lineRule="exact"/>
              <w:ind w:firstLine="1037" w:firstLineChars="369"/>
              <w:rPr>
                <w:rFonts w:ascii="仿宋_GB2312" w:eastAsia="仿宋_GB2312"/>
                <w:b/>
                <w:color w:val="FF0000"/>
                <w:sz w:val="28"/>
                <w:szCs w:val="28"/>
              </w:rPr>
            </w:pPr>
          </w:p>
          <w:p>
            <w:pPr>
              <w:pStyle w:val="16"/>
              <w:spacing w:line="400" w:lineRule="exact"/>
              <w:ind w:firstLine="1185" w:firstLineChars="369"/>
              <w:rPr>
                <w:rFonts w:ascii="仿宋_GB2312" w:eastAsia="仿宋_GB2312"/>
                <w:b/>
                <w:sz w:val="32"/>
              </w:rPr>
            </w:pPr>
          </w:p>
        </w:tc>
      </w:tr>
    </w:tbl>
    <w:p>
      <w:pPr>
        <w:pStyle w:val="3"/>
        <w:adjustRightInd w:val="0"/>
        <w:snapToGrid w:val="0"/>
        <w:spacing w:beforeLines="50" w:afterLines="50" w:line="360" w:lineRule="auto"/>
        <w:jc w:val="center"/>
        <w:rPr>
          <w:rFonts w:ascii="黑体" w:hAnsi="宋体"/>
          <w:b w:val="0"/>
          <w:sz w:val="18"/>
          <w:szCs w:val="18"/>
        </w:rPr>
      </w:pPr>
      <w:bookmarkStart w:id="51" w:name="_Toc410736177"/>
      <w:bookmarkStart w:id="52" w:name="_Toc416771363"/>
      <w:bookmarkStart w:id="53" w:name="_Toc410738976"/>
      <w:bookmarkStart w:id="54" w:name="_Toc416770253"/>
      <w:r>
        <w:rPr>
          <w:rFonts w:hint="eastAsia"/>
          <w:b w:val="0"/>
        </w:rPr>
        <w:t>响应文件目录表</w:t>
      </w:r>
      <w:bookmarkEnd w:id="50"/>
      <w:bookmarkEnd w:id="51"/>
      <w:bookmarkEnd w:id="52"/>
      <w:bookmarkEnd w:id="53"/>
      <w:bookmarkEnd w:id="54"/>
    </w:p>
    <w:p>
      <w:pPr>
        <w:rPr>
          <w:rFonts w:ascii="宋体" w:hAnsi="宋体"/>
        </w:rPr>
      </w:pPr>
      <w:r>
        <w:rPr>
          <w:rFonts w:hint="eastAsia" w:ascii="宋体" w:hAnsi="宋体"/>
        </w:rPr>
        <w:t>项目名称：2023年度博罗县业余体育学校业训校车接送服务项目</w:t>
      </w:r>
    </w:p>
    <w:p>
      <w:pPr>
        <w:rPr>
          <w:rFonts w:ascii="宋体" w:hAnsi="宋体"/>
          <w:b/>
          <w:bCs/>
        </w:rPr>
      </w:pPr>
      <w:r>
        <w:rPr>
          <w:rFonts w:hint="eastAsia" w:ascii="宋体" w:hAnsi="宋体"/>
        </w:rPr>
        <w:t>项目编号：</w:t>
      </w:r>
    </w:p>
    <w:tbl>
      <w:tblPr>
        <w:tblStyle w:val="38"/>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pPr>
              <w:ind w:left="-88" w:leftChars="-42" w:right="-82" w:rightChars="-39"/>
              <w:jc w:val="center"/>
              <w:rPr>
                <w:rFonts w:ascii="宋体" w:hAnsi="宋体"/>
                <w:b/>
              </w:rPr>
            </w:pPr>
            <w:r>
              <w:rPr>
                <w:rFonts w:hint="eastAsia" w:ascii="宋体" w:hAnsi="宋体"/>
                <w:b/>
              </w:rPr>
              <w:t>序号</w:t>
            </w:r>
          </w:p>
        </w:tc>
        <w:tc>
          <w:tcPr>
            <w:tcW w:w="5647" w:type="dxa"/>
            <w:vMerge w:val="restart"/>
            <w:shd w:val="clear" w:color="auto" w:fill="EEECE1"/>
            <w:vAlign w:val="center"/>
          </w:tcPr>
          <w:p>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pPr>
              <w:jc w:val="center"/>
              <w:rPr>
                <w:rFonts w:ascii="宋体" w:hAnsi="宋体"/>
                <w:b/>
              </w:rPr>
            </w:pPr>
            <w:r>
              <w:rPr>
                <w:rFonts w:hint="eastAsia" w:ascii="宋体" w:hAnsi="宋体"/>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pPr>
              <w:rPr>
                <w:rFonts w:ascii="宋体" w:hAnsi="宋体"/>
              </w:rPr>
            </w:pPr>
          </w:p>
        </w:tc>
        <w:tc>
          <w:tcPr>
            <w:tcW w:w="5647" w:type="dxa"/>
            <w:vMerge w:val="continue"/>
            <w:shd w:val="clear" w:color="auto" w:fill="EEECE1"/>
            <w:vAlign w:val="center"/>
          </w:tcPr>
          <w:p>
            <w:pPr>
              <w:rPr>
                <w:rFonts w:ascii="宋体" w:hAnsi="宋体"/>
              </w:rPr>
            </w:pPr>
          </w:p>
        </w:tc>
        <w:tc>
          <w:tcPr>
            <w:tcW w:w="772" w:type="dxa"/>
            <w:shd w:val="clear" w:color="auto" w:fill="EEECE1"/>
            <w:vAlign w:val="center"/>
          </w:tcPr>
          <w:p>
            <w:pPr>
              <w:jc w:val="center"/>
              <w:rPr>
                <w:rFonts w:ascii="宋体" w:hAnsi="宋体"/>
                <w:b/>
              </w:rPr>
            </w:pPr>
            <w:r>
              <w:rPr>
                <w:rFonts w:hint="eastAsia" w:ascii="宋体" w:hAnsi="宋体"/>
                <w:b/>
              </w:rPr>
              <w:t>有</w:t>
            </w:r>
          </w:p>
        </w:tc>
        <w:tc>
          <w:tcPr>
            <w:tcW w:w="732" w:type="dxa"/>
            <w:shd w:val="clear" w:color="auto" w:fill="EEECE1"/>
            <w:vAlign w:val="center"/>
          </w:tcPr>
          <w:p>
            <w:pPr>
              <w:jc w:val="center"/>
              <w:rPr>
                <w:rFonts w:ascii="宋体" w:hAnsi="宋体"/>
                <w:b/>
              </w:rPr>
            </w:pPr>
            <w:r>
              <w:rPr>
                <w:rFonts w:hint="eastAsia" w:ascii="宋体" w:hAnsi="宋体"/>
                <w:b/>
              </w:rPr>
              <w:t>无</w:t>
            </w:r>
          </w:p>
        </w:tc>
        <w:tc>
          <w:tcPr>
            <w:tcW w:w="896" w:type="dxa"/>
            <w:vMerge w:val="continue"/>
            <w:shd w:val="clear" w:color="auto" w:fill="EEECE1"/>
            <w:vAlign w:val="center"/>
          </w:tcPr>
          <w:p>
            <w:pPr>
              <w:jc w:val="center"/>
              <w:rPr>
                <w:rFonts w:ascii="宋体" w:hAnsi="宋体"/>
              </w:rPr>
            </w:pPr>
          </w:p>
        </w:tc>
        <w:tc>
          <w:tcPr>
            <w:tcW w:w="897" w:type="dxa"/>
            <w:vMerge w:val="continue"/>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pPr>
              <w:jc w:val="center"/>
              <w:rPr>
                <w:rFonts w:ascii="宋体" w:hAnsi="宋体"/>
              </w:rPr>
            </w:pPr>
            <w:r>
              <w:rPr>
                <w:rFonts w:hint="eastAsia" w:ascii="宋体" w:hAnsi="宋体"/>
              </w:rPr>
              <w:t>一、</w:t>
            </w:r>
            <w:r>
              <w:rPr>
                <w:rFonts w:hint="eastAsia" w:ascii="宋体" w:hAnsi="宋体"/>
                <w:b/>
                <w:color w:val="000000"/>
              </w:rPr>
              <w:t>初</w:t>
            </w:r>
            <w:r>
              <w:rPr>
                <w:rFonts w:hint="eastAsia" w:ascii="宋体" w:hAnsi="宋体"/>
                <w:b/>
              </w:rPr>
              <w:t>审文件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磋商函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pStyle w:val="20"/>
              <w:rPr>
                <w:rFonts w:hAnsi="宋体"/>
                <w:color w:val="000000"/>
              </w:rPr>
            </w:pPr>
            <w:r>
              <w:rPr>
                <w:rFonts w:hint="eastAsia" w:hAnsi="宋体"/>
                <w:kern w:val="0"/>
              </w:rPr>
              <w:t>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hAnsi="宋体"/>
                <w:strike/>
              </w:rPr>
            </w:pPr>
            <w:r>
              <w:rPr>
                <w:rFonts w:hint="eastAsia" w:ascii="宋体" w:hAnsi="宋体"/>
                <w:bCs/>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strike/>
                <w:kern w:val="2"/>
              </w:rPr>
            </w:pPr>
            <w:r>
              <w:rPr>
                <w:rFonts w:hint="eastAsia" w:ascii="宋体" w:hAnsi="宋体"/>
              </w:rPr>
              <w:t>提供</w:t>
            </w:r>
            <w:r>
              <w:rPr>
                <w:rFonts w:hint="eastAsia" w:ascii="宋体" w:hAnsi="宋体"/>
                <w:color w:val="FF0000"/>
                <w:shd w:val="pct10" w:color="auto" w:fill="FFFFFF"/>
              </w:rPr>
              <w:t>2021年或2022</w:t>
            </w:r>
            <w:r>
              <w:rPr>
                <w:rFonts w:hint="eastAsia" w:ascii="宋体" w:hAnsi="宋体"/>
              </w:rPr>
              <w:t>年任意1个月的财务状况报告复印件，或银行出具的资信证明材料复印件；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strike/>
                <w:kern w:val="2"/>
              </w:rPr>
            </w:pPr>
            <w:r>
              <w:rPr>
                <w:rFonts w:hint="eastAsia" w:ascii="宋体" w:hAnsi="宋体"/>
              </w:rPr>
              <w:t>提供</w:t>
            </w:r>
            <w:r>
              <w:rPr>
                <w:rFonts w:hint="eastAsia" w:ascii="宋体" w:hAnsi="宋体"/>
                <w:color w:val="FF0000"/>
                <w:shd w:val="pct10" w:color="auto" w:fill="FFFFFF"/>
              </w:rPr>
              <w:t>2021年或2022</w:t>
            </w:r>
            <w:r>
              <w:rPr>
                <w:rFonts w:hint="eastAsia" w:ascii="宋体" w:hAnsi="宋体"/>
              </w:rPr>
              <w:t>年任意1个月缴纳税收和社会保险的凭据证明材料复印件；如依法免税或不需要缴纳社会保障资金的，应提供相关材料；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4"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rPr>
            </w:pPr>
            <w:r>
              <w:rPr>
                <w:rFonts w:hint="eastAsia" w:ascii="宋体" w:hAnsi="宋体"/>
              </w:rPr>
              <w:t>提供履行合同所必需的设备和专业技术能力的书面声明；（提供《响应供应商资格声明函》）；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rPr>
            </w:pPr>
            <w:r>
              <w:rPr>
                <w:rFonts w:hint="eastAsia" w:ascii="宋体" w:hAnsi="宋体"/>
              </w:rPr>
              <w:t>提供参加政府采购活动前3年内在经营活动中没有重大违法记录的书面声明；（提供《响应供应商资格声明函》）。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6"/>
              </w:numPr>
              <w:autoSpaceDE/>
              <w:autoSpaceDN/>
              <w:adjustRightInd/>
              <w:jc w:val="center"/>
              <w:rPr>
                <w:rFonts w:ascii="宋体" w:hAnsi="宋体"/>
              </w:rPr>
            </w:pPr>
          </w:p>
        </w:tc>
        <w:tc>
          <w:tcPr>
            <w:tcW w:w="5647" w:type="dxa"/>
          </w:tcPr>
          <w:p>
            <w:pPr>
              <w:autoSpaceDE/>
              <w:autoSpaceDN/>
              <w:adjustRightInd/>
              <w:snapToGrid w:val="0"/>
              <w:spacing w:line="276" w:lineRule="auto"/>
              <w:jc w:val="both"/>
              <w:rPr>
                <w:rFonts w:ascii="宋体" w:hAnsi="宋体"/>
              </w:rPr>
            </w:pPr>
            <w:r>
              <w:rPr>
                <w:rFonts w:hint="eastAsia" w:ascii="宋体" w:hAnsi="宋体"/>
              </w:rPr>
              <w:t>为采购项目提供整体设计、规范编制或者项目管理、监理、检测等服务的供应商，不得再参加该采购项目的其他采购活动。（提供《响应供应商资格声明函》）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rPr>
            </w:pPr>
            <w:r>
              <w:rPr>
                <w:rFonts w:hint="eastAsia" w:ascii="宋体" w:hAnsi="宋体"/>
              </w:rPr>
              <w:t>单位负责人为同一人或者存在直接控股、管理关系的不同供应商，不得参加同一合同项下的政府采购活动。（提供《响应供应商资格声明函》）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法定代表人授权委托书</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法定代表人证明书</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6"/>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实质性条款响应一览表及其附件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pPr>
              <w:jc w:val="center"/>
              <w:rPr>
                <w:rFonts w:ascii="宋体" w:hAnsi="宋体"/>
              </w:rPr>
            </w:pPr>
            <w:r>
              <w:rPr>
                <w:rFonts w:hint="eastAsia" w:ascii="宋体" w:hAnsi="宋体"/>
              </w:rPr>
              <w:t>二、</w:t>
            </w:r>
            <w:r>
              <w:rPr>
                <w:rFonts w:hint="eastAsia" w:ascii="宋体" w:hAnsi="宋体"/>
                <w:b/>
                <w:color w:val="000000"/>
              </w:rPr>
              <w:t>技术文件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7"/>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报价表（首次报价）</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7"/>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中小企业声明函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7"/>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监狱企业的证明文件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7"/>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残疾人福利性单位声明函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674" w:type="dxa"/>
            <w:vAlign w:val="center"/>
          </w:tcPr>
          <w:p>
            <w:pPr>
              <w:numPr>
                <w:ilvl w:val="0"/>
                <w:numId w:val="27"/>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技术服务方案</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7"/>
              </w:numPr>
              <w:autoSpaceDE/>
              <w:autoSpaceDN/>
              <w:adjustRightInd/>
              <w:jc w:val="center"/>
              <w:rPr>
                <w:rFonts w:ascii="宋体" w:hAnsi="宋体"/>
              </w:rPr>
            </w:pPr>
          </w:p>
        </w:tc>
        <w:tc>
          <w:tcPr>
            <w:tcW w:w="5647" w:type="dxa"/>
            <w:vAlign w:val="center"/>
          </w:tcPr>
          <w:p>
            <w:pPr>
              <w:textAlignment w:val="baseline"/>
              <w:rPr>
                <w:rFonts w:ascii="宋体" w:hAnsi="宋体"/>
              </w:rPr>
            </w:pPr>
            <w:r>
              <w:rPr>
                <w:rFonts w:hint="eastAsia" w:ascii="宋体" w:hAnsi="宋体"/>
              </w:rPr>
              <w:t>响应供应商认为需要提供的其它说明和资料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pPr>
              <w:jc w:val="center"/>
              <w:rPr>
                <w:rFonts w:ascii="宋体" w:hAnsi="宋体"/>
              </w:rPr>
            </w:pPr>
            <w:r>
              <w:rPr>
                <w:rFonts w:hint="eastAsia" w:ascii="宋体" w:hAnsi="宋体"/>
              </w:rPr>
              <w:t>三、</w:t>
            </w:r>
            <w:r>
              <w:rPr>
                <w:rFonts w:hint="eastAsia" w:ascii="宋体" w:hAnsi="宋体"/>
                <w:b/>
              </w:rPr>
              <w:t>商务文件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rPr>
              <w:t>响应供应商基本情况表</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2020年至今同类接送项目情况一览表</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rPr>
              <w:t>财务状况(如有）</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rPr>
            </w:pPr>
            <w:r>
              <w:rPr>
                <w:rFonts w:hint="eastAsia" w:hAnsi="宋体"/>
              </w:rPr>
              <w:t>企业实力（如有）</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rPr>
            </w:pPr>
            <w:r>
              <w:rPr>
                <w:rFonts w:hint="eastAsia" w:hAnsi="宋体"/>
              </w:rPr>
              <w:t>企业管理制度（如有）</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项目负责人及服务团队成员一览表</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rPr>
              <w:t>用户需求响应一览表及其附件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rPr>
            </w:pPr>
            <w:r>
              <w:rPr>
                <w:rFonts w:hint="eastAsia" w:hAnsi="宋体"/>
                <w:kern w:val="0"/>
              </w:rPr>
              <w:t>招标代理服务费承诺书</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textAlignment w:val="baseline"/>
              <w:rPr>
                <w:rFonts w:ascii="宋体" w:hAnsi="宋体"/>
              </w:rPr>
            </w:pPr>
            <w:r>
              <w:rPr>
                <w:rFonts w:hint="eastAsia" w:ascii="宋体" w:hAnsi="宋体"/>
                <w:bCs/>
              </w:rPr>
              <w:t>退磋商保证金说明</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资料原件提交清单</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textAlignment w:val="baseline"/>
              <w:rPr>
                <w:rFonts w:ascii="宋体" w:hAnsi="宋体"/>
                <w:bCs/>
              </w:rPr>
            </w:pPr>
            <w:r>
              <w:rPr>
                <w:rFonts w:hint="eastAsia" w:ascii="宋体" w:hAnsi="宋体"/>
              </w:rPr>
              <w:t>磋商保证金递交证明文件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8"/>
              </w:numPr>
              <w:autoSpaceDE/>
              <w:autoSpaceDN/>
              <w:adjustRightInd/>
              <w:jc w:val="center"/>
              <w:rPr>
                <w:rFonts w:ascii="宋体" w:hAnsi="宋体"/>
              </w:rPr>
            </w:pPr>
          </w:p>
        </w:tc>
        <w:tc>
          <w:tcPr>
            <w:tcW w:w="5647" w:type="dxa"/>
            <w:vAlign w:val="center"/>
          </w:tcPr>
          <w:p>
            <w:pPr>
              <w:textAlignment w:val="baseline"/>
              <w:rPr>
                <w:rFonts w:ascii="宋体" w:hAnsi="宋体"/>
                <w:color w:val="FF0000"/>
              </w:rPr>
            </w:pPr>
            <w:r>
              <w:rPr>
                <w:rFonts w:hint="eastAsia" w:ascii="宋体" w:hAnsi="宋体"/>
              </w:rPr>
              <w:t>响应供应商认为需要提供的其他商务资料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bl>
    <w:p>
      <w:pPr>
        <w:spacing w:line="440" w:lineRule="exact"/>
        <w:rPr>
          <w:rFonts w:ascii="黑体" w:eastAsia="黑体"/>
          <w:bCs/>
          <w:sz w:val="28"/>
        </w:rPr>
        <w:sectPr>
          <w:footerReference r:id="rId5" w:type="default"/>
          <w:type w:val="continuous"/>
          <w:pgSz w:w="11907" w:h="16839"/>
          <w:pgMar w:top="1134" w:right="1134" w:bottom="1134" w:left="1134" w:header="699" w:footer="601" w:gutter="0"/>
          <w:cols w:space="425" w:num="1"/>
          <w:docGrid w:type="lines" w:linePitch="312" w:charSpace="0"/>
        </w:sectPr>
      </w:pPr>
    </w:p>
    <w:p>
      <w:pPr>
        <w:jc w:val="center"/>
      </w:pPr>
      <w:r>
        <w:rPr>
          <w:rFonts w:ascii="黑体"/>
          <w:bCs/>
          <w:sz w:val="28"/>
        </w:rPr>
        <w:br w:type="page"/>
      </w:r>
      <w:bookmarkStart w:id="55" w:name="_Toc275865605"/>
      <w:bookmarkStart w:id="56" w:name="_Toc410738977"/>
      <w:bookmarkStart w:id="57" w:name="_Toc410736178"/>
      <w:bookmarkStart w:id="58" w:name="_Toc416770254"/>
      <w:bookmarkStart w:id="59" w:name="_Toc416771364"/>
      <w:r>
        <w:rPr>
          <w:rFonts w:hint="eastAsia" w:ascii="Arial" w:hAnsi="Arial" w:eastAsia="黑体"/>
          <w:bCs/>
          <w:kern w:val="2"/>
          <w:sz w:val="32"/>
          <w:szCs w:val="32"/>
        </w:rPr>
        <w:t xml:space="preserve">磋 商 </w:t>
      </w:r>
      <w:bookmarkEnd w:id="55"/>
      <w:r>
        <w:rPr>
          <w:rFonts w:hint="eastAsia" w:ascii="Arial" w:hAnsi="Arial" w:eastAsia="黑体"/>
          <w:bCs/>
          <w:kern w:val="2"/>
          <w:sz w:val="32"/>
          <w:szCs w:val="32"/>
        </w:rPr>
        <w:t>函</w:t>
      </w:r>
      <w:bookmarkEnd w:id="56"/>
      <w:bookmarkEnd w:id="57"/>
      <w:bookmarkEnd w:id="58"/>
      <w:bookmarkEnd w:id="59"/>
    </w:p>
    <w:p>
      <w:pPr>
        <w:snapToGrid w:val="0"/>
        <w:spacing w:line="400" w:lineRule="exact"/>
        <w:ind w:left="105" w:leftChars="50" w:firstLine="2"/>
        <w:rPr>
          <w:rFonts w:ascii="宋体" w:hAnsi="宋体"/>
          <w:b/>
        </w:rPr>
      </w:pPr>
      <w:r>
        <w:rPr>
          <w:rFonts w:hint="eastAsia" w:ascii="宋体" w:hAnsi="宋体"/>
          <w:b/>
        </w:rPr>
        <w:t>致：博罗县文化广电旅游体育局</w:t>
      </w:r>
    </w:p>
    <w:p>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u w:val="single"/>
        </w:rPr>
        <w:t xml:space="preserve">2023年度博罗县业余体育学校业训校车接送服务项目 </w:t>
      </w:r>
      <w:r>
        <w:rPr>
          <w:rFonts w:hint="eastAsia" w:ascii="宋体" w:hAnsi="宋体"/>
          <w:kern w:val="28"/>
        </w:rPr>
        <w:t>采购</w:t>
      </w:r>
      <w:r>
        <w:rPr>
          <w:rFonts w:hint="eastAsia" w:ascii="宋体" w:hAnsi="宋体"/>
        </w:rPr>
        <w:t>货物及相关服务的竞争性磋商文件（项目编号：），</w:t>
      </w:r>
      <w:r>
        <w:rPr>
          <w:rFonts w:hint="eastAsia" w:ascii="宋体" w:hAnsi="宋体"/>
          <w:u w:val="single"/>
        </w:rPr>
        <w:t xml:space="preserve"> (响应供应商名称、地址)</w:t>
      </w:r>
      <w:r>
        <w:rPr>
          <w:rFonts w:hint="eastAsia" w:ascii="宋体" w:hAnsi="宋体"/>
        </w:rPr>
        <w:t>作为响应供应商已正式授权</w:t>
      </w:r>
      <w:r>
        <w:rPr>
          <w:rFonts w:hint="eastAsia" w:ascii="宋体" w:hAnsi="宋体"/>
          <w:u w:val="single"/>
        </w:rPr>
        <w:t xml:space="preserve"> (响应供应商授权代表全名、职务)</w:t>
      </w:r>
      <w:r>
        <w:rPr>
          <w:rFonts w:hint="eastAsia" w:ascii="宋体" w:hAnsi="宋体"/>
        </w:rPr>
        <w:t>为我方签名代表，代表我方提交响应文件进行磋商。</w:t>
      </w:r>
    </w:p>
    <w:p>
      <w:pPr>
        <w:spacing w:line="360" w:lineRule="auto"/>
        <w:ind w:firstLine="420" w:firstLineChars="200"/>
        <w:rPr>
          <w:rFonts w:ascii="宋体" w:hAnsi="宋体"/>
        </w:rPr>
      </w:pPr>
      <w:r>
        <w:rPr>
          <w:rFonts w:hint="eastAsia" w:ascii="宋体" w:hAnsi="宋体"/>
        </w:rPr>
        <w:t>签名代表在此声明并同意：</w:t>
      </w:r>
    </w:p>
    <w:p>
      <w:pPr>
        <w:numPr>
          <w:ilvl w:val="0"/>
          <w:numId w:val="29"/>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pPr>
        <w:numPr>
          <w:ilvl w:val="0"/>
          <w:numId w:val="29"/>
        </w:numPr>
        <w:autoSpaceDE/>
        <w:autoSpaceDN/>
        <w:snapToGrid w:val="0"/>
        <w:spacing w:line="360" w:lineRule="auto"/>
        <w:jc w:val="both"/>
        <w:rPr>
          <w:rFonts w:ascii="宋体" w:hAnsi="宋体"/>
          <w:b/>
          <w:color w:val="FF0000"/>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天内有效。如果我们的磋商被接受，则直至合同生效时止，本磋商始终有效。本磋商始终有效并不撤回已递交的响应文件。</w:t>
      </w:r>
    </w:p>
    <w:p>
      <w:pPr>
        <w:numPr>
          <w:ilvl w:val="0"/>
          <w:numId w:val="29"/>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pPr>
        <w:numPr>
          <w:ilvl w:val="0"/>
          <w:numId w:val="29"/>
        </w:numPr>
        <w:autoSpaceDE/>
        <w:autoSpaceDN/>
        <w:snapToGrid w:val="0"/>
        <w:spacing w:line="360" w:lineRule="auto"/>
        <w:jc w:val="both"/>
        <w:rPr>
          <w:rFonts w:ascii="宋体" w:hAnsi="宋体"/>
          <w:b/>
        </w:rPr>
      </w:pPr>
      <w:r>
        <w:rPr>
          <w:rFonts w:hint="eastAsia" w:ascii="宋体" w:hAnsi="宋体"/>
          <w:b/>
        </w:rPr>
        <w:t>我们同意提供采购人与磋商小组要求的有关磋商的一切数据或资料。</w:t>
      </w:r>
    </w:p>
    <w:p>
      <w:pPr>
        <w:numPr>
          <w:ilvl w:val="0"/>
          <w:numId w:val="29"/>
        </w:numPr>
        <w:autoSpaceDE/>
        <w:autoSpaceDN/>
        <w:snapToGrid w:val="0"/>
        <w:spacing w:line="360" w:lineRule="auto"/>
        <w:jc w:val="both"/>
        <w:rPr>
          <w:rFonts w:ascii="宋体" w:hAnsi="宋体"/>
          <w:b/>
        </w:rPr>
      </w:pPr>
      <w:r>
        <w:rPr>
          <w:rFonts w:hint="eastAsia" w:ascii="宋体" w:hAnsi="宋体"/>
          <w:b/>
        </w:rPr>
        <w:t>我们理解采购人与磋商小组并无义务必须接受最低报价的磋商或其它任何磋商，完全理解采购代理机构拒绝迟到的任何磋商和最低磋商报价不是被授予成交的唯一条件。</w:t>
      </w:r>
    </w:p>
    <w:p>
      <w:pPr>
        <w:numPr>
          <w:ilvl w:val="0"/>
          <w:numId w:val="29"/>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pPr>
        <w:numPr>
          <w:ilvl w:val="0"/>
          <w:numId w:val="29"/>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9"/>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pPr>
        <w:numPr>
          <w:ilvl w:val="0"/>
          <w:numId w:val="29"/>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pPr>
        <w:numPr>
          <w:ilvl w:val="0"/>
          <w:numId w:val="29"/>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pPr>
        <w:snapToGrid w:val="0"/>
        <w:spacing w:line="360" w:lineRule="auto"/>
        <w:ind w:left="420" w:firstLine="310"/>
        <w:rPr>
          <w:rFonts w:ascii="宋体" w:hAnsi="宋体"/>
          <w:b/>
          <w:u w:val="single"/>
        </w:rPr>
      </w:pPr>
      <w:r>
        <w:rPr>
          <w:rFonts w:hint="eastAsia" w:ascii="宋体" w:hAnsi="宋体"/>
          <w:b/>
        </w:rPr>
        <w:t xml:space="preserve">2、除磋商有效期承诺的时间外，本磋商函内容不得擅自删改，否则视为无效响应。 </w:t>
      </w:r>
    </w:p>
    <w:p>
      <w:pPr>
        <w:snapToGrid w:val="0"/>
        <w:spacing w:line="400" w:lineRule="exact"/>
        <w:ind w:left="480"/>
        <w:rPr>
          <w:rFonts w:ascii="宋体"/>
        </w:rPr>
      </w:pPr>
    </w:p>
    <w:p>
      <w:pPr>
        <w:snapToGrid w:val="0"/>
        <w:spacing w:line="360" w:lineRule="auto"/>
        <w:ind w:left="480"/>
        <w:rPr>
          <w:rFonts w:ascii="宋体" w:hAnsi="宋体"/>
        </w:rPr>
      </w:pPr>
      <w:r>
        <w:rPr>
          <w:rFonts w:hint="eastAsia" w:ascii="宋体" w:hAnsi="宋体"/>
        </w:rPr>
        <w:t>法定代表人或响应供应商授权代表（签名或盖章）：</w:t>
      </w:r>
    </w:p>
    <w:p>
      <w:pPr>
        <w:snapToGrid w:val="0"/>
        <w:spacing w:line="360" w:lineRule="auto"/>
        <w:ind w:left="480"/>
        <w:rPr>
          <w:rFonts w:ascii="宋体" w:hAnsi="宋体"/>
        </w:rPr>
      </w:pPr>
      <w:r>
        <w:rPr>
          <w:rFonts w:hint="eastAsia" w:ascii="宋体" w:hAnsi="宋体"/>
        </w:rPr>
        <w:t xml:space="preserve">职务：                    </w:t>
      </w:r>
    </w:p>
    <w:p>
      <w:pPr>
        <w:snapToGrid w:val="0"/>
        <w:spacing w:line="360" w:lineRule="auto"/>
        <w:ind w:left="480"/>
        <w:rPr>
          <w:rFonts w:ascii="宋体" w:hAnsi="宋体"/>
        </w:rPr>
      </w:pPr>
      <w:r>
        <w:rPr>
          <w:rFonts w:hint="eastAsia" w:ascii="宋体" w:hAnsi="宋体"/>
        </w:rPr>
        <w:t>响应供应商名称</w:t>
      </w:r>
      <w:r>
        <w:rPr>
          <w:rFonts w:ascii="宋体" w:hAnsi="宋体"/>
        </w:rPr>
        <w:t>:</w:t>
      </w:r>
    </w:p>
    <w:p>
      <w:pPr>
        <w:snapToGrid w:val="0"/>
        <w:spacing w:line="360" w:lineRule="auto"/>
        <w:ind w:left="480"/>
        <w:rPr>
          <w:rFonts w:ascii="宋体" w:hAnsi="宋体"/>
        </w:rPr>
      </w:pPr>
      <w:r>
        <w:rPr>
          <w:rFonts w:hint="eastAsia" w:ascii="宋体" w:hAnsi="宋体"/>
        </w:rPr>
        <w:t xml:space="preserve">响应供应商公章：           </w:t>
      </w:r>
    </w:p>
    <w:p>
      <w:pPr>
        <w:snapToGrid w:val="0"/>
        <w:spacing w:line="360" w:lineRule="auto"/>
        <w:ind w:firstLine="474" w:firstLineChars="226"/>
        <w:rPr>
          <w:rFonts w:ascii="宋体" w:hAnsi="宋体"/>
        </w:rPr>
      </w:pPr>
      <w:r>
        <w:rPr>
          <w:rFonts w:hint="eastAsia" w:ascii="宋体" w:hAnsi="宋体"/>
        </w:rPr>
        <w:t xml:space="preserve">电话：      传真：      邮编：   </w:t>
      </w:r>
    </w:p>
    <w:p>
      <w:pPr>
        <w:autoSpaceDE/>
        <w:autoSpaceDN/>
        <w:adjustRightInd/>
        <w:spacing w:line="440" w:lineRule="exact"/>
        <w:ind w:left="780"/>
        <w:jc w:val="both"/>
        <w:rPr>
          <w:rFonts w:ascii="黑体" w:eastAsia="黑体"/>
          <w:bCs/>
          <w:sz w:val="28"/>
        </w:rPr>
      </w:pPr>
    </w:p>
    <w:p>
      <w:pPr>
        <w:pStyle w:val="3"/>
        <w:adjustRightInd w:val="0"/>
        <w:snapToGrid w:val="0"/>
        <w:spacing w:beforeLines="50" w:afterLines="50" w:line="360" w:lineRule="auto"/>
        <w:jc w:val="center"/>
        <w:rPr>
          <w:b w:val="0"/>
        </w:rPr>
      </w:pPr>
      <w:bookmarkStart w:id="60" w:name="_Toc410736179"/>
      <w:bookmarkStart w:id="61" w:name="_Toc275865606"/>
      <w:bookmarkStart w:id="62" w:name="_Toc416771365"/>
      <w:bookmarkStart w:id="63" w:name="_Toc416770255"/>
      <w:bookmarkStart w:id="64" w:name="_Toc410738978"/>
      <w:r>
        <w:rPr>
          <w:rFonts w:hint="eastAsia"/>
          <w:b w:val="0"/>
        </w:rPr>
        <w:t>响应供应商资格声明函</w:t>
      </w:r>
      <w:bookmarkEnd w:id="60"/>
      <w:bookmarkEnd w:id="61"/>
      <w:bookmarkEnd w:id="62"/>
      <w:bookmarkEnd w:id="63"/>
      <w:bookmarkEnd w:id="64"/>
    </w:p>
    <w:p>
      <w:pPr>
        <w:snapToGrid w:val="0"/>
        <w:spacing w:line="440" w:lineRule="exact"/>
        <w:rPr>
          <w:rFonts w:ascii="宋体" w:hAnsi="宋体"/>
          <w:b/>
        </w:rPr>
      </w:pPr>
      <w:r>
        <w:rPr>
          <w:rFonts w:hint="eastAsia" w:ascii="宋体" w:hAnsi="宋体"/>
          <w:b/>
        </w:rPr>
        <w:t>博罗县文化广电旅游体育局：</w:t>
      </w:r>
    </w:p>
    <w:p>
      <w:pPr>
        <w:spacing w:line="360" w:lineRule="auto"/>
        <w:ind w:firstLine="420" w:firstLineChars="200"/>
        <w:rPr>
          <w:rFonts w:ascii="宋体" w:hAnsi="宋体"/>
        </w:rPr>
      </w:pPr>
      <w:r>
        <w:rPr>
          <w:rFonts w:hint="eastAsia" w:ascii="宋体" w:hAnsi="宋体"/>
        </w:rPr>
        <w:t>关于贵方</w:t>
      </w:r>
      <w:r>
        <w:rPr>
          <w:rFonts w:hint="eastAsia" w:ascii="宋体" w:hAnsi="宋体"/>
          <w:u w:val="single"/>
        </w:rPr>
        <w:t>2023</w:t>
      </w:r>
      <w:r>
        <w:rPr>
          <w:rFonts w:hint="eastAsia" w:ascii="宋体" w:hAnsi="宋体"/>
        </w:rPr>
        <w:t>年</w:t>
      </w:r>
      <w:r>
        <w:rPr>
          <w:rFonts w:hint="eastAsia" w:ascii="宋体" w:hAnsi="宋体"/>
          <w:u w:val="single"/>
        </w:rPr>
        <w:t>4</w:t>
      </w:r>
      <w:r>
        <w:rPr>
          <w:rFonts w:hint="eastAsia" w:ascii="宋体" w:hAnsi="宋体"/>
        </w:rPr>
        <w:t>月</w:t>
      </w:r>
      <w:r>
        <w:rPr>
          <w:rFonts w:hint="eastAsia" w:ascii="宋体" w:hAnsi="宋体"/>
          <w:u w:val="single"/>
        </w:rPr>
        <w:t>12</w:t>
      </w:r>
      <w:r>
        <w:rPr>
          <w:rFonts w:hint="eastAsia" w:ascii="宋体" w:hAnsi="宋体"/>
        </w:rPr>
        <w:t>日发布</w:t>
      </w:r>
      <w:r>
        <w:rPr>
          <w:rFonts w:hint="eastAsia" w:ascii="宋体" w:hAnsi="宋体"/>
          <w:u w:val="single"/>
        </w:rPr>
        <w:t>2023年度博罗县业余体育学校业训校车接送服务项目</w:t>
      </w:r>
      <w:r>
        <w:rPr>
          <w:rFonts w:hint="eastAsia" w:ascii="宋体" w:hAnsi="宋体"/>
        </w:rPr>
        <w:t>的磋商公告，本公司（企业）愿意参加磋商，并声明：</w:t>
      </w:r>
    </w:p>
    <w:p>
      <w:pPr>
        <w:pStyle w:val="103"/>
        <w:numPr>
          <w:ilvl w:val="0"/>
          <w:numId w:val="30"/>
        </w:numPr>
        <w:tabs>
          <w:tab w:val="left" w:pos="993"/>
        </w:tabs>
        <w:snapToGrid w:val="0"/>
        <w:spacing w:line="360" w:lineRule="auto"/>
        <w:ind w:firstLineChars="0"/>
        <w:rPr>
          <w:rFonts w:ascii="宋体" w:hAnsi="宋体" w:eastAsia="宋体"/>
          <w:bCs w:val="0"/>
          <w:color w:val="0000FF"/>
          <w:sz w:val="21"/>
          <w:szCs w:val="21"/>
        </w:rPr>
      </w:pPr>
      <w:r>
        <w:rPr>
          <w:rFonts w:hint="eastAsia" w:ascii="宋体" w:hAnsi="宋体" w:eastAsia="宋体"/>
          <w:sz w:val="21"/>
          <w:szCs w:val="21"/>
        </w:rPr>
        <w:t>本公司（企业）具备《中华人民共和国政府采购法》第二十二条规定的条件：</w:t>
      </w:r>
    </w:p>
    <w:p>
      <w:pPr>
        <w:widowControl/>
        <w:spacing w:line="360" w:lineRule="auto"/>
        <w:ind w:firstLine="360"/>
        <w:rPr>
          <w:rFonts w:ascii="宋体" w:hAnsi="宋体" w:cs="宋体"/>
        </w:rPr>
      </w:pPr>
      <w:r>
        <w:rPr>
          <w:rFonts w:hint="eastAsia" w:ascii="宋体" w:hAnsi="宋体" w:cs="宋体"/>
        </w:rPr>
        <w:t>（一）具有独立承担民事责任的能力；</w:t>
      </w:r>
    </w:p>
    <w:p>
      <w:pPr>
        <w:widowControl/>
        <w:spacing w:line="360" w:lineRule="auto"/>
        <w:ind w:firstLine="360"/>
        <w:rPr>
          <w:rFonts w:ascii="宋体" w:hAnsi="宋体" w:cs="宋体"/>
        </w:rPr>
      </w:pPr>
      <w:r>
        <w:rPr>
          <w:rFonts w:hint="eastAsia" w:ascii="宋体" w:hAnsi="宋体" w:cs="宋体"/>
        </w:rPr>
        <w:t>（二）具有良好的商业信誉和健全的财务会计制度；</w:t>
      </w:r>
    </w:p>
    <w:p>
      <w:pPr>
        <w:widowControl/>
        <w:spacing w:line="360" w:lineRule="auto"/>
        <w:ind w:firstLine="360"/>
        <w:rPr>
          <w:rFonts w:ascii="宋体" w:hAnsi="宋体" w:cs="宋体"/>
        </w:rPr>
      </w:pPr>
      <w:r>
        <w:rPr>
          <w:rFonts w:hint="eastAsia" w:ascii="宋体" w:hAnsi="宋体" w:cs="宋体"/>
        </w:rPr>
        <w:t>（三）具有履行合同所必需的设备和专业技术能力；</w:t>
      </w:r>
    </w:p>
    <w:p>
      <w:pPr>
        <w:widowControl/>
        <w:spacing w:line="360" w:lineRule="auto"/>
        <w:ind w:firstLine="360"/>
        <w:rPr>
          <w:rFonts w:ascii="宋体" w:hAnsi="宋体" w:cs="宋体"/>
        </w:rPr>
      </w:pPr>
      <w:r>
        <w:rPr>
          <w:rFonts w:hint="eastAsia" w:ascii="宋体" w:hAnsi="宋体" w:cs="宋体"/>
        </w:rPr>
        <w:t>（四）有依法缴纳税收和社会保障资金的良好记录；</w:t>
      </w:r>
    </w:p>
    <w:p>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pPr>
        <w:widowControl/>
        <w:spacing w:line="360" w:lineRule="auto"/>
        <w:ind w:firstLine="360"/>
        <w:rPr>
          <w:rFonts w:ascii="宋体" w:hAnsi="宋体" w:cs="宋体"/>
        </w:rPr>
      </w:pPr>
      <w:r>
        <w:rPr>
          <w:rFonts w:hint="eastAsia" w:ascii="宋体" w:hAnsi="宋体" w:cs="宋体"/>
        </w:rPr>
        <w:t>（六）法律、行政法规规定的其他条件。</w:t>
      </w:r>
    </w:p>
    <w:p>
      <w:pPr>
        <w:pStyle w:val="103"/>
        <w:numPr>
          <w:ilvl w:val="0"/>
          <w:numId w:val="30"/>
        </w:numPr>
        <w:tabs>
          <w:tab w:val="left" w:pos="993"/>
        </w:tabs>
        <w:snapToGrid w:val="0"/>
        <w:spacing w:line="360" w:lineRule="auto"/>
        <w:ind w:firstLineChars="0"/>
        <w:rPr>
          <w:rFonts w:ascii="宋体" w:hAnsi="宋体" w:eastAsia="宋体" w:cs="宋体"/>
          <w:bCs w:val="0"/>
          <w:kern w:val="0"/>
          <w:sz w:val="21"/>
          <w:szCs w:val="21"/>
        </w:rPr>
      </w:pPr>
      <w:r>
        <w:rPr>
          <w:rFonts w:hint="eastAsia" w:ascii="宋体" w:hAnsi="宋体" w:eastAsia="宋体" w:cs="宋体"/>
          <w:bCs w:val="0"/>
          <w:kern w:val="0"/>
          <w:sz w:val="21"/>
          <w:szCs w:val="21"/>
        </w:rPr>
        <w:t>我方承诺如获中标，保证具有履行合同所必需的设备和专业技术能力。</w:t>
      </w:r>
    </w:p>
    <w:p>
      <w:pPr>
        <w:pStyle w:val="103"/>
        <w:numPr>
          <w:ilvl w:val="0"/>
          <w:numId w:val="30"/>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包组）提供整体设计、规范编制或者项目管理、监理、检测等服务的供应商，不再参加该采购项目的其他采购活动。否则，由此所造成的损失、不良后果及法律责任，一律由我公司（企业）承担。</w:t>
      </w:r>
    </w:p>
    <w:p>
      <w:pPr>
        <w:pStyle w:val="103"/>
        <w:numPr>
          <w:ilvl w:val="0"/>
          <w:numId w:val="30"/>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我方承诺单位负责人为同一人或者存在直接控股、管理关系的不同供应商，不得同时参加本采购项目（包组）投标。</w:t>
      </w:r>
    </w:p>
    <w:p>
      <w:pPr>
        <w:pStyle w:val="103"/>
        <w:tabs>
          <w:tab w:val="left" w:pos="993"/>
        </w:tabs>
        <w:snapToGrid w:val="0"/>
        <w:spacing w:line="360" w:lineRule="auto"/>
        <w:ind w:left="426" w:firstLine="0" w:firstLineChars="0"/>
        <w:rPr>
          <w:rFonts w:ascii="宋体" w:hAnsi="宋体" w:eastAsia="宋体"/>
          <w:sz w:val="21"/>
          <w:szCs w:val="21"/>
        </w:rPr>
      </w:pPr>
      <w:r>
        <w:rPr>
          <w:rFonts w:hint="eastAsia" w:ascii="宋体" w:hAnsi="宋体" w:eastAsia="宋体"/>
          <w:sz w:val="21"/>
          <w:szCs w:val="21"/>
        </w:rPr>
        <w:t>以上内容如有虚假或与事实不符的，可将我方做无效投标处理，我方愿意承担相应的法律责任。</w:t>
      </w:r>
    </w:p>
    <w:p>
      <w:pPr>
        <w:snapToGrid w:val="0"/>
        <w:spacing w:line="360" w:lineRule="auto"/>
        <w:ind w:firstLine="424" w:firstLineChars="202"/>
        <w:rPr>
          <w:rFonts w:ascii="宋体" w:hAnsi="宋体"/>
        </w:rPr>
      </w:pPr>
      <w:r>
        <w:rPr>
          <w:rFonts w:hint="eastAsia" w:ascii="宋体" w:hAnsi="宋体"/>
        </w:rPr>
        <w:t>本公司（企业）承诺在本次招标采购活动中，如有违法、违规、弄虚作假行为，所造成的损失、不良后果及法律责任，一律由我公司（企业）承担。</w:t>
      </w:r>
    </w:p>
    <w:p>
      <w:pPr>
        <w:spacing w:line="360" w:lineRule="auto"/>
        <w:ind w:firstLine="359" w:firstLineChars="171"/>
        <w:rPr>
          <w:rFonts w:ascii="宋体" w:hAnsi="宋体"/>
          <w:color w:val="000000"/>
        </w:rPr>
      </w:pPr>
    </w:p>
    <w:p>
      <w:pPr>
        <w:spacing w:line="360" w:lineRule="auto"/>
        <w:ind w:firstLine="420"/>
        <w:rPr>
          <w:rFonts w:ascii="宋体" w:hAnsi="宋体"/>
        </w:rPr>
      </w:pPr>
      <w:r>
        <w:rPr>
          <w:rFonts w:hint="eastAsia" w:ascii="宋体" w:hAnsi="宋体"/>
        </w:rPr>
        <w:t>特此声明！</w:t>
      </w:r>
    </w:p>
    <w:p>
      <w:pPr>
        <w:spacing w:line="360" w:lineRule="auto"/>
        <w:rPr>
          <w:rFonts w:ascii="宋体" w:hAnsi="宋体"/>
        </w:rPr>
      </w:pPr>
      <w:r>
        <w:rPr>
          <w:rFonts w:hint="eastAsia" w:ascii="宋体" w:hAnsi="宋体"/>
        </w:rPr>
        <w:t xml:space="preserve">备注：1.本声明函必须提供且内容不得擅自删改，否则视为无效响应。 </w:t>
      </w:r>
    </w:p>
    <w:p>
      <w:pPr>
        <w:snapToGrid w:val="0"/>
        <w:spacing w:line="440" w:lineRule="exact"/>
        <w:ind w:firstLine="420"/>
        <w:rPr>
          <w:rFonts w:ascii="宋体" w:hAnsi="宋体"/>
        </w:rPr>
      </w:pPr>
      <w:r>
        <w:rPr>
          <w:rFonts w:hint="eastAsia" w:ascii="宋体" w:hAnsi="宋体"/>
        </w:rPr>
        <w:t>单位名称（单位盖公章）：　　　　　　　　　　　　　　</w:t>
      </w:r>
    </w:p>
    <w:p>
      <w:pPr>
        <w:snapToGrid w:val="0"/>
        <w:spacing w:line="440" w:lineRule="exact"/>
        <w:ind w:firstLine="420"/>
        <w:rPr>
          <w:rFonts w:ascii="宋体" w:hAnsi="宋体"/>
        </w:rPr>
      </w:pPr>
      <w:r>
        <w:rPr>
          <w:rFonts w:hint="eastAsia" w:ascii="宋体" w:hAnsi="宋体"/>
        </w:rPr>
        <w:t>单位地址：　　　　　　　　　　　　　　　</w:t>
      </w:r>
    </w:p>
    <w:p>
      <w:pPr>
        <w:snapToGrid w:val="0"/>
        <w:spacing w:line="440" w:lineRule="exact"/>
        <w:ind w:firstLine="420"/>
        <w:rPr>
          <w:rFonts w:ascii="宋体" w:hAnsi="宋体"/>
        </w:rPr>
      </w:pPr>
      <w:r>
        <w:rPr>
          <w:rFonts w:hint="eastAsia" w:ascii="宋体" w:hAnsi="宋体"/>
        </w:rPr>
        <w:t>日期：</w:t>
      </w:r>
    </w:p>
    <w:p>
      <w:pPr>
        <w:spacing w:line="360" w:lineRule="auto"/>
        <w:ind w:firstLine="420"/>
      </w:pPr>
    </w:p>
    <w:p>
      <w:pPr>
        <w:autoSpaceDE/>
        <w:autoSpaceDN/>
        <w:adjustRightInd/>
        <w:spacing w:line="440" w:lineRule="exact"/>
        <w:ind w:left="780"/>
        <w:jc w:val="both"/>
        <w:rPr>
          <w:rFonts w:ascii="宋体" w:hAnsi="宋体"/>
        </w:rPr>
      </w:pPr>
      <w:r>
        <w:rPr>
          <w:rFonts w:ascii="黑体" w:eastAsia="黑体"/>
          <w:b/>
          <w:bCs/>
          <w:sz w:val="28"/>
        </w:rPr>
        <w:br w:type="page"/>
      </w:r>
      <w:bookmarkStart w:id="65" w:name="_Toc410736180"/>
      <w:bookmarkStart w:id="66" w:name="_Toc410738979"/>
    </w:p>
    <w:bookmarkEnd w:id="65"/>
    <w:bookmarkEnd w:id="66"/>
    <w:p>
      <w:pPr>
        <w:pStyle w:val="3"/>
        <w:adjustRightInd w:val="0"/>
        <w:snapToGrid w:val="0"/>
        <w:spacing w:beforeLines="50" w:afterLines="50" w:line="360" w:lineRule="auto"/>
        <w:jc w:val="center"/>
        <w:rPr>
          <w:b w:val="0"/>
        </w:rPr>
      </w:pPr>
      <w:bookmarkStart w:id="67" w:name="_Toc50737329"/>
      <w:bookmarkStart w:id="68" w:name="_Toc50736477"/>
      <w:bookmarkStart w:id="69" w:name="_Toc52165081"/>
      <w:bookmarkStart w:id="70" w:name="_Toc410736181"/>
      <w:bookmarkStart w:id="71" w:name="_Toc275865607"/>
      <w:bookmarkStart w:id="72" w:name="_Toc416770259"/>
      <w:bookmarkStart w:id="73" w:name="_Toc410738980"/>
      <w:bookmarkStart w:id="74" w:name="_Toc416771369"/>
      <w:bookmarkStart w:id="75" w:name="_Toc50737297"/>
      <w:bookmarkStart w:id="76" w:name="_Toc50737328"/>
      <w:bookmarkStart w:id="77" w:name="_Toc50691034"/>
      <w:bookmarkStart w:id="78" w:name="_Toc50736476"/>
      <w:bookmarkStart w:id="79" w:name="_Toc52165080"/>
      <w:bookmarkStart w:id="80" w:name="_Toc50737296"/>
      <w:r>
        <w:rPr>
          <w:rFonts w:hint="eastAsia"/>
          <w:b w:val="0"/>
        </w:rPr>
        <w:t>法定代表人授权委托书</w:t>
      </w:r>
      <w:bookmarkEnd w:id="67"/>
      <w:bookmarkEnd w:id="68"/>
      <w:bookmarkEnd w:id="69"/>
      <w:bookmarkEnd w:id="70"/>
      <w:bookmarkEnd w:id="71"/>
      <w:bookmarkEnd w:id="72"/>
      <w:bookmarkEnd w:id="73"/>
      <w:bookmarkEnd w:id="74"/>
      <w:bookmarkEnd w:id="75"/>
    </w:p>
    <w:p>
      <w:pPr>
        <w:pStyle w:val="20"/>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2023年度博罗县业余体育学校业训校车接送服务项目</w:t>
      </w:r>
      <w:r>
        <w:rPr>
          <w:rFonts w:hint="eastAsia"/>
        </w:rPr>
        <w:t>（项目编号：）的磋商活动，提交响应文件及采购合同的签订、执行、完成和售后服务，作为响应供应商代表以我方的名义处理一切与之有关的事务。</w:t>
      </w:r>
    </w:p>
    <w:p>
      <w:pPr>
        <w:pStyle w:val="20"/>
        <w:adjustRightInd w:val="0"/>
        <w:snapToGrid w:val="0"/>
        <w:spacing w:line="440" w:lineRule="exact"/>
        <w:ind w:firstLine="420" w:firstLineChars="200"/>
      </w:pPr>
      <w:r>
        <w:rPr>
          <w:rFonts w:hint="eastAsia"/>
        </w:rPr>
        <w:t>被授权人（响应供应商授权代表）无转委托权限。</w:t>
      </w:r>
    </w:p>
    <w:p>
      <w:pPr>
        <w:snapToGrid w:val="0"/>
        <w:spacing w:line="440" w:lineRule="exact"/>
        <w:ind w:firstLine="420" w:firstLineChars="200"/>
        <w:rPr>
          <w:rFonts w:ascii="宋体"/>
        </w:rPr>
      </w:pPr>
      <w:r>
        <w:rPr>
          <w:rFonts w:hint="eastAsia" w:ascii="宋体"/>
        </w:rPr>
        <w:t>本授权书自法定代表人签字（盖章）之日起生效，特此声明。</w:t>
      </w:r>
    </w:p>
    <w:p>
      <w:pPr>
        <w:spacing w:line="480" w:lineRule="auto"/>
        <w:ind w:left="2" w:leftChars="1" w:firstLine="1365" w:firstLineChars="650"/>
        <w:rPr>
          <w:rFonts w:ascii="宋体" w:hAnsi="宋体"/>
        </w:rPr>
      </w:pPr>
    </w:p>
    <w:p>
      <w:pPr>
        <w:spacing w:line="360" w:lineRule="auto"/>
        <w:rPr>
          <w:rFonts w:ascii="宋体"/>
          <w:b/>
        </w:rPr>
      </w:pPr>
      <w:r>
        <w:rPr>
          <w:rFonts w:hint="eastAsia" w:ascii="宋体"/>
          <w:b/>
        </w:rPr>
        <w:t>随附《法定代表人证明》</w:t>
      </w:r>
    </w:p>
    <w:p>
      <w:pPr>
        <w:spacing w:line="360" w:lineRule="auto"/>
        <w:rPr>
          <w:rFonts w:ascii="宋体"/>
        </w:rPr>
      </w:pPr>
    </w:p>
    <w:p>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pPr>
        <w:spacing w:line="360" w:lineRule="auto"/>
        <w:rPr>
          <w:rFonts w:ascii="宋体"/>
        </w:rPr>
      </w:pPr>
      <w:r>
        <w:rPr>
          <w:rFonts w:hint="eastAsia" w:ascii="宋体"/>
        </w:rPr>
        <w:t>地      址：</w:t>
      </w:r>
    </w:p>
    <w:p>
      <w:pPr>
        <w:tabs>
          <w:tab w:val="left" w:pos="3780"/>
        </w:tabs>
        <w:spacing w:line="360" w:lineRule="auto"/>
        <w:rPr>
          <w:rFonts w:ascii="宋体"/>
        </w:rPr>
      </w:pPr>
      <w:r>
        <w:rPr>
          <w:rFonts w:hint="eastAsia" w:ascii="宋体"/>
        </w:rPr>
        <w:t>法定代表人（签字或盖章）：                         签字日期：</w:t>
      </w:r>
      <w:r>
        <w:rPr>
          <w:rFonts w:hint="eastAsia" w:ascii="宋体" w:hAnsi="宋体"/>
        </w:rPr>
        <w:t>年月日</w:t>
      </w:r>
    </w:p>
    <w:p>
      <w:pPr>
        <w:spacing w:line="360" w:lineRule="auto"/>
        <w:ind w:left="1159" w:leftChars="552" w:firstLine="2261"/>
        <w:rPr>
          <w:rFonts w:ascii="宋体"/>
        </w:rPr>
      </w:pPr>
    </w:p>
    <w:p>
      <w:pPr>
        <w:spacing w:line="360" w:lineRule="auto"/>
        <w:rPr>
          <w:rFonts w:ascii="宋体"/>
        </w:rPr>
      </w:pPr>
      <w:r>
        <w:rPr>
          <w:rFonts w:ascii="宋体"/>
        </w:rPr>
        <mc:AlternateContent>
          <mc:Choice Requires="wpg">
            <w:drawing>
              <wp:anchor distT="0" distB="0" distL="114300" distR="114300" simplePos="0" relativeHeight="251659264" behindDoc="0" locked="0" layoutInCell="1" allowOverlap="1">
                <wp:simplePos x="0" y="0"/>
                <wp:positionH relativeFrom="column">
                  <wp:posOffset>137160</wp:posOffset>
                </wp:positionH>
                <wp:positionV relativeFrom="paragraph">
                  <wp:posOffset>125730</wp:posOffset>
                </wp:positionV>
                <wp:extent cx="5486400" cy="1751965"/>
                <wp:effectExtent l="4445" t="4445" r="14605" b="15240"/>
                <wp:wrapNone/>
                <wp:docPr id="3" name="组合 13"/>
                <wp:cNvGraphicFramePr/>
                <a:graphic xmlns:a="http://schemas.openxmlformats.org/drawingml/2006/main">
                  <a:graphicData uri="http://schemas.microsoft.com/office/word/2010/wordprocessingGroup">
                    <wpg:wgp>
                      <wpg:cNvGrpSpPr/>
                      <wpg:grpSpPr>
                        <a:xfrm>
                          <a:off x="0" y="0"/>
                          <a:ext cx="5486400" cy="1751965"/>
                          <a:chOff x="1350" y="9286"/>
                          <a:chExt cx="8640" cy="2759"/>
                        </a:xfrm>
                        <a:effectLst/>
                      </wpg:grpSpPr>
                      <wps:wsp>
                        <wps:cNvPr id="1" name="矩形 14"/>
                        <wps:cNvSpPr/>
                        <wps:spPr>
                          <a:xfrm>
                            <a:off x="1350" y="9286"/>
                            <a:ext cx="4260" cy="275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pPr>
                                <w:ind w:firstLine="1050" w:firstLineChars="500"/>
                              </w:pPr>
                            </w:p>
                            <w:p/>
                          </w:txbxContent>
                        </wps:txbx>
                        <wps:bodyPr upright="1"/>
                      </wps:wsp>
                      <wps:wsp>
                        <wps:cNvPr id="2" name="矩形 15"/>
                        <wps:cNvSpPr/>
                        <wps:spPr>
                          <a:xfrm>
                            <a:off x="5754" y="9286"/>
                            <a:ext cx="4236" cy="275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pPr>
                                <w:ind w:firstLine="1050" w:firstLineChars="500"/>
                              </w:pPr>
                            </w:p>
                            <w:p/>
                          </w:txbxContent>
                        </wps:txbx>
                        <wps:bodyPr upright="1"/>
                      </wps:wsp>
                    </wpg:wgp>
                  </a:graphicData>
                </a:graphic>
              </wp:anchor>
            </w:drawing>
          </mc:Choice>
          <mc:Fallback>
            <w:pict>
              <v:group id="组合 13" o:spid="_x0000_s1026" o:spt="203" style="position:absolute;left:0pt;margin-left:10.8pt;margin-top:9.9pt;height:137.95pt;width:432pt;z-index:251659264;mso-width-relative:page;mso-height-relative:page;" coordorigin="1350,9286" coordsize="8640,2759" o:gfxdata="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u5fHA9gAAAAJAQAADwAAAAAAAAABACAAAAAiAAAAZHJzL2Rvd25yZXYueG1sUEsBAhQAFAAA&#10;AAgAh07iQA/9P2+aAgAA1AcAAA4AAAAAAAAAAQAgAAAAJwEAAGRycy9lMm9Eb2MueG1sUEsFBgAA&#10;AAAGAAYAWQEAADMGAAAAAA==&#10;">
                <o:lock v:ext="edit" aspectratio="f"/>
                <v:rect id="矩形 14" o:spid="_x0000_s1026" o:spt="1" style="position:absolute;left:1350;top:9286;height:2759;width:4260;"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pPr>
                          <w:ind w:firstLine="1050" w:firstLineChars="500"/>
                        </w:pPr>
                      </w:p>
                      <w:p/>
                    </w:txbxContent>
                  </v:textbox>
                </v:rect>
                <v:rect id="矩形 15" o:spid="_x0000_s1026" o:spt="1" style="position:absolute;left:5754;top:9286;height:2759;width:4236;"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pPr>
                          <w:ind w:firstLine="1050" w:firstLineChars="500"/>
                        </w:pPr>
                      </w:p>
                      <w:p/>
                    </w:txbxContent>
                  </v:textbox>
                </v:rect>
              </v:group>
            </w:pict>
          </mc:Fallback>
        </mc:AlternateContent>
      </w: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autoSpaceDE/>
        <w:autoSpaceDN/>
        <w:adjustRightInd/>
        <w:spacing w:line="440" w:lineRule="exact"/>
        <w:ind w:left="780"/>
        <w:jc w:val="both"/>
        <w:rPr>
          <w:rFonts w:ascii="黑体" w:eastAsia="黑体"/>
        </w:rPr>
      </w:pPr>
      <w:r>
        <w:rPr>
          <w:rFonts w:ascii="宋体"/>
        </w:rPr>
        <w:br w:type="page"/>
      </w:r>
    </w:p>
    <w:p>
      <w:pPr>
        <w:pStyle w:val="3"/>
        <w:adjustRightInd w:val="0"/>
        <w:snapToGrid w:val="0"/>
        <w:spacing w:beforeLines="50" w:afterLines="50" w:line="360" w:lineRule="auto"/>
        <w:jc w:val="center"/>
        <w:rPr>
          <w:b w:val="0"/>
        </w:rPr>
      </w:pPr>
      <w:bookmarkStart w:id="81" w:name="_Toc410738981"/>
      <w:bookmarkStart w:id="82" w:name="_Toc416770260"/>
      <w:bookmarkStart w:id="83" w:name="_Toc275865608"/>
      <w:bookmarkStart w:id="84" w:name="_Toc416771370"/>
      <w:bookmarkStart w:id="85" w:name="_Toc410736182"/>
      <w:r>
        <w:rPr>
          <w:rFonts w:hint="eastAsia"/>
          <w:b w:val="0"/>
        </w:rPr>
        <w:t>法定代表人证明书</w:t>
      </w:r>
      <w:bookmarkEnd w:id="76"/>
      <w:bookmarkEnd w:id="77"/>
      <w:bookmarkEnd w:id="78"/>
      <w:bookmarkEnd w:id="79"/>
      <w:bookmarkEnd w:id="80"/>
      <w:bookmarkEnd w:id="81"/>
      <w:bookmarkEnd w:id="82"/>
      <w:bookmarkEnd w:id="83"/>
      <w:bookmarkEnd w:id="84"/>
      <w:bookmarkEnd w:id="85"/>
    </w:p>
    <w:p>
      <w:pPr>
        <w:tabs>
          <w:tab w:val="left" w:pos="900"/>
        </w:tabs>
        <w:spacing w:line="480" w:lineRule="auto"/>
        <w:ind w:firstLine="945" w:firstLineChars="450"/>
        <w:rPr>
          <w:rFonts w:ascii="宋体" w:hAnsi="宋体"/>
        </w:rPr>
      </w:pPr>
      <w:r>
        <w:rPr>
          <w:rFonts w:hint="eastAsia" w:ascii="宋体" w:hAnsi="宋体"/>
        </w:rPr>
        <w:t>______________同志，现任我单位职务，为法定代表人，特此证明。</w:t>
      </w:r>
    </w:p>
    <w:p>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pPr>
        <w:spacing w:line="480" w:lineRule="auto"/>
        <w:ind w:firstLine="420" w:firstLineChars="200"/>
        <w:rPr>
          <w:rFonts w:ascii="宋体" w:hAnsi="宋体"/>
        </w:rPr>
      </w:pP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480" w:lineRule="auto"/>
        <w:ind w:firstLine="840" w:firstLineChars="400"/>
        <w:rPr>
          <w:rFonts w:ascii="宋体" w:hAnsi="宋体"/>
        </w:rPr>
      </w:pPr>
      <w:r>
        <w:rPr>
          <w:rFonts w:ascii="宋体" w:hAnsi="宋体"/>
        </w:rPr>
        <mc:AlternateContent>
          <mc:Choice Requires="wpg">
            <w:drawing>
              <wp:anchor distT="0" distB="0" distL="114300" distR="114300" simplePos="0" relativeHeight="251660288" behindDoc="0" locked="0" layoutInCell="1" allowOverlap="1">
                <wp:simplePos x="0" y="0"/>
                <wp:positionH relativeFrom="column">
                  <wp:posOffset>232410</wp:posOffset>
                </wp:positionH>
                <wp:positionV relativeFrom="paragraph">
                  <wp:posOffset>243840</wp:posOffset>
                </wp:positionV>
                <wp:extent cx="5553075" cy="1748790"/>
                <wp:effectExtent l="4445" t="4445" r="5080" b="18415"/>
                <wp:wrapNone/>
                <wp:docPr id="6" name="组合 10"/>
                <wp:cNvGraphicFramePr/>
                <a:graphic xmlns:a="http://schemas.openxmlformats.org/drawingml/2006/main">
                  <a:graphicData uri="http://schemas.microsoft.com/office/word/2010/wordprocessingGroup">
                    <wpg:wgp>
                      <wpg:cNvGrpSpPr/>
                      <wpg:grpSpPr>
                        <a:xfrm>
                          <a:off x="0" y="0"/>
                          <a:ext cx="5553075" cy="1748790"/>
                          <a:chOff x="1500" y="7300"/>
                          <a:chExt cx="8745" cy="2754"/>
                        </a:xfrm>
                        <a:effectLst/>
                      </wpg:grpSpPr>
                      <wps:wsp>
                        <wps:cNvPr id="4" name="矩形 11"/>
                        <wps:cNvSpPr/>
                        <wps:spPr>
                          <a:xfrm>
                            <a:off x="1500" y="7300"/>
                            <a:ext cx="4275" cy="275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（正面）</w:t>
                              </w:r>
                            </w:p>
                            <w:p>
                              <w:pPr>
                                <w:ind w:firstLine="1050" w:firstLineChars="500"/>
                              </w:pPr>
                            </w:p>
                          </w:txbxContent>
                        </wps:txbx>
                        <wps:bodyPr upright="1"/>
                      </wps:wsp>
                      <wps:wsp>
                        <wps:cNvPr id="5" name="矩形 12"/>
                        <wps:cNvSpPr/>
                        <wps:spPr>
                          <a:xfrm>
                            <a:off x="5956" y="7300"/>
                            <a:ext cx="4289" cy="275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（反面）</w:t>
                              </w:r>
                            </w:p>
                            <w:p>
                              <w:pPr>
                                <w:ind w:firstLine="1050" w:firstLineChars="500"/>
                              </w:pPr>
                            </w:p>
                          </w:txbxContent>
                        </wps:txbx>
                        <wps:bodyPr upright="1"/>
                      </wps:wsp>
                    </wpg:wgp>
                  </a:graphicData>
                </a:graphic>
              </wp:anchor>
            </w:drawing>
          </mc:Choice>
          <mc:Fallback>
            <w:pict>
              <v:group id="组合 10" o:spid="_x0000_s1026" o:spt="203" style="position:absolute;left:0pt;margin-left:18.3pt;margin-top:19.2pt;height:137.7pt;width:437.25pt;z-index:251660288;mso-width-relative:page;mso-height-relative:page;" coordorigin="1500,7300" coordsize="8745,2754" o:gfxdata="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OCrLMDZAAAACQEAAA8AAAAAAAAAAQAgAAAAIgAAAGRycy9kb3ducmV2LnhtbFBLAQIU&#10;ABQAAAAIAIdO4kAyywEtnQIAANQHAAAOAAAAAAAAAAEAIAAAACgBAABkcnMvZTJvRG9jLnhtbFBL&#10;BQYAAAAABgAGAFkBAAA3BgAAAAA=&#10;">
                <o:lock v:ext="edit" aspectratio="f"/>
                <v:rect id="矩形 11" o:spid="_x0000_s1026" o:spt="1" style="position:absolute;left:1500;top:7300;height:2754;width:4275;"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（正面）</w:t>
                        </w:r>
                      </w:p>
                      <w:p>
                        <w:pPr>
                          <w:ind w:firstLine="1050" w:firstLineChars="500"/>
                        </w:pPr>
                      </w:p>
                    </w:txbxContent>
                  </v:textbox>
                </v:rect>
                <v:rect id="矩形 12" o:spid="_x0000_s1026" o:spt="1" style="position:absolute;left:5956;top:7300;height:2754;width:4289;"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（反面）</w:t>
                        </w:r>
                      </w:p>
                      <w:p>
                        <w:pPr>
                          <w:ind w:firstLine="1050" w:firstLineChars="500"/>
                        </w:pPr>
                      </w:p>
                    </w:txbxContent>
                  </v:textbox>
                </v:rect>
              </v:group>
            </w:pict>
          </mc:Fallback>
        </mc:AlternateContent>
      </w: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hAnsi="宋体"/>
        </w:rPr>
      </w:pPr>
      <w:r>
        <w:rPr>
          <w:rFonts w:hint="eastAsia" w:ascii="宋体" w:hAnsi="宋体"/>
        </w:rPr>
        <w:t>响应供应商名称：（盖公章）：</w:t>
      </w:r>
    </w:p>
    <w:p>
      <w:pPr>
        <w:spacing w:line="500" w:lineRule="exact"/>
        <w:rPr>
          <w:rFonts w:ascii="宋体" w:hAnsi="宋体"/>
        </w:rPr>
      </w:pPr>
      <w:r>
        <w:rPr>
          <w:rFonts w:hint="eastAsia" w:ascii="宋体" w:hAnsi="宋体"/>
        </w:rPr>
        <w:t xml:space="preserve">                                           地址：</w:t>
      </w:r>
    </w:p>
    <w:p>
      <w:pPr>
        <w:spacing w:line="500" w:lineRule="exact"/>
        <w:rPr>
          <w:rFonts w:ascii="宋体" w:hAnsi="宋体"/>
        </w:rPr>
      </w:pPr>
      <w:r>
        <w:rPr>
          <w:rFonts w:hint="eastAsia" w:ascii="宋体" w:hAnsi="宋体"/>
        </w:rPr>
        <w:t xml:space="preserve">                                           签发日期：</w:t>
      </w:r>
    </w:p>
    <w:p>
      <w:pPr>
        <w:autoSpaceDE/>
        <w:autoSpaceDN/>
        <w:adjustRightInd/>
        <w:spacing w:line="440" w:lineRule="exact"/>
        <w:jc w:val="both"/>
        <w:rPr>
          <w:rFonts w:ascii="黑体" w:eastAsia="黑体"/>
          <w:bCs/>
          <w:sz w:val="28"/>
        </w:rPr>
      </w:pPr>
      <w:bookmarkStart w:id="86" w:name="_承诺函"/>
      <w:bookmarkEnd w:id="86"/>
      <w:bookmarkStart w:id="87" w:name="_Toc416771371"/>
      <w:bookmarkStart w:id="88" w:name="_Toc416770261"/>
      <w:bookmarkStart w:id="89" w:name="_Toc410736184"/>
      <w:bookmarkStart w:id="90" w:name="_Toc410738983"/>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pStyle w:val="3"/>
        <w:adjustRightInd w:val="0"/>
        <w:snapToGrid w:val="0"/>
        <w:spacing w:beforeLines="50" w:afterLines="50" w:line="360" w:lineRule="auto"/>
        <w:jc w:val="center"/>
        <w:rPr>
          <w:b w:val="0"/>
        </w:rPr>
      </w:pPr>
      <w:r>
        <w:rPr>
          <w:rFonts w:hint="eastAsia"/>
          <w:b w:val="0"/>
        </w:rPr>
        <w:t>实质性条款响应一览表</w:t>
      </w:r>
      <w:bookmarkEnd w:id="87"/>
      <w:bookmarkEnd w:id="88"/>
      <w:bookmarkEnd w:id="89"/>
      <w:bookmarkEnd w:id="90"/>
    </w:p>
    <w:p>
      <w:pPr>
        <w:spacing w:line="400" w:lineRule="exact"/>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pPr>
        <w:spacing w:line="400" w:lineRule="exact"/>
        <w:rPr>
          <w:rFonts w:ascii="宋体" w:hAnsi="宋体"/>
        </w:rPr>
      </w:pPr>
      <w:r>
        <w:rPr>
          <w:rFonts w:hint="eastAsia" w:ascii="宋体" w:hAnsi="宋体"/>
        </w:rPr>
        <w:t>项目编号：</w:t>
      </w:r>
    </w:p>
    <w:tbl>
      <w:tblPr>
        <w:tblStyle w:val="38"/>
        <w:tblW w:w="9540" w:type="dxa"/>
        <w:tblInd w:w="-7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644"/>
        <w:gridCol w:w="1957"/>
        <w:gridCol w:w="1823"/>
        <w:gridCol w:w="16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496" w:type="dxa"/>
            <w:tcBorders>
              <w:top w:val="single" w:color="auto" w:sz="12" w:space="0"/>
              <w:bottom w:val="double" w:color="auto" w:sz="4" w:space="0"/>
            </w:tcBorders>
            <w:shd w:val="clear" w:color="auto" w:fill="EEECE1"/>
            <w:vAlign w:val="center"/>
          </w:tcPr>
          <w:p>
            <w:pPr>
              <w:ind w:left="-67" w:leftChars="-32" w:right="-99" w:rightChars="-47"/>
              <w:jc w:val="center"/>
              <w:rPr>
                <w:rFonts w:ascii="宋体" w:hAnsi="宋体"/>
              </w:rPr>
            </w:pPr>
            <w:r>
              <w:rPr>
                <w:rFonts w:hint="eastAsia" w:ascii="宋体" w:hAnsi="宋体"/>
              </w:rPr>
              <w:t>序号</w:t>
            </w:r>
          </w:p>
        </w:tc>
        <w:tc>
          <w:tcPr>
            <w:tcW w:w="3644" w:type="dxa"/>
            <w:tcBorders>
              <w:top w:val="single" w:color="auto" w:sz="12" w:space="0"/>
              <w:bottom w:val="double" w:color="auto" w:sz="4" w:space="0"/>
            </w:tcBorders>
            <w:shd w:val="clear" w:color="auto" w:fill="EEECE1"/>
            <w:vAlign w:val="center"/>
          </w:tcPr>
          <w:p>
            <w:pPr>
              <w:jc w:val="center"/>
              <w:rPr>
                <w:rFonts w:ascii="宋体" w:hAnsi="宋体"/>
              </w:rPr>
            </w:pPr>
            <w:r>
              <w:rPr>
                <w:rFonts w:hint="eastAsia"/>
              </w:rPr>
              <w:t>竞争性磋商文件</w:t>
            </w:r>
            <w:r>
              <w:rPr>
                <w:rFonts w:hint="eastAsia" w:ascii="宋体" w:hAnsi="宋体"/>
              </w:rPr>
              <w:t>★号条款描述</w:t>
            </w:r>
          </w:p>
        </w:tc>
        <w:tc>
          <w:tcPr>
            <w:tcW w:w="1957" w:type="dxa"/>
            <w:tcBorders>
              <w:top w:val="single" w:color="auto" w:sz="12" w:space="0"/>
              <w:bottom w:val="double" w:color="auto" w:sz="4" w:space="0"/>
            </w:tcBorders>
            <w:shd w:val="clear" w:color="auto" w:fill="EEECE1"/>
            <w:vAlign w:val="center"/>
          </w:tcPr>
          <w:p>
            <w:pPr>
              <w:jc w:val="center"/>
              <w:rPr>
                <w:rFonts w:ascii="宋体" w:hAnsi="宋体"/>
              </w:rPr>
            </w:pPr>
            <w:r>
              <w:rPr>
                <w:rFonts w:hint="eastAsia" w:ascii="宋体" w:hAnsi="宋体"/>
              </w:rPr>
              <w:t>响应供应商响应描述</w:t>
            </w:r>
          </w:p>
        </w:tc>
        <w:tc>
          <w:tcPr>
            <w:tcW w:w="1823"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rPr>
            </w:pPr>
            <w:r>
              <w:rPr>
                <w:rFonts w:hint="eastAsia" w:ascii="宋体" w:hAnsi="宋体"/>
              </w:rPr>
              <w:t>偏离情况说明</w:t>
            </w:r>
          </w:p>
          <w:p>
            <w:pPr>
              <w:jc w:val="center"/>
              <w:rPr>
                <w:rFonts w:ascii="宋体" w:hAnsi="宋体"/>
              </w:rPr>
            </w:pPr>
            <w:r>
              <w:rPr>
                <w:rFonts w:hint="eastAsia" w:ascii="宋体" w:hAnsi="宋体"/>
              </w:rPr>
              <w:t>（正偏离/完全响应/负偏离）</w:t>
            </w:r>
          </w:p>
        </w:tc>
        <w:tc>
          <w:tcPr>
            <w:tcW w:w="1620"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tcBorders>
              <w:top w:val="double" w:color="auto" w:sz="4" w:space="0"/>
            </w:tcBorders>
            <w:vAlign w:val="center"/>
          </w:tcPr>
          <w:p>
            <w:pPr>
              <w:jc w:val="center"/>
              <w:rPr>
                <w:rFonts w:ascii="宋体" w:hAnsi="宋体"/>
              </w:rPr>
            </w:pPr>
            <w:r>
              <w:rPr>
                <w:rFonts w:ascii="宋体" w:hAnsi="宋体"/>
              </w:rPr>
              <w:t>1</w:t>
            </w:r>
          </w:p>
        </w:tc>
        <w:tc>
          <w:tcPr>
            <w:tcW w:w="3644" w:type="dxa"/>
            <w:tcBorders>
              <w:top w:val="double" w:color="auto" w:sz="4" w:space="0"/>
            </w:tcBorders>
            <w:vAlign w:val="center"/>
          </w:tcPr>
          <w:p>
            <w:pPr>
              <w:pStyle w:val="20"/>
              <w:adjustRightInd w:val="0"/>
              <w:snapToGrid w:val="0"/>
              <w:spacing w:line="360" w:lineRule="auto"/>
              <w:rPr>
                <w:rFonts w:hAnsi="宋体"/>
              </w:rPr>
            </w:pPr>
            <w:r>
              <w:rPr>
                <w:rFonts w:hint="eastAsia" w:hAnsi="宋体"/>
              </w:rPr>
              <w:t>★ 1、成交人须提供3辆19座校车接送学生。车辆须完全符合</w:t>
            </w:r>
            <w:r>
              <w:rPr>
                <w:rFonts w:hAnsi="宋体"/>
              </w:rPr>
              <w:t>《专用校车安全国家标准》</w:t>
            </w:r>
            <w:r>
              <w:rPr>
                <w:rFonts w:hint="eastAsia" w:hAnsi="宋体"/>
              </w:rPr>
              <w:t xml:space="preserve"> （即《专用校车安全技术条件》（GB24407-2012）和《专用校车学生座椅系统及其车辆固定件的强度》(GB24406-2012)），提供承诺函。</w:t>
            </w:r>
          </w:p>
        </w:tc>
        <w:tc>
          <w:tcPr>
            <w:tcW w:w="1957" w:type="dxa"/>
            <w:tcBorders>
              <w:top w:val="double" w:color="auto" w:sz="4" w:space="0"/>
            </w:tcBorders>
            <w:vAlign w:val="center"/>
          </w:tcPr>
          <w:p>
            <w:pPr>
              <w:jc w:val="center"/>
              <w:rPr>
                <w:rFonts w:ascii="宋体" w:hAnsi="宋体"/>
              </w:rPr>
            </w:pPr>
          </w:p>
        </w:tc>
        <w:tc>
          <w:tcPr>
            <w:tcW w:w="1823" w:type="dxa"/>
            <w:tcBorders>
              <w:top w:val="double" w:color="auto" w:sz="4" w:space="0"/>
              <w:right w:val="single" w:color="auto" w:sz="2" w:space="0"/>
            </w:tcBorders>
            <w:vAlign w:val="center"/>
          </w:tcPr>
          <w:p>
            <w:pPr>
              <w:jc w:val="center"/>
              <w:rPr>
                <w:rFonts w:ascii="宋体" w:hAnsi="宋体"/>
              </w:rPr>
            </w:pPr>
          </w:p>
        </w:tc>
        <w:tc>
          <w:tcPr>
            <w:tcW w:w="1620" w:type="dxa"/>
            <w:tcBorders>
              <w:top w:val="double" w:color="auto" w:sz="4" w:space="0"/>
              <w:left w:val="single" w:color="auto" w:sz="2" w:space="0"/>
            </w:tcBorders>
            <w:vAlign w:val="center"/>
          </w:tcPr>
          <w:p>
            <w:pPr>
              <w:snapToGrid w:val="0"/>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jc w:val="center"/>
              <w:rPr>
                <w:rFonts w:ascii="宋体" w:hAnsi="宋体"/>
              </w:rPr>
            </w:pPr>
            <w:r>
              <w:rPr>
                <w:rFonts w:ascii="宋体" w:hAnsi="宋体"/>
              </w:rPr>
              <w:t>2</w:t>
            </w:r>
          </w:p>
        </w:tc>
        <w:tc>
          <w:tcPr>
            <w:tcW w:w="3644" w:type="dxa"/>
            <w:vAlign w:val="center"/>
          </w:tcPr>
          <w:p>
            <w:pPr>
              <w:pStyle w:val="20"/>
              <w:adjustRightInd w:val="0"/>
              <w:snapToGrid w:val="0"/>
              <w:spacing w:line="360" w:lineRule="auto"/>
              <w:rPr>
                <w:rFonts w:hAnsi="宋体"/>
              </w:rPr>
            </w:pPr>
            <w:r>
              <w:rPr>
                <w:rFonts w:hint="eastAsia" w:hAnsi="宋体"/>
              </w:rPr>
              <w:t>★ 4、</w:t>
            </w:r>
            <w:r>
              <w:rPr>
                <w:rFonts w:hAnsi="宋体"/>
              </w:rPr>
              <w:t>承包运送学生期间，</w:t>
            </w:r>
            <w:r>
              <w:rPr>
                <w:rFonts w:hint="eastAsia" w:hAnsi="宋体"/>
              </w:rPr>
              <w:t>成交</w:t>
            </w:r>
            <w:r>
              <w:rPr>
                <w:rFonts w:hAnsi="宋体"/>
              </w:rPr>
              <w:t>人派出的司机都必须持有合法</w:t>
            </w:r>
            <w:r>
              <w:rPr>
                <w:rFonts w:hint="eastAsia" w:hAnsi="宋体"/>
              </w:rPr>
              <w:t>且</w:t>
            </w:r>
            <w:r>
              <w:rPr>
                <w:rFonts w:hAnsi="宋体"/>
              </w:rPr>
              <w:t>与驾驶车辆相符的驾驶证、资格证，必须符合中华人民共和国《校车安全管理条例》</w:t>
            </w:r>
            <w:r>
              <w:rPr>
                <w:rFonts w:hint="eastAsia" w:hAnsi="宋体"/>
              </w:rPr>
              <w:t xml:space="preserve"> （</w:t>
            </w:r>
            <w:r>
              <w:rPr>
                <w:rFonts w:hAnsi="宋体"/>
              </w:rPr>
              <w:t xml:space="preserve">中华人民共和国国务院令第617 号）规定： </w:t>
            </w:r>
            <w:r>
              <w:rPr>
                <w:rFonts w:hint="eastAsia" w:hAnsi="宋体"/>
              </w:rPr>
              <w:t>（提供承诺函）</w:t>
            </w:r>
          </w:p>
          <w:p>
            <w:pPr>
              <w:pStyle w:val="20"/>
              <w:adjustRightInd w:val="0"/>
              <w:snapToGrid w:val="0"/>
              <w:spacing w:line="360" w:lineRule="auto"/>
              <w:rPr>
                <w:rFonts w:hAnsi="宋体"/>
              </w:rPr>
            </w:pPr>
            <w:r>
              <w:rPr>
                <w:rFonts w:hAnsi="宋体"/>
              </w:rPr>
              <w:t>（一）取得相应准驾车型驾驶证并具有3年以上驾驶经历，年龄在25周岁以上、不超过60周岁；</w:t>
            </w:r>
          </w:p>
          <w:p>
            <w:pPr>
              <w:pStyle w:val="20"/>
              <w:adjustRightInd w:val="0"/>
              <w:snapToGrid w:val="0"/>
              <w:spacing w:line="360" w:lineRule="auto"/>
              <w:rPr>
                <w:rFonts w:hAnsi="宋体"/>
              </w:rPr>
            </w:pPr>
            <w:r>
              <w:rPr>
                <w:rFonts w:hAnsi="宋体"/>
              </w:rPr>
              <w:t>（二）最近连续3个记分周期内没有被记</w:t>
            </w:r>
            <w:r>
              <w:rPr>
                <w:rFonts w:hint="eastAsia" w:hAnsi="宋体"/>
              </w:rPr>
              <w:t>扣</w:t>
            </w:r>
            <w:r>
              <w:rPr>
                <w:rFonts w:hAnsi="宋体"/>
              </w:rPr>
              <w:t>满分记录；</w:t>
            </w:r>
          </w:p>
          <w:p>
            <w:pPr>
              <w:pStyle w:val="20"/>
              <w:adjustRightInd w:val="0"/>
              <w:snapToGrid w:val="0"/>
              <w:spacing w:line="360" w:lineRule="auto"/>
              <w:rPr>
                <w:rFonts w:hAnsi="宋体"/>
              </w:rPr>
            </w:pPr>
            <w:r>
              <w:rPr>
                <w:rFonts w:hAnsi="宋体"/>
              </w:rPr>
              <w:t>（三）无致人死亡或者重伤的交通事故责任记录；</w:t>
            </w:r>
          </w:p>
          <w:p>
            <w:pPr>
              <w:pStyle w:val="20"/>
              <w:adjustRightInd w:val="0"/>
              <w:snapToGrid w:val="0"/>
              <w:spacing w:line="360" w:lineRule="auto"/>
              <w:rPr>
                <w:rFonts w:hAnsi="宋体"/>
              </w:rPr>
            </w:pPr>
            <w:r>
              <w:rPr>
                <w:rFonts w:hAnsi="宋体"/>
              </w:rPr>
              <w:t>（四）无饮酒后驾驶或者醉酒驾驶机动车记录，最近 1 年内无驾驶客运车辆超员、超速等严重交通违法行为记录；</w:t>
            </w:r>
          </w:p>
          <w:p>
            <w:pPr>
              <w:pStyle w:val="20"/>
              <w:adjustRightInd w:val="0"/>
              <w:snapToGrid w:val="0"/>
              <w:spacing w:line="360" w:lineRule="auto"/>
              <w:rPr>
                <w:rFonts w:hAnsi="宋体"/>
              </w:rPr>
            </w:pPr>
            <w:r>
              <w:rPr>
                <w:rFonts w:hAnsi="宋体"/>
              </w:rPr>
              <w:t>（五）无犯罪记录；</w:t>
            </w:r>
          </w:p>
          <w:p>
            <w:pPr>
              <w:pStyle w:val="20"/>
              <w:adjustRightInd w:val="0"/>
              <w:snapToGrid w:val="0"/>
              <w:spacing w:line="360" w:lineRule="auto"/>
              <w:rPr>
                <w:rFonts w:hAnsi="宋体"/>
              </w:rPr>
            </w:pPr>
            <w:r>
              <w:rPr>
                <w:rFonts w:hAnsi="宋体"/>
              </w:rPr>
              <w:t>（六）身心健康，无传染性疾病，无癫痫、精神病等可能危及行车安全的疾病病史，无酗酒、吸毒行为记录。</w:t>
            </w:r>
          </w:p>
        </w:tc>
        <w:tc>
          <w:tcPr>
            <w:tcW w:w="1957" w:type="dxa"/>
            <w:vAlign w:val="center"/>
          </w:tcPr>
          <w:p>
            <w:pPr>
              <w:jc w:val="center"/>
              <w:rPr>
                <w:rFonts w:ascii="宋体" w:hAnsi="宋体"/>
              </w:rPr>
            </w:pPr>
          </w:p>
        </w:tc>
        <w:tc>
          <w:tcPr>
            <w:tcW w:w="1823" w:type="dxa"/>
            <w:tcBorders>
              <w:right w:val="single" w:color="auto" w:sz="2" w:space="0"/>
            </w:tcBorders>
            <w:vAlign w:val="center"/>
          </w:tcPr>
          <w:p>
            <w:pPr>
              <w:jc w:val="center"/>
              <w:rPr>
                <w:rFonts w:ascii="宋体" w:hAnsi="宋体"/>
              </w:rPr>
            </w:pPr>
          </w:p>
        </w:tc>
        <w:tc>
          <w:tcPr>
            <w:tcW w:w="1620" w:type="dxa"/>
            <w:tcBorders>
              <w:left w:val="single" w:color="auto" w:sz="2" w:space="0"/>
            </w:tcBorders>
            <w:vAlign w:val="center"/>
          </w:tcPr>
          <w:p>
            <w:pPr>
              <w:snapToGrid w:val="0"/>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ascii="宋体" w:hAnsi="宋体"/>
              </w:rPr>
            </w:pPr>
            <w:r>
              <w:rPr>
                <w:rFonts w:ascii="宋体" w:hAnsi="宋体"/>
              </w:rPr>
              <w:t>3</w:t>
            </w:r>
          </w:p>
        </w:tc>
        <w:tc>
          <w:tcPr>
            <w:tcW w:w="3644" w:type="dxa"/>
            <w:vAlign w:val="center"/>
          </w:tcPr>
          <w:p>
            <w:pPr>
              <w:spacing w:line="400" w:lineRule="exact"/>
              <w:rPr>
                <w:rFonts w:ascii="宋体" w:hAnsi="宋体"/>
              </w:rPr>
            </w:pPr>
            <w:r>
              <w:rPr>
                <w:rFonts w:hint="eastAsia" w:hAnsi="宋体"/>
              </w:rPr>
              <w:t>★10、在成交后20天内合同签订前必须</w:t>
            </w:r>
            <w:r>
              <w:rPr>
                <w:rFonts w:hAnsi="宋体"/>
              </w:rPr>
              <w:t>获得</w:t>
            </w:r>
            <w:r>
              <w:rPr>
                <w:rFonts w:hint="eastAsia" w:hAnsi="宋体"/>
              </w:rPr>
              <w:t>校车运营相关</w:t>
            </w:r>
            <w:r>
              <w:rPr>
                <w:rFonts w:hAnsi="宋体"/>
              </w:rPr>
              <w:t>手续及证件</w:t>
            </w:r>
            <w:r>
              <w:rPr>
                <w:rFonts w:hint="eastAsia" w:hAnsi="宋体"/>
              </w:rPr>
              <w:t>（包括办理博罗县教育局、博罗县交通运输局、博罗县公安局的相关手续及证件），否则采购人有权取消其成交资格并保留法律追究的权利及因此造成的损失,提供承诺函。</w:t>
            </w: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ascii="宋体" w:hAnsi="宋体"/>
              </w:rPr>
            </w:pPr>
            <w:r>
              <w:rPr>
                <w:rFonts w:ascii="宋体" w:hAnsi="宋体"/>
              </w:rPr>
              <w:t>4</w:t>
            </w:r>
          </w:p>
        </w:tc>
        <w:tc>
          <w:tcPr>
            <w:tcW w:w="3644" w:type="dxa"/>
            <w:vAlign w:val="center"/>
          </w:tcPr>
          <w:p>
            <w:pPr>
              <w:spacing w:line="360" w:lineRule="auto"/>
              <w:ind w:firstLine="39" w:firstLineChars="19"/>
              <w:rPr>
                <w:rFonts w:ascii="宋体" w:hAnsi="宋体" w:cs="宋体"/>
              </w:rPr>
            </w:pPr>
            <w:r>
              <w:rPr>
                <w:rFonts w:hint="eastAsia" w:ascii="宋体" w:hAnsi="宋体" w:cs="宋体"/>
              </w:rPr>
              <w:t>★（1）工期时间：合同签订后7天内，完成校车配备及随车人员配备并交付使用。</w:t>
            </w: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ascii="宋体" w:hAnsi="宋体"/>
              </w:rPr>
            </w:pPr>
            <w:r>
              <w:rPr>
                <w:rFonts w:hint="eastAsia" w:ascii="宋体" w:hAnsi="宋体" w:cs="宋体"/>
              </w:rPr>
              <w:t>见《响应文件》第页至页</w:t>
            </w:r>
          </w:p>
        </w:tc>
      </w:tr>
    </w:tbl>
    <w:p>
      <w:pPr>
        <w:snapToGrid w:val="0"/>
        <w:spacing w:line="460" w:lineRule="exact"/>
        <w:ind w:left="825" w:leftChars="107" w:hanging="600" w:hangingChars="286"/>
        <w:rPr>
          <w:rFonts w:ascii="宋体" w:hAnsi="宋体"/>
        </w:rPr>
      </w:pPr>
      <w:r>
        <w:rPr>
          <w:rFonts w:hint="eastAsia" w:ascii="宋体" w:hAnsi="宋体"/>
        </w:rPr>
        <w:t>备注：1、本表中“竞争性磋商文件条款描述”的条款与用户需求中的条款描述不一致的以用户需求中规定的为准。</w:t>
      </w:r>
    </w:p>
    <w:p>
      <w:pPr>
        <w:snapToGrid w:val="0"/>
        <w:spacing w:line="460" w:lineRule="exact"/>
        <w:ind w:left="825" w:leftChars="107" w:hanging="600" w:hangingChars="286"/>
        <w:rPr>
          <w:rFonts w:ascii="宋体" w:hAnsi="宋体"/>
          <w:b/>
          <w:bCs/>
        </w:rPr>
      </w:pPr>
      <w:r>
        <w:rPr>
          <w:rFonts w:hint="eastAsia" w:ascii="宋体" w:hAnsi="宋体"/>
        </w:rPr>
        <w:tab/>
      </w:r>
      <w:r>
        <w:rPr>
          <w:rFonts w:hint="eastAsia" w:ascii="宋体" w:hAnsi="宋体"/>
        </w:rPr>
        <w:t>2、响应供应商必须按磋商文件要求提供相关文件，</w:t>
      </w:r>
      <w:r>
        <w:rPr>
          <w:rFonts w:hint="eastAsia" w:ascii="宋体" w:hAnsi="宋体"/>
          <w:b/>
          <w:bCs/>
        </w:rPr>
        <w:t>如有任何一条未响应或不满足，按无效响应处理。</w:t>
      </w:r>
    </w:p>
    <w:p>
      <w:pPr>
        <w:snapToGrid w:val="0"/>
        <w:spacing w:line="460" w:lineRule="exact"/>
        <w:rPr>
          <w:spacing w:val="4"/>
        </w:rPr>
      </w:pPr>
    </w:p>
    <w:p>
      <w:pPr>
        <w:snapToGrid w:val="0"/>
        <w:spacing w:line="460" w:lineRule="exact"/>
        <w:rPr>
          <w:rFonts w:ascii="宋体" w:hAnsi="宋体"/>
          <w:u w:val="single"/>
        </w:rPr>
      </w:pPr>
      <w:r>
        <w:rPr>
          <w:rFonts w:hint="eastAsia"/>
          <w:spacing w:val="4"/>
        </w:rPr>
        <w:t>响应供应商名称（盖公章）：</w:t>
      </w:r>
    </w:p>
    <w:p>
      <w:pPr>
        <w:rPr>
          <w:spacing w:val="4"/>
        </w:rPr>
      </w:pPr>
    </w:p>
    <w:p>
      <w:pPr>
        <w:spacing w:line="440" w:lineRule="exact"/>
        <w:jc w:val="center"/>
        <w:rPr>
          <w:spacing w:val="4"/>
          <w:u w:val="single"/>
        </w:rPr>
      </w:pPr>
      <w:r>
        <w:rPr>
          <w:rFonts w:hint="eastAsia"/>
          <w:spacing w:val="4"/>
        </w:rPr>
        <w:t>日期：</w:t>
      </w:r>
      <w:r>
        <w:rPr>
          <w:b/>
        </w:rPr>
        <w:br w:type="page"/>
      </w:r>
      <w:bookmarkStart w:id="91" w:name="_Toc416770264"/>
      <w:bookmarkStart w:id="92" w:name="_Toc416771374"/>
      <w:r>
        <w:rPr>
          <w:rFonts w:hint="eastAsia" w:ascii="Arial" w:hAnsi="Arial" w:eastAsia="黑体"/>
          <w:bCs/>
          <w:kern w:val="2"/>
          <w:sz w:val="32"/>
          <w:szCs w:val="32"/>
        </w:rPr>
        <w:t>报 价 表</w:t>
      </w:r>
      <w:bookmarkEnd w:id="91"/>
      <w:bookmarkEnd w:id="92"/>
    </w:p>
    <w:p>
      <w:pPr>
        <w:snapToGrid w:val="0"/>
        <w:jc w:val="center"/>
        <w:rPr>
          <w:b/>
          <w:sz w:val="24"/>
        </w:rPr>
      </w:pPr>
      <w:r>
        <w:rPr>
          <w:rFonts w:hint="eastAsia"/>
          <w:b/>
          <w:sz w:val="24"/>
        </w:rPr>
        <w:t>（首次报价）</w:t>
      </w:r>
    </w:p>
    <w:p>
      <w:pPr>
        <w:snapToGrid w:val="0"/>
        <w:jc w:val="center"/>
        <w:rPr>
          <w:b/>
          <w:sz w:val="24"/>
        </w:rPr>
      </w:pPr>
    </w:p>
    <w:p>
      <w:pPr>
        <w:snapToGrid w:val="0"/>
        <w:rPr>
          <w:rFonts w:ascii="宋体" w:hAnsi="宋体"/>
        </w:rPr>
      </w:pPr>
      <w:r>
        <w:rPr>
          <w:rFonts w:hint="eastAsia" w:ascii="宋体" w:hAnsi="宋体"/>
        </w:rPr>
        <w:t xml:space="preserve">   项目编号：</w:t>
      </w:r>
    </w:p>
    <w:p>
      <w:pPr>
        <w:snapToGrid w:val="0"/>
        <w:rPr>
          <w:rFonts w:ascii="宋体" w:hAnsi="宋体"/>
        </w:rPr>
      </w:pPr>
    </w:p>
    <w:tbl>
      <w:tblPr>
        <w:tblStyle w:val="38"/>
        <w:tblW w:w="9356"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56"/>
        <w:gridCol w:w="1089"/>
        <w:gridCol w:w="3743"/>
        <w:gridCol w:w="22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91" w:hRule="atLeast"/>
        </w:trPr>
        <w:tc>
          <w:tcPr>
            <w:tcW w:w="2256" w:type="dxa"/>
            <w:tcBorders>
              <w:top w:val="single" w:color="auto" w:sz="12" w:space="0"/>
              <w:bottom w:val="double" w:color="auto" w:sz="4" w:space="0"/>
            </w:tcBorders>
            <w:shd w:val="clear" w:color="auto" w:fill="EEECE1"/>
            <w:vAlign w:val="center"/>
          </w:tcPr>
          <w:p>
            <w:pPr>
              <w:snapToGrid w:val="0"/>
              <w:jc w:val="center"/>
              <w:rPr>
                <w:rFonts w:ascii="宋体"/>
                <w:b/>
              </w:rPr>
            </w:pPr>
            <w:r>
              <w:rPr>
                <w:rFonts w:hint="eastAsia" w:ascii="宋体"/>
                <w:b/>
              </w:rPr>
              <w:t>采购内容</w:t>
            </w:r>
          </w:p>
        </w:tc>
        <w:tc>
          <w:tcPr>
            <w:tcW w:w="1089" w:type="dxa"/>
            <w:tcBorders>
              <w:top w:val="single" w:color="auto" w:sz="12" w:space="0"/>
              <w:bottom w:val="double" w:color="auto" w:sz="4" w:space="0"/>
            </w:tcBorders>
            <w:shd w:val="clear" w:color="auto" w:fill="EEECE1"/>
            <w:vAlign w:val="center"/>
          </w:tcPr>
          <w:p>
            <w:pPr>
              <w:snapToGrid w:val="0"/>
              <w:jc w:val="center"/>
              <w:rPr>
                <w:rFonts w:ascii="宋体"/>
                <w:b/>
              </w:rPr>
            </w:pPr>
            <w:r>
              <w:rPr>
                <w:rFonts w:hint="eastAsia" w:ascii="宋体"/>
                <w:b/>
              </w:rPr>
              <w:t>数量</w:t>
            </w:r>
          </w:p>
        </w:tc>
        <w:tc>
          <w:tcPr>
            <w:tcW w:w="3743" w:type="dxa"/>
            <w:tcBorders>
              <w:top w:val="single" w:color="auto" w:sz="12" w:space="0"/>
              <w:bottom w:val="double" w:color="auto" w:sz="4" w:space="0"/>
            </w:tcBorders>
            <w:shd w:val="clear" w:color="auto" w:fill="EEECE1"/>
            <w:vAlign w:val="center"/>
          </w:tcPr>
          <w:p>
            <w:pPr>
              <w:snapToGrid w:val="0"/>
              <w:jc w:val="center"/>
              <w:rPr>
                <w:rFonts w:ascii="宋体"/>
                <w:b/>
              </w:rPr>
            </w:pPr>
            <w:r>
              <w:rPr>
                <w:rFonts w:hint="eastAsia" w:ascii="宋体"/>
                <w:b/>
              </w:rPr>
              <w:t>磋商总报价</w:t>
            </w:r>
          </w:p>
          <w:p>
            <w:pPr>
              <w:snapToGrid w:val="0"/>
              <w:jc w:val="center"/>
              <w:rPr>
                <w:rFonts w:ascii="宋体"/>
                <w:b/>
              </w:rPr>
            </w:pPr>
            <w:r>
              <w:rPr>
                <w:rFonts w:hint="eastAsia" w:ascii="宋体"/>
                <w:b/>
              </w:rPr>
              <w:t>（人民币 元）</w:t>
            </w:r>
          </w:p>
        </w:tc>
        <w:tc>
          <w:tcPr>
            <w:tcW w:w="2268" w:type="dxa"/>
            <w:tcBorders>
              <w:top w:val="single" w:color="auto" w:sz="12" w:space="0"/>
              <w:bottom w:val="double" w:color="auto" w:sz="4" w:space="0"/>
            </w:tcBorders>
            <w:shd w:val="clear" w:color="auto" w:fill="EEECE1"/>
            <w:vAlign w:val="center"/>
          </w:tcPr>
          <w:p>
            <w:pPr>
              <w:widowControl/>
              <w:jc w:val="center"/>
              <w:rPr>
                <w:rFonts w:ascii="宋体"/>
                <w:b/>
              </w:rPr>
            </w:pPr>
            <w:r>
              <w:rPr>
                <w:rFonts w:hint="eastAsia" w:ascii="宋体" w:hAnsi="宋体"/>
                <w:b/>
              </w:rPr>
              <w:t>服务期限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06" w:hRule="atLeast"/>
        </w:trPr>
        <w:tc>
          <w:tcPr>
            <w:tcW w:w="2256" w:type="dxa"/>
            <w:tcBorders>
              <w:top w:val="double" w:color="auto" w:sz="4" w:space="0"/>
              <w:bottom w:val="single" w:color="auto" w:sz="4" w:space="0"/>
            </w:tcBorders>
            <w:vAlign w:val="center"/>
          </w:tcPr>
          <w:p>
            <w:pPr>
              <w:jc w:val="center"/>
              <w:rPr>
                <w:rFonts w:ascii="宋体"/>
                <w:bCs/>
              </w:rPr>
            </w:pPr>
            <w:r>
              <w:rPr>
                <w:rFonts w:hint="eastAsia" w:ascii="宋体" w:hAnsi="宋体"/>
              </w:rPr>
              <w:t>校车接送服务</w:t>
            </w:r>
          </w:p>
        </w:tc>
        <w:tc>
          <w:tcPr>
            <w:tcW w:w="1089" w:type="dxa"/>
            <w:tcBorders>
              <w:top w:val="double" w:color="auto" w:sz="4" w:space="0"/>
              <w:bottom w:val="single" w:color="auto" w:sz="4" w:space="0"/>
            </w:tcBorders>
            <w:vAlign w:val="center"/>
          </w:tcPr>
          <w:p>
            <w:pPr>
              <w:jc w:val="center"/>
              <w:rPr>
                <w:rFonts w:ascii="宋体"/>
                <w:bCs/>
              </w:rPr>
            </w:pPr>
            <w:r>
              <w:rPr>
                <w:rFonts w:hint="eastAsia" w:ascii="宋体" w:hAnsi="宋体"/>
                <w:bCs/>
              </w:rPr>
              <w:t>1项</w:t>
            </w:r>
          </w:p>
        </w:tc>
        <w:tc>
          <w:tcPr>
            <w:tcW w:w="3743" w:type="dxa"/>
            <w:tcBorders>
              <w:top w:val="double" w:color="auto" w:sz="4" w:space="0"/>
              <w:bottom w:val="single" w:color="auto" w:sz="4" w:space="0"/>
            </w:tcBorders>
            <w:vAlign w:val="center"/>
          </w:tcPr>
          <w:p>
            <w:pPr>
              <w:snapToGrid w:val="0"/>
              <w:rPr>
                <w:rFonts w:ascii="宋体"/>
                <w:bCs/>
              </w:rPr>
            </w:pPr>
            <w:r>
              <w:rPr>
                <w:rFonts w:hint="eastAsia" w:ascii="宋体"/>
                <w:bCs/>
              </w:rPr>
              <w:t>小写：RMB</w:t>
            </w:r>
          </w:p>
          <w:p>
            <w:pPr>
              <w:snapToGrid w:val="0"/>
              <w:rPr>
                <w:rFonts w:ascii="宋体"/>
                <w:bCs/>
                <w:u w:val="single"/>
              </w:rPr>
            </w:pPr>
          </w:p>
          <w:p>
            <w:pPr>
              <w:snapToGrid w:val="0"/>
              <w:rPr>
                <w:rFonts w:ascii="宋体"/>
                <w:bCs/>
                <w:u w:val="single"/>
              </w:rPr>
            </w:pPr>
            <w:r>
              <w:rPr>
                <w:rFonts w:hint="eastAsia" w:ascii="宋体"/>
                <w:bCs/>
              </w:rPr>
              <w:t>大写：</w:t>
            </w:r>
          </w:p>
        </w:tc>
        <w:tc>
          <w:tcPr>
            <w:tcW w:w="2268" w:type="dxa"/>
            <w:tcBorders>
              <w:top w:val="double" w:color="auto" w:sz="4" w:space="0"/>
              <w:bottom w:val="single" w:color="auto" w:sz="4" w:space="0"/>
            </w:tcBorders>
            <w:vAlign w:val="center"/>
          </w:tcPr>
          <w:p>
            <w:pPr>
              <w:pStyle w:val="80"/>
              <w:spacing w:line="360" w:lineRule="auto"/>
              <w:ind w:hanging="67"/>
              <w:rPr>
                <w:rFonts w:ascii="宋体" w:hAnsi="宋体"/>
                <w:snapToGrid/>
                <w:spacing w:val="0"/>
                <w:kern w:val="2"/>
                <w:sz w:val="21"/>
              </w:rPr>
            </w:pPr>
            <w:r>
              <w:rPr>
                <w:rFonts w:hint="eastAsia" w:ascii="宋体" w:hAnsi="宋体"/>
                <w:snapToGrid/>
                <w:spacing w:val="0"/>
                <w:kern w:val="2"/>
                <w:sz w:val="21"/>
              </w:rPr>
              <w:t>自合同签订之日起1年</w:t>
            </w:r>
          </w:p>
        </w:tc>
      </w:tr>
    </w:tbl>
    <w:p>
      <w:pPr>
        <w:snapToGrid w:val="0"/>
        <w:rPr>
          <w:rFonts w:ascii="宋体" w:hAnsi="宋体"/>
        </w:rPr>
      </w:pPr>
    </w:p>
    <w:p>
      <w:pPr>
        <w:snapToGrid w:val="0"/>
        <w:rPr>
          <w:rFonts w:ascii="宋体" w:hAnsi="宋体"/>
          <w:color w:val="0000FF"/>
        </w:rPr>
      </w:pPr>
    </w:p>
    <w:p>
      <w:pPr>
        <w:spacing w:line="500" w:lineRule="exact"/>
        <w:rPr>
          <w:rFonts w:ascii="宋体" w:hAnsi="宋体"/>
          <w:u w:val="single"/>
        </w:rPr>
      </w:pPr>
      <w:r>
        <w:rPr>
          <w:rFonts w:hint="eastAsia" w:ascii="宋体" w:hAnsi="宋体"/>
          <w:spacing w:val="4"/>
        </w:rPr>
        <w:t>响应供应商名称（盖公章）：</w:t>
      </w:r>
    </w:p>
    <w:p>
      <w:pPr>
        <w:rPr>
          <w:rFonts w:ascii="宋体" w:hAnsi="宋体"/>
          <w:spacing w:val="4"/>
        </w:rPr>
      </w:pPr>
    </w:p>
    <w:p>
      <w:pPr>
        <w:spacing w:line="520" w:lineRule="exact"/>
        <w:rPr>
          <w:rFonts w:ascii="宋体" w:hAnsi="宋体"/>
          <w:spacing w:val="4"/>
        </w:rPr>
      </w:pPr>
      <w:r>
        <w:rPr>
          <w:rFonts w:hint="eastAsia" w:ascii="宋体" w:hAnsi="宋体"/>
        </w:rPr>
        <w:t>法定代表人或响应供应商授权代表（签名或盖章）：</w:t>
      </w:r>
      <w:r>
        <w:rPr>
          <w:rFonts w:hint="eastAsia" w:ascii="宋体" w:hAnsi="宋体"/>
          <w:spacing w:val="4"/>
        </w:rPr>
        <w:t>职务：日期：</w:t>
      </w:r>
    </w:p>
    <w:p>
      <w:pPr>
        <w:spacing w:line="400" w:lineRule="exact"/>
        <w:rPr>
          <w:rFonts w:ascii="宋体" w:hAnsi="宋体"/>
          <w:b/>
          <w:bCs/>
        </w:rPr>
      </w:pPr>
    </w:p>
    <w:p>
      <w:pPr>
        <w:spacing w:line="400" w:lineRule="exact"/>
        <w:rPr>
          <w:rFonts w:ascii="宋体" w:hAnsi="宋体"/>
          <w:b/>
          <w:bCs/>
        </w:rPr>
      </w:pPr>
      <w:r>
        <w:rPr>
          <w:rFonts w:hint="eastAsia" w:ascii="宋体" w:hAnsi="宋体"/>
          <w:b/>
          <w:bCs/>
        </w:rPr>
        <w:t>备注：</w:t>
      </w:r>
    </w:p>
    <w:p>
      <w:pPr>
        <w:numPr>
          <w:ilvl w:val="0"/>
          <w:numId w:val="31"/>
        </w:numPr>
        <w:autoSpaceDE/>
        <w:autoSpaceDN/>
        <w:adjustRightInd/>
        <w:snapToGrid w:val="0"/>
        <w:spacing w:line="360" w:lineRule="auto"/>
        <w:jc w:val="both"/>
        <w:rPr>
          <w:spacing w:val="4"/>
        </w:rPr>
      </w:pPr>
      <w:r>
        <w:rPr>
          <w:rFonts w:hint="eastAsia"/>
          <w:spacing w:val="4"/>
        </w:rPr>
        <w:t>中文大写金额用汉字，如壹、贰、叁、肆、伍、陆、柒、捌、玖、拾、佰、仟、万、亿、元、角、分、零、整（正）等。</w:t>
      </w:r>
    </w:p>
    <w:p>
      <w:pPr>
        <w:numPr>
          <w:ilvl w:val="0"/>
          <w:numId w:val="31"/>
        </w:numPr>
        <w:autoSpaceDE/>
        <w:autoSpaceDN/>
        <w:adjustRightInd/>
        <w:snapToGrid w:val="0"/>
        <w:spacing w:line="360" w:lineRule="auto"/>
        <w:jc w:val="both"/>
        <w:rPr>
          <w:rFonts w:ascii="宋体" w:hAnsi="宋体"/>
          <w:b/>
        </w:rPr>
      </w:pPr>
      <w:r>
        <w:rPr>
          <w:rFonts w:hint="eastAsia" w:ascii="宋体" w:hAnsi="宋体"/>
          <w:b/>
        </w:rPr>
        <w:t>磋商总报价为各小计之和,投标报价的小数点后保留两位有效数。</w:t>
      </w:r>
    </w:p>
    <w:p>
      <w:pPr>
        <w:numPr>
          <w:ilvl w:val="0"/>
          <w:numId w:val="31"/>
        </w:numPr>
        <w:autoSpaceDE/>
        <w:autoSpaceDN/>
        <w:adjustRightInd/>
        <w:snapToGrid w:val="0"/>
        <w:spacing w:line="360" w:lineRule="auto"/>
        <w:jc w:val="both"/>
        <w:rPr>
          <w:rFonts w:ascii="宋体" w:hAnsi="宋体"/>
          <w:b/>
        </w:rPr>
      </w:pPr>
      <w:r>
        <w:rPr>
          <w:rFonts w:ascii="宋体" w:hAnsi="宋体"/>
          <w:b/>
        </w:rPr>
        <w:t>此表须附在正、副本的响应文件中</w:t>
      </w:r>
      <w:r>
        <w:rPr>
          <w:rFonts w:hint="eastAsia" w:ascii="宋体" w:hAnsi="宋体"/>
          <w:b/>
        </w:rPr>
        <w:t>。</w:t>
      </w:r>
    </w:p>
    <w:p>
      <w:pPr>
        <w:numPr>
          <w:ilvl w:val="0"/>
          <w:numId w:val="31"/>
        </w:numPr>
        <w:autoSpaceDE/>
        <w:autoSpaceDN/>
        <w:adjustRightInd/>
        <w:snapToGrid w:val="0"/>
        <w:spacing w:line="360" w:lineRule="auto"/>
        <w:jc w:val="both"/>
        <w:rPr>
          <w:rFonts w:ascii="宋体" w:hAnsi="宋体"/>
          <w:b/>
        </w:rPr>
      </w:pPr>
      <w:r>
        <w:rPr>
          <w:rFonts w:hint="eastAsia" w:ascii="宋体" w:hAnsi="宋体"/>
          <w:b/>
        </w:rPr>
        <w:t>磋商报价要求具体见第七章“磋商报价”要求。</w:t>
      </w:r>
    </w:p>
    <w:p>
      <w:pPr>
        <w:numPr>
          <w:ilvl w:val="0"/>
          <w:numId w:val="31"/>
        </w:numPr>
        <w:tabs>
          <w:tab w:val="left" w:pos="360"/>
        </w:tabs>
        <w:autoSpaceDE/>
        <w:autoSpaceDN/>
        <w:adjustRightInd/>
        <w:snapToGrid w:val="0"/>
        <w:spacing w:line="360" w:lineRule="auto"/>
        <w:jc w:val="both"/>
        <w:rPr>
          <w:b/>
          <w:u w:val="double"/>
        </w:rPr>
      </w:pPr>
      <w:r>
        <w:rPr>
          <w:rFonts w:hint="eastAsia"/>
          <w:b/>
          <w:u w:val="double"/>
        </w:rPr>
        <w:t>各响应供应商可自行保留一份《首次报价》，以便报价时参考用。</w:t>
      </w:r>
    </w:p>
    <w:p>
      <w:pPr>
        <w:numPr>
          <w:ilvl w:val="0"/>
          <w:numId w:val="31"/>
        </w:numPr>
        <w:tabs>
          <w:tab w:val="left" w:pos="360"/>
        </w:tabs>
        <w:autoSpaceDE/>
        <w:autoSpaceDN/>
        <w:adjustRightInd/>
        <w:snapToGrid w:val="0"/>
        <w:spacing w:line="360" w:lineRule="auto"/>
        <w:jc w:val="both"/>
        <w:rPr>
          <w:b/>
          <w:u w:val="double"/>
        </w:rPr>
      </w:pPr>
      <w:r>
        <w:rPr>
          <w:rFonts w:hint="eastAsia" w:ascii="宋体" w:hAnsi="宋体"/>
          <w:b/>
          <w:spacing w:val="6"/>
          <w:u w:val="double"/>
        </w:rPr>
        <w:t>如响应供应商提供投标产品中仅有部份小型和微型企业产品的，应在此表中予以明确并提供《中小企业声明函》，否则评审时不能享受相应的价格扣除。</w:t>
      </w:r>
    </w:p>
    <w:p>
      <w:pPr>
        <w:snapToGrid w:val="0"/>
        <w:spacing w:line="360" w:lineRule="auto"/>
        <w:ind w:left="1260"/>
        <w:rPr>
          <w:rFonts w:ascii="宋体" w:hAnsi="宋体"/>
          <w:b/>
          <w:bCs/>
        </w:rPr>
      </w:pPr>
    </w:p>
    <w:p>
      <w:pPr>
        <w:autoSpaceDE/>
        <w:autoSpaceDN/>
        <w:adjustRightInd/>
        <w:snapToGrid w:val="0"/>
        <w:spacing w:line="360" w:lineRule="auto"/>
        <w:jc w:val="both"/>
        <w:rPr>
          <w:rFonts w:ascii="宋体" w:hAnsi="宋体"/>
          <w:b/>
        </w:rPr>
      </w:pPr>
    </w:p>
    <w:p>
      <w:pPr>
        <w:autoSpaceDE/>
        <w:autoSpaceDN/>
        <w:adjustRightInd/>
        <w:spacing w:line="440" w:lineRule="exact"/>
        <w:ind w:left="780"/>
        <w:jc w:val="both"/>
        <w:rPr>
          <w:b/>
          <w:bCs/>
          <w:sz w:val="28"/>
        </w:rPr>
      </w:pPr>
    </w:p>
    <w:p>
      <w:pPr>
        <w:autoSpaceDE/>
        <w:autoSpaceDN/>
        <w:adjustRightInd/>
        <w:spacing w:line="440" w:lineRule="exact"/>
        <w:ind w:left="780" w:firstLine="1405" w:firstLineChars="500"/>
        <w:rPr>
          <w:rFonts w:ascii="黑体" w:hAnsi="黑体" w:eastAsia="黑体"/>
          <w:b/>
          <w:bCs/>
          <w:sz w:val="28"/>
          <w:szCs w:val="28"/>
        </w:rPr>
      </w:pPr>
      <w:r>
        <w:rPr>
          <w:b/>
          <w:bCs/>
          <w:sz w:val="28"/>
        </w:rPr>
        <w:br w:type="page"/>
      </w:r>
      <w:r>
        <w:rPr>
          <w:rFonts w:hint="eastAsia" w:ascii="黑体" w:hAnsi="黑体" w:eastAsia="黑体"/>
          <w:sz w:val="28"/>
          <w:szCs w:val="28"/>
        </w:rPr>
        <w:t>（如响应供应商不属于中小企业无须提供）</w:t>
      </w:r>
    </w:p>
    <w:p>
      <w:pPr>
        <w:pStyle w:val="3"/>
        <w:adjustRightInd w:val="0"/>
        <w:snapToGrid w:val="0"/>
        <w:spacing w:beforeLines="50" w:afterLines="50" w:line="360" w:lineRule="auto"/>
        <w:jc w:val="center"/>
        <w:rPr>
          <w:b w:val="0"/>
          <w:color w:val="FF0000"/>
        </w:rPr>
      </w:pPr>
      <w:bookmarkStart w:id="93" w:name="_Toc435514875"/>
      <w:bookmarkStart w:id="94" w:name="_Toc435515315"/>
      <w:bookmarkStart w:id="95" w:name="_Toc416771375"/>
      <w:bookmarkStart w:id="96" w:name="_Toc416770265"/>
      <w:bookmarkStart w:id="97" w:name="_Toc410736188"/>
      <w:bookmarkStart w:id="98" w:name="_Toc410738987"/>
      <w:r>
        <w:rPr>
          <w:rFonts w:hint="eastAsia"/>
          <w:b w:val="0"/>
        </w:rPr>
        <w:t>中小企业声明函</w:t>
      </w:r>
      <w:bookmarkEnd w:id="93"/>
      <w:bookmarkEnd w:id="94"/>
    </w:p>
    <w:p>
      <w:pPr>
        <w:jc w:val="center"/>
        <w:rPr>
          <w:rFonts w:ascii="宋体" w:hAnsi="宋体"/>
          <w:b/>
        </w:rPr>
      </w:pPr>
      <w:r>
        <w:rPr>
          <w:rFonts w:hint="eastAsia" w:ascii="宋体" w:hAnsi="宋体"/>
          <w:b/>
        </w:rPr>
        <w:t>（投标供应商认为其为中小企业的应提交本函，明确企业类型，否则评审时不能享受相应的价格扣除）</w:t>
      </w:r>
    </w:p>
    <w:p>
      <w:pPr>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rPr>
      </w:pPr>
      <w:r>
        <w:rPr>
          <w:rFonts w:hint="eastAsia" w:ascii="宋体" w:hAnsi="宋体"/>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rPr>
      </w:pPr>
      <w:r>
        <w:rPr>
          <w:rFonts w:hint="eastAsia" w:ascii="宋体" w:hAnsi="宋体"/>
        </w:rPr>
        <w:t>2、本公司参加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 xml:space="preserve"> 采购活动提供本企业制造的货物，由本企业承担工程、提供服务，或者提供其他（请填写：中型、小型、微型）企业制造的货物。本条所称货物不包括使用大型企业注册商标的货物。</w:t>
      </w:r>
    </w:p>
    <w:p>
      <w:pPr>
        <w:spacing w:line="360" w:lineRule="auto"/>
        <w:ind w:firstLine="420" w:firstLineChars="200"/>
        <w:rPr>
          <w:rFonts w:ascii="宋体" w:hAnsi="宋体"/>
        </w:rPr>
      </w:pPr>
      <w:r>
        <w:rPr>
          <w:rFonts w:hint="eastAsia" w:ascii="宋体" w:hAnsi="宋体"/>
        </w:rPr>
        <w:t>本公司对上述声明的真实性负责。如有虚假，将依法承担相应责任。</w:t>
      </w:r>
    </w:p>
    <w:p>
      <w:pPr>
        <w:spacing w:line="360" w:lineRule="auto"/>
        <w:ind w:firstLine="420" w:firstLineChars="200"/>
        <w:jc w:val="center"/>
        <w:rPr>
          <w:rFonts w:ascii="宋体" w:hAnsi="宋体"/>
        </w:rPr>
      </w:pPr>
    </w:p>
    <w:p>
      <w:pPr>
        <w:spacing w:line="360" w:lineRule="auto"/>
        <w:ind w:firstLine="420" w:firstLineChars="200"/>
        <w:jc w:val="center"/>
        <w:rPr>
          <w:rFonts w:ascii="宋体" w:hAnsi="宋体"/>
        </w:rPr>
      </w:pPr>
      <w:r>
        <w:rPr>
          <w:rFonts w:hint="eastAsia" w:ascii="宋体" w:hAnsi="宋体"/>
        </w:rPr>
        <w:t xml:space="preserve">                              响应供应商名称（单位盖</w:t>
      </w:r>
      <w:r>
        <w:rPr>
          <w:rFonts w:hint="eastAsia"/>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w:t>
      </w:r>
    </w:p>
    <w:p>
      <w:pPr>
        <w:spacing w:line="360" w:lineRule="auto"/>
        <w:ind w:firstLine="420" w:firstLineChars="200"/>
        <w:jc w:val="center"/>
        <w:rPr>
          <w:rFonts w:ascii="宋体" w:hAnsi="宋体"/>
        </w:rPr>
      </w:pPr>
    </w:p>
    <w:p>
      <w:pPr>
        <w:snapToGrid w:val="0"/>
        <w:spacing w:line="360" w:lineRule="auto"/>
        <w:rPr>
          <w:rFonts w:ascii="宋体" w:hAnsi="宋体"/>
          <w:u w:val="single"/>
        </w:rPr>
      </w:pPr>
      <w:r>
        <w:rPr>
          <w:rFonts w:hint="eastAsia" w:ascii="宋体" w:hAnsi="宋体"/>
          <w:spacing w:val="6"/>
        </w:rPr>
        <w:t>注:如响应供应商提供的货物中有其他小型或微型企业生产的货物时，请将货物制造商的《中小企业声明函》一并提供，否则该部分货物视为不符合价格扣除条件。</w:t>
      </w:r>
    </w:p>
    <w:p>
      <w:pPr>
        <w:pStyle w:val="3"/>
        <w:adjustRightInd w:val="0"/>
        <w:snapToGrid w:val="0"/>
        <w:spacing w:beforeLines="50" w:afterLines="50" w:line="360" w:lineRule="auto"/>
        <w:jc w:val="center"/>
        <w:rPr>
          <w:b w:val="0"/>
        </w:rPr>
      </w:pPr>
      <w:r>
        <w:rPr>
          <w:b w:val="0"/>
          <w:color w:val="FF0000"/>
        </w:rPr>
        <w:br w:type="page"/>
      </w:r>
      <w:r>
        <w:rPr>
          <w:rFonts w:hint="eastAsia"/>
          <w:b w:val="0"/>
        </w:rPr>
        <w:t>（如响应供应商不属于监狱企业无须提供）</w:t>
      </w:r>
    </w:p>
    <w:p>
      <w:pPr>
        <w:pStyle w:val="3"/>
        <w:adjustRightInd w:val="0"/>
        <w:snapToGrid w:val="0"/>
        <w:spacing w:beforeLines="50" w:afterLines="50" w:line="360" w:lineRule="auto"/>
        <w:jc w:val="center"/>
        <w:rPr>
          <w:b w:val="0"/>
        </w:rPr>
      </w:pPr>
      <w:r>
        <w:rPr>
          <w:rFonts w:hint="eastAsia"/>
          <w:b w:val="0"/>
        </w:rPr>
        <w:t>监狱企业的证明文件</w:t>
      </w:r>
    </w:p>
    <w:p>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pPr>
        <w:spacing w:line="440" w:lineRule="exact"/>
        <w:rPr>
          <w:u w:val="single"/>
        </w:rPr>
      </w:pPr>
    </w:p>
    <w:p>
      <w:pPr>
        <w:spacing w:line="440" w:lineRule="exact"/>
        <w:rPr>
          <w:u w:val="single"/>
        </w:rPr>
      </w:pPr>
    </w:p>
    <w:p>
      <w:pPr>
        <w:pStyle w:val="3"/>
        <w:adjustRightInd w:val="0"/>
        <w:snapToGrid w:val="0"/>
        <w:spacing w:beforeLines="50" w:afterLines="50" w:line="360" w:lineRule="auto"/>
        <w:jc w:val="center"/>
        <w:rPr>
          <w:b w:val="0"/>
        </w:rPr>
      </w:pPr>
      <w:r>
        <w:rPr>
          <w:rFonts w:hint="eastAsia"/>
          <w:b w:val="0"/>
        </w:rPr>
        <w:t>（如响应供应商不属于残疾人福利性单位无须提供）</w:t>
      </w:r>
    </w:p>
    <w:p>
      <w:pPr>
        <w:pStyle w:val="3"/>
        <w:adjustRightInd w:val="0"/>
        <w:snapToGrid w:val="0"/>
        <w:spacing w:beforeLines="50" w:afterLines="50" w:line="360" w:lineRule="auto"/>
        <w:jc w:val="center"/>
        <w:rPr>
          <w:b w:val="0"/>
        </w:rPr>
      </w:pPr>
      <w:bookmarkStart w:id="99" w:name="OLE_LINK14"/>
      <w:bookmarkStart w:id="100" w:name="OLE_LINK13"/>
      <w:r>
        <w:rPr>
          <w:rFonts w:hint="eastAsia"/>
          <w:b w:val="0"/>
        </w:rPr>
        <w:t>残疾人福利性单位声明函</w:t>
      </w:r>
    </w:p>
    <w:bookmarkEnd w:id="99"/>
    <w:bookmarkEnd w:id="100"/>
    <w:p>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pPr>
        <w:spacing w:line="588" w:lineRule="exact"/>
        <w:ind w:firstLine="444" w:firstLineChars="200"/>
        <w:rPr>
          <w:rFonts w:ascii="宋体" w:hAnsi="宋体"/>
          <w:spacing w:val="6"/>
        </w:rPr>
      </w:pPr>
    </w:p>
    <w:p>
      <w:pPr>
        <w:spacing w:line="588" w:lineRule="exact"/>
        <w:ind w:firstLine="444" w:firstLineChars="200"/>
        <w:rPr>
          <w:rFonts w:ascii="宋体" w:hAnsi="宋体"/>
          <w:spacing w:val="6"/>
        </w:rPr>
      </w:pPr>
    </w:p>
    <w:p>
      <w:pPr>
        <w:tabs>
          <w:tab w:val="left" w:pos="4860"/>
        </w:tabs>
        <w:spacing w:line="588" w:lineRule="exact"/>
        <w:ind w:right="1560" w:firstLine="444" w:firstLineChars="200"/>
        <w:jc w:val="center"/>
        <w:rPr>
          <w:rFonts w:ascii="宋体" w:hAnsi="宋体"/>
          <w:spacing w:val="6"/>
        </w:rPr>
      </w:pPr>
      <w:r>
        <w:rPr>
          <w:rFonts w:hint="eastAsia" w:ascii="宋体" w:hAnsi="宋体"/>
          <w:spacing w:val="6"/>
        </w:rPr>
        <w:t>单位名称（盖章）：</w:t>
      </w:r>
    </w:p>
    <w:p>
      <w:pPr>
        <w:tabs>
          <w:tab w:val="left" w:pos="4860"/>
        </w:tabs>
        <w:spacing w:line="588" w:lineRule="exact"/>
        <w:ind w:right="1560" w:firstLine="444" w:firstLineChars="200"/>
        <w:jc w:val="center"/>
        <w:rPr>
          <w:rFonts w:ascii="宋体" w:hAnsi="宋体"/>
          <w:spacing w:val="6"/>
        </w:rPr>
      </w:pPr>
      <w:r>
        <w:rPr>
          <w:rFonts w:hint="eastAsia" w:ascii="宋体" w:hAnsi="宋体"/>
          <w:spacing w:val="6"/>
        </w:rPr>
        <w:t>日  期：</w:t>
      </w:r>
    </w:p>
    <w:bookmarkEnd w:id="95"/>
    <w:bookmarkEnd w:id="96"/>
    <w:bookmarkEnd w:id="97"/>
    <w:bookmarkEnd w:id="98"/>
    <w:p>
      <w:pPr>
        <w:autoSpaceDE/>
        <w:autoSpaceDN/>
        <w:adjustRightInd/>
        <w:spacing w:after="100" w:afterAutospacing="1" w:line="440" w:lineRule="exact"/>
        <w:jc w:val="center"/>
        <w:rPr>
          <w:rFonts w:ascii="Arial" w:hAnsi="Arial" w:eastAsia="黑体"/>
          <w:bCs/>
          <w:kern w:val="2"/>
          <w:sz w:val="32"/>
          <w:szCs w:val="32"/>
        </w:rPr>
      </w:pPr>
      <w:bookmarkStart w:id="101" w:name="_Toc410738988"/>
      <w:bookmarkStart w:id="102" w:name="_Toc275865614"/>
      <w:bookmarkStart w:id="103" w:name="_Toc410736189"/>
      <w:r>
        <w:rPr>
          <w:rFonts w:ascii="宋体" w:hAnsi="宋体"/>
          <w:spacing w:val="4"/>
          <w:u w:val="single"/>
        </w:rPr>
        <w:br w:type="page"/>
      </w:r>
      <w:r>
        <w:rPr>
          <w:rFonts w:hint="eastAsia" w:ascii="Arial" w:hAnsi="Arial" w:eastAsia="黑体"/>
          <w:bCs/>
          <w:kern w:val="2"/>
          <w:sz w:val="32"/>
          <w:szCs w:val="32"/>
        </w:rPr>
        <w:t>技术服务方案</w:t>
      </w:r>
    </w:p>
    <w:p>
      <w:pPr>
        <w:spacing w:line="400" w:lineRule="exact"/>
        <w:rPr>
          <w:rFonts w:ascii="宋体" w:hAnsi="宋体"/>
        </w:rPr>
      </w:pPr>
    </w:p>
    <w:p>
      <w:pPr>
        <w:snapToGrid w:val="0"/>
        <w:spacing w:line="360" w:lineRule="auto"/>
        <w:rPr>
          <w:rFonts w:ascii="宋体" w:hAnsi="宋体"/>
          <w:b/>
        </w:rPr>
      </w:pPr>
      <w:r>
        <w:rPr>
          <w:rFonts w:hint="eastAsia" w:ascii="宋体" w:hAnsi="宋体"/>
          <w:b/>
        </w:rPr>
        <w:t>主要内容应包括但不限于以下内容（格式自定）：</w:t>
      </w:r>
    </w:p>
    <w:p>
      <w:pPr>
        <w:autoSpaceDE/>
        <w:autoSpaceDN/>
        <w:adjustRightInd/>
        <w:spacing w:line="520" w:lineRule="exact"/>
        <w:ind w:firstLine="140" w:firstLineChars="67"/>
        <w:jc w:val="both"/>
        <w:rPr>
          <w:rFonts w:ascii="宋体" w:hAnsi="宋体"/>
        </w:rPr>
      </w:pPr>
      <w:r>
        <w:rPr>
          <w:rFonts w:hint="eastAsia" w:ascii="宋体" w:hAnsi="宋体"/>
        </w:rPr>
        <w:t>1. 拟投入车辆</w:t>
      </w:r>
    </w:p>
    <w:p>
      <w:pPr>
        <w:autoSpaceDE/>
        <w:autoSpaceDN/>
        <w:adjustRightInd/>
        <w:spacing w:line="520" w:lineRule="exact"/>
        <w:ind w:firstLine="140" w:firstLineChars="67"/>
        <w:jc w:val="both"/>
        <w:rPr>
          <w:rFonts w:ascii="宋体" w:hAnsi="宋体"/>
        </w:rPr>
      </w:pPr>
      <w:r>
        <w:rPr>
          <w:rFonts w:hint="eastAsia" w:ascii="宋体" w:hAnsi="宋体"/>
        </w:rPr>
        <w:t xml:space="preserve">2. </w:t>
      </w:r>
      <w:r>
        <w:rPr>
          <w:rFonts w:hint="eastAsia" w:ascii="宋体" w:hAnsi="宋体" w:cs="宋体"/>
        </w:rPr>
        <w:t>拟投入人员</w:t>
      </w:r>
    </w:p>
    <w:p>
      <w:pPr>
        <w:autoSpaceDE/>
        <w:autoSpaceDN/>
        <w:adjustRightInd/>
        <w:spacing w:line="520" w:lineRule="exact"/>
        <w:ind w:firstLine="140" w:firstLineChars="67"/>
        <w:jc w:val="both"/>
        <w:rPr>
          <w:rFonts w:hAnsi="宋体"/>
          <w:bCs/>
        </w:rPr>
      </w:pPr>
      <w:r>
        <w:rPr>
          <w:rFonts w:hint="eastAsia" w:ascii="宋体" w:hAnsi="宋体"/>
        </w:rPr>
        <w:t xml:space="preserve">3. </w:t>
      </w:r>
      <w:r>
        <w:rPr>
          <w:rFonts w:hint="eastAsia" w:hAnsi="宋体"/>
          <w:bCs/>
        </w:rPr>
        <w:t>服务方案</w:t>
      </w:r>
    </w:p>
    <w:p>
      <w:pPr>
        <w:autoSpaceDE/>
        <w:autoSpaceDN/>
        <w:adjustRightInd/>
        <w:spacing w:line="520" w:lineRule="exact"/>
        <w:ind w:firstLine="140" w:firstLineChars="67"/>
        <w:jc w:val="both"/>
        <w:rPr>
          <w:rFonts w:ascii="宋体" w:hAnsi="宋体"/>
        </w:rPr>
      </w:pPr>
      <w:r>
        <w:rPr>
          <w:rFonts w:hint="eastAsia" w:ascii="宋体" w:hAnsi="宋体"/>
        </w:rPr>
        <w:t>4.</w:t>
      </w:r>
      <w:r>
        <w:rPr>
          <w:rFonts w:hint="eastAsia" w:hAnsi="宋体"/>
          <w:bCs/>
        </w:rPr>
        <w:t>安全措施</w:t>
      </w:r>
    </w:p>
    <w:p>
      <w:pPr>
        <w:tabs>
          <w:tab w:val="left" w:pos="630"/>
        </w:tabs>
        <w:autoSpaceDE/>
        <w:autoSpaceDN/>
        <w:adjustRightInd/>
        <w:spacing w:line="520" w:lineRule="exact"/>
        <w:ind w:firstLine="140" w:firstLineChars="67"/>
        <w:jc w:val="both"/>
        <w:rPr>
          <w:rFonts w:ascii="宋体" w:hAnsi="宋体"/>
        </w:rPr>
      </w:pPr>
      <w:r>
        <w:rPr>
          <w:rFonts w:hint="eastAsia" w:ascii="宋体" w:hAnsi="宋体"/>
        </w:rPr>
        <w:t>5. 响应供应商认为对投标有利的其他资料</w:t>
      </w:r>
    </w:p>
    <w:p>
      <w:pPr>
        <w:spacing w:line="400" w:lineRule="exact"/>
        <w:rPr>
          <w:rFonts w:ascii="宋体" w:hAnsi="宋体"/>
        </w:rPr>
      </w:pPr>
    </w:p>
    <w:p>
      <w:pPr>
        <w:spacing w:line="440" w:lineRule="exact"/>
        <w:rPr>
          <w:rFonts w:ascii="黑体" w:eastAsia="黑体"/>
          <w:bCs/>
          <w:sz w:val="28"/>
        </w:rPr>
      </w:pPr>
    </w:p>
    <w:p>
      <w:pPr>
        <w:spacing w:line="440" w:lineRule="exact"/>
        <w:rPr>
          <w:rFonts w:ascii="黑体" w:eastAsia="黑体"/>
          <w:bCs/>
          <w:sz w:val="28"/>
        </w:rPr>
      </w:pPr>
    </w:p>
    <w:p>
      <w:pPr>
        <w:spacing w:line="440" w:lineRule="exact"/>
        <w:rPr>
          <w:rFonts w:ascii="黑体" w:eastAsia="黑体"/>
          <w:bCs/>
          <w:sz w:val="28"/>
        </w:rPr>
      </w:pPr>
    </w:p>
    <w:p>
      <w:pPr>
        <w:spacing w:line="500" w:lineRule="exact"/>
        <w:ind w:firstLine="436" w:firstLineChars="200"/>
        <w:rPr>
          <w:rFonts w:ascii="宋体" w:hAnsi="宋体"/>
          <w:u w:val="single"/>
        </w:rPr>
      </w:pPr>
      <w:r>
        <w:rPr>
          <w:rFonts w:hint="eastAsia"/>
          <w:spacing w:val="4"/>
        </w:rPr>
        <w:t>响应供应商名称（盖公章）：</w:t>
      </w:r>
    </w:p>
    <w:p>
      <w:pPr>
        <w:ind w:firstLine="436" w:firstLineChars="200"/>
        <w:rPr>
          <w:spacing w:val="4"/>
        </w:rPr>
      </w:pPr>
    </w:p>
    <w:p>
      <w:pPr>
        <w:spacing w:line="520" w:lineRule="exact"/>
        <w:ind w:firstLine="436" w:firstLineChars="200"/>
        <w:rPr>
          <w:spacing w:val="4"/>
        </w:rPr>
      </w:pPr>
      <w:r>
        <w:rPr>
          <w:rFonts w:hint="eastAsia"/>
          <w:spacing w:val="4"/>
        </w:rPr>
        <w:t>日期</w:t>
      </w:r>
    </w:p>
    <w:bookmarkEnd w:id="101"/>
    <w:bookmarkEnd w:id="102"/>
    <w:bookmarkEnd w:id="103"/>
    <w:p>
      <w:pPr>
        <w:autoSpaceDE/>
        <w:autoSpaceDN/>
        <w:adjustRightInd/>
        <w:spacing w:line="440" w:lineRule="exact"/>
        <w:jc w:val="both"/>
        <w:rPr>
          <w:rFonts w:ascii="黑体" w:eastAsia="黑体"/>
          <w:bCs/>
          <w:sz w:val="28"/>
        </w:rPr>
      </w:pPr>
      <w:bookmarkStart w:id="104" w:name="_Toc50703730"/>
      <w:bookmarkStart w:id="105" w:name="_Toc50691037"/>
      <w:bookmarkStart w:id="106" w:name="_Toc43264518"/>
    </w:p>
    <w:p>
      <w:pPr>
        <w:autoSpaceDE/>
        <w:autoSpaceDN/>
        <w:adjustRightInd/>
        <w:spacing w:line="440" w:lineRule="exact"/>
        <w:jc w:val="both"/>
        <w:rPr>
          <w:rFonts w:ascii="黑体" w:eastAsia="黑体"/>
          <w:bCs/>
          <w:sz w:val="28"/>
        </w:rPr>
      </w:pPr>
    </w:p>
    <w:p>
      <w:pPr>
        <w:pStyle w:val="3"/>
        <w:adjustRightInd w:val="0"/>
        <w:snapToGrid w:val="0"/>
        <w:spacing w:beforeLines="50" w:afterLines="50" w:line="360" w:lineRule="auto"/>
        <w:jc w:val="center"/>
        <w:rPr>
          <w:b w:val="0"/>
        </w:rPr>
      </w:pPr>
      <w:r>
        <w:rPr>
          <w:rFonts w:ascii="黑体"/>
          <w:bCs w:val="0"/>
          <w:sz w:val="28"/>
        </w:rPr>
        <w:br w:type="page"/>
      </w:r>
      <w:bookmarkStart w:id="107" w:name="_Toc275865616"/>
      <w:bookmarkStart w:id="108" w:name="_Toc416771381"/>
      <w:bookmarkStart w:id="109" w:name="_Toc416770270"/>
      <w:bookmarkStart w:id="110" w:name="_Toc410738989"/>
      <w:bookmarkStart w:id="111" w:name="_Toc173553182"/>
      <w:bookmarkStart w:id="112" w:name="_Toc410736190"/>
      <w:r>
        <w:rPr>
          <w:rFonts w:hint="eastAsia"/>
          <w:b w:val="0"/>
        </w:rPr>
        <w:t>响应供应商基本情况表</w:t>
      </w:r>
      <w:bookmarkEnd w:id="107"/>
      <w:bookmarkEnd w:id="108"/>
      <w:bookmarkEnd w:id="109"/>
      <w:bookmarkEnd w:id="110"/>
      <w:bookmarkEnd w:id="111"/>
      <w:bookmarkEnd w:id="112"/>
    </w:p>
    <w:p>
      <w:pPr>
        <w:numPr>
          <w:ilvl w:val="0"/>
          <w:numId w:val="32"/>
        </w:numPr>
        <w:autoSpaceDE/>
        <w:autoSpaceDN/>
        <w:adjustRightInd/>
        <w:spacing w:line="360" w:lineRule="auto"/>
        <w:jc w:val="both"/>
        <w:rPr>
          <w:rFonts w:ascii="宋体" w:hAnsi="宋体" w:cs="Arial"/>
        </w:rPr>
      </w:pPr>
      <w:r>
        <w:rPr>
          <w:rFonts w:ascii="宋体" w:hAnsi="宋体" w:cs="Arial"/>
        </w:rPr>
        <w:t>公司基本情况</w:t>
      </w:r>
    </w:p>
    <w:p>
      <w:pPr>
        <w:numPr>
          <w:ilvl w:val="1"/>
          <w:numId w:val="32"/>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pPr>
        <w:numPr>
          <w:ilvl w:val="1"/>
          <w:numId w:val="32"/>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pPr>
        <w:numPr>
          <w:ilvl w:val="1"/>
          <w:numId w:val="32"/>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pPr>
        <w:numPr>
          <w:ilvl w:val="1"/>
          <w:numId w:val="32"/>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pPr>
        <w:numPr>
          <w:ilvl w:val="1"/>
          <w:numId w:val="32"/>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pPr>
        <w:numPr>
          <w:ilvl w:val="1"/>
          <w:numId w:val="32"/>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pPr>
        <w:spacing w:line="360" w:lineRule="auto"/>
        <w:ind w:left="360"/>
        <w:rPr>
          <w:rFonts w:ascii="宋体" w:hAnsi="宋体" w:cs="Arial"/>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pPr>
        <w:numPr>
          <w:ilvl w:val="1"/>
          <w:numId w:val="32"/>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38"/>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pPr>
              <w:spacing w:line="360" w:lineRule="auto"/>
              <w:jc w:val="center"/>
              <w:rPr>
                <w:rFonts w:ascii="宋体" w:hAnsi="宋体" w:cs="Arial"/>
              </w:rPr>
            </w:pPr>
            <w:r>
              <w:rPr>
                <w:rFonts w:hint="eastAsia" w:ascii="宋体" w:hAnsi="宋体" w:cs="Arial"/>
              </w:rPr>
              <w:t>序号</w:t>
            </w:r>
          </w:p>
        </w:tc>
        <w:tc>
          <w:tcPr>
            <w:tcW w:w="1489" w:type="dxa"/>
            <w:vAlign w:val="center"/>
          </w:tcPr>
          <w:p>
            <w:pPr>
              <w:spacing w:line="276" w:lineRule="auto"/>
              <w:jc w:val="center"/>
              <w:rPr>
                <w:rFonts w:ascii="宋体" w:hAnsi="宋体" w:cs="Arial"/>
              </w:rPr>
            </w:pPr>
            <w:r>
              <w:rPr>
                <w:rFonts w:hint="eastAsia" w:ascii="宋体" w:hAnsi="宋体" w:cs="Arial"/>
              </w:rPr>
              <w:t>名称</w:t>
            </w:r>
          </w:p>
          <w:p>
            <w:pPr>
              <w:spacing w:line="276" w:lineRule="auto"/>
              <w:jc w:val="center"/>
              <w:rPr>
                <w:rFonts w:ascii="宋体" w:hAnsi="宋体" w:cs="Arial"/>
              </w:rPr>
            </w:pPr>
            <w:r>
              <w:rPr>
                <w:rFonts w:hint="eastAsia" w:ascii="宋体" w:hAnsi="宋体" w:cs="Arial"/>
              </w:rPr>
              <w:t>（姓名）</w:t>
            </w:r>
          </w:p>
        </w:tc>
        <w:tc>
          <w:tcPr>
            <w:tcW w:w="2049"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出资额</w:t>
            </w:r>
          </w:p>
          <w:p>
            <w:pPr>
              <w:pStyle w:val="35"/>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占全部股份比例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Arial"/>
              </w:rPr>
            </w:pPr>
            <w:r>
              <w:rPr>
                <w:rFonts w:hint="eastAsia" w:ascii="宋体" w:hAnsi="宋体" w:cs="Arial"/>
              </w:rPr>
              <w:t>1</w:t>
            </w:r>
          </w:p>
        </w:tc>
        <w:tc>
          <w:tcPr>
            <w:tcW w:w="1489" w:type="dxa"/>
          </w:tcPr>
          <w:p>
            <w:pPr>
              <w:spacing w:line="360" w:lineRule="auto"/>
              <w:jc w:val="center"/>
              <w:rPr>
                <w:rFonts w:ascii="宋体" w:hAnsi="宋体" w:cs="Arial"/>
              </w:rPr>
            </w:pPr>
          </w:p>
        </w:tc>
        <w:tc>
          <w:tcPr>
            <w:tcW w:w="2049" w:type="dxa"/>
          </w:tcPr>
          <w:p>
            <w:pPr>
              <w:spacing w:line="360" w:lineRule="auto"/>
              <w:jc w:val="center"/>
              <w:rPr>
                <w:rFonts w:ascii="宋体" w:hAnsi="宋体" w:cs="Arial"/>
              </w:rPr>
            </w:pPr>
          </w:p>
        </w:tc>
        <w:tc>
          <w:tcPr>
            <w:tcW w:w="1957"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Arial"/>
              </w:rPr>
            </w:pPr>
            <w:r>
              <w:rPr>
                <w:rFonts w:hint="eastAsia" w:ascii="宋体" w:hAnsi="宋体" w:cs="Arial"/>
              </w:rPr>
              <w:t>2</w:t>
            </w:r>
          </w:p>
        </w:tc>
        <w:tc>
          <w:tcPr>
            <w:tcW w:w="1489" w:type="dxa"/>
          </w:tcPr>
          <w:p>
            <w:pPr>
              <w:spacing w:line="360" w:lineRule="auto"/>
              <w:jc w:val="center"/>
              <w:rPr>
                <w:rFonts w:ascii="宋体" w:hAnsi="宋体" w:cs="Arial"/>
              </w:rPr>
            </w:pPr>
          </w:p>
        </w:tc>
        <w:tc>
          <w:tcPr>
            <w:tcW w:w="2049" w:type="dxa"/>
          </w:tcPr>
          <w:p>
            <w:pPr>
              <w:spacing w:line="360" w:lineRule="auto"/>
              <w:jc w:val="center"/>
              <w:rPr>
                <w:rFonts w:ascii="宋体" w:hAnsi="宋体" w:cs="Arial"/>
              </w:rPr>
            </w:pPr>
          </w:p>
        </w:tc>
        <w:tc>
          <w:tcPr>
            <w:tcW w:w="1957"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Arial"/>
              </w:rPr>
            </w:pPr>
            <w:r>
              <w:rPr>
                <w:rFonts w:hint="eastAsia" w:ascii="宋体" w:hAnsi="宋体" w:cs="Arial"/>
              </w:rPr>
              <w:t>…</w:t>
            </w:r>
          </w:p>
        </w:tc>
        <w:tc>
          <w:tcPr>
            <w:tcW w:w="1489" w:type="dxa"/>
          </w:tcPr>
          <w:p>
            <w:pPr>
              <w:spacing w:line="360" w:lineRule="auto"/>
              <w:jc w:val="center"/>
              <w:rPr>
                <w:rFonts w:ascii="宋体" w:hAnsi="宋体" w:cs="Arial"/>
              </w:rPr>
            </w:pPr>
          </w:p>
        </w:tc>
        <w:tc>
          <w:tcPr>
            <w:tcW w:w="2049" w:type="dxa"/>
          </w:tcPr>
          <w:p>
            <w:pPr>
              <w:spacing w:line="360" w:lineRule="auto"/>
              <w:jc w:val="center"/>
              <w:rPr>
                <w:rFonts w:ascii="宋体" w:hAnsi="宋体" w:cs="Arial"/>
              </w:rPr>
            </w:pPr>
          </w:p>
        </w:tc>
        <w:tc>
          <w:tcPr>
            <w:tcW w:w="1957"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r>
    </w:tbl>
    <w:p>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pPr>
        <w:spacing w:line="360" w:lineRule="auto"/>
        <w:rPr>
          <w:rFonts w:ascii="宋体" w:hAnsi="宋体" w:cs="Arial"/>
        </w:rPr>
      </w:pPr>
      <w:r>
        <w:rPr>
          <w:rFonts w:hint="eastAsia" w:ascii="宋体" w:hAnsi="宋体" w:cs="Arial"/>
        </w:rPr>
        <w:t>2. 出资方式填写：货币、实物、工艺产权和非专利技术、土地使用权等。</w:t>
      </w:r>
    </w:p>
    <w:p>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pPr>
        <w:numPr>
          <w:ilvl w:val="0"/>
          <w:numId w:val="32"/>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38"/>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pPr>
              <w:spacing w:line="360" w:lineRule="auto"/>
              <w:jc w:val="center"/>
              <w:rPr>
                <w:rFonts w:ascii="宋体" w:hAnsi="宋体" w:cs="Arial"/>
              </w:rPr>
            </w:pPr>
            <w:r>
              <w:rPr>
                <w:rFonts w:ascii="宋体" w:hAnsi="宋体" w:cs="Arial"/>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pPr>
              <w:spacing w:line="360" w:lineRule="auto"/>
              <w:jc w:val="center"/>
              <w:rPr>
                <w:rFonts w:ascii="宋体" w:hAnsi="宋体" w:cs="Arial"/>
              </w:rPr>
            </w:pPr>
          </w:p>
        </w:tc>
        <w:tc>
          <w:tcPr>
            <w:tcW w:w="2464" w:type="dxa"/>
          </w:tcPr>
          <w:p>
            <w:pPr>
              <w:spacing w:line="360" w:lineRule="auto"/>
              <w:jc w:val="center"/>
              <w:rPr>
                <w:rFonts w:ascii="宋体" w:hAnsi="宋体" w:cs="Arial"/>
              </w:rPr>
            </w:pPr>
          </w:p>
        </w:tc>
        <w:tc>
          <w:tcPr>
            <w:tcW w:w="2464" w:type="dxa"/>
          </w:tcPr>
          <w:p>
            <w:pPr>
              <w:spacing w:line="360" w:lineRule="auto"/>
              <w:jc w:val="center"/>
              <w:rPr>
                <w:rFonts w:ascii="宋体" w:hAnsi="宋体" w:cs="Arial"/>
              </w:rPr>
            </w:pPr>
          </w:p>
        </w:tc>
        <w:tc>
          <w:tcPr>
            <w:tcW w:w="2464" w:type="dxa"/>
            <w:tcBorders>
              <w:right w:val="single" w:color="auto" w:sz="12" w:space="0"/>
            </w:tcBorders>
          </w:tcPr>
          <w:p>
            <w:pPr>
              <w:spacing w:line="360" w:lineRule="auto"/>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pPr>
              <w:spacing w:line="360" w:lineRule="auto"/>
              <w:jc w:val="center"/>
              <w:rPr>
                <w:rFonts w:ascii="宋体" w:hAnsi="宋体" w:cs="Arial"/>
              </w:rPr>
            </w:pPr>
          </w:p>
        </w:tc>
        <w:tc>
          <w:tcPr>
            <w:tcW w:w="2464" w:type="dxa"/>
            <w:tcBorders>
              <w:bottom w:val="single" w:color="auto" w:sz="12" w:space="0"/>
            </w:tcBorders>
          </w:tcPr>
          <w:p>
            <w:pPr>
              <w:spacing w:line="360" w:lineRule="auto"/>
              <w:jc w:val="center"/>
              <w:rPr>
                <w:rFonts w:ascii="宋体" w:hAnsi="宋体" w:cs="Arial"/>
              </w:rPr>
            </w:pPr>
          </w:p>
        </w:tc>
        <w:tc>
          <w:tcPr>
            <w:tcW w:w="2464" w:type="dxa"/>
            <w:tcBorders>
              <w:bottom w:val="single" w:color="auto" w:sz="12" w:space="0"/>
            </w:tcBorders>
          </w:tcPr>
          <w:p>
            <w:pPr>
              <w:spacing w:line="360" w:lineRule="auto"/>
              <w:jc w:val="center"/>
              <w:rPr>
                <w:rFonts w:ascii="宋体" w:hAnsi="宋体" w:cs="Arial"/>
              </w:rPr>
            </w:pPr>
          </w:p>
        </w:tc>
        <w:tc>
          <w:tcPr>
            <w:tcW w:w="2464" w:type="dxa"/>
            <w:tcBorders>
              <w:bottom w:val="single" w:color="auto" w:sz="12" w:space="0"/>
              <w:right w:val="single" w:color="auto" w:sz="12" w:space="0"/>
            </w:tcBorders>
          </w:tcPr>
          <w:p>
            <w:pPr>
              <w:spacing w:line="360" w:lineRule="auto"/>
              <w:jc w:val="center"/>
              <w:rPr>
                <w:rFonts w:ascii="宋体" w:hAnsi="宋体" w:cs="Arial"/>
              </w:rPr>
            </w:pPr>
          </w:p>
        </w:tc>
      </w:tr>
    </w:tbl>
    <w:p>
      <w:pPr>
        <w:spacing w:line="360" w:lineRule="auto"/>
        <w:rPr>
          <w:rFonts w:ascii="宋体" w:hAnsi="宋体" w:cs="Arial"/>
        </w:rPr>
      </w:pPr>
    </w:p>
    <w:p>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bookmarkStart w:id="113" w:name="_Toc43264525"/>
    </w:p>
    <w:p>
      <w:pPr>
        <w:spacing w:line="500" w:lineRule="exact"/>
        <w:ind w:left="1"/>
        <w:rPr>
          <w:rFonts w:ascii="宋体" w:hAnsi="宋体"/>
          <w:u w:val="single"/>
        </w:rPr>
      </w:pPr>
      <w:r>
        <w:rPr>
          <w:rFonts w:hint="eastAsia"/>
          <w:spacing w:val="4"/>
        </w:rPr>
        <w:t>响应供应商名称（盖公章）：</w:t>
      </w:r>
    </w:p>
    <w:p>
      <w:pPr>
        <w:ind w:left="1"/>
        <w:rPr>
          <w:spacing w:val="4"/>
        </w:rPr>
      </w:pPr>
    </w:p>
    <w:p>
      <w:pPr>
        <w:spacing w:line="520" w:lineRule="exact"/>
        <w:ind w:left="-6"/>
        <w:rPr>
          <w:spacing w:val="4"/>
          <w:u w:val="single"/>
        </w:rPr>
      </w:pPr>
      <w:r>
        <w:rPr>
          <w:rFonts w:hint="eastAsia"/>
          <w:spacing w:val="4"/>
        </w:rPr>
        <w:t>日期：</w:t>
      </w:r>
    </w:p>
    <w:p>
      <w:pPr>
        <w:pStyle w:val="3"/>
        <w:adjustRightInd w:val="0"/>
        <w:snapToGrid w:val="0"/>
        <w:spacing w:beforeLines="50" w:afterLines="50" w:line="360" w:lineRule="auto"/>
        <w:jc w:val="center"/>
        <w:rPr>
          <w:b w:val="0"/>
        </w:rPr>
      </w:pPr>
      <w:bookmarkStart w:id="114" w:name="_Toc50691044"/>
      <w:bookmarkStart w:id="115" w:name="_Toc52165085"/>
      <w:bookmarkStart w:id="116" w:name="_Toc50736481"/>
      <w:bookmarkStart w:id="117" w:name="_Toc416770271"/>
      <w:bookmarkStart w:id="118" w:name="_Toc275865617"/>
      <w:bookmarkStart w:id="119" w:name="_Toc50737301"/>
      <w:bookmarkStart w:id="120" w:name="_Toc410738990"/>
      <w:bookmarkStart w:id="121" w:name="_Toc410736191"/>
      <w:bookmarkStart w:id="122" w:name="_Toc416771382"/>
      <w:bookmarkStart w:id="123" w:name="_Toc50737333"/>
      <w:r>
        <w:rPr>
          <w:rFonts w:hint="eastAsia"/>
          <w:b w:val="0"/>
        </w:rPr>
        <w:t>2020至今同类接送项目情况一览表</w:t>
      </w:r>
      <w:bookmarkEnd w:id="113"/>
      <w:bookmarkEnd w:id="114"/>
      <w:bookmarkEnd w:id="115"/>
      <w:bookmarkEnd w:id="116"/>
      <w:bookmarkEnd w:id="117"/>
      <w:bookmarkEnd w:id="118"/>
      <w:bookmarkEnd w:id="119"/>
      <w:bookmarkEnd w:id="120"/>
      <w:bookmarkEnd w:id="121"/>
      <w:bookmarkEnd w:id="122"/>
      <w:bookmarkEnd w:id="123"/>
    </w:p>
    <w:p>
      <w:pPr>
        <w:spacing w:line="400" w:lineRule="exact"/>
        <w:rPr>
          <w:rFonts w:ascii="宋体" w:hAnsi="宋体"/>
          <w:u w:val="single"/>
        </w:rPr>
      </w:pPr>
      <w:r>
        <w:rPr>
          <w:rFonts w:hint="eastAsia" w:ascii="宋体" w:hAnsi="宋体"/>
        </w:rPr>
        <w:t>项目编号：</w:t>
      </w:r>
    </w:p>
    <w:tbl>
      <w:tblPr>
        <w:tblStyle w:val="38"/>
        <w:tblW w:w="922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124"/>
        <w:gridCol w:w="1372"/>
        <w:gridCol w:w="1690"/>
        <w:gridCol w:w="1096"/>
        <w:gridCol w:w="1637"/>
        <w:gridCol w:w="18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68" w:type="dxa"/>
            <w:tcBorders>
              <w:top w:val="single" w:color="auto" w:sz="12" w:space="0"/>
              <w:bottom w:val="double" w:color="auto" w:sz="4" w:space="0"/>
            </w:tcBorders>
            <w:shd w:val="clear" w:color="auto" w:fill="EEECE1"/>
            <w:vAlign w:val="center"/>
          </w:tcPr>
          <w:p>
            <w:pPr>
              <w:snapToGrid w:val="0"/>
              <w:ind w:left="-111" w:leftChars="-53" w:right="-111" w:rightChars="-53"/>
              <w:jc w:val="center"/>
              <w:rPr>
                <w:rFonts w:ascii="宋体" w:hAnsi="宋体"/>
              </w:rPr>
            </w:pPr>
            <w:r>
              <w:rPr>
                <w:rFonts w:hint="eastAsia" w:ascii="宋体" w:hAnsi="宋体"/>
              </w:rPr>
              <w:t>序号</w:t>
            </w:r>
          </w:p>
        </w:tc>
        <w:tc>
          <w:tcPr>
            <w:tcW w:w="1124"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业主名称</w:t>
            </w:r>
          </w:p>
        </w:tc>
        <w:tc>
          <w:tcPr>
            <w:tcW w:w="1372"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项目名称</w:t>
            </w:r>
          </w:p>
        </w:tc>
        <w:tc>
          <w:tcPr>
            <w:tcW w:w="1690"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服务内容</w:t>
            </w:r>
          </w:p>
        </w:tc>
        <w:tc>
          <w:tcPr>
            <w:tcW w:w="1096"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合同总价</w:t>
            </w:r>
          </w:p>
        </w:tc>
        <w:tc>
          <w:tcPr>
            <w:tcW w:w="1637" w:type="dxa"/>
            <w:tcBorders>
              <w:top w:val="single" w:color="auto" w:sz="12" w:space="0"/>
              <w:bottom w:val="double" w:color="auto" w:sz="4" w:space="0"/>
            </w:tcBorders>
            <w:shd w:val="clear" w:color="auto" w:fill="EEECE1"/>
            <w:vAlign w:val="center"/>
          </w:tcPr>
          <w:p>
            <w:pPr>
              <w:snapToGrid w:val="0"/>
              <w:ind w:left="-107" w:leftChars="-51" w:right="-107" w:rightChars="-51"/>
              <w:jc w:val="center"/>
              <w:rPr>
                <w:rFonts w:ascii="宋体" w:hAnsi="宋体"/>
              </w:rPr>
            </w:pPr>
            <w:r>
              <w:rPr>
                <w:rFonts w:hint="eastAsia" w:ascii="宋体" w:hAnsi="宋体"/>
              </w:rPr>
              <w:t>签约或完成时间</w:t>
            </w:r>
          </w:p>
        </w:tc>
        <w:tc>
          <w:tcPr>
            <w:tcW w:w="1834" w:type="dxa"/>
            <w:tcBorders>
              <w:top w:val="single" w:color="auto" w:sz="12" w:space="0"/>
              <w:bottom w:val="double" w:color="auto" w:sz="4" w:space="0"/>
            </w:tcBorders>
            <w:shd w:val="clear" w:color="auto" w:fill="EEECE1"/>
            <w:vAlign w:val="center"/>
          </w:tcPr>
          <w:p>
            <w:pPr>
              <w:snapToGrid w:val="0"/>
              <w:ind w:left="-107" w:leftChars="-51" w:right="-107" w:rightChars="-51"/>
              <w:jc w:val="center"/>
              <w:rPr>
                <w:rFonts w:ascii="宋体" w:hAnsi="宋体"/>
              </w:rPr>
            </w:pPr>
            <w:r>
              <w:rPr>
                <w:rFonts w:hint="eastAsia" w:ascii="宋体" w:hAnsi="宋体"/>
              </w:rPr>
              <w:t>单位联系人及电话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tcBorders>
              <w:top w:val="double" w:color="auto" w:sz="4" w:space="0"/>
            </w:tcBorders>
            <w:vAlign w:val="center"/>
          </w:tcPr>
          <w:p>
            <w:pPr>
              <w:spacing w:line="400" w:lineRule="exact"/>
              <w:jc w:val="center"/>
              <w:rPr>
                <w:rFonts w:ascii="宋体" w:hAnsi="宋体"/>
              </w:rPr>
            </w:pPr>
            <w:r>
              <w:rPr>
                <w:rFonts w:ascii="宋体" w:hAnsi="宋体"/>
              </w:rPr>
              <w:t>1</w:t>
            </w:r>
          </w:p>
        </w:tc>
        <w:tc>
          <w:tcPr>
            <w:tcW w:w="1124" w:type="dxa"/>
            <w:tcBorders>
              <w:top w:val="double" w:color="auto" w:sz="4" w:space="0"/>
            </w:tcBorders>
            <w:vAlign w:val="center"/>
          </w:tcPr>
          <w:p>
            <w:pPr>
              <w:spacing w:line="400" w:lineRule="exact"/>
              <w:jc w:val="center"/>
              <w:rPr>
                <w:rFonts w:ascii="宋体" w:hAnsi="宋体"/>
              </w:rPr>
            </w:pPr>
          </w:p>
        </w:tc>
        <w:tc>
          <w:tcPr>
            <w:tcW w:w="1372" w:type="dxa"/>
            <w:tcBorders>
              <w:top w:val="double" w:color="auto" w:sz="4" w:space="0"/>
            </w:tcBorders>
            <w:vAlign w:val="center"/>
          </w:tcPr>
          <w:p>
            <w:pPr>
              <w:spacing w:line="400" w:lineRule="exact"/>
              <w:jc w:val="center"/>
              <w:rPr>
                <w:rFonts w:ascii="宋体" w:hAnsi="宋体"/>
              </w:rPr>
            </w:pPr>
          </w:p>
        </w:tc>
        <w:tc>
          <w:tcPr>
            <w:tcW w:w="1690" w:type="dxa"/>
            <w:tcBorders>
              <w:top w:val="double" w:color="auto" w:sz="4" w:space="0"/>
            </w:tcBorders>
            <w:vAlign w:val="center"/>
          </w:tcPr>
          <w:p>
            <w:pPr>
              <w:spacing w:line="400" w:lineRule="exact"/>
              <w:jc w:val="center"/>
              <w:rPr>
                <w:rFonts w:ascii="宋体" w:hAnsi="宋体"/>
              </w:rPr>
            </w:pPr>
          </w:p>
        </w:tc>
        <w:tc>
          <w:tcPr>
            <w:tcW w:w="1096" w:type="dxa"/>
            <w:tcBorders>
              <w:top w:val="double" w:color="auto" w:sz="4" w:space="0"/>
            </w:tcBorders>
            <w:vAlign w:val="center"/>
          </w:tcPr>
          <w:p>
            <w:pPr>
              <w:spacing w:line="400" w:lineRule="exact"/>
              <w:jc w:val="center"/>
              <w:rPr>
                <w:rFonts w:ascii="宋体" w:hAnsi="宋体"/>
              </w:rPr>
            </w:pPr>
          </w:p>
        </w:tc>
        <w:tc>
          <w:tcPr>
            <w:tcW w:w="1637" w:type="dxa"/>
            <w:tcBorders>
              <w:top w:val="double" w:color="auto" w:sz="4" w:space="0"/>
            </w:tcBorders>
            <w:vAlign w:val="center"/>
          </w:tcPr>
          <w:p>
            <w:pPr>
              <w:spacing w:line="400" w:lineRule="exact"/>
              <w:jc w:val="center"/>
              <w:rPr>
                <w:rFonts w:ascii="宋体" w:hAnsi="宋体"/>
              </w:rPr>
            </w:pPr>
          </w:p>
        </w:tc>
        <w:tc>
          <w:tcPr>
            <w:tcW w:w="1834" w:type="dxa"/>
            <w:tcBorders>
              <w:top w:val="double" w:color="auto" w:sz="4" w:space="0"/>
            </w:tcBorders>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2</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3</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4</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5</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bl>
    <w:p>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pPr>
        <w:spacing w:line="500" w:lineRule="exact"/>
        <w:rPr>
          <w:rFonts w:ascii="宋体" w:hAnsi="宋体"/>
        </w:rPr>
      </w:pPr>
    </w:p>
    <w:p>
      <w:pPr>
        <w:spacing w:line="500" w:lineRule="exact"/>
        <w:rPr>
          <w:rFonts w:ascii="宋体" w:hAnsi="宋体"/>
          <w:u w:val="single"/>
        </w:rPr>
      </w:pPr>
      <w:r>
        <w:rPr>
          <w:rFonts w:hint="eastAsia" w:ascii="宋体" w:hAnsi="宋体"/>
          <w:spacing w:val="4"/>
        </w:rPr>
        <w:t>响应供应商名称（盖公章）：</w:t>
      </w:r>
    </w:p>
    <w:p>
      <w:pPr>
        <w:rPr>
          <w:rFonts w:ascii="宋体" w:hAnsi="宋体"/>
          <w:spacing w:val="4"/>
        </w:rPr>
      </w:pPr>
    </w:p>
    <w:p>
      <w:pPr>
        <w:spacing w:line="520" w:lineRule="exact"/>
        <w:rPr>
          <w:rFonts w:ascii="宋体" w:hAnsi="宋体"/>
          <w:spacing w:val="4"/>
        </w:rPr>
      </w:pPr>
      <w:r>
        <w:rPr>
          <w:rFonts w:hint="eastAsia" w:ascii="宋体" w:hAnsi="宋体"/>
          <w:spacing w:val="4"/>
        </w:rPr>
        <w:t>日期：</w:t>
      </w:r>
    </w:p>
    <w:bookmarkEnd w:id="104"/>
    <w:bookmarkEnd w:id="105"/>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pStyle w:val="3"/>
        <w:adjustRightInd w:val="0"/>
        <w:snapToGrid w:val="0"/>
        <w:spacing w:beforeLines="50" w:afterLines="50" w:line="360" w:lineRule="auto"/>
        <w:jc w:val="center"/>
        <w:rPr>
          <w:b w:val="0"/>
        </w:rPr>
      </w:pPr>
      <w:bookmarkStart w:id="124" w:name="_Toc416770272"/>
      <w:bookmarkStart w:id="125" w:name="_Toc410738991"/>
      <w:bookmarkStart w:id="126" w:name="_Toc50736480"/>
      <w:bookmarkStart w:id="127" w:name="_Toc275865618"/>
      <w:bookmarkStart w:id="128" w:name="_Toc410736192"/>
      <w:bookmarkStart w:id="129" w:name="_Toc50691042"/>
      <w:bookmarkStart w:id="130" w:name="_Toc50737300"/>
      <w:bookmarkStart w:id="131" w:name="_Toc50737332"/>
      <w:bookmarkStart w:id="132" w:name="_Toc416771383"/>
      <w:bookmarkStart w:id="133" w:name="_Toc52165084"/>
      <w:r>
        <w:rPr>
          <w:rFonts w:hint="eastAsia"/>
          <w:b w:val="0"/>
        </w:rPr>
        <w:t>项目负责人及服务团队成员一览表</w:t>
      </w:r>
      <w:bookmarkEnd w:id="124"/>
      <w:bookmarkEnd w:id="125"/>
      <w:bookmarkEnd w:id="126"/>
      <w:bookmarkEnd w:id="127"/>
      <w:bookmarkEnd w:id="128"/>
      <w:bookmarkEnd w:id="129"/>
      <w:bookmarkEnd w:id="130"/>
      <w:bookmarkEnd w:id="131"/>
      <w:bookmarkEnd w:id="132"/>
      <w:bookmarkEnd w:id="133"/>
    </w:p>
    <w:p>
      <w:pPr>
        <w:spacing w:line="400" w:lineRule="exact"/>
        <w:rPr>
          <w:rFonts w:ascii="宋体" w:hAnsi="宋体"/>
          <w:u w:val="single"/>
        </w:rPr>
      </w:pPr>
      <w:r>
        <w:rPr>
          <w:rFonts w:hint="eastAsia" w:ascii="宋体" w:hAnsi="宋体"/>
        </w:rPr>
        <w:t xml:space="preserve">   项目编号：</w:t>
      </w:r>
    </w:p>
    <w:tbl>
      <w:tblPr>
        <w:tblStyle w:val="38"/>
        <w:tblW w:w="92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378"/>
        <w:gridCol w:w="734"/>
        <w:gridCol w:w="729"/>
        <w:gridCol w:w="814"/>
        <w:gridCol w:w="1068"/>
        <w:gridCol w:w="1238"/>
        <w:gridCol w:w="1052"/>
        <w:gridCol w:w="1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39" w:type="dxa"/>
            <w:tcBorders>
              <w:top w:val="single" w:color="auto" w:sz="12" w:space="0"/>
              <w:bottom w:val="double" w:color="auto" w:sz="4" w:space="0"/>
            </w:tcBorders>
            <w:shd w:val="clear" w:color="auto" w:fill="EEECE1"/>
            <w:vAlign w:val="center"/>
          </w:tcPr>
          <w:p>
            <w:pPr>
              <w:snapToGrid w:val="0"/>
              <w:ind w:left="-115" w:leftChars="-55" w:right="-122" w:rightChars="-58"/>
              <w:jc w:val="center"/>
              <w:rPr>
                <w:rFonts w:ascii="宋体" w:hAnsi="宋体"/>
              </w:rPr>
            </w:pPr>
            <w:r>
              <w:rPr>
                <w:rFonts w:hint="eastAsia" w:ascii="宋体" w:hAnsi="宋体"/>
              </w:rPr>
              <w:t>序号</w:t>
            </w:r>
          </w:p>
        </w:tc>
        <w:tc>
          <w:tcPr>
            <w:tcW w:w="1378" w:type="dxa"/>
            <w:tcBorders>
              <w:top w:val="single" w:color="auto" w:sz="12" w:space="0"/>
              <w:bottom w:val="double" w:color="auto" w:sz="4" w:space="0"/>
            </w:tcBorders>
            <w:shd w:val="clear" w:color="auto" w:fill="EEECE1"/>
            <w:vAlign w:val="center"/>
          </w:tcPr>
          <w:p>
            <w:pPr>
              <w:pStyle w:val="80"/>
              <w:keepNext w:val="0"/>
              <w:snapToGrid w:val="0"/>
              <w:spacing w:before="0" w:after="0" w:line="240" w:lineRule="auto"/>
              <w:textAlignment w:val="auto"/>
              <w:rPr>
                <w:rFonts w:ascii="宋体" w:hAnsi="宋体"/>
                <w:snapToGrid/>
                <w:spacing w:val="0"/>
                <w:kern w:val="2"/>
                <w:sz w:val="21"/>
              </w:rPr>
            </w:pPr>
            <w:r>
              <w:rPr>
                <w:rFonts w:hint="eastAsia" w:ascii="宋体" w:hAnsi="宋体"/>
                <w:snapToGrid/>
                <w:spacing w:val="0"/>
                <w:kern w:val="2"/>
                <w:sz w:val="21"/>
              </w:rPr>
              <w:t>姓名</w:t>
            </w:r>
          </w:p>
        </w:tc>
        <w:tc>
          <w:tcPr>
            <w:tcW w:w="734"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性别</w:t>
            </w:r>
          </w:p>
        </w:tc>
        <w:tc>
          <w:tcPr>
            <w:tcW w:w="729"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年龄</w:t>
            </w:r>
          </w:p>
        </w:tc>
        <w:tc>
          <w:tcPr>
            <w:tcW w:w="814"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学历</w:t>
            </w:r>
          </w:p>
        </w:tc>
        <w:tc>
          <w:tcPr>
            <w:tcW w:w="1068"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职称</w:t>
            </w:r>
          </w:p>
        </w:tc>
        <w:tc>
          <w:tcPr>
            <w:tcW w:w="1238"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专业</w:t>
            </w:r>
          </w:p>
        </w:tc>
        <w:tc>
          <w:tcPr>
            <w:tcW w:w="1052" w:type="dxa"/>
            <w:tcBorders>
              <w:top w:val="single" w:color="auto" w:sz="12" w:space="0"/>
              <w:bottom w:val="double" w:color="auto" w:sz="4" w:space="0"/>
            </w:tcBorders>
            <w:shd w:val="clear" w:color="auto" w:fill="EEECE1"/>
            <w:vAlign w:val="center"/>
          </w:tcPr>
          <w:p>
            <w:pPr>
              <w:snapToGrid w:val="0"/>
              <w:ind w:left="-94" w:leftChars="-45" w:right="-105" w:rightChars="-50"/>
              <w:jc w:val="center"/>
              <w:rPr>
                <w:rFonts w:ascii="宋体" w:hAnsi="宋体"/>
              </w:rPr>
            </w:pPr>
            <w:r>
              <w:rPr>
                <w:rFonts w:hint="eastAsia" w:ascii="宋体" w:hAnsi="宋体"/>
              </w:rPr>
              <w:t>经验年限</w:t>
            </w:r>
          </w:p>
        </w:tc>
        <w:tc>
          <w:tcPr>
            <w:tcW w:w="1709"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拟担任职务或承担工作内容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tcBorders>
              <w:top w:val="double" w:color="auto" w:sz="4" w:space="0"/>
            </w:tcBorders>
            <w:vAlign w:val="center"/>
          </w:tcPr>
          <w:p>
            <w:pPr>
              <w:spacing w:line="400" w:lineRule="exact"/>
              <w:ind w:right="-122" w:rightChars="-58"/>
              <w:jc w:val="center"/>
              <w:rPr>
                <w:rFonts w:ascii="宋体" w:hAnsi="宋体"/>
              </w:rPr>
            </w:pPr>
          </w:p>
        </w:tc>
        <w:tc>
          <w:tcPr>
            <w:tcW w:w="1378" w:type="dxa"/>
            <w:tcBorders>
              <w:top w:val="double" w:color="auto" w:sz="4" w:space="0"/>
            </w:tcBorders>
            <w:vAlign w:val="center"/>
          </w:tcPr>
          <w:p>
            <w:pPr>
              <w:spacing w:line="400" w:lineRule="exact"/>
              <w:jc w:val="center"/>
              <w:rPr>
                <w:rFonts w:ascii="宋体" w:hAnsi="宋体"/>
              </w:rPr>
            </w:pPr>
          </w:p>
        </w:tc>
        <w:tc>
          <w:tcPr>
            <w:tcW w:w="734" w:type="dxa"/>
            <w:tcBorders>
              <w:top w:val="double" w:color="auto" w:sz="4" w:space="0"/>
            </w:tcBorders>
            <w:vAlign w:val="center"/>
          </w:tcPr>
          <w:p>
            <w:pPr>
              <w:spacing w:line="400" w:lineRule="exact"/>
              <w:jc w:val="center"/>
              <w:rPr>
                <w:rFonts w:ascii="宋体" w:hAnsi="宋体"/>
              </w:rPr>
            </w:pPr>
          </w:p>
        </w:tc>
        <w:tc>
          <w:tcPr>
            <w:tcW w:w="729" w:type="dxa"/>
            <w:tcBorders>
              <w:top w:val="double" w:color="auto" w:sz="4" w:space="0"/>
            </w:tcBorders>
            <w:vAlign w:val="center"/>
          </w:tcPr>
          <w:p>
            <w:pPr>
              <w:spacing w:line="400" w:lineRule="exact"/>
              <w:jc w:val="center"/>
              <w:rPr>
                <w:rFonts w:ascii="宋体" w:hAnsi="宋体"/>
              </w:rPr>
            </w:pPr>
          </w:p>
        </w:tc>
        <w:tc>
          <w:tcPr>
            <w:tcW w:w="814" w:type="dxa"/>
            <w:tcBorders>
              <w:top w:val="double" w:color="auto" w:sz="4" w:space="0"/>
            </w:tcBorders>
            <w:vAlign w:val="center"/>
          </w:tcPr>
          <w:p>
            <w:pPr>
              <w:spacing w:line="400" w:lineRule="exact"/>
              <w:jc w:val="center"/>
              <w:rPr>
                <w:rFonts w:ascii="宋体" w:hAnsi="宋体"/>
              </w:rPr>
            </w:pPr>
          </w:p>
        </w:tc>
        <w:tc>
          <w:tcPr>
            <w:tcW w:w="1068" w:type="dxa"/>
            <w:tcBorders>
              <w:top w:val="double" w:color="auto" w:sz="4" w:space="0"/>
            </w:tcBorders>
            <w:vAlign w:val="center"/>
          </w:tcPr>
          <w:p>
            <w:pPr>
              <w:spacing w:line="400" w:lineRule="exact"/>
              <w:jc w:val="center"/>
              <w:rPr>
                <w:rFonts w:ascii="宋体" w:hAnsi="宋体"/>
              </w:rPr>
            </w:pPr>
          </w:p>
        </w:tc>
        <w:tc>
          <w:tcPr>
            <w:tcW w:w="1238" w:type="dxa"/>
            <w:tcBorders>
              <w:top w:val="double" w:color="auto" w:sz="4" w:space="0"/>
            </w:tcBorders>
            <w:vAlign w:val="center"/>
          </w:tcPr>
          <w:p>
            <w:pPr>
              <w:spacing w:line="400" w:lineRule="exact"/>
              <w:jc w:val="center"/>
              <w:rPr>
                <w:rFonts w:ascii="宋体" w:hAnsi="宋体"/>
              </w:rPr>
            </w:pPr>
          </w:p>
        </w:tc>
        <w:tc>
          <w:tcPr>
            <w:tcW w:w="1052" w:type="dxa"/>
            <w:tcBorders>
              <w:top w:val="double" w:color="auto" w:sz="4" w:space="0"/>
            </w:tcBorders>
            <w:vAlign w:val="center"/>
          </w:tcPr>
          <w:p>
            <w:pPr>
              <w:spacing w:line="400" w:lineRule="exact"/>
              <w:jc w:val="center"/>
              <w:rPr>
                <w:rFonts w:ascii="宋体" w:hAnsi="宋体"/>
              </w:rPr>
            </w:pPr>
          </w:p>
        </w:tc>
        <w:tc>
          <w:tcPr>
            <w:tcW w:w="1709" w:type="dxa"/>
            <w:tcBorders>
              <w:top w:val="double" w:color="auto" w:sz="4" w:space="0"/>
            </w:tcBorders>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bl>
    <w:p>
      <w:pPr>
        <w:spacing w:line="500" w:lineRule="exact"/>
        <w:rPr>
          <w:rFonts w:ascii="宋体" w:hAnsi="宋体"/>
          <w:bCs/>
        </w:rPr>
      </w:pPr>
      <w:r>
        <w:rPr>
          <w:rFonts w:hint="eastAsia" w:ascii="宋体" w:hAnsi="宋体"/>
          <w:bCs/>
        </w:rPr>
        <w:t>备注</w:t>
      </w:r>
      <w:r>
        <w:rPr>
          <w:rFonts w:hint="eastAsia"/>
          <w:bCs/>
        </w:rPr>
        <w:t>：</w:t>
      </w:r>
      <w:r>
        <w:rPr>
          <w:rFonts w:hint="eastAsia" w:ascii="宋体" w:hAnsi="宋体"/>
        </w:rPr>
        <w:t>根据评分表的要求提交相应资料</w:t>
      </w:r>
      <w:r>
        <w:rPr>
          <w:rFonts w:hint="eastAsia" w:ascii="宋体" w:hAnsi="宋体"/>
          <w:bCs/>
        </w:rPr>
        <w:t>。</w:t>
      </w:r>
    </w:p>
    <w:p>
      <w:pPr>
        <w:spacing w:line="500" w:lineRule="exact"/>
        <w:ind w:firstLine="436" w:firstLineChars="200"/>
        <w:rPr>
          <w:rFonts w:ascii="宋体" w:hAnsi="宋体"/>
          <w:spacing w:val="4"/>
        </w:rPr>
      </w:pPr>
    </w:p>
    <w:p>
      <w:pPr>
        <w:spacing w:line="500" w:lineRule="exact"/>
        <w:rPr>
          <w:rFonts w:ascii="宋体" w:hAnsi="宋体"/>
          <w:u w:val="single"/>
        </w:rPr>
      </w:pPr>
      <w:r>
        <w:rPr>
          <w:rFonts w:hint="eastAsia" w:ascii="宋体" w:hAnsi="宋体"/>
          <w:spacing w:val="4"/>
        </w:rPr>
        <w:t>响应供应商名称（盖公章）：</w:t>
      </w:r>
    </w:p>
    <w:p>
      <w:pPr>
        <w:rPr>
          <w:rFonts w:ascii="宋体" w:hAnsi="宋体"/>
          <w:spacing w:val="4"/>
        </w:rPr>
      </w:pPr>
    </w:p>
    <w:p>
      <w:pPr>
        <w:spacing w:line="520" w:lineRule="exact"/>
        <w:rPr>
          <w:rFonts w:ascii="宋体" w:hAnsi="宋体"/>
          <w:spacing w:val="4"/>
          <w:u w:val="single"/>
        </w:rPr>
      </w:pPr>
      <w:r>
        <w:rPr>
          <w:rFonts w:hint="eastAsia" w:ascii="宋体" w:hAnsi="宋体"/>
          <w:spacing w:val="4"/>
        </w:rPr>
        <w:t>日期：</w:t>
      </w: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pStyle w:val="3"/>
        <w:adjustRightInd w:val="0"/>
        <w:snapToGrid w:val="0"/>
        <w:spacing w:beforeLines="50" w:afterLines="50" w:line="360" w:lineRule="auto"/>
        <w:jc w:val="center"/>
        <w:rPr>
          <w:b w:val="0"/>
        </w:rPr>
      </w:pPr>
      <w:r>
        <w:rPr>
          <w:rFonts w:hint="eastAsia"/>
          <w:b w:val="0"/>
        </w:rPr>
        <w:t>用户需求书响应一览表</w:t>
      </w:r>
    </w:p>
    <w:p>
      <w:pPr>
        <w:spacing w:line="360" w:lineRule="auto"/>
        <w:rPr>
          <w:rFonts w:ascii="宋体" w:hAnsi="宋体"/>
        </w:rPr>
      </w:pPr>
      <w:r>
        <w:rPr>
          <w:rFonts w:hint="eastAsia" w:ascii="宋体" w:hAnsi="宋体"/>
        </w:rPr>
        <w:t>说明：响应供应商必须对应竞争性磋商文件的用户需求书条款逐条应答并按要求填写下表。</w:t>
      </w:r>
    </w:p>
    <w:p>
      <w:pPr>
        <w:widowControl/>
        <w:wordWrap w:val="0"/>
        <w:spacing w:line="360" w:lineRule="auto"/>
        <w:rPr>
          <w:rFonts w:ascii="宋体" w:hAnsi="宋体"/>
        </w:rPr>
      </w:pPr>
      <w:r>
        <w:rPr>
          <w:rFonts w:hint="eastAsia" w:ascii="宋体" w:hAnsi="宋体"/>
        </w:rPr>
        <w:t xml:space="preserve"> 项目编号：</w:t>
      </w:r>
    </w:p>
    <w:tbl>
      <w:tblPr>
        <w:tblStyle w:val="38"/>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172"/>
        <w:gridCol w:w="2032"/>
        <w:gridCol w:w="18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服务内容</w:t>
            </w:r>
          </w:p>
        </w:tc>
        <w:tc>
          <w:tcPr>
            <w:tcW w:w="1757"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竞争性磋商文件条款描述</w:t>
            </w:r>
          </w:p>
        </w:tc>
        <w:tc>
          <w:tcPr>
            <w:tcW w:w="2172"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响应供应商响应描述</w:t>
            </w:r>
          </w:p>
          <w:p>
            <w:pPr>
              <w:snapToGrid w:val="0"/>
              <w:ind w:left="-71" w:leftChars="-34" w:right="-73" w:rightChars="-35"/>
              <w:jc w:val="center"/>
              <w:rPr>
                <w:rFonts w:ascii="宋体" w:hAnsi="宋体"/>
              </w:rPr>
            </w:pPr>
            <w:r>
              <w:rPr>
                <w:rFonts w:hint="eastAsia" w:ascii="宋体" w:hAnsi="宋体"/>
                <w:b/>
                <w:bCs/>
              </w:rPr>
              <w:t>(投标供应商应按响应货物/服务实际数据填写，不能照抄要求)</w:t>
            </w:r>
          </w:p>
        </w:tc>
        <w:tc>
          <w:tcPr>
            <w:tcW w:w="2032"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偏离情况说明</w:t>
            </w:r>
          </w:p>
          <w:p>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3"/>
              </w:numPr>
              <w:autoSpaceDE/>
              <w:autoSpaceDN/>
              <w:adjustRightInd/>
              <w:jc w:val="center"/>
              <w:rPr>
                <w:rFonts w:ascii="宋体" w:hAnsi="宋体"/>
              </w:rPr>
            </w:pPr>
          </w:p>
        </w:tc>
        <w:tc>
          <w:tcPr>
            <w:tcW w:w="1186" w:type="dxa"/>
            <w:vAlign w:val="center"/>
          </w:tcPr>
          <w:p>
            <w:pPr>
              <w:spacing w:line="400" w:lineRule="exact"/>
              <w:jc w:val="center"/>
              <w:rPr>
                <w:rFonts w:ascii="宋体" w:hAnsi="宋体"/>
              </w:rPr>
            </w:pPr>
          </w:p>
        </w:tc>
        <w:tc>
          <w:tcPr>
            <w:tcW w:w="1757" w:type="dxa"/>
            <w:vAlign w:val="center"/>
          </w:tcPr>
          <w:p>
            <w:pPr>
              <w:spacing w:line="400" w:lineRule="exact"/>
              <w:jc w:val="center"/>
              <w:rPr>
                <w:rFonts w:ascii="宋体" w:hAnsi="宋体"/>
              </w:rPr>
            </w:pPr>
          </w:p>
        </w:tc>
        <w:tc>
          <w:tcPr>
            <w:tcW w:w="2172" w:type="dxa"/>
            <w:vAlign w:val="center"/>
          </w:tcPr>
          <w:p>
            <w:pPr>
              <w:spacing w:line="400" w:lineRule="exact"/>
              <w:jc w:val="center"/>
              <w:rPr>
                <w:rFonts w:ascii="宋体" w:hAnsi="宋体"/>
              </w:rPr>
            </w:pPr>
          </w:p>
        </w:tc>
        <w:tc>
          <w:tcPr>
            <w:tcW w:w="2032" w:type="dxa"/>
            <w:vAlign w:val="center"/>
          </w:tcPr>
          <w:p>
            <w:pPr>
              <w:spacing w:line="400" w:lineRule="exact"/>
              <w:jc w:val="center"/>
              <w:rPr>
                <w:rFonts w:ascii="宋体" w:hAnsi="宋体"/>
              </w:rPr>
            </w:pPr>
          </w:p>
        </w:tc>
        <w:tc>
          <w:tcPr>
            <w:tcW w:w="1804" w:type="dxa"/>
            <w:vAlign w:val="center"/>
          </w:tcPr>
          <w:p>
            <w:pPr>
              <w:spacing w:line="400" w:lineRule="exact"/>
              <w:jc w:val="center"/>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3"/>
              </w:numPr>
              <w:autoSpaceDE/>
              <w:autoSpaceDN/>
              <w:adjustRightInd/>
              <w:jc w:val="center"/>
              <w:rPr>
                <w:rFonts w:ascii="宋体" w:hAnsi="宋体"/>
              </w:rPr>
            </w:pPr>
          </w:p>
        </w:tc>
        <w:tc>
          <w:tcPr>
            <w:tcW w:w="1186" w:type="dxa"/>
            <w:vAlign w:val="center"/>
          </w:tcPr>
          <w:p>
            <w:pPr>
              <w:spacing w:line="400" w:lineRule="exact"/>
              <w:jc w:val="center"/>
              <w:rPr>
                <w:rFonts w:ascii="宋体" w:hAnsi="宋体"/>
              </w:rPr>
            </w:pPr>
          </w:p>
        </w:tc>
        <w:tc>
          <w:tcPr>
            <w:tcW w:w="1757" w:type="dxa"/>
            <w:vAlign w:val="center"/>
          </w:tcPr>
          <w:p>
            <w:pPr>
              <w:spacing w:line="400" w:lineRule="exact"/>
              <w:jc w:val="center"/>
              <w:rPr>
                <w:rFonts w:ascii="宋体" w:hAnsi="宋体"/>
              </w:rPr>
            </w:pPr>
          </w:p>
        </w:tc>
        <w:tc>
          <w:tcPr>
            <w:tcW w:w="2172" w:type="dxa"/>
            <w:vAlign w:val="center"/>
          </w:tcPr>
          <w:p>
            <w:pPr>
              <w:spacing w:line="400" w:lineRule="exact"/>
              <w:jc w:val="center"/>
              <w:rPr>
                <w:rFonts w:ascii="宋体" w:hAnsi="宋体"/>
              </w:rPr>
            </w:pPr>
          </w:p>
        </w:tc>
        <w:tc>
          <w:tcPr>
            <w:tcW w:w="2032" w:type="dxa"/>
            <w:vAlign w:val="center"/>
          </w:tcPr>
          <w:p>
            <w:pPr>
              <w:spacing w:line="400" w:lineRule="exact"/>
              <w:jc w:val="center"/>
              <w:rPr>
                <w:rFonts w:ascii="宋体" w:hAnsi="宋体"/>
              </w:rPr>
            </w:pPr>
          </w:p>
        </w:tc>
        <w:tc>
          <w:tcPr>
            <w:tcW w:w="1804" w:type="dxa"/>
            <w:vAlign w:val="center"/>
          </w:tcPr>
          <w:p>
            <w:pPr>
              <w:spacing w:line="400" w:lineRule="exact"/>
              <w:jc w:val="center"/>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3"/>
              </w:numPr>
              <w:autoSpaceDE/>
              <w:autoSpaceDN/>
              <w:adjustRightInd/>
              <w:jc w:val="center"/>
              <w:rPr>
                <w:rFonts w:ascii="宋体" w:hAnsi="宋体"/>
              </w:rPr>
            </w:pPr>
          </w:p>
        </w:tc>
        <w:tc>
          <w:tcPr>
            <w:tcW w:w="1186" w:type="dxa"/>
            <w:vAlign w:val="center"/>
          </w:tcPr>
          <w:p>
            <w:pPr>
              <w:spacing w:line="400" w:lineRule="exact"/>
              <w:jc w:val="center"/>
              <w:rPr>
                <w:rFonts w:ascii="宋体" w:hAnsi="宋体"/>
              </w:rPr>
            </w:pPr>
          </w:p>
        </w:tc>
        <w:tc>
          <w:tcPr>
            <w:tcW w:w="1757" w:type="dxa"/>
            <w:vAlign w:val="center"/>
          </w:tcPr>
          <w:p>
            <w:pPr>
              <w:spacing w:line="400" w:lineRule="exact"/>
              <w:jc w:val="center"/>
              <w:rPr>
                <w:rFonts w:ascii="宋体" w:hAnsi="宋体"/>
              </w:rPr>
            </w:pPr>
          </w:p>
        </w:tc>
        <w:tc>
          <w:tcPr>
            <w:tcW w:w="2172" w:type="dxa"/>
            <w:vAlign w:val="center"/>
          </w:tcPr>
          <w:p>
            <w:pPr>
              <w:spacing w:line="400" w:lineRule="exact"/>
              <w:jc w:val="center"/>
              <w:rPr>
                <w:rFonts w:ascii="宋体" w:hAnsi="宋体"/>
              </w:rPr>
            </w:pPr>
          </w:p>
        </w:tc>
        <w:tc>
          <w:tcPr>
            <w:tcW w:w="2032" w:type="dxa"/>
            <w:vAlign w:val="center"/>
          </w:tcPr>
          <w:p>
            <w:pPr>
              <w:spacing w:line="400" w:lineRule="exact"/>
              <w:jc w:val="center"/>
              <w:rPr>
                <w:rFonts w:ascii="宋体" w:hAnsi="宋体"/>
              </w:rPr>
            </w:pPr>
          </w:p>
        </w:tc>
        <w:tc>
          <w:tcPr>
            <w:tcW w:w="1804" w:type="dxa"/>
            <w:vAlign w:val="center"/>
          </w:tcPr>
          <w:p>
            <w:pPr>
              <w:spacing w:line="400" w:lineRule="exact"/>
              <w:jc w:val="center"/>
              <w:rPr>
                <w:rFonts w:ascii="宋体" w:hAnsi="宋体"/>
              </w:rPr>
            </w:pPr>
            <w:r>
              <w:rPr>
                <w:rFonts w:hint="eastAsia" w:ascii="宋体" w:hAnsi="宋体" w:cs="宋体"/>
              </w:rPr>
              <w:t>见《响应文件》第页至页</w:t>
            </w:r>
          </w:p>
        </w:tc>
      </w:tr>
    </w:tbl>
    <w:p>
      <w:pPr>
        <w:spacing w:line="360" w:lineRule="auto"/>
        <w:ind w:right="84" w:rightChars="40"/>
        <w:rPr>
          <w:rFonts w:ascii="宋体" w:hAnsi="宋体"/>
        </w:rPr>
      </w:pPr>
      <w:r>
        <w:rPr>
          <w:rFonts w:hint="eastAsia" w:ascii="宋体" w:hAnsi="宋体"/>
        </w:rPr>
        <w:t>备注：</w:t>
      </w:r>
    </w:p>
    <w:p>
      <w:pPr>
        <w:numPr>
          <w:ilvl w:val="0"/>
          <w:numId w:val="34"/>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pPr>
        <w:numPr>
          <w:ilvl w:val="0"/>
          <w:numId w:val="34"/>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pPr>
        <w:spacing w:line="500" w:lineRule="exact"/>
        <w:ind w:firstLine="436" w:firstLineChars="200"/>
        <w:rPr>
          <w:rFonts w:ascii="宋体" w:hAnsi="宋体"/>
          <w:spacing w:val="4"/>
        </w:rPr>
      </w:pPr>
    </w:p>
    <w:p>
      <w:pPr>
        <w:spacing w:line="500" w:lineRule="exact"/>
        <w:rPr>
          <w:rFonts w:ascii="宋体" w:hAnsi="宋体"/>
          <w:u w:val="single"/>
        </w:rPr>
      </w:pPr>
      <w:r>
        <w:rPr>
          <w:rFonts w:hint="eastAsia" w:ascii="宋体" w:hAnsi="宋体"/>
          <w:spacing w:val="4"/>
        </w:rPr>
        <w:t>响应供应商名称（盖公章）：</w:t>
      </w:r>
    </w:p>
    <w:p>
      <w:pPr>
        <w:spacing w:line="360" w:lineRule="auto"/>
        <w:ind w:firstLine="436" w:firstLineChars="200"/>
        <w:rPr>
          <w:rFonts w:ascii="宋体" w:hAnsi="宋体"/>
          <w:spacing w:val="4"/>
        </w:rPr>
      </w:pPr>
    </w:p>
    <w:p>
      <w:pPr>
        <w:spacing w:line="520" w:lineRule="exact"/>
        <w:rPr>
          <w:rFonts w:ascii="宋体" w:hAnsi="宋体"/>
          <w:spacing w:val="4"/>
          <w:u w:val="single"/>
        </w:rPr>
      </w:pPr>
      <w:r>
        <w:rPr>
          <w:rFonts w:hint="eastAsia" w:ascii="宋体" w:hAnsi="宋体"/>
          <w:spacing w:val="4"/>
        </w:rPr>
        <w:t>日期：</w:t>
      </w: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bookmarkEnd w:id="106"/>
    <w:p>
      <w:bookmarkStart w:id="134" w:name="_Toc416771389"/>
      <w:bookmarkStart w:id="135" w:name="_Toc410738997"/>
      <w:bookmarkStart w:id="136" w:name="_Toc275865626"/>
      <w:bookmarkStart w:id="137" w:name="_Toc173553195"/>
      <w:bookmarkStart w:id="138" w:name="_Toc416770278"/>
      <w:bookmarkStart w:id="139" w:name="_Toc410736198"/>
    </w:p>
    <w:p>
      <w:pPr>
        <w:pStyle w:val="3"/>
        <w:adjustRightInd w:val="0"/>
        <w:snapToGrid w:val="0"/>
        <w:spacing w:beforeLines="50" w:afterLines="50" w:line="360" w:lineRule="auto"/>
        <w:jc w:val="center"/>
        <w:rPr>
          <w:b w:val="0"/>
        </w:rPr>
      </w:pPr>
      <w:r>
        <w:rPr>
          <w:rFonts w:hint="eastAsia"/>
          <w:b w:val="0"/>
        </w:rPr>
        <w:t>退磋商保证金说明</w:t>
      </w:r>
      <w:bookmarkEnd w:id="134"/>
      <w:bookmarkEnd w:id="135"/>
      <w:bookmarkEnd w:id="136"/>
      <w:bookmarkEnd w:id="137"/>
      <w:bookmarkEnd w:id="138"/>
      <w:bookmarkEnd w:id="139"/>
    </w:p>
    <w:p>
      <w:pPr>
        <w:spacing w:line="360" w:lineRule="auto"/>
        <w:rPr>
          <w:b/>
        </w:rPr>
      </w:pPr>
      <w:r>
        <w:rPr>
          <w:rFonts w:hint="eastAsia"/>
          <w:b/>
        </w:rPr>
        <w:t>特别提醒：</w:t>
      </w:r>
    </w:p>
    <w:p>
      <w:pPr>
        <w:spacing w:line="360" w:lineRule="auto"/>
        <w:ind w:firstLine="413" w:firstLineChars="196"/>
        <w:rPr>
          <w:b/>
        </w:rPr>
      </w:pPr>
      <w:r>
        <w:rPr>
          <w:rFonts w:hint="eastAsia"/>
          <w:b/>
        </w:rPr>
        <w:t>响应供应商缴纳的磋商保证金，原则上，</w:t>
      </w:r>
      <w:r>
        <w:rPr>
          <w:rFonts w:hint="eastAsia"/>
          <w:b/>
          <w:u w:val="thick"/>
        </w:rPr>
        <w:t>我方按保证金汇入的原账户退还，</w:t>
      </w:r>
      <w:r>
        <w:rPr>
          <w:rFonts w:hint="eastAsia"/>
          <w:b/>
        </w:rPr>
        <w:t>响应供应商必须填写原来汇入我司保证金账户时的账户信息。</w:t>
      </w:r>
    </w:p>
    <w:p>
      <w:pPr>
        <w:spacing w:line="360" w:lineRule="auto"/>
        <w:ind w:firstLine="420"/>
        <w:rPr>
          <w:rFonts w:ascii="宋体"/>
        </w:rPr>
      </w:pPr>
      <w:r>
        <w:rPr>
          <w:rFonts w:hint="eastAsia" w:ascii="宋体"/>
        </w:rPr>
        <w:t>我方为</w:t>
      </w:r>
      <w:r>
        <w:rPr>
          <w:rFonts w:hint="eastAsia"/>
          <w:u w:val="single"/>
        </w:rPr>
        <w:t>2023年度博罗县业余体育学校业训校车接送服务项目</w:t>
      </w:r>
      <w:r>
        <w:rPr>
          <w:rFonts w:hint="eastAsia"/>
        </w:rPr>
        <w:t>的</w:t>
      </w:r>
      <w:r>
        <w:rPr>
          <w:rFonts w:hint="eastAsia" w:ascii="宋体"/>
        </w:rPr>
        <w:t>投标（项目编号为：）所提交的磋商保证金</w:t>
      </w:r>
      <w:r>
        <w:rPr>
          <w:rFonts w:hint="eastAsia" w:ascii="宋体"/>
          <w:u w:val="single"/>
        </w:rPr>
        <w:t>（大写金额）</w:t>
      </w:r>
      <w:r>
        <w:rPr>
          <w:rFonts w:hint="eastAsia" w:ascii="宋体"/>
        </w:rPr>
        <w:t>元，请贵司退还磋商保证金</w:t>
      </w:r>
      <w:r>
        <w:rPr>
          <w:rFonts w:hint="eastAsia" w:ascii="宋体"/>
          <w:u w:val="single"/>
        </w:rPr>
        <w:t xml:space="preserve">  （小写金额）  </w:t>
      </w:r>
      <w:r>
        <w:rPr>
          <w:rFonts w:hint="eastAsia" w:ascii="宋体"/>
        </w:rPr>
        <w:t>元，请划到以下</w:t>
      </w:r>
      <w:r>
        <w:rPr>
          <w:rFonts w:hint="eastAsia"/>
        </w:rPr>
        <w:t>账户</w:t>
      </w:r>
      <w:r>
        <w:rPr>
          <w:rFonts w:hint="eastAsia" w:ascii="宋体"/>
        </w:rPr>
        <w:t>：</w:t>
      </w:r>
    </w:p>
    <w:tbl>
      <w:tblPr>
        <w:tblStyle w:val="38"/>
        <w:tblW w:w="89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4408"/>
        <w:gridCol w:w="1162"/>
        <w:gridCol w:w="16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33" w:type="dxa"/>
            <w:vAlign w:val="center"/>
          </w:tcPr>
          <w:p>
            <w:pPr>
              <w:spacing w:line="360" w:lineRule="auto"/>
              <w:jc w:val="center"/>
              <w:rPr>
                <w:rFonts w:ascii="宋体"/>
              </w:rPr>
            </w:pPr>
            <w:r>
              <w:rPr>
                <w:rFonts w:hint="eastAsia" w:ascii="宋体"/>
              </w:rPr>
              <w:t>收款人名称</w:t>
            </w:r>
          </w:p>
        </w:tc>
        <w:tc>
          <w:tcPr>
            <w:tcW w:w="7210" w:type="dxa"/>
            <w:gridSpan w:val="3"/>
            <w:vAlign w:val="center"/>
          </w:tcPr>
          <w:p>
            <w:pPr>
              <w:spacing w:line="360" w:lineRule="auto"/>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33" w:type="dxa"/>
            <w:vAlign w:val="center"/>
          </w:tcPr>
          <w:p>
            <w:pPr>
              <w:spacing w:line="360" w:lineRule="auto"/>
              <w:jc w:val="center"/>
              <w:rPr>
                <w:rFonts w:ascii="宋体"/>
              </w:rPr>
            </w:pPr>
            <w:r>
              <w:rPr>
                <w:rFonts w:hint="eastAsia" w:ascii="宋体"/>
              </w:rPr>
              <w:t>收款人地址</w:t>
            </w:r>
          </w:p>
        </w:tc>
        <w:tc>
          <w:tcPr>
            <w:tcW w:w="7210" w:type="dxa"/>
            <w:gridSpan w:val="3"/>
            <w:vAlign w:val="center"/>
          </w:tcPr>
          <w:p>
            <w:pPr>
              <w:spacing w:line="360" w:lineRule="auto"/>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1733" w:type="dxa"/>
            <w:vAlign w:val="center"/>
          </w:tcPr>
          <w:p>
            <w:pPr>
              <w:spacing w:line="360" w:lineRule="auto"/>
              <w:jc w:val="center"/>
              <w:rPr>
                <w:rFonts w:ascii="宋体"/>
              </w:rPr>
            </w:pPr>
            <w:r>
              <w:rPr>
                <w:rFonts w:hint="eastAsia" w:ascii="宋体"/>
              </w:rPr>
              <w:t>开户银行</w:t>
            </w:r>
          </w:p>
          <w:p>
            <w:pPr>
              <w:spacing w:line="360" w:lineRule="auto"/>
              <w:jc w:val="center"/>
              <w:rPr>
                <w:rFonts w:ascii="宋体"/>
              </w:rPr>
            </w:pPr>
            <w:r>
              <w:rPr>
                <w:rFonts w:hint="eastAsia" w:ascii="宋体" w:hAnsi="宋体"/>
                <w:u w:val="single"/>
              </w:rPr>
              <w:t>（具体到XX银行XX支行）</w:t>
            </w:r>
          </w:p>
        </w:tc>
        <w:tc>
          <w:tcPr>
            <w:tcW w:w="4408" w:type="dxa"/>
            <w:vAlign w:val="center"/>
          </w:tcPr>
          <w:p>
            <w:pPr>
              <w:spacing w:line="360" w:lineRule="auto"/>
              <w:jc w:val="center"/>
              <w:rPr>
                <w:rFonts w:ascii="宋体"/>
              </w:rPr>
            </w:pPr>
          </w:p>
        </w:tc>
        <w:tc>
          <w:tcPr>
            <w:tcW w:w="1162" w:type="dxa"/>
            <w:vAlign w:val="center"/>
          </w:tcPr>
          <w:p>
            <w:pPr>
              <w:spacing w:line="360" w:lineRule="auto"/>
              <w:jc w:val="center"/>
              <w:rPr>
                <w:rFonts w:ascii="宋体"/>
              </w:rPr>
            </w:pPr>
            <w:r>
              <w:rPr>
                <w:rFonts w:hint="eastAsia" w:ascii="宋体"/>
              </w:rPr>
              <w:t>联系人</w:t>
            </w:r>
          </w:p>
        </w:tc>
        <w:tc>
          <w:tcPr>
            <w:tcW w:w="1640" w:type="dxa"/>
            <w:vAlign w:val="center"/>
          </w:tcPr>
          <w:p>
            <w:pPr>
              <w:spacing w:line="360" w:lineRule="auto"/>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33" w:type="dxa"/>
            <w:vAlign w:val="center"/>
          </w:tcPr>
          <w:p>
            <w:pPr>
              <w:spacing w:line="360" w:lineRule="auto"/>
              <w:jc w:val="center"/>
              <w:rPr>
                <w:rFonts w:ascii="宋体"/>
              </w:rPr>
            </w:pPr>
            <w:r>
              <w:rPr>
                <w:rFonts w:hint="eastAsia" w:ascii="宋体"/>
              </w:rPr>
              <w:t>账    号</w:t>
            </w:r>
          </w:p>
        </w:tc>
        <w:tc>
          <w:tcPr>
            <w:tcW w:w="4408" w:type="dxa"/>
            <w:vAlign w:val="center"/>
          </w:tcPr>
          <w:p>
            <w:pPr>
              <w:spacing w:line="360" w:lineRule="auto"/>
              <w:jc w:val="center"/>
              <w:rPr>
                <w:rFonts w:ascii="宋体"/>
              </w:rPr>
            </w:pPr>
          </w:p>
        </w:tc>
        <w:tc>
          <w:tcPr>
            <w:tcW w:w="1162" w:type="dxa"/>
            <w:vAlign w:val="center"/>
          </w:tcPr>
          <w:p>
            <w:pPr>
              <w:spacing w:line="360" w:lineRule="auto"/>
              <w:jc w:val="center"/>
              <w:rPr>
                <w:rFonts w:ascii="宋体"/>
              </w:rPr>
            </w:pPr>
            <w:r>
              <w:rPr>
                <w:rFonts w:hint="eastAsia" w:ascii="宋体"/>
              </w:rPr>
              <w:t>联系电话</w:t>
            </w:r>
          </w:p>
        </w:tc>
        <w:tc>
          <w:tcPr>
            <w:tcW w:w="1640" w:type="dxa"/>
            <w:vAlign w:val="center"/>
          </w:tcPr>
          <w:p>
            <w:pPr>
              <w:spacing w:line="360" w:lineRule="auto"/>
              <w:jc w:val="center"/>
              <w:rPr>
                <w:rFonts w:ascii="宋体"/>
              </w:rPr>
            </w:pPr>
          </w:p>
        </w:tc>
      </w:tr>
    </w:tbl>
    <w:p>
      <w:pPr>
        <w:spacing w:line="360" w:lineRule="auto"/>
        <w:ind w:firstLine="420" w:firstLineChars="200"/>
        <w:rPr>
          <w:rFonts w:ascii="宋体"/>
        </w:rPr>
      </w:pPr>
      <w:r>
        <w:rPr>
          <w:rFonts w:hint="eastAsia" w:ascii="宋体"/>
        </w:rPr>
        <w:t>备注：</w:t>
      </w:r>
      <w:r>
        <w:rPr>
          <w:rFonts w:ascii="宋体"/>
        </w:rPr>
        <w:t>此表须附在开标小信封中</w:t>
      </w:r>
      <w:r>
        <w:rPr>
          <w:rFonts w:hint="eastAsia" w:ascii="宋体"/>
        </w:rPr>
        <w:t>。当响应供应商收到成交通知书或招标结果通知书，申请退还磋商保证金时，采购人按其提供的“退磋商保证金说明”，按规定退还响应供应商的磋商保证金。</w:t>
      </w:r>
    </w:p>
    <w:p>
      <w:pPr>
        <w:spacing w:line="360" w:lineRule="auto"/>
        <w:rPr>
          <w:rFonts w:ascii="宋体"/>
          <w:u w:val="dash"/>
        </w:rPr>
      </w:pPr>
    </w:p>
    <w:p>
      <w:pPr>
        <w:spacing w:line="360" w:lineRule="auto"/>
        <w:ind w:firstLine="413" w:firstLineChars="196"/>
        <w:rPr>
          <w:b/>
        </w:rPr>
      </w:pPr>
      <w:r>
        <w:rPr>
          <w:rFonts w:hint="eastAsia"/>
          <w:b/>
        </w:rPr>
        <w:t>为及时退还响应供应商的磋商保证金，若存在以下三种情形的，则按以下规定执行：</w:t>
      </w:r>
    </w:p>
    <w:p>
      <w:pPr>
        <w:pStyle w:val="103"/>
        <w:numPr>
          <w:ilvl w:val="0"/>
          <w:numId w:val="35"/>
        </w:numPr>
        <w:spacing w:line="360" w:lineRule="auto"/>
        <w:ind w:firstLineChars="0"/>
        <w:rPr>
          <w:rFonts w:ascii="宋体" w:hAnsi="宋体" w:eastAsia="宋体"/>
          <w:b/>
          <w:sz w:val="21"/>
          <w:szCs w:val="21"/>
        </w:rPr>
      </w:pPr>
      <w:r>
        <w:rPr>
          <w:rFonts w:hint="eastAsia" w:ascii="宋体" w:hAnsi="宋体" w:eastAsia="宋体"/>
          <w:b/>
          <w:sz w:val="21"/>
          <w:szCs w:val="21"/>
        </w:rPr>
        <w:t>单位名称变更</w:t>
      </w:r>
    </w:p>
    <w:p>
      <w:pPr>
        <w:pStyle w:val="103"/>
        <w:spacing w:line="360" w:lineRule="auto"/>
        <w:ind w:left="420" w:firstLine="0" w:firstLineChars="0"/>
        <w:rPr>
          <w:rFonts w:ascii="宋体" w:hAnsi="宋体" w:eastAsia="宋体"/>
          <w:sz w:val="21"/>
          <w:szCs w:val="21"/>
        </w:rPr>
      </w:pPr>
      <w:r>
        <w:rPr>
          <w:rFonts w:hint="eastAsia" w:ascii="宋体" w:hAnsi="宋体" w:eastAsia="宋体"/>
          <w:sz w:val="21"/>
          <w:szCs w:val="21"/>
        </w:rPr>
        <w:t>A. 若响应供应商投标后，其单位名称变更，退还其磋商保证金时，除提交</w:t>
      </w:r>
      <w:r>
        <w:rPr>
          <w:rFonts w:hint="eastAsia" w:ascii="宋体" w:hAnsi="宋体" w:eastAsia="宋体"/>
          <w:b/>
          <w:sz w:val="21"/>
          <w:szCs w:val="21"/>
          <w:u w:val="thick"/>
        </w:rPr>
        <w:t>变更后的账户信息</w:t>
      </w:r>
      <w:r>
        <w:rPr>
          <w:rFonts w:hint="eastAsia" w:ascii="宋体" w:hAnsi="宋体" w:eastAsia="宋体"/>
          <w:sz w:val="21"/>
          <w:szCs w:val="21"/>
        </w:rPr>
        <w:t>外，还需附</w:t>
      </w:r>
      <w:r>
        <w:rPr>
          <w:rFonts w:hint="eastAsia" w:ascii="宋体" w:hAnsi="宋体" w:eastAsia="宋体"/>
          <w:b/>
          <w:sz w:val="21"/>
          <w:szCs w:val="21"/>
          <w:u w:val="thick"/>
        </w:rPr>
        <w:t>工商部门打印的变更信息说明</w:t>
      </w:r>
      <w:r>
        <w:rPr>
          <w:rFonts w:hint="eastAsia" w:ascii="宋体" w:hAnsi="宋体" w:eastAsia="宋体"/>
          <w:sz w:val="21"/>
          <w:szCs w:val="21"/>
        </w:rPr>
        <w:t>，并加盖</w:t>
      </w:r>
      <w:r>
        <w:rPr>
          <w:rFonts w:hint="eastAsia" w:ascii="宋体" w:hAnsi="宋体" w:eastAsia="宋体"/>
          <w:b/>
          <w:sz w:val="21"/>
          <w:szCs w:val="21"/>
          <w:u w:val="thick"/>
        </w:rPr>
        <w:t>单位公章</w:t>
      </w:r>
      <w:r>
        <w:rPr>
          <w:rFonts w:hint="eastAsia" w:ascii="宋体" w:hAnsi="宋体" w:eastAsia="宋体"/>
          <w:sz w:val="21"/>
          <w:szCs w:val="21"/>
        </w:rPr>
        <w:t>；</w:t>
      </w:r>
    </w:p>
    <w:p>
      <w:pPr>
        <w:pStyle w:val="103"/>
        <w:spacing w:line="360" w:lineRule="auto"/>
        <w:ind w:left="420" w:firstLine="0" w:firstLineChars="0"/>
        <w:rPr>
          <w:rFonts w:ascii="宋体" w:hAnsi="宋体" w:eastAsia="宋体"/>
          <w:b/>
          <w:sz w:val="21"/>
          <w:szCs w:val="21"/>
        </w:rPr>
      </w:pPr>
      <w:r>
        <w:rPr>
          <w:rFonts w:hint="eastAsia" w:ascii="宋体" w:hAnsi="宋体" w:eastAsia="宋体"/>
          <w:sz w:val="21"/>
          <w:szCs w:val="21"/>
        </w:rPr>
        <w:t>B. 若响应供应商只变更营业执照信息，没有及时变更银行账户的，只需提供</w:t>
      </w:r>
      <w:r>
        <w:rPr>
          <w:rFonts w:hint="eastAsia" w:ascii="宋体" w:hAnsi="宋体" w:eastAsia="宋体"/>
          <w:b/>
          <w:sz w:val="21"/>
          <w:szCs w:val="21"/>
          <w:u w:val="thick"/>
        </w:rPr>
        <w:t>银行开户许可证复印件</w:t>
      </w:r>
      <w:r>
        <w:rPr>
          <w:rFonts w:hint="eastAsia" w:ascii="宋体" w:hAnsi="宋体" w:eastAsia="宋体"/>
          <w:sz w:val="21"/>
          <w:szCs w:val="21"/>
        </w:rPr>
        <w:t>，并加盖</w:t>
      </w:r>
      <w:r>
        <w:rPr>
          <w:rFonts w:hint="eastAsia" w:ascii="宋体" w:hAnsi="宋体" w:eastAsia="宋体"/>
          <w:b/>
          <w:sz w:val="21"/>
          <w:szCs w:val="21"/>
          <w:u w:val="thick"/>
        </w:rPr>
        <w:t>单位公章</w:t>
      </w:r>
      <w:r>
        <w:rPr>
          <w:rFonts w:hint="eastAsia" w:ascii="宋体" w:hAnsi="宋体" w:eastAsia="宋体"/>
          <w:b/>
          <w:sz w:val="21"/>
          <w:szCs w:val="21"/>
        </w:rPr>
        <w:t>。</w:t>
      </w:r>
    </w:p>
    <w:p>
      <w:pPr>
        <w:pStyle w:val="103"/>
        <w:numPr>
          <w:ilvl w:val="0"/>
          <w:numId w:val="35"/>
        </w:numPr>
        <w:spacing w:line="360" w:lineRule="auto"/>
        <w:ind w:firstLineChars="0"/>
        <w:rPr>
          <w:rFonts w:ascii="宋体" w:hAnsi="宋体" w:eastAsia="宋体"/>
          <w:b/>
          <w:sz w:val="21"/>
          <w:szCs w:val="21"/>
        </w:rPr>
      </w:pPr>
      <w:r>
        <w:rPr>
          <w:rFonts w:hint="eastAsia" w:ascii="宋体" w:hAnsi="宋体" w:eastAsia="宋体"/>
          <w:b/>
          <w:sz w:val="21"/>
          <w:szCs w:val="21"/>
        </w:rPr>
        <w:t>收支两条线</w:t>
      </w:r>
    </w:p>
    <w:p>
      <w:pPr>
        <w:pStyle w:val="103"/>
        <w:spacing w:line="360" w:lineRule="auto"/>
        <w:ind w:left="462" w:firstLine="0" w:firstLineChars="0"/>
        <w:rPr>
          <w:rFonts w:ascii="宋体" w:hAnsi="宋体" w:eastAsia="宋体"/>
          <w:sz w:val="21"/>
          <w:szCs w:val="21"/>
        </w:rPr>
      </w:pPr>
      <w:r>
        <w:rPr>
          <w:rFonts w:hint="eastAsia" w:ascii="宋体" w:hAnsi="宋体" w:eastAsia="宋体"/>
          <w:sz w:val="21"/>
          <w:szCs w:val="21"/>
        </w:rPr>
        <w:t>若响应供应商属于资金收支两条线的情况，则以上账户信息必须是其单位收款账户的信息，响应供应商需附上</w:t>
      </w:r>
      <w:r>
        <w:rPr>
          <w:rFonts w:hint="eastAsia" w:ascii="宋体" w:hAnsi="宋体" w:eastAsia="宋体"/>
          <w:b/>
          <w:sz w:val="21"/>
          <w:szCs w:val="21"/>
          <w:u w:val="thick"/>
        </w:rPr>
        <w:t>收支两条线的说明</w:t>
      </w:r>
      <w:r>
        <w:rPr>
          <w:rFonts w:hint="eastAsia" w:ascii="宋体" w:hAnsi="宋体" w:eastAsia="宋体"/>
          <w:sz w:val="21"/>
          <w:szCs w:val="21"/>
        </w:rPr>
        <w:t>，</w:t>
      </w:r>
      <w:r>
        <w:rPr>
          <w:rFonts w:hint="eastAsia" w:ascii="宋体" w:hAnsi="宋体" w:eastAsia="宋体"/>
          <w:sz w:val="21"/>
          <w:szCs w:val="21"/>
          <w:u w:val="thick" w:color="C7EDCC"/>
        </w:rPr>
        <w:t>并</w:t>
      </w:r>
      <w:r>
        <w:rPr>
          <w:rFonts w:hint="eastAsia" w:ascii="宋体" w:hAnsi="宋体" w:eastAsia="宋体"/>
          <w:b/>
          <w:sz w:val="21"/>
          <w:szCs w:val="21"/>
          <w:u w:val="thick"/>
        </w:rPr>
        <w:t>加盖单位公章</w:t>
      </w:r>
      <w:r>
        <w:rPr>
          <w:rFonts w:hint="eastAsia" w:ascii="宋体" w:hAnsi="宋体" w:eastAsia="宋体"/>
          <w:sz w:val="21"/>
          <w:szCs w:val="21"/>
          <w:u w:color="C7EDCC"/>
        </w:rPr>
        <w:t>：</w:t>
      </w:r>
    </w:p>
    <w:p>
      <w:pPr>
        <w:pStyle w:val="103"/>
        <w:numPr>
          <w:ilvl w:val="0"/>
          <w:numId w:val="35"/>
        </w:numPr>
        <w:spacing w:line="360" w:lineRule="auto"/>
        <w:ind w:firstLineChars="0"/>
        <w:rPr>
          <w:rFonts w:ascii="宋体" w:hAnsi="宋体" w:eastAsia="宋体"/>
          <w:b/>
          <w:sz w:val="21"/>
          <w:szCs w:val="21"/>
        </w:rPr>
      </w:pPr>
      <w:r>
        <w:rPr>
          <w:rFonts w:hint="eastAsia" w:ascii="宋体" w:hAnsi="宋体" w:eastAsia="宋体"/>
          <w:b/>
          <w:sz w:val="21"/>
          <w:szCs w:val="21"/>
        </w:rPr>
        <w:t>标前确定不参加投标</w:t>
      </w:r>
    </w:p>
    <w:p>
      <w:pPr>
        <w:spacing w:line="360" w:lineRule="auto"/>
        <w:ind w:firstLine="420" w:firstLineChars="200"/>
        <w:rPr>
          <w:rFonts w:ascii="宋体" w:hAnsi="宋体"/>
        </w:rPr>
      </w:pPr>
      <w:r>
        <w:rPr>
          <w:rFonts w:ascii="宋体" w:hAnsi="宋体"/>
        </w:rPr>
        <w:t>若响应供应商已汇入磋商保证金，但不参加投标时，请务必在项目开标前将该《退磋商保证金说明》按规定填写完整盖章后，扫描发至</w:t>
      </w:r>
      <w:r>
        <w:rPr>
          <w:rFonts w:hint="eastAsia" w:ascii="宋体" w:hAnsi="宋体"/>
          <w:u w:val="single"/>
        </w:rPr>
        <w:t>blyytx@boluo</w:t>
      </w:r>
      <w:r>
        <w:rPr>
          <w:rFonts w:ascii="宋体" w:hAnsi="宋体"/>
          <w:u w:val="single"/>
        </w:rPr>
        <w:t>.</w:t>
      </w:r>
      <w:r>
        <w:rPr>
          <w:rFonts w:hint="eastAsia" w:ascii="宋体" w:hAnsi="宋体"/>
          <w:u w:val="single"/>
        </w:rPr>
        <w:t>gov.</w:t>
      </w:r>
      <w:r>
        <w:rPr>
          <w:rFonts w:ascii="宋体" w:hAnsi="宋体"/>
          <w:u w:val="single"/>
        </w:rPr>
        <w:t>cn</w:t>
      </w:r>
    </w:p>
    <w:p>
      <w:pPr>
        <w:tabs>
          <w:tab w:val="left" w:pos="676"/>
          <w:tab w:val="left" w:pos="2330"/>
          <w:tab w:val="left" w:pos="9230"/>
        </w:tabs>
        <w:spacing w:before="120" w:line="360" w:lineRule="auto"/>
        <w:ind w:left="4679" w:leftChars="2228"/>
        <w:rPr>
          <w:rFonts w:ascii="宋体" w:hAnsi="宋体"/>
        </w:rPr>
      </w:pPr>
      <w:r>
        <w:rPr>
          <w:rFonts w:hint="eastAsia" w:ascii="宋体" w:hAnsi="宋体"/>
        </w:rPr>
        <w:t>响应供应商（公章）：</w:t>
      </w:r>
    </w:p>
    <w:p>
      <w:pPr>
        <w:pStyle w:val="20"/>
        <w:spacing w:line="360" w:lineRule="auto"/>
        <w:ind w:left="4679" w:leftChars="2228"/>
        <w:rPr>
          <w:rFonts w:hAnsi="宋体"/>
        </w:rPr>
      </w:pPr>
      <w:r>
        <w:rPr>
          <w:rFonts w:hAnsi="宋体"/>
        </w:rPr>
        <w:t>日期：</w:t>
      </w:r>
    </w:p>
    <w:p>
      <w:pPr>
        <w:widowControl/>
        <w:autoSpaceDE/>
        <w:autoSpaceDN/>
        <w:adjustRightInd/>
        <w:jc w:val="center"/>
        <w:rPr>
          <w:rFonts w:ascii="宋体" w:hAnsi="宋体"/>
          <w:b/>
          <w:sz w:val="36"/>
          <w:szCs w:val="36"/>
        </w:rPr>
      </w:pPr>
      <w:bookmarkStart w:id="140" w:name="_Toc410736196"/>
      <w:bookmarkStart w:id="141" w:name="_Toc416771387"/>
      <w:bookmarkStart w:id="142" w:name="_Toc410738995"/>
      <w:bookmarkStart w:id="143" w:name="_Toc416770276"/>
      <w:r>
        <w:rPr>
          <w:rFonts w:ascii="宋体" w:hAnsi="宋体"/>
          <w:b/>
          <w:sz w:val="36"/>
          <w:szCs w:val="36"/>
        </w:rPr>
        <w:br w:type="page"/>
      </w:r>
      <w:r>
        <w:rPr>
          <w:rFonts w:hint="eastAsia" w:ascii="宋体" w:hAnsi="宋体"/>
          <w:b/>
          <w:sz w:val="36"/>
          <w:szCs w:val="36"/>
        </w:rPr>
        <w:t>资料原件提交清单</w:t>
      </w:r>
      <w:bookmarkEnd w:id="140"/>
      <w:bookmarkEnd w:id="141"/>
      <w:bookmarkEnd w:id="142"/>
      <w:bookmarkEnd w:id="143"/>
    </w:p>
    <w:p>
      <w:pPr>
        <w:spacing w:line="400" w:lineRule="exact"/>
        <w:ind w:firstLine="210" w:firstLineChars="100"/>
        <w:rPr>
          <w:rFonts w:ascii="宋体" w:hAnsi="宋体"/>
        </w:rPr>
      </w:pPr>
      <w:r>
        <w:rPr>
          <w:rFonts w:hint="eastAsia" w:ascii="宋体" w:hAnsi="宋体"/>
        </w:rPr>
        <w:t>项目编号：</w:t>
      </w:r>
    </w:p>
    <w:tbl>
      <w:tblPr>
        <w:tblStyle w:val="38"/>
        <w:tblW w:w="9306"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2296"/>
        <w:gridCol w:w="882"/>
        <w:gridCol w:w="2294"/>
        <w:gridCol w:w="701"/>
        <w:gridCol w:w="701"/>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46" w:type="dxa"/>
            <w:vMerge w:val="restart"/>
            <w:tcBorders>
              <w:top w:val="single" w:color="auto" w:sz="12" w:space="0"/>
              <w:left w:val="single" w:color="auto" w:sz="12" w:space="0"/>
            </w:tcBorders>
            <w:vAlign w:val="center"/>
          </w:tcPr>
          <w:p>
            <w:pPr>
              <w:spacing w:line="360" w:lineRule="auto"/>
              <w:ind w:left="-67" w:leftChars="-32" w:right="-88" w:rightChars="-42"/>
              <w:jc w:val="center"/>
              <w:rPr>
                <w:rFonts w:ascii="宋体" w:hAnsi="宋体"/>
                <w:b/>
              </w:rPr>
            </w:pPr>
            <w:r>
              <w:rPr>
                <w:rFonts w:hint="eastAsia" w:ascii="宋体" w:hAnsi="宋体"/>
                <w:b/>
              </w:rPr>
              <w:t>序号</w:t>
            </w:r>
          </w:p>
        </w:tc>
        <w:tc>
          <w:tcPr>
            <w:tcW w:w="2296" w:type="dxa"/>
            <w:vMerge w:val="restart"/>
            <w:tcBorders>
              <w:top w:val="single" w:color="auto" w:sz="12" w:space="0"/>
            </w:tcBorders>
            <w:vAlign w:val="center"/>
          </w:tcPr>
          <w:p>
            <w:pPr>
              <w:spacing w:line="360" w:lineRule="auto"/>
              <w:jc w:val="center"/>
              <w:rPr>
                <w:rFonts w:ascii="宋体" w:hAnsi="宋体"/>
                <w:b/>
              </w:rPr>
            </w:pPr>
            <w:r>
              <w:rPr>
                <w:rFonts w:hint="eastAsia"/>
                <w:b/>
              </w:rPr>
              <w:t>磋商文件要求提交原件的资料名称</w:t>
            </w:r>
          </w:p>
        </w:tc>
        <w:tc>
          <w:tcPr>
            <w:tcW w:w="882" w:type="dxa"/>
            <w:vMerge w:val="restart"/>
            <w:tcBorders>
              <w:top w:val="single" w:color="auto" w:sz="12" w:space="0"/>
            </w:tcBorders>
            <w:vAlign w:val="center"/>
          </w:tcPr>
          <w:p>
            <w:pPr>
              <w:spacing w:line="360" w:lineRule="auto"/>
              <w:jc w:val="center"/>
              <w:rPr>
                <w:rFonts w:ascii="宋体" w:hAnsi="宋体"/>
                <w:b/>
              </w:rPr>
            </w:pPr>
            <w:r>
              <w:rPr>
                <w:rFonts w:hint="eastAsia" w:ascii="宋体" w:hAnsi="宋体"/>
                <w:b/>
              </w:rPr>
              <w:t>页数</w:t>
            </w:r>
          </w:p>
        </w:tc>
        <w:tc>
          <w:tcPr>
            <w:tcW w:w="2294" w:type="dxa"/>
            <w:vMerge w:val="restart"/>
            <w:tcBorders>
              <w:top w:val="single" w:color="auto" w:sz="12" w:space="0"/>
            </w:tcBorders>
            <w:vAlign w:val="center"/>
          </w:tcPr>
          <w:p>
            <w:pPr>
              <w:spacing w:line="360" w:lineRule="auto"/>
              <w:jc w:val="center"/>
              <w:rPr>
                <w:rFonts w:ascii="宋体" w:hAnsi="宋体"/>
                <w:b/>
              </w:rPr>
            </w:pPr>
            <w:r>
              <w:rPr>
                <w:rFonts w:hint="eastAsia" w:ascii="宋体" w:hAnsi="宋体"/>
                <w:b/>
              </w:rPr>
              <w:t>对应响应文件页码</w:t>
            </w:r>
          </w:p>
        </w:tc>
        <w:tc>
          <w:tcPr>
            <w:tcW w:w="1402" w:type="dxa"/>
            <w:gridSpan w:val="2"/>
            <w:tcBorders>
              <w:top w:val="single" w:color="auto" w:sz="12" w:space="0"/>
            </w:tcBorders>
          </w:tcPr>
          <w:p>
            <w:pPr>
              <w:spacing w:line="360" w:lineRule="auto"/>
              <w:jc w:val="center"/>
              <w:rPr>
                <w:rFonts w:ascii="宋体" w:hAnsi="宋体"/>
                <w:b/>
              </w:rPr>
            </w:pPr>
            <w:r>
              <w:rPr>
                <w:rFonts w:hint="eastAsia" w:ascii="宋体" w:hAnsi="宋体"/>
                <w:b/>
              </w:rPr>
              <w:t>提交情况</w:t>
            </w:r>
          </w:p>
        </w:tc>
        <w:tc>
          <w:tcPr>
            <w:tcW w:w="1786" w:type="dxa"/>
            <w:vMerge w:val="restart"/>
            <w:tcBorders>
              <w:top w:val="single" w:color="auto" w:sz="12" w:space="0"/>
              <w:right w:val="single" w:color="auto" w:sz="12" w:space="0"/>
            </w:tcBorders>
            <w:vAlign w:val="center"/>
          </w:tcPr>
          <w:p>
            <w:pPr>
              <w:spacing w:line="360" w:lineRule="auto"/>
              <w:jc w:val="center"/>
              <w:rPr>
                <w:rFonts w:ascii="宋体" w:hAnsi="宋体"/>
                <w:b/>
              </w:rPr>
            </w:pPr>
            <w:r>
              <w:rPr>
                <w:rFonts w:hint="eastAsia" w:ascii="宋体" w:hAnsi="宋体"/>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46" w:type="dxa"/>
            <w:vMerge w:val="continue"/>
            <w:tcBorders>
              <w:left w:val="single" w:color="auto" w:sz="12" w:space="0"/>
            </w:tcBorders>
            <w:vAlign w:val="center"/>
          </w:tcPr>
          <w:p>
            <w:pPr>
              <w:spacing w:line="360" w:lineRule="auto"/>
              <w:jc w:val="center"/>
              <w:rPr>
                <w:rFonts w:ascii="宋体" w:hAnsi="宋体"/>
                <w:b/>
              </w:rPr>
            </w:pPr>
          </w:p>
        </w:tc>
        <w:tc>
          <w:tcPr>
            <w:tcW w:w="2296" w:type="dxa"/>
            <w:vMerge w:val="continue"/>
            <w:vAlign w:val="center"/>
          </w:tcPr>
          <w:p>
            <w:pPr>
              <w:spacing w:line="360" w:lineRule="auto"/>
              <w:jc w:val="center"/>
              <w:rPr>
                <w:rFonts w:ascii="宋体" w:hAnsi="宋体"/>
                <w:b/>
              </w:rPr>
            </w:pPr>
          </w:p>
        </w:tc>
        <w:tc>
          <w:tcPr>
            <w:tcW w:w="882" w:type="dxa"/>
            <w:vMerge w:val="continue"/>
            <w:vAlign w:val="center"/>
          </w:tcPr>
          <w:p>
            <w:pPr>
              <w:spacing w:line="360" w:lineRule="auto"/>
              <w:jc w:val="center"/>
              <w:rPr>
                <w:rFonts w:ascii="宋体" w:hAnsi="宋体"/>
                <w:b/>
              </w:rPr>
            </w:pPr>
          </w:p>
        </w:tc>
        <w:tc>
          <w:tcPr>
            <w:tcW w:w="2294" w:type="dxa"/>
            <w:vMerge w:val="continue"/>
            <w:vAlign w:val="center"/>
          </w:tcPr>
          <w:p>
            <w:pPr>
              <w:spacing w:line="360" w:lineRule="auto"/>
              <w:jc w:val="center"/>
              <w:rPr>
                <w:rFonts w:ascii="宋体" w:hAnsi="宋体"/>
                <w:b/>
              </w:rPr>
            </w:pPr>
          </w:p>
        </w:tc>
        <w:tc>
          <w:tcPr>
            <w:tcW w:w="701" w:type="dxa"/>
            <w:tcBorders>
              <w:top w:val="single" w:color="auto" w:sz="4" w:space="0"/>
            </w:tcBorders>
            <w:vAlign w:val="center"/>
          </w:tcPr>
          <w:p>
            <w:pPr>
              <w:jc w:val="center"/>
              <w:rPr>
                <w:rFonts w:ascii="宋体" w:hAnsi="宋体"/>
                <w:b/>
              </w:rPr>
            </w:pPr>
            <w:r>
              <w:rPr>
                <w:rFonts w:hint="eastAsia" w:ascii="宋体" w:hAnsi="宋体"/>
                <w:b/>
              </w:rPr>
              <w:t>有</w:t>
            </w:r>
          </w:p>
        </w:tc>
        <w:tc>
          <w:tcPr>
            <w:tcW w:w="701" w:type="dxa"/>
            <w:tcBorders>
              <w:top w:val="single" w:color="auto" w:sz="4" w:space="0"/>
            </w:tcBorders>
            <w:vAlign w:val="center"/>
          </w:tcPr>
          <w:p>
            <w:pPr>
              <w:jc w:val="center"/>
              <w:rPr>
                <w:rFonts w:ascii="宋体" w:hAnsi="宋体"/>
                <w:b/>
              </w:rPr>
            </w:pPr>
            <w:r>
              <w:rPr>
                <w:rFonts w:hint="eastAsia" w:ascii="宋体" w:hAnsi="宋体"/>
                <w:b/>
              </w:rPr>
              <w:t>无</w:t>
            </w:r>
          </w:p>
        </w:tc>
        <w:tc>
          <w:tcPr>
            <w:tcW w:w="1786" w:type="dxa"/>
            <w:vMerge w:val="continue"/>
            <w:tcBorders>
              <w:right w:val="single" w:color="auto" w:sz="12" w:space="0"/>
            </w:tcBorders>
            <w:vAlign w:val="center"/>
          </w:tcPr>
          <w:p>
            <w:pPr>
              <w:spacing w:line="360" w:lineRule="auto"/>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bottom w:val="single" w:color="auto" w:sz="12" w:space="0"/>
            </w:tcBorders>
            <w:vAlign w:val="center"/>
          </w:tcPr>
          <w:p>
            <w:pPr>
              <w:numPr>
                <w:ilvl w:val="0"/>
                <w:numId w:val="36"/>
              </w:numPr>
              <w:tabs>
                <w:tab w:val="left" w:pos="279"/>
                <w:tab w:val="clear" w:pos="425"/>
              </w:tabs>
              <w:autoSpaceDE/>
              <w:autoSpaceDN/>
              <w:adjustRightInd/>
              <w:spacing w:line="360" w:lineRule="auto"/>
              <w:ind w:left="138" w:hanging="138"/>
              <w:jc w:val="center"/>
              <w:rPr>
                <w:rFonts w:ascii="宋体" w:hAnsi="宋体"/>
              </w:rPr>
            </w:pPr>
          </w:p>
        </w:tc>
        <w:tc>
          <w:tcPr>
            <w:tcW w:w="2296" w:type="dxa"/>
            <w:tcBorders>
              <w:bottom w:val="single" w:color="auto" w:sz="12" w:space="0"/>
            </w:tcBorders>
            <w:vAlign w:val="center"/>
          </w:tcPr>
          <w:p>
            <w:pPr>
              <w:spacing w:line="360" w:lineRule="auto"/>
              <w:jc w:val="center"/>
              <w:rPr>
                <w:rFonts w:ascii="宋体" w:hAnsi="宋体"/>
              </w:rPr>
            </w:pPr>
          </w:p>
        </w:tc>
        <w:tc>
          <w:tcPr>
            <w:tcW w:w="882" w:type="dxa"/>
            <w:tcBorders>
              <w:bottom w:val="single" w:color="auto" w:sz="12" w:space="0"/>
            </w:tcBorders>
            <w:vAlign w:val="center"/>
          </w:tcPr>
          <w:p>
            <w:pPr>
              <w:spacing w:line="360" w:lineRule="auto"/>
              <w:jc w:val="center"/>
              <w:rPr>
                <w:rFonts w:ascii="宋体" w:hAnsi="宋体"/>
              </w:rPr>
            </w:pPr>
          </w:p>
        </w:tc>
        <w:tc>
          <w:tcPr>
            <w:tcW w:w="2294" w:type="dxa"/>
            <w:tcBorders>
              <w:bottom w:val="single" w:color="auto" w:sz="12" w:space="0"/>
            </w:tcBorders>
            <w:vAlign w:val="center"/>
          </w:tcPr>
          <w:p>
            <w:pPr>
              <w:snapToGrid w:val="0"/>
              <w:jc w:val="center"/>
              <w:rPr>
                <w:rFonts w:ascii="宋体" w:hAnsi="宋体"/>
              </w:rPr>
            </w:pPr>
            <w:r>
              <w:rPr>
                <w:rFonts w:hint="eastAsia" w:ascii="宋体" w:hAnsi="宋体" w:cs="宋体"/>
              </w:rPr>
              <w:t>见《响应文件》第页至页</w:t>
            </w:r>
          </w:p>
        </w:tc>
        <w:tc>
          <w:tcPr>
            <w:tcW w:w="701" w:type="dxa"/>
            <w:tcBorders>
              <w:bottom w:val="single" w:color="auto" w:sz="12" w:space="0"/>
            </w:tcBorders>
          </w:tcPr>
          <w:p>
            <w:pPr>
              <w:spacing w:line="360" w:lineRule="auto"/>
              <w:jc w:val="center"/>
              <w:rPr>
                <w:rFonts w:ascii="宋体" w:hAnsi="宋体"/>
              </w:rPr>
            </w:pPr>
          </w:p>
        </w:tc>
        <w:tc>
          <w:tcPr>
            <w:tcW w:w="701" w:type="dxa"/>
            <w:tcBorders>
              <w:bottom w:val="single" w:color="auto" w:sz="12" w:space="0"/>
            </w:tcBorders>
          </w:tcPr>
          <w:p>
            <w:pPr>
              <w:spacing w:line="360" w:lineRule="auto"/>
              <w:jc w:val="center"/>
              <w:rPr>
                <w:rFonts w:ascii="宋体" w:hAnsi="宋体"/>
              </w:rPr>
            </w:pPr>
          </w:p>
        </w:tc>
        <w:tc>
          <w:tcPr>
            <w:tcW w:w="1786" w:type="dxa"/>
            <w:tcBorders>
              <w:bottom w:val="single" w:color="auto" w:sz="12" w:space="0"/>
              <w:right w:val="single" w:color="auto" w:sz="12" w:space="0"/>
            </w:tcBorders>
            <w:vAlign w:val="center"/>
          </w:tcPr>
          <w:p>
            <w:pPr>
              <w:spacing w:line="360" w:lineRule="auto"/>
              <w:jc w:val="center"/>
              <w:rPr>
                <w:rFonts w:ascii="宋体" w:hAnsi="宋体"/>
              </w:rPr>
            </w:pPr>
          </w:p>
        </w:tc>
      </w:tr>
    </w:tbl>
    <w:p>
      <w:pPr>
        <w:spacing w:line="360" w:lineRule="auto"/>
        <w:ind w:left="420"/>
        <w:rPr>
          <w:rFonts w:ascii="宋体" w:hAnsi="宋体"/>
          <w:b/>
        </w:rPr>
      </w:pPr>
      <w:r>
        <w:rPr>
          <w:rFonts w:hint="eastAsia" w:ascii="宋体" w:hAnsi="宋体"/>
          <w:b/>
        </w:rPr>
        <w:t>备注：</w:t>
      </w:r>
    </w:p>
    <w:p>
      <w:pPr>
        <w:spacing w:line="360" w:lineRule="auto"/>
        <w:ind w:left="420"/>
        <w:rPr>
          <w:rFonts w:ascii="宋体" w:hAnsi="宋体"/>
          <w:b/>
        </w:rPr>
      </w:pPr>
      <w:r>
        <w:rPr>
          <w:rFonts w:hint="eastAsia" w:ascii="宋体" w:hAnsi="宋体"/>
          <w:b/>
        </w:rPr>
        <w:t>1.本表中的“对应响应文件页码”栏填写相应的复印件所在响应文件中的页码范围，以便评审时核对。</w:t>
      </w:r>
    </w:p>
    <w:p>
      <w:pPr>
        <w:spacing w:line="360" w:lineRule="auto"/>
        <w:ind w:left="420"/>
        <w:rPr>
          <w:b/>
          <w:u w:val="double"/>
        </w:rPr>
      </w:pPr>
      <w:r>
        <w:rPr>
          <w:rFonts w:hint="eastAsia" w:ascii="宋体" w:hAnsi="宋体"/>
          <w:b/>
          <w:bCs/>
          <w:u w:val="double"/>
        </w:rPr>
        <w:t>2.与响应文件一起递交。</w:t>
      </w:r>
    </w:p>
    <w:p>
      <w:pPr>
        <w:spacing w:line="360" w:lineRule="auto"/>
        <w:ind w:left="420"/>
        <w:rPr>
          <w:rFonts w:ascii="宋体" w:hAnsi="宋体"/>
          <w:b/>
        </w:rPr>
      </w:pPr>
    </w:p>
    <w:p>
      <w:pPr>
        <w:spacing w:line="360" w:lineRule="auto"/>
        <w:jc w:val="center"/>
        <w:rPr>
          <w:rFonts w:ascii="宋体" w:hAnsi="宋体"/>
        </w:rPr>
      </w:pPr>
    </w:p>
    <w:p>
      <w:pPr>
        <w:spacing w:line="500" w:lineRule="exact"/>
        <w:rPr>
          <w:rFonts w:ascii="宋体" w:hAnsi="宋体"/>
        </w:rPr>
      </w:pPr>
    </w:p>
    <w:p>
      <w:pPr>
        <w:spacing w:line="500" w:lineRule="exact"/>
        <w:rPr>
          <w:rFonts w:ascii="宋体" w:hAnsi="宋体"/>
          <w:u w:val="single"/>
        </w:rPr>
      </w:pPr>
      <w:r>
        <w:rPr>
          <w:rFonts w:hint="eastAsia" w:ascii="宋体" w:hAnsi="宋体"/>
        </w:rPr>
        <w:t>响应供应商</w:t>
      </w:r>
      <w:r>
        <w:rPr>
          <w:rFonts w:hint="eastAsia" w:ascii="宋体" w:hAnsi="宋体"/>
          <w:spacing w:val="4"/>
        </w:rPr>
        <w:t>名称（盖公章）：</w:t>
      </w:r>
    </w:p>
    <w:p>
      <w:pPr>
        <w:rPr>
          <w:rFonts w:ascii="宋体" w:hAnsi="宋体"/>
          <w:spacing w:val="4"/>
        </w:rPr>
      </w:pPr>
    </w:p>
    <w:p>
      <w:pPr>
        <w:spacing w:line="520" w:lineRule="exact"/>
        <w:rPr>
          <w:rFonts w:ascii="宋体" w:hAnsi="宋体"/>
          <w:spacing w:val="4"/>
          <w:u w:val="single"/>
        </w:rPr>
      </w:pPr>
      <w:r>
        <w:rPr>
          <w:rFonts w:hint="eastAsia" w:ascii="宋体" w:hAnsi="宋体"/>
          <w:spacing w:val="4"/>
        </w:rPr>
        <w:t>日期：</w:t>
      </w: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pStyle w:val="36"/>
        <w:rPr>
          <w:b w:val="0"/>
          <w:bCs w:val="0"/>
          <w:sz w:val="28"/>
          <w:szCs w:val="28"/>
        </w:rPr>
      </w:pPr>
      <w:bookmarkStart w:id="144" w:name="_Toc523168282"/>
      <w:r>
        <w:rPr>
          <w:rFonts w:hint="eastAsia"/>
        </w:rPr>
        <w:t>第七章 磋 商 须 知</w:t>
      </w:r>
      <w:bookmarkEnd w:id="144"/>
    </w:p>
    <w:p>
      <w:pPr>
        <w:snapToGrid w:val="0"/>
        <w:spacing w:line="360" w:lineRule="auto"/>
        <w:jc w:val="center"/>
        <w:outlineLvl w:val="0"/>
        <w:rPr>
          <w:rFonts w:ascii="宋体" w:hAnsi="宋体"/>
          <w:b/>
          <w:bCs/>
          <w:sz w:val="28"/>
          <w:szCs w:val="28"/>
        </w:rPr>
      </w:pPr>
      <w:bookmarkStart w:id="145" w:name="_Toc502738624"/>
      <w:bookmarkStart w:id="146" w:name="_Toc523168283"/>
      <w:bookmarkStart w:id="147" w:name="_Toc410736132"/>
      <w:bookmarkStart w:id="148" w:name="_Toc416771321"/>
      <w:bookmarkStart w:id="149" w:name="_Toc410738932"/>
      <w:bookmarkStart w:id="150" w:name="_Toc293674590"/>
      <w:bookmarkStart w:id="151" w:name="_Toc416770211"/>
      <w:r>
        <w:rPr>
          <w:rFonts w:ascii="宋体" w:hAnsi="宋体"/>
          <w:b/>
          <w:bCs/>
          <w:sz w:val="28"/>
          <w:szCs w:val="28"/>
        </w:rPr>
        <w:t>一、说 明</w:t>
      </w:r>
      <w:bookmarkEnd w:id="145"/>
      <w:bookmarkEnd w:id="146"/>
      <w:bookmarkEnd w:id="147"/>
      <w:bookmarkEnd w:id="148"/>
      <w:bookmarkEnd w:id="149"/>
      <w:bookmarkEnd w:id="150"/>
      <w:bookmarkEnd w:id="151"/>
    </w:p>
    <w:p>
      <w:pPr>
        <w:numPr>
          <w:ilvl w:val="0"/>
          <w:numId w:val="37"/>
        </w:numPr>
        <w:snapToGrid w:val="0"/>
        <w:spacing w:line="360" w:lineRule="auto"/>
        <w:ind w:left="357" w:hanging="357"/>
        <w:jc w:val="both"/>
        <w:rPr>
          <w:rFonts w:ascii="宋体" w:hAnsi="宋体"/>
          <w:b/>
          <w:bCs/>
        </w:rPr>
      </w:pPr>
      <w:bookmarkStart w:id="152" w:name="_Toc416770212"/>
      <w:bookmarkStart w:id="153" w:name="_Toc416771322"/>
      <w:bookmarkStart w:id="154" w:name="_Toc410736133"/>
      <w:bookmarkStart w:id="155" w:name="_Toc410738933"/>
      <w:r>
        <w:rPr>
          <w:rFonts w:hint="eastAsia" w:ascii="宋体" w:hAnsi="宋体"/>
          <w:b/>
          <w:bCs/>
        </w:rPr>
        <w:t>适用范围</w:t>
      </w:r>
      <w:bookmarkEnd w:id="152"/>
      <w:bookmarkEnd w:id="153"/>
      <w:bookmarkEnd w:id="154"/>
      <w:bookmarkEnd w:id="155"/>
    </w:p>
    <w:p>
      <w:pPr>
        <w:numPr>
          <w:ilvl w:val="1"/>
          <w:numId w:val="37"/>
        </w:numPr>
        <w:snapToGrid w:val="0"/>
        <w:spacing w:line="360" w:lineRule="auto"/>
        <w:rPr>
          <w:rFonts w:ascii="宋体" w:hAnsi="宋体"/>
        </w:rPr>
      </w:pPr>
      <w:r>
        <w:rPr>
          <w:rFonts w:hint="eastAsia" w:ascii="宋体" w:hAnsi="宋体"/>
        </w:rPr>
        <w:t>本竞争性磋商文件适用于本磋商邀请中所述项目的政府采购。</w:t>
      </w:r>
    </w:p>
    <w:p>
      <w:pPr>
        <w:numPr>
          <w:ilvl w:val="0"/>
          <w:numId w:val="37"/>
        </w:numPr>
        <w:snapToGrid w:val="0"/>
        <w:spacing w:line="360" w:lineRule="auto"/>
        <w:ind w:left="357" w:hanging="357"/>
        <w:jc w:val="both"/>
        <w:rPr>
          <w:rFonts w:ascii="宋体" w:hAnsi="宋体"/>
          <w:b/>
          <w:bCs/>
        </w:rPr>
      </w:pPr>
      <w:bookmarkStart w:id="156" w:name="_Toc416770213"/>
      <w:bookmarkStart w:id="157" w:name="_Toc410738934"/>
      <w:bookmarkStart w:id="158" w:name="_Toc416771323"/>
      <w:bookmarkStart w:id="159" w:name="_Toc410736134"/>
      <w:r>
        <w:rPr>
          <w:rFonts w:hint="eastAsia" w:ascii="宋体" w:hAnsi="宋体"/>
          <w:b/>
        </w:rPr>
        <w:t>政府采购监督管理部门</w:t>
      </w:r>
      <w:r>
        <w:rPr>
          <w:rFonts w:hint="eastAsia" w:ascii="宋体" w:hAnsi="宋体"/>
          <w:b/>
          <w:bCs/>
        </w:rPr>
        <w:t>及</w:t>
      </w:r>
      <w:bookmarkEnd w:id="156"/>
      <w:bookmarkEnd w:id="157"/>
      <w:bookmarkEnd w:id="158"/>
      <w:bookmarkEnd w:id="159"/>
      <w:r>
        <w:rPr>
          <w:rFonts w:hint="eastAsia" w:ascii="宋体" w:hAnsi="宋体"/>
          <w:b/>
          <w:bCs/>
        </w:rPr>
        <w:t>采购人、采购代理机构</w:t>
      </w:r>
    </w:p>
    <w:p>
      <w:pPr>
        <w:numPr>
          <w:ilvl w:val="1"/>
          <w:numId w:val="37"/>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rPr>
        <w:t>。</w:t>
      </w:r>
    </w:p>
    <w:p>
      <w:pPr>
        <w:numPr>
          <w:ilvl w:val="1"/>
          <w:numId w:val="37"/>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pPr>
        <w:numPr>
          <w:ilvl w:val="1"/>
          <w:numId w:val="37"/>
        </w:numPr>
        <w:snapToGrid w:val="0"/>
        <w:spacing w:line="360" w:lineRule="auto"/>
        <w:jc w:val="both"/>
        <w:rPr>
          <w:rFonts w:ascii="宋体" w:hAnsi="宋体"/>
        </w:rPr>
      </w:pPr>
      <w:bookmarkStart w:id="160" w:name="_Toc410738935"/>
      <w:bookmarkStart w:id="161" w:name="_Toc410736135"/>
      <w:r>
        <w:rPr>
          <w:rFonts w:hint="eastAsia" w:ascii="宋体" w:hAnsi="宋体"/>
        </w:rPr>
        <w:t>采购代理机构指按照规定办理注册登记并通过审核的代理机构。本次采购的采购代理机构名称、地址、电话和传真见</w:t>
      </w:r>
      <w:r>
        <w:rPr>
          <w:rFonts w:hint="eastAsia" w:ascii="宋体" w:hAnsi="宋体"/>
          <w:b/>
        </w:rPr>
        <w:t>磋商资料表</w:t>
      </w:r>
      <w:r>
        <w:rPr>
          <w:rFonts w:hint="eastAsia" w:ascii="宋体" w:hAnsi="宋体"/>
        </w:rPr>
        <w:t>。</w:t>
      </w:r>
    </w:p>
    <w:p>
      <w:pPr>
        <w:numPr>
          <w:ilvl w:val="0"/>
          <w:numId w:val="37"/>
        </w:numPr>
        <w:snapToGrid w:val="0"/>
        <w:spacing w:line="360" w:lineRule="auto"/>
        <w:ind w:left="357" w:hanging="357"/>
        <w:jc w:val="both"/>
        <w:rPr>
          <w:rFonts w:ascii="宋体" w:hAnsi="宋体"/>
          <w:b/>
          <w:bCs/>
        </w:rPr>
      </w:pPr>
      <w:bookmarkStart w:id="162" w:name="_Toc416771324"/>
      <w:bookmarkStart w:id="163" w:name="_Toc416770214"/>
      <w:r>
        <w:rPr>
          <w:rFonts w:hint="eastAsia" w:ascii="宋体" w:hAnsi="宋体"/>
          <w:b/>
          <w:bCs/>
        </w:rPr>
        <w:t>关于响应供应商</w:t>
      </w:r>
      <w:bookmarkEnd w:id="160"/>
      <w:bookmarkEnd w:id="161"/>
      <w:r>
        <w:rPr>
          <w:rFonts w:hint="eastAsia" w:ascii="宋体" w:hAnsi="宋体"/>
          <w:b/>
          <w:bCs/>
        </w:rPr>
        <w:t>及成交供应商</w:t>
      </w:r>
      <w:bookmarkEnd w:id="162"/>
      <w:bookmarkEnd w:id="163"/>
    </w:p>
    <w:p>
      <w:pPr>
        <w:numPr>
          <w:ilvl w:val="1"/>
          <w:numId w:val="37"/>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pPr>
        <w:numPr>
          <w:ilvl w:val="2"/>
          <w:numId w:val="37"/>
        </w:numPr>
        <w:tabs>
          <w:tab w:val="left" w:pos="426"/>
        </w:tabs>
        <w:snapToGrid w:val="0"/>
        <w:spacing w:line="360" w:lineRule="auto"/>
        <w:jc w:val="both"/>
        <w:rPr>
          <w:rFonts w:ascii="宋体" w:hAnsi="宋体"/>
        </w:rPr>
      </w:pPr>
      <w:r>
        <w:rPr>
          <w:rFonts w:hint="eastAsia" w:ascii="宋体" w:hAnsi="宋体"/>
        </w:rPr>
        <w:t>只有在法律上和财务上独立、合法运作并独立于采购人和采购代理机构的响应供货商才能参加磋商。</w:t>
      </w:r>
    </w:p>
    <w:p>
      <w:pPr>
        <w:numPr>
          <w:ilvl w:val="2"/>
          <w:numId w:val="37"/>
        </w:numPr>
        <w:tabs>
          <w:tab w:val="left" w:pos="426"/>
        </w:tabs>
        <w:snapToGrid w:val="0"/>
        <w:spacing w:line="360" w:lineRule="auto"/>
        <w:jc w:val="both"/>
        <w:rPr>
          <w:rFonts w:ascii="宋体" w:hAnsi="宋体" w:cs="黑体"/>
        </w:rPr>
      </w:pPr>
      <w:r>
        <w:rPr>
          <w:rFonts w:hint="eastAsia" w:ascii="宋体" w:hAnsi="宋体"/>
        </w:rPr>
        <w:t>符合</w:t>
      </w:r>
      <w:r>
        <w:rPr>
          <w:rFonts w:hint="eastAsia" w:ascii="宋体" w:hAnsi="宋体" w:cs="黑体"/>
        </w:rPr>
        <w:t>第一章磋商邀请“合格</w:t>
      </w:r>
      <w:r>
        <w:rPr>
          <w:rFonts w:hint="eastAsia" w:ascii="宋体" w:hAnsi="宋体" w:cs="宋体"/>
        </w:rPr>
        <w:t>响应</w:t>
      </w:r>
      <w:r>
        <w:rPr>
          <w:rFonts w:hint="eastAsia" w:ascii="宋体" w:hAnsi="宋体" w:cs="黑体"/>
        </w:rPr>
        <w:t>供应商资格要求”</w:t>
      </w:r>
      <w:r>
        <w:rPr>
          <w:rFonts w:hint="eastAsia" w:ascii="宋体" w:hAnsi="宋体"/>
        </w:rPr>
        <w:t>的特殊条款</w:t>
      </w:r>
      <w:r>
        <w:rPr>
          <w:rFonts w:hint="eastAsia" w:ascii="宋体" w:hAnsi="宋体" w:cs="黑体"/>
        </w:rPr>
        <w:t>。</w:t>
      </w:r>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成交供应商是指经法定程序确定并授予合同的响应供应商。</w:t>
      </w:r>
    </w:p>
    <w:p>
      <w:pPr>
        <w:numPr>
          <w:ilvl w:val="0"/>
          <w:numId w:val="37"/>
        </w:numPr>
        <w:snapToGrid w:val="0"/>
        <w:spacing w:line="360" w:lineRule="auto"/>
        <w:ind w:left="357" w:hanging="357"/>
        <w:jc w:val="both"/>
        <w:rPr>
          <w:rFonts w:ascii="宋体" w:hAnsi="宋体"/>
          <w:b/>
          <w:bCs/>
        </w:rPr>
      </w:pPr>
      <w:bookmarkStart w:id="164" w:name="_Toc416771325"/>
      <w:bookmarkStart w:id="165" w:name="_Toc416770215"/>
      <w:bookmarkStart w:id="166" w:name="_Toc381027664"/>
      <w:r>
        <w:rPr>
          <w:rFonts w:hint="eastAsia" w:ascii="宋体" w:hAnsi="宋体"/>
          <w:b/>
          <w:bCs/>
        </w:rPr>
        <w:t>合格的货物和服务</w:t>
      </w:r>
      <w:bookmarkEnd w:id="164"/>
      <w:bookmarkEnd w:id="165"/>
      <w:bookmarkEnd w:id="166"/>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 xml:space="preserve"> “货物”是指响应供应商制造或组织符合竞争性磋商文件要求的货物等。投标的货物必须是其合法生产、合法来源的符合国家有关标准要求的货物，并满足竞争性磋商文件规定的规格、参数、质量、价格、有效期、售后服务等要求。</w:t>
      </w:r>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 xml:space="preserve"> “服务”是指响应供应商按竞争性磋商文件规定完成的全部服务内容，其中包括完成服务所需的货物，及须承担的技术支持、培训和其它伴随服务。</w:t>
      </w:r>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政府采购应当采购本国产品，确需采购进口产品（是指通过中国海关报关验放进入中国境内且产自关境外的产品）的，</w:t>
      </w:r>
      <w:bookmarkStart w:id="167" w:name="_Toc211763038"/>
      <w:r>
        <w:rPr>
          <w:rFonts w:hint="eastAsia" w:ascii="宋体" w:hAnsi="宋体"/>
        </w:rPr>
        <w:t>应当获得财政部门核准。本项目依据《政府采购进口产品管理办法</w:t>
      </w:r>
      <w:bookmarkEnd w:id="167"/>
      <w:r>
        <w:rPr>
          <w:rFonts w:hint="eastAsia" w:ascii="宋体" w:hAnsi="宋体"/>
        </w:rPr>
        <w:t>》优先采购向我国企业转让技术、与我国企业签订消化吸收再创新方案的供应商的进口产品。</w:t>
      </w:r>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响应供应商提供的所有货物或服务，其质量、技术等特征必须符合国家、行业现行法律、法规的相关标准和《中华人民共和国政府采购法》的有关规定。</w:t>
      </w:r>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采购人有权拒绝接受任何不合格的服务，由此产生的费用及相关后果均由供应商自行承担。</w:t>
      </w:r>
    </w:p>
    <w:p>
      <w:pPr>
        <w:numPr>
          <w:ilvl w:val="1"/>
          <w:numId w:val="37"/>
        </w:numPr>
        <w:tabs>
          <w:tab w:val="left" w:pos="567"/>
          <w:tab w:val="clear" w:pos="360"/>
        </w:tabs>
        <w:snapToGrid w:val="0"/>
        <w:spacing w:line="360" w:lineRule="auto"/>
        <w:ind w:left="567" w:hanging="567"/>
        <w:jc w:val="both"/>
        <w:rPr>
          <w:rFonts w:ascii="宋体" w:hAnsi="宋体"/>
        </w:rPr>
      </w:pPr>
      <w:r>
        <w:rPr>
          <w:rFonts w:hint="eastAsia" w:ascii="宋体" w:hAnsi="宋体"/>
        </w:rPr>
        <w:t>响应供应商应保证本项目的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pPr>
        <w:numPr>
          <w:ilvl w:val="0"/>
          <w:numId w:val="37"/>
        </w:numPr>
        <w:snapToGrid w:val="0"/>
        <w:spacing w:line="360" w:lineRule="auto"/>
        <w:ind w:left="357" w:hanging="357"/>
        <w:jc w:val="both"/>
        <w:rPr>
          <w:rFonts w:ascii="宋体" w:hAnsi="宋体"/>
          <w:b/>
          <w:bCs/>
        </w:rPr>
      </w:pPr>
      <w:bookmarkStart w:id="168" w:name="_Toc416770216"/>
      <w:bookmarkStart w:id="169" w:name="_Toc416771326"/>
      <w:bookmarkStart w:id="170" w:name="_Toc410738937"/>
      <w:bookmarkStart w:id="171" w:name="_Toc410736137"/>
      <w:r>
        <w:rPr>
          <w:rFonts w:hint="eastAsia" w:ascii="宋体" w:hAnsi="宋体"/>
          <w:b/>
          <w:bCs/>
        </w:rPr>
        <w:t>投标费用</w:t>
      </w:r>
      <w:bookmarkEnd w:id="168"/>
      <w:bookmarkEnd w:id="169"/>
      <w:bookmarkEnd w:id="170"/>
      <w:bookmarkEnd w:id="171"/>
    </w:p>
    <w:p>
      <w:pPr>
        <w:numPr>
          <w:ilvl w:val="1"/>
          <w:numId w:val="37"/>
        </w:numPr>
        <w:tabs>
          <w:tab w:val="left" w:pos="567"/>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采购人均无义务和责任承担这些费用</w:t>
      </w:r>
      <w:r>
        <w:rPr>
          <w:rFonts w:hint="eastAsia" w:ascii="宋体" w:hAnsi="宋体" w:cs="宋体"/>
        </w:rPr>
        <w:t>。</w:t>
      </w:r>
      <w:bookmarkStart w:id="172" w:name="_Toc315793298"/>
    </w:p>
    <w:bookmarkEnd w:id="172"/>
    <w:p>
      <w:pPr>
        <w:numPr>
          <w:ilvl w:val="0"/>
          <w:numId w:val="37"/>
        </w:numPr>
        <w:snapToGrid w:val="0"/>
        <w:spacing w:line="360" w:lineRule="auto"/>
        <w:jc w:val="both"/>
        <w:rPr>
          <w:rFonts w:ascii="宋体" w:hAnsi="宋体"/>
          <w:b/>
          <w:bCs/>
        </w:rPr>
      </w:pPr>
      <w:r>
        <w:rPr>
          <w:rFonts w:hint="eastAsia" w:ascii="宋体" w:hAnsi="宋体"/>
          <w:b/>
          <w:bCs/>
        </w:rPr>
        <w:t>其他</w:t>
      </w:r>
    </w:p>
    <w:p>
      <w:pPr>
        <w:numPr>
          <w:ilvl w:val="1"/>
          <w:numId w:val="37"/>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pPr>
        <w:numPr>
          <w:ilvl w:val="1"/>
          <w:numId w:val="37"/>
        </w:numPr>
        <w:snapToGrid w:val="0"/>
        <w:spacing w:line="360" w:lineRule="auto"/>
        <w:jc w:val="both"/>
        <w:rPr>
          <w:rFonts w:ascii="宋体" w:hAnsi="宋体" w:cs="宋体"/>
          <w:lang w:eastAsia="zh-TW"/>
        </w:rPr>
      </w:pPr>
      <w:r>
        <w:rPr>
          <w:rFonts w:hint="eastAsia" w:ascii="宋体" w:hAnsi="宋体" w:cs="宋体"/>
          <w:lang w:eastAsia="zh-TW"/>
        </w:rPr>
        <w:t>供应商（响应供应商）向我司咨询的有关项目事项，一切以法律法规的规定和本公司书面答复为准，其他一切形式均为个人意见，不代表本公司的意见。</w:t>
      </w:r>
    </w:p>
    <w:p>
      <w:pPr>
        <w:snapToGrid w:val="0"/>
        <w:spacing w:beforeLines="100" w:afterLines="100" w:line="360" w:lineRule="auto"/>
        <w:jc w:val="center"/>
        <w:outlineLvl w:val="0"/>
        <w:rPr>
          <w:rFonts w:ascii="宋体" w:hAnsi="宋体"/>
          <w:b/>
          <w:sz w:val="28"/>
          <w:szCs w:val="28"/>
          <w:lang w:eastAsia="zh-TW"/>
        </w:rPr>
      </w:pPr>
      <w:bookmarkStart w:id="173" w:name="_Toc416770217"/>
      <w:bookmarkStart w:id="174" w:name="_Toc523168284"/>
      <w:bookmarkStart w:id="175" w:name="_Toc416771327"/>
      <w:bookmarkStart w:id="176" w:name="_Toc410738939"/>
      <w:bookmarkStart w:id="177" w:name="_Toc410736139"/>
      <w:bookmarkStart w:id="178" w:name="_Toc502738625"/>
      <w:r>
        <w:rPr>
          <w:rFonts w:hint="eastAsia" w:ascii="宋体" w:hAnsi="宋体"/>
          <w:b/>
          <w:sz w:val="28"/>
          <w:szCs w:val="28"/>
          <w:lang w:eastAsia="zh-TW"/>
        </w:rPr>
        <w:t>二、竞争性磋商文件</w:t>
      </w:r>
      <w:bookmarkEnd w:id="173"/>
      <w:bookmarkEnd w:id="174"/>
      <w:bookmarkEnd w:id="175"/>
      <w:bookmarkEnd w:id="176"/>
      <w:bookmarkEnd w:id="177"/>
      <w:bookmarkEnd w:id="178"/>
    </w:p>
    <w:p>
      <w:pPr>
        <w:numPr>
          <w:ilvl w:val="0"/>
          <w:numId w:val="37"/>
        </w:numPr>
        <w:snapToGrid w:val="0"/>
        <w:spacing w:line="360" w:lineRule="auto"/>
        <w:ind w:left="357" w:hanging="357"/>
        <w:jc w:val="both"/>
        <w:rPr>
          <w:rFonts w:ascii="宋体" w:hAnsi="宋体"/>
          <w:b/>
          <w:bCs/>
        </w:rPr>
      </w:pPr>
      <w:bookmarkStart w:id="179" w:name="_Toc416771328"/>
      <w:bookmarkStart w:id="180" w:name="_Toc410736140"/>
      <w:bookmarkStart w:id="181" w:name="_Toc416770218"/>
      <w:bookmarkStart w:id="182" w:name="_Toc410738940"/>
      <w:r>
        <w:rPr>
          <w:rFonts w:hint="eastAsia" w:ascii="宋体" w:hAnsi="宋体"/>
          <w:b/>
          <w:bCs/>
        </w:rPr>
        <w:t>竞争性磋商文件的编制依据与构成</w:t>
      </w:r>
      <w:bookmarkEnd w:id="179"/>
      <w:bookmarkEnd w:id="180"/>
      <w:bookmarkEnd w:id="181"/>
      <w:bookmarkEnd w:id="182"/>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pPr>
        <w:numPr>
          <w:ilvl w:val="1"/>
          <w:numId w:val="37"/>
        </w:numPr>
        <w:tabs>
          <w:tab w:val="left" w:pos="567"/>
          <w:tab w:val="clear" w:pos="360"/>
        </w:tabs>
        <w:snapToGrid w:val="0"/>
        <w:spacing w:line="360" w:lineRule="auto"/>
        <w:ind w:left="567" w:hanging="567"/>
        <w:rPr>
          <w:rFonts w:ascii="宋体" w:hAnsi="宋体"/>
        </w:rPr>
      </w:pPr>
      <w:r>
        <w:rPr>
          <w:rFonts w:hint="eastAsia" w:ascii="宋体" w:hAnsi="宋体"/>
        </w:rPr>
        <w:t>要求提供的货物或服务</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，由下列文件以及在采购过程中发出的澄清、修改和补充文件组成，</w:t>
      </w:r>
      <w:r>
        <w:rPr>
          <w:rFonts w:hint="eastAsia" w:ascii="宋体" w:hAnsi="宋体" w:cs="宋体"/>
          <w:lang w:eastAsia="zh-TW"/>
        </w:rPr>
        <w:t>内容如下</w:t>
      </w:r>
      <w:r>
        <w:rPr>
          <w:rFonts w:hint="eastAsia" w:ascii="宋体" w:hAnsi="宋体" w:cs="宋体"/>
        </w:rPr>
        <w:t>：</w:t>
      </w:r>
    </w:p>
    <w:p>
      <w:pPr>
        <w:snapToGrid w:val="0"/>
        <w:spacing w:line="360" w:lineRule="auto"/>
        <w:ind w:firstLine="495" w:firstLineChars="236"/>
        <w:rPr>
          <w:rFonts w:ascii="宋体" w:hAnsi="宋体"/>
        </w:rPr>
      </w:pPr>
      <w:r>
        <w:rPr>
          <w:rFonts w:hint="eastAsia" w:ascii="宋体" w:hAnsi="宋体" w:cs="宋体"/>
        </w:rPr>
        <w:t xml:space="preserve">第一章 </w:t>
      </w:r>
      <w:r>
        <w:rPr>
          <w:rFonts w:hint="eastAsia" w:ascii="宋体" w:hAnsi="宋体" w:cs="宋体"/>
          <w:lang w:eastAsia="zh-TW"/>
        </w:rPr>
        <w:t>磋商邀请</w:t>
      </w:r>
    </w:p>
    <w:p>
      <w:pPr>
        <w:snapToGrid w:val="0"/>
        <w:spacing w:line="360" w:lineRule="auto"/>
        <w:ind w:firstLine="495" w:firstLineChars="236"/>
        <w:rPr>
          <w:rFonts w:ascii="宋体" w:hAnsi="宋体"/>
        </w:rPr>
      </w:pPr>
      <w:r>
        <w:rPr>
          <w:rFonts w:hint="eastAsia" w:ascii="宋体" w:hAnsi="宋体" w:cs="宋体"/>
        </w:rPr>
        <w:t xml:space="preserve">第二章 </w:t>
      </w:r>
      <w:r>
        <w:rPr>
          <w:rFonts w:hint="eastAsia" w:ascii="宋体" w:hAnsi="宋体" w:cs="宋体"/>
          <w:lang w:eastAsia="zh-TW"/>
        </w:rPr>
        <w:t>磋商资料表</w:t>
      </w:r>
    </w:p>
    <w:p>
      <w:pPr>
        <w:snapToGrid w:val="0"/>
        <w:spacing w:line="360" w:lineRule="auto"/>
        <w:ind w:firstLine="495" w:firstLineChars="236"/>
        <w:rPr>
          <w:rFonts w:ascii="宋体" w:hAnsi="宋体"/>
        </w:rPr>
      </w:pPr>
      <w:r>
        <w:rPr>
          <w:rFonts w:hint="eastAsia" w:ascii="宋体" w:hAnsi="宋体" w:cs="宋体"/>
        </w:rPr>
        <w:t xml:space="preserve">第三章 </w:t>
      </w:r>
      <w:r>
        <w:rPr>
          <w:rFonts w:hint="eastAsia" w:ascii="宋体" w:hAnsi="宋体" w:cs="宋体"/>
          <w:lang w:eastAsia="zh-TW"/>
        </w:rPr>
        <w:t>评分体系与标准</w:t>
      </w:r>
    </w:p>
    <w:p>
      <w:pPr>
        <w:snapToGrid w:val="0"/>
        <w:spacing w:line="360" w:lineRule="auto"/>
        <w:ind w:firstLine="495" w:firstLineChars="236"/>
        <w:rPr>
          <w:rFonts w:ascii="宋体" w:hAnsi="宋体"/>
        </w:rPr>
      </w:pPr>
      <w:r>
        <w:rPr>
          <w:rFonts w:hint="eastAsia" w:ascii="宋体" w:hAnsi="宋体" w:cs="宋体"/>
        </w:rPr>
        <w:t xml:space="preserve">第四章 </w:t>
      </w:r>
      <w:r>
        <w:rPr>
          <w:rFonts w:hint="eastAsia" w:ascii="宋体" w:hAnsi="宋体" w:cs="宋体"/>
          <w:lang w:eastAsia="zh-TW"/>
        </w:rPr>
        <w:t>用户需求书</w:t>
      </w:r>
    </w:p>
    <w:p>
      <w:pPr>
        <w:snapToGrid w:val="0"/>
        <w:spacing w:line="360" w:lineRule="auto"/>
        <w:ind w:firstLine="495" w:firstLineChars="236"/>
        <w:rPr>
          <w:rFonts w:ascii="宋体" w:hAnsi="宋体"/>
        </w:rPr>
      </w:pPr>
      <w:r>
        <w:rPr>
          <w:rFonts w:hint="eastAsia" w:ascii="宋体" w:hAnsi="宋体" w:cs="宋体"/>
        </w:rPr>
        <w:t xml:space="preserve">第五章 </w:t>
      </w:r>
      <w:r>
        <w:rPr>
          <w:rFonts w:hint="eastAsia" w:ascii="宋体" w:hAnsi="宋体" w:cs="宋体"/>
          <w:lang w:eastAsia="zh-TW"/>
        </w:rPr>
        <w:t>合同</w:t>
      </w:r>
      <w:r>
        <w:rPr>
          <w:rFonts w:hint="eastAsia" w:ascii="宋体" w:hAnsi="宋体" w:cs="宋体"/>
        </w:rPr>
        <w:t>通用</w:t>
      </w:r>
      <w:r>
        <w:rPr>
          <w:rFonts w:hint="eastAsia" w:ascii="宋体" w:hAnsi="宋体" w:cs="宋体"/>
          <w:lang w:eastAsia="zh-TW"/>
        </w:rPr>
        <w:t>条款</w:t>
      </w:r>
    </w:p>
    <w:p>
      <w:pPr>
        <w:snapToGrid w:val="0"/>
        <w:spacing w:line="360" w:lineRule="auto"/>
        <w:ind w:firstLine="495" w:firstLineChars="236"/>
        <w:rPr>
          <w:rFonts w:ascii="宋体" w:hAnsi="宋体" w:cs="宋体"/>
          <w:lang w:eastAsia="zh-TW"/>
        </w:rPr>
      </w:pPr>
      <w:r>
        <w:rPr>
          <w:rFonts w:hint="eastAsia" w:ascii="宋体" w:hAnsi="宋体" w:cs="宋体"/>
          <w:lang w:eastAsia="zh-TW"/>
        </w:rPr>
        <w:t>第六章</w:t>
      </w:r>
      <w:r>
        <w:rPr>
          <w:rFonts w:hint="eastAsia" w:ascii="宋体" w:hAnsi="宋体" w:cs="宋体"/>
        </w:rPr>
        <w:t xml:space="preserve"> 响应文件格式</w:t>
      </w:r>
    </w:p>
    <w:p>
      <w:pPr>
        <w:snapToGrid w:val="0"/>
        <w:spacing w:line="360" w:lineRule="auto"/>
        <w:ind w:firstLine="495" w:firstLineChars="236"/>
        <w:rPr>
          <w:rFonts w:ascii="宋体" w:hAnsi="宋体" w:cs="宋体"/>
        </w:rPr>
      </w:pPr>
      <w:r>
        <w:rPr>
          <w:rFonts w:hint="eastAsia" w:ascii="宋体" w:hAnsi="宋体" w:cs="宋体"/>
        </w:rPr>
        <w:t>第七章 磋商</w:t>
      </w:r>
      <w:r>
        <w:rPr>
          <w:rFonts w:hint="eastAsia" w:ascii="宋体" w:hAnsi="宋体" w:cs="宋体"/>
          <w:lang w:eastAsia="zh-TW"/>
        </w:rPr>
        <w:t>须知</w:t>
      </w:r>
    </w:p>
    <w:p>
      <w:pPr>
        <w:numPr>
          <w:ilvl w:val="1"/>
          <w:numId w:val="37"/>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pPr>
        <w:numPr>
          <w:ilvl w:val="1"/>
          <w:numId w:val="37"/>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本竞争性磋商文件的解释权归“惠州志宏工程监理咨询有限公司”所有。</w:t>
      </w:r>
    </w:p>
    <w:p>
      <w:pPr>
        <w:numPr>
          <w:ilvl w:val="0"/>
          <w:numId w:val="37"/>
        </w:numPr>
        <w:snapToGrid w:val="0"/>
        <w:spacing w:line="360" w:lineRule="auto"/>
        <w:ind w:left="357" w:hanging="357"/>
        <w:jc w:val="both"/>
        <w:rPr>
          <w:rFonts w:ascii="宋体" w:hAnsi="宋体"/>
          <w:b/>
          <w:bCs/>
        </w:rPr>
      </w:pPr>
      <w:bookmarkStart w:id="183" w:name="_Toc410738941"/>
      <w:bookmarkStart w:id="184" w:name="_Toc410736141"/>
      <w:bookmarkStart w:id="185" w:name="_Toc416770219"/>
      <w:bookmarkStart w:id="186" w:name="_Toc416771329"/>
      <w:r>
        <w:rPr>
          <w:rFonts w:hint="eastAsia" w:ascii="宋体" w:hAnsi="宋体"/>
          <w:b/>
          <w:bCs/>
        </w:rPr>
        <w:t>竞争性磋商文件的澄清</w:t>
      </w:r>
      <w:bookmarkEnd w:id="183"/>
      <w:bookmarkEnd w:id="184"/>
      <w:r>
        <w:rPr>
          <w:rFonts w:hint="eastAsia" w:ascii="宋体" w:hAnsi="宋体"/>
          <w:b/>
          <w:bCs/>
        </w:rPr>
        <w:t>及修改</w:t>
      </w:r>
      <w:bookmarkEnd w:id="185"/>
      <w:bookmarkEnd w:id="186"/>
    </w:p>
    <w:p>
      <w:pPr>
        <w:numPr>
          <w:ilvl w:val="1"/>
          <w:numId w:val="37"/>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pPr>
        <w:numPr>
          <w:ilvl w:val="1"/>
          <w:numId w:val="37"/>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pPr>
        <w:numPr>
          <w:ilvl w:val="1"/>
          <w:numId w:val="37"/>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谈判</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pPr>
        <w:numPr>
          <w:ilvl w:val="1"/>
          <w:numId w:val="37"/>
        </w:numPr>
        <w:snapToGrid w:val="0"/>
        <w:spacing w:line="360" w:lineRule="auto"/>
        <w:jc w:val="both"/>
        <w:rPr>
          <w:rFonts w:ascii="宋体" w:hAnsi="宋体" w:cs="宋体"/>
          <w:lang w:eastAsia="zh-TW"/>
        </w:rPr>
      </w:pPr>
      <w:r>
        <w:rPr>
          <w:rFonts w:hint="eastAsia" w:ascii="宋体" w:hAnsi="宋体" w:cs="宋体"/>
          <w:lang w:eastAsia="zh-TW"/>
        </w:rPr>
        <w:t>采购人</w:t>
      </w:r>
      <w:r>
        <w:rPr>
          <w:rFonts w:hint="eastAsia" w:ascii="宋体" w:hAnsi="宋体" w:cs="宋体"/>
        </w:rPr>
        <w:t>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pPr>
        <w:numPr>
          <w:ilvl w:val="1"/>
          <w:numId w:val="37"/>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采购人将视其为无异议。对竞争性磋商文件中描述有歧意或前后不一致的地方，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pPr>
        <w:numPr>
          <w:ilvl w:val="0"/>
          <w:numId w:val="37"/>
        </w:numPr>
        <w:snapToGrid w:val="0"/>
        <w:spacing w:line="360" w:lineRule="auto"/>
        <w:ind w:left="357" w:hanging="357"/>
        <w:jc w:val="both"/>
        <w:rPr>
          <w:rFonts w:ascii="宋体" w:hAnsi="宋体"/>
          <w:b/>
          <w:bCs/>
        </w:rPr>
      </w:pPr>
      <w:bookmarkStart w:id="187" w:name="_Toc433127757"/>
      <w:bookmarkStart w:id="188" w:name="_Toc434343657"/>
      <w:r>
        <w:rPr>
          <w:rFonts w:hint="eastAsia" w:ascii="宋体" w:hAnsi="宋体"/>
          <w:b/>
          <w:bCs/>
        </w:rPr>
        <w:t>竞争性磋商文件的答疑或现场考察</w:t>
      </w:r>
      <w:bookmarkEnd w:id="187"/>
      <w:bookmarkEnd w:id="188"/>
    </w:p>
    <w:p>
      <w:pPr>
        <w:numPr>
          <w:ilvl w:val="1"/>
          <w:numId w:val="37"/>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中另有规定，不举行项目现场考察或磋商前答疑会，如举行现场考察或磋商前答疑会的，则按以下规定：</w:t>
      </w:r>
    </w:p>
    <w:p>
      <w:pPr>
        <w:numPr>
          <w:ilvl w:val="2"/>
          <w:numId w:val="37"/>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pPr>
        <w:numPr>
          <w:ilvl w:val="2"/>
          <w:numId w:val="37"/>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pPr>
        <w:numPr>
          <w:ilvl w:val="2"/>
          <w:numId w:val="37"/>
        </w:numPr>
        <w:snapToGrid w:val="0"/>
        <w:spacing w:line="360" w:lineRule="auto"/>
        <w:jc w:val="both"/>
        <w:rPr>
          <w:rFonts w:ascii="宋体" w:hAnsi="宋体" w:cs="宋体"/>
          <w:lang w:eastAsia="zh-TW"/>
        </w:rPr>
      </w:pPr>
      <w:r>
        <w:rPr>
          <w:rFonts w:hint="eastAsia" w:ascii="宋体" w:hAnsi="宋体" w:cs="宋体"/>
          <w:lang w:eastAsia="zh-TW"/>
        </w:rPr>
        <w:t>已购买竞争性磋商文件的响应供应商如不出席答疑会</w:t>
      </w:r>
      <w:r>
        <w:rPr>
          <w:rFonts w:hint="eastAsia" w:ascii="宋体" w:hAnsi="宋体" w:cs="宋体"/>
        </w:rPr>
        <w:t>或现场考察</w:t>
      </w:r>
      <w:r>
        <w:rPr>
          <w:rFonts w:hint="eastAsia" w:ascii="宋体" w:hAnsi="宋体" w:cs="宋体"/>
          <w:lang w:eastAsia="zh-TW"/>
        </w:rPr>
        <w:t>视为对竞争性磋商文件所有内容无任何异议。</w:t>
      </w:r>
    </w:p>
    <w:p>
      <w:pPr>
        <w:snapToGrid w:val="0"/>
        <w:spacing w:beforeLines="100" w:afterLines="100" w:line="360" w:lineRule="auto"/>
        <w:jc w:val="center"/>
        <w:outlineLvl w:val="0"/>
        <w:rPr>
          <w:rFonts w:ascii="宋体" w:hAnsi="宋体"/>
          <w:b/>
          <w:sz w:val="28"/>
          <w:szCs w:val="28"/>
          <w:lang w:eastAsia="zh-TW"/>
        </w:rPr>
      </w:pPr>
      <w:bookmarkStart w:id="189" w:name="_Toc410738943"/>
      <w:bookmarkStart w:id="190" w:name="_Toc410736143"/>
      <w:bookmarkStart w:id="191" w:name="_Toc416771330"/>
      <w:bookmarkStart w:id="192" w:name="_Toc523168285"/>
      <w:bookmarkStart w:id="193" w:name="_Toc502738626"/>
      <w:bookmarkStart w:id="194" w:name="_Toc416770220"/>
      <w:r>
        <w:rPr>
          <w:rFonts w:hint="eastAsia" w:ascii="宋体" w:hAnsi="宋体"/>
          <w:b/>
          <w:sz w:val="28"/>
          <w:szCs w:val="28"/>
          <w:lang w:eastAsia="zh-TW"/>
        </w:rPr>
        <w:t>三、响应文件的编制</w:t>
      </w:r>
      <w:bookmarkEnd w:id="189"/>
      <w:bookmarkEnd w:id="190"/>
      <w:bookmarkEnd w:id="191"/>
      <w:bookmarkEnd w:id="192"/>
      <w:bookmarkEnd w:id="193"/>
      <w:bookmarkEnd w:id="194"/>
    </w:p>
    <w:p>
      <w:pPr>
        <w:numPr>
          <w:ilvl w:val="0"/>
          <w:numId w:val="37"/>
        </w:numPr>
        <w:snapToGrid w:val="0"/>
        <w:spacing w:line="360" w:lineRule="auto"/>
        <w:ind w:left="357" w:hanging="357"/>
        <w:jc w:val="both"/>
        <w:rPr>
          <w:rFonts w:ascii="宋体" w:hAnsi="宋体"/>
          <w:b/>
          <w:bCs/>
        </w:rPr>
      </w:pPr>
      <w:bookmarkStart w:id="195" w:name="_Toc410738944"/>
      <w:bookmarkStart w:id="196" w:name="_Toc416770221"/>
      <w:bookmarkStart w:id="197" w:name="_Toc410736144"/>
      <w:bookmarkStart w:id="198" w:name="_Toc416771331"/>
      <w:r>
        <w:rPr>
          <w:rFonts w:hint="eastAsia" w:ascii="宋体" w:hAnsi="宋体"/>
          <w:b/>
          <w:bCs/>
        </w:rPr>
        <w:t>磋商的语言</w:t>
      </w:r>
      <w:bookmarkEnd w:id="195"/>
      <w:bookmarkEnd w:id="196"/>
      <w:bookmarkEnd w:id="197"/>
      <w:bookmarkEnd w:id="198"/>
    </w:p>
    <w:p>
      <w:pPr>
        <w:numPr>
          <w:ilvl w:val="1"/>
          <w:numId w:val="37"/>
        </w:numPr>
        <w:tabs>
          <w:tab w:val="left" w:pos="567"/>
          <w:tab w:val="clear" w:pos="360"/>
        </w:tabs>
        <w:snapToGrid w:val="0"/>
        <w:spacing w:line="360" w:lineRule="auto"/>
        <w:ind w:left="567" w:hanging="567"/>
        <w:rPr>
          <w:rFonts w:ascii="宋体" w:hAnsi="宋体" w:cs="黑体"/>
          <w:b/>
          <w:bCs/>
        </w:rPr>
      </w:pPr>
      <w:bookmarkStart w:id="199" w:name="_Toc416770222"/>
      <w:bookmarkStart w:id="200" w:name="_Toc416771332"/>
      <w:bookmarkStart w:id="201" w:name="_Toc410738945"/>
      <w:bookmarkStart w:id="202" w:name="_Toc410736145"/>
      <w:r>
        <w:rPr>
          <w:rFonts w:hint="eastAsia" w:ascii="宋体" w:hAnsi="宋体" w:cs="宋体"/>
          <w:lang w:eastAsia="zh-TW"/>
        </w:rPr>
        <w:t>响应供应商提交的响应文件以及响应供应商与采购人就有关磋商的所有来往函电均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w:t>
      </w:r>
      <w:r>
        <w:rPr>
          <w:rFonts w:hint="eastAsia" w:ascii="宋体" w:hAnsi="宋体"/>
        </w:rPr>
        <w:t>两种语言不一致时以中文翻译本为准。</w:t>
      </w:r>
    </w:p>
    <w:p>
      <w:pPr>
        <w:numPr>
          <w:ilvl w:val="0"/>
          <w:numId w:val="37"/>
        </w:numPr>
        <w:snapToGrid w:val="0"/>
        <w:spacing w:line="360" w:lineRule="auto"/>
        <w:ind w:left="357" w:hanging="357"/>
        <w:jc w:val="both"/>
        <w:rPr>
          <w:rFonts w:ascii="宋体" w:hAnsi="宋体"/>
          <w:b/>
          <w:bCs/>
        </w:rPr>
      </w:pPr>
      <w:r>
        <w:rPr>
          <w:rFonts w:hint="eastAsia" w:ascii="宋体" w:hAnsi="宋体"/>
          <w:b/>
          <w:bCs/>
        </w:rPr>
        <w:t>响应文件的构成</w:t>
      </w:r>
      <w:bookmarkEnd w:id="199"/>
      <w:bookmarkEnd w:id="200"/>
      <w:bookmarkEnd w:id="201"/>
      <w:bookmarkEnd w:id="202"/>
    </w:p>
    <w:p>
      <w:pPr>
        <w:numPr>
          <w:ilvl w:val="1"/>
          <w:numId w:val="37"/>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pPr>
        <w:numPr>
          <w:ilvl w:val="1"/>
          <w:numId w:val="37"/>
        </w:numPr>
        <w:snapToGrid w:val="0"/>
        <w:spacing w:line="360" w:lineRule="auto"/>
        <w:jc w:val="both"/>
        <w:rPr>
          <w:rFonts w:ascii="宋体" w:hAnsi="宋体" w:cs="宋体"/>
          <w:lang w:eastAsia="zh-TW"/>
        </w:rPr>
      </w:pPr>
      <w:r>
        <w:rPr>
          <w:rFonts w:hint="eastAsia" w:ascii="宋体" w:hAnsi="宋体" w:cs="宋体"/>
          <w:lang w:eastAsia="zh-TW"/>
        </w:rPr>
        <w:t>响应文件的构成应符合法律法规及竞争性磋商文件的要求。</w:t>
      </w:r>
    </w:p>
    <w:p>
      <w:pPr>
        <w:numPr>
          <w:ilvl w:val="0"/>
          <w:numId w:val="37"/>
        </w:numPr>
        <w:snapToGrid w:val="0"/>
        <w:spacing w:line="360" w:lineRule="auto"/>
        <w:ind w:left="357" w:hanging="357"/>
        <w:jc w:val="both"/>
        <w:rPr>
          <w:rFonts w:ascii="宋体" w:hAnsi="宋体"/>
          <w:b/>
          <w:bCs/>
        </w:rPr>
      </w:pPr>
      <w:bookmarkStart w:id="203" w:name="_Toc416771333"/>
      <w:bookmarkStart w:id="204" w:name="_Toc410736146"/>
      <w:bookmarkStart w:id="205" w:name="_Toc416770223"/>
      <w:bookmarkStart w:id="206" w:name="_Toc410738946"/>
      <w:r>
        <w:rPr>
          <w:rFonts w:hint="eastAsia" w:ascii="宋体" w:hAnsi="宋体"/>
          <w:b/>
          <w:bCs/>
        </w:rPr>
        <w:t>响应文件的编写</w:t>
      </w:r>
      <w:bookmarkEnd w:id="203"/>
      <w:bookmarkEnd w:id="204"/>
      <w:bookmarkEnd w:id="205"/>
      <w:bookmarkEnd w:id="206"/>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b/>
          <w:bCs/>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响应供应商必须对响应文件所提供的全部资料的真实性承担法律责任，并无条件接受采购人及政府采购监督管理部门等对其中任何资料进行核实的要求。</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pPr>
        <w:numPr>
          <w:ilvl w:val="0"/>
          <w:numId w:val="37"/>
        </w:numPr>
        <w:snapToGrid w:val="0"/>
        <w:spacing w:line="360" w:lineRule="auto"/>
        <w:ind w:left="357" w:hanging="357"/>
        <w:jc w:val="both"/>
        <w:rPr>
          <w:rFonts w:ascii="宋体" w:hAnsi="宋体"/>
          <w:b/>
          <w:bCs/>
        </w:rPr>
      </w:pPr>
      <w:bookmarkStart w:id="207" w:name="_Toc416770224"/>
      <w:bookmarkStart w:id="208" w:name="_Toc416771334"/>
      <w:bookmarkStart w:id="209" w:name="_Toc410736147"/>
      <w:bookmarkStart w:id="210" w:name="_Toc410738947"/>
      <w:r>
        <w:rPr>
          <w:rFonts w:hint="eastAsia" w:ascii="宋体" w:hAnsi="宋体"/>
          <w:b/>
          <w:bCs/>
        </w:rPr>
        <w:t>磋商报价</w:t>
      </w:r>
      <w:bookmarkEnd w:id="207"/>
      <w:bookmarkEnd w:id="208"/>
      <w:bookmarkEnd w:id="209"/>
      <w:bookmarkEnd w:id="210"/>
    </w:p>
    <w:p>
      <w:pPr>
        <w:numPr>
          <w:ilvl w:val="1"/>
          <w:numId w:val="37"/>
        </w:numPr>
        <w:tabs>
          <w:tab w:val="left" w:pos="709"/>
          <w:tab w:val="clear" w:pos="360"/>
        </w:tabs>
        <w:snapToGrid w:val="0"/>
        <w:spacing w:line="360" w:lineRule="auto"/>
        <w:ind w:left="709" w:hanging="709"/>
        <w:rPr>
          <w:rFonts w:ascii="宋体" w:hAnsi="宋体" w:cs="黑体"/>
          <w:b/>
          <w:bCs/>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w:t>
      </w:r>
      <w:r>
        <w:rPr>
          <w:rFonts w:hint="eastAsia" w:ascii="宋体" w:hAnsi="宋体" w:cs="宋体"/>
        </w:rPr>
        <w:t>报价</w:t>
      </w:r>
      <w:r>
        <w:rPr>
          <w:rFonts w:hint="eastAsia" w:ascii="宋体" w:hAnsi="宋体" w:cs="宋体"/>
          <w:lang w:eastAsia="zh-TW"/>
        </w:rPr>
        <w:t>总价中不得包含</w:t>
      </w:r>
      <w:r>
        <w:rPr>
          <w:rFonts w:hint="eastAsia" w:ascii="宋体" w:hAnsi="宋体" w:cs="宋体"/>
        </w:rPr>
        <w:t>竞争性磋商文件</w:t>
      </w:r>
      <w:r>
        <w:rPr>
          <w:rFonts w:hint="eastAsia" w:ascii="宋体" w:hAnsi="宋体" w:cs="宋体"/>
          <w:lang w:eastAsia="zh-TW"/>
        </w:rPr>
        <w:t>要求以外的内容，否则，在评</w:t>
      </w:r>
      <w:r>
        <w:rPr>
          <w:rFonts w:hint="eastAsia" w:ascii="宋体" w:hAnsi="宋体" w:cs="宋体"/>
        </w:rPr>
        <w:t>审</w:t>
      </w:r>
      <w:r>
        <w:rPr>
          <w:rFonts w:hint="eastAsia" w:ascii="宋体" w:hAnsi="宋体" w:cs="宋体"/>
          <w:lang w:eastAsia="zh-TW"/>
        </w:rPr>
        <w:t>时不予核减。否则，在评</w:t>
      </w:r>
      <w:r>
        <w:rPr>
          <w:rFonts w:hint="eastAsia" w:ascii="宋体" w:hAnsi="宋体" w:cs="宋体"/>
        </w:rPr>
        <w:t>审</w:t>
      </w:r>
      <w:r>
        <w:rPr>
          <w:rFonts w:hint="eastAsia" w:ascii="宋体" w:hAnsi="宋体" w:cs="宋体"/>
          <w:lang w:eastAsia="zh-TW"/>
        </w:rPr>
        <w:t>时不予核减。若投标报价有缺漏项的，缺漏项部分的价格视为已包含在投标报价中，</w:t>
      </w:r>
      <w:r>
        <w:rPr>
          <w:rFonts w:hint="eastAsia" w:ascii="宋体" w:hAnsi="宋体" w:cs="宋体"/>
        </w:rPr>
        <w:t>成交</w:t>
      </w:r>
      <w:r>
        <w:rPr>
          <w:rFonts w:hint="eastAsia" w:ascii="宋体" w:hAnsi="宋体" w:cs="宋体"/>
          <w:lang w:eastAsia="zh-TW"/>
        </w:rPr>
        <w:t>后不作任何调整。</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投标分项报价</w:t>
      </w:r>
      <w:r>
        <w:rPr>
          <w:rFonts w:hint="eastAsia" w:ascii="宋体" w:hAnsi="宋体" w:cs="宋体"/>
        </w:rPr>
        <w:t>应包含：</w:t>
      </w:r>
    </w:p>
    <w:p>
      <w:pPr>
        <w:numPr>
          <w:ilvl w:val="2"/>
          <w:numId w:val="37"/>
        </w:numPr>
        <w:tabs>
          <w:tab w:val="left" w:pos="851"/>
        </w:tabs>
        <w:snapToGrid w:val="0"/>
        <w:spacing w:line="360" w:lineRule="auto"/>
        <w:rPr>
          <w:rFonts w:ascii="宋体" w:hAnsi="宋体" w:cs="宋体"/>
          <w:lang w:eastAsia="zh-TW"/>
        </w:rPr>
      </w:pPr>
      <w:r>
        <w:rPr>
          <w:rFonts w:hint="eastAsia" w:ascii="宋体" w:hAnsi="宋体" w:cs="宋体"/>
        </w:rPr>
        <w:t>按磋商文件的要求全部货物及服务内容所需的所有费用，</w:t>
      </w:r>
      <w:r>
        <w:t>包括但不限于项目的</w:t>
      </w:r>
      <w:r>
        <w:rPr>
          <w:rFonts w:hint="eastAsia" w:ascii="宋体" w:hAnsi="宋体" w:cs="宋体"/>
        </w:rPr>
        <w:t>全部</w:t>
      </w:r>
      <w:r>
        <w:rPr>
          <w:rFonts w:hint="eastAsia" w:ascii="宋体" w:hAnsi="宋体" w:cs="宋体"/>
          <w:lang w:eastAsia="zh-TW"/>
        </w:rPr>
        <w:t>产品</w:t>
      </w:r>
      <w:r>
        <w:rPr>
          <w:rFonts w:hint="eastAsia" w:ascii="宋体" w:hAnsi="宋体" w:cs="宋体"/>
        </w:rPr>
        <w:t>价格、服务价格、</w:t>
      </w:r>
      <w:r>
        <w:rPr>
          <w:rFonts w:hint="eastAsia" w:ascii="宋体" w:hAnsi="宋体" w:cs="宋体"/>
          <w:lang w:eastAsia="zh-TW"/>
        </w:rPr>
        <w:t>应向中华人民共和国政府缴纳的增值税和其它税等全部税费、</w:t>
      </w:r>
      <w:r>
        <w:t>运输、保险、安装、伴随服务、</w:t>
      </w:r>
      <w:r>
        <w:rPr>
          <w:rFonts w:hint="eastAsia" w:ascii="宋体" w:hAnsi="宋体" w:cs="宋体"/>
          <w:lang w:eastAsia="zh-TW"/>
        </w:rPr>
        <w:t>标准附件价、备品备件及专用工具价</w:t>
      </w:r>
      <w:r>
        <w:rPr>
          <w:rFonts w:ascii="宋体" w:hAnsi="宋体" w:cs="宋体"/>
          <w:lang w:eastAsia="zh-TW"/>
        </w:rPr>
        <w:t>(</w:t>
      </w:r>
      <w:r>
        <w:rPr>
          <w:rFonts w:hint="eastAsia" w:ascii="宋体" w:hAnsi="宋体" w:cs="宋体"/>
          <w:lang w:eastAsia="zh-TW"/>
        </w:rPr>
        <w:t>如有</w:t>
      </w:r>
      <w:r>
        <w:rPr>
          <w:rFonts w:ascii="宋体" w:hAnsi="宋体" w:cs="宋体"/>
          <w:lang w:eastAsia="zh-TW"/>
        </w:rPr>
        <w:t>)、</w:t>
      </w:r>
      <w:r>
        <w:t>以及</w:t>
      </w:r>
      <w:r>
        <w:rPr>
          <w:rFonts w:hint="eastAsia" w:ascii="宋体" w:hAnsi="宋体" w:cs="宋体"/>
        </w:rPr>
        <w:t>履行合同所需的费用、</w:t>
      </w:r>
      <w:r>
        <w:t>所有风险、责任等</w:t>
      </w:r>
      <w:r>
        <w:rPr>
          <w:rFonts w:hint="eastAsia" w:ascii="宋体" w:hAnsi="宋体" w:cs="宋体"/>
        </w:rPr>
        <w:t>其他一切隐含及不可预见的费用</w:t>
      </w:r>
      <w:r>
        <w:t>。如是</w:t>
      </w:r>
      <w:r>
        <w:rPr>
          <w:rFonts w:hint="eastAsia" w:ascii="宋体" w:hAnsi="宋体" w:cs="宋体"/>
          <w:lang w:eastAsia="zh-TW"/>
        </w:rPr>
        <w:t>提供境外的货物</w:t>
      </w:r>
      <w:r>
        <w:rPr>
          <w:rFonts w:hint="eastAsia" w:ascii="宋体" w:hAnsi="宋体" w:cs="宋体"/>
        </w:rPr>
        <w:t>，</w:t>
      </w:r>
      <w:r>
        <w:rPr>
          <w:rFonts w:hint="eastAsia" w:ascii="宋体" w:hAnsi="宋体" w:cs="宋体"/>
          <w:lang w:eastAsia="zh-TW"/>
        </w:rPr>
        <w:t>还应包括货物从境外进口己缴纳或应缴纳的全部关税、增值税和其它税</w:t>
      </w:r>
      <w:r>
        <w:rPr>
          <w:rFonts w:hint="eastAsia" w:ascii="宋体" w:hAnsi="宋体" w:cs="宋体"/>
        </w:rPr>
        <w:t>、</w:t>
      </w:r>
      <w:r>
        <w:rPr>
          <w:rFonts w:hint="eastAsia" w:ascii="宋体" w:hAnsi="宋体" w:cs="宋体"/>
          <w:lang w:eastAsia="zh-TW"/>
        </w:rPr>
        <w:t>报货物境外离岸价格、国外运输费、国外运输保险费等费用。</w:t>
      </w:r>
      <w:r>
        <w:rPr>
          <w:rFonts w:hint="eastAsia" w:ascii="宋体" w:hAnsi="宋体" w:cs="宋体"/>
          <w:b/>
          <w:lang w:eastAsia="zh-TW"/>
        </w:rPr>
        <w:t>磋商资料表</w:t>
      </w:r>
      <w:r>
        <w:rPr>
          <w:rFonts w:hint="eastAsia" w:ascii="宋体" w:hAnsi="宋体" w:cs="宋体"/>
          <w:lang w:eastAsia="zh-TW"/>
        </w:rPr>
        <w:t>中对进口环节关税和增值税另有规定的，从其规定。</w:t>
      </w:r>
    </w:p>
    <w:p>
      <w:pPr>
        <w:numPr>
          <w:ilvl w:val="2"/>
          <w:numId w:val="37"/>
        </w:numPr>
        <w:tabs>
          <w:tab w:val="left" w:pos="851"/>
        </w:tabs>
        <w:snapToGrid w:val="0"/>
        <w:spacing w:line="360" w:lineRule="auto"/>
        <w:rPr>
          <w:rFonts w:ascii="宋体" w:hAnsi="宋体" w:cs="宋体"/>
          <w:lang w:eastAsia="zh-TW"/>
        </w:rPr>
      </w:pPr>
      <w:r>
        <w:rPr>
          <w:rFonts w:hint="eastAsia" w:ascii="宋体" w:hAnsi="宋体" w:cs="宋体"/>
          <w:lang w:eastAsia="zh-TW"/>
        </w:rPr>
        <w:t>对于报价免费的</w:t>
      </w:r>
      <w:r>
        <w:rPr>
          <w:rFonts w:hint="eastAsia" w:ascii="宋体" w:hAnsi="宋体" w:cs="宋体"/>
        </w:rPr>
        <w:t>内容</w:t>
      </w:r>
      <w:r>
        <w:rPr>
          <w:rFonts w:hint="eastAsia" w:ascii="宋体" w:hAnsi="宋体" w:cs="宋体"/>
          <w:lang w:eastAsia="zh-TW"/>
        </w:rPr>
        <w:t>须标明“免费”</w:t>
      </w:r>
      <w:r>
        <w:rPr>
          <w:rFonts w:hint="eastAsia" w:ascii="宋体" w:hAnsi="宋体" w:cs="宋体"/>
        </w:rPr>
        <w:t>。</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pPr>
        <w:numPr>
          <w:ilvl w:val="0"/>
          <w:numId w:val="37"/>
        </w:numPr>
        <w:snapToGrid w:val="0"/>
        <w:spacing w:line="360" w:lineRule="auto"/>
        <w:ind w:left="357" w:hanging="357"/>
        <w:jc w:val="both"/>
        <w:rPr>
          <w:rFonts w:ascii="宋体" w:hAnsi="宋体"/>
          <w:b/>
          <w:bCs/>
        </w:rPr>
      </w:pPr>
      <w:bookmarkStart w:id="211" w:name="_Toc410736148"/>
      <w:bookmarkStart w:id="212" w:name="_Toc416771335"/>
      <w:bookmarkStart w:id="213" w:name="_Toc410738948"/>
      <w:bookmarkStart w:id="214" w:name="_Toc416770225"/>
      <w:r>
        <w:rPr>
          <w:rFonts w:hint="eastAsia" w:ascii="宋体" w:hAnsi="宋体"/>
          <w:b/>
          <w:bCs/>
        </w:rPr>
        <w:t>投标货币</w:t>
      </w:r>
      <w:bookmarkEnd w:id="211"/>
      <w:bookmarkEnd w:id="212"/>
      <w:bookmarkEnd w:id="213"/>
      <w:bookmarkEnd w:id="214"/>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响应供应商所提供的货物或服务均应以人民币报价。 </w:t>
      </w:r>
    </w:p>
    <w:p>
      <w:pPr>
        <w:numPr>
          <w:ilvl w:val="0"/>
          <w:numId w:val="37"/>
        </w:numPr>
        <w:snapToGrid w:val="0"/>
        <w:spacing w:line="360" w:lineRule="auto"/>
        <w:ind w:left="357" w:hanging="357"/>
        <w:jc w:val="both"/>
        <w:rPr>
          <w:rFonts w:ascii="宋体" w:hAnsi="宋体"/>
          <w:b/>
          <w:bCs/>
        </w:rPr>
      </w:pPr>
      <w:bookmarkStart w:id="215" w:name="_Toc416770226"/>
      <w:bookmarkStart w:id="216" w:name="_Toc416771336"/>
      <w:r>
        <w:rPr>
          <w:rFonts w:hint="eastAsia" w:ascii="宋体" w:hAnsi="宋体"/>
          <w:b/>
          <w:bCs/>
        </w:rPr>
        <w:t>联合体投标</w:t>
      </w:r>
      <w:bookmarkEnd w:id="215"/>
      <w:bookmarkEnd w:id="216"/>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p>
    <w:p>
      <w:pPr>
        <w:numPr>
          <w:ilvl w:val="2"/>
          <w:numId w:val="37"/>
        </w:numPr>
        <w:tabs>
          <w:tab w:val="left" w:pos="851"/>
          <w:tab w:val="clear" w:pos="720"/>
        </w:tabs>
        <w:snapToGrid w:val="0"/>
        <w:spacing w:line="360" w:lineRule="auto"/>
        <w:ind w:left="851" w:hanging="851"/>
        <w:jc w:val="both"/>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pPr>
        <w:numPr>
          <w:ilvl w:val="2"/>
          <w:numId w:val="37"/>
        </w:numPr>
        <w:tabs>
          <w:tab w:val="left" w:pos="851"/>
          <w:tab w:val="clear" w:pos="720"/>
        </w:tabs>
        <w:snapToGrid w:val="0"/>
        <w:spacing w:line="360" w:lineRule="auto"/>
        <w:ind w:left="851" w:hanging="851"/>
        <w:jc w:val="both"/>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pPr>
        <w:numPr>
          <w:ilvl w:val="2"/>
          <w:numId w:val="37"/>
        </w:numPr>
        <w:tabs>
          <w:tab w:val="left" w:pos="851"/>
          <w:tab w:val="clear" w:pos="720"/>
        </w:tabs>
        <w:snapToGrid w:val="0"/>
        <w:spacing w:line="360" w:lineRule="auto"/>
        <w:ind w:left="851" w:hanging="851"/>
        <w:jc w:val="both"/>
        <w:rPr>
          <w:rFonts w:ascii="宋体" w:hAnsi="宋体"/>
        </w:rPr>
      </w:pPr>
      <w:r>
        <w:rPr>
          <w:rFonts w:hint="eastAsia" w:ascii="宋体" w:hAnsi="宋体"/>
        </w:rPr>
        <w:t>联合体中有同类资质的响应供应商按照联合体分工承担相同工作的，应当按照资质等级较低的响应供应商确定资质等级。</w:t>
      </w:r>
    </w:p>
    <w:p>
      <w:pPr>
        <w:numPr>
          <w:ilvl w:val="2"/>
          <w:numId w:val="37"/>
        </w:numPr>
        <w:tabs>
          <w:tab w:val="left" w:pos="851"/>
          <w:tab w:val="clear" w:pos="720"/>
        </w:tabs>
        <w:snapToGrid w:val="0"/>
        <w:spacing w:line="360" w:lineRule="auto"/>
        <w:ind w:left="851" w:hanging="851"/>
        <w:jc w:val="both"/>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pPr>
        <w:numPr>
          <w:ilvl w:val="2"/>
          <w:numId w:val="37"/>
        </w:numPr>
        <w:tabs>
          <w:tab w:val="left" w:pos="851"/>
          <w:tab w:val="clear" w:pos="720"/>
        </w:tabs>
        <w:snapToGrid w:val="0"/>
        <w:spacing w:line="360" w:lineRule="auto"/>
        <w:ind w:left="851" w:hanging="851"/>
        <w:jc w:val="both"/>
        <w:rPr>
          <w:rFonts w:ascii="宋体" w:hAnsi="宋体"/>
        </w:rPr>
      </w:pPr>
      <w:r>
        <w:rPr>
          <w:rFonts w:hint="eastAsia" w:ascii="宋体" w:hAnsi="宋体"/>
        </w:rPr>
        <w:t>联合体成交的，联合体各方应当共同与采购人签订合同。</w:t>
      </w:r>
    </w:p>
    <w:p>
      <w:pPr>
        <w:numPr>
          <w:ilvl w:val="0"/>
          <w:numId w:val="37"/>
        </w:numPr>
        <w:snapToGrid w:val="0"/>
        <w:spacing w:line="360" w:lineRule="auto"/>
        <w:ind w:left="357" w:hanging="357"/>
        <w:jc w:val="both"/>
        <w:rPr>
          <w:rFonts w:ascii="宋体" w:hAnsi="宋体"/>
          <w:b/>
          <w:bCs/>
        </w:rPr>
      </w:pPr>
      <w:bookmarkStart w:id="217" w:name="_Toc410738950"/>
      <w:bookmarkStart w:id="218" w:name="_Toc416771337"/>
      <w:bookmarkStart w:id="219" w:name="_Toc416770227"/>
      <w:bookmarkStart w:id="220" w:name="_Toc410736150"/>
      <w:r>
        <w:rPr>
          <w:rFonts w:hint="eastAsia" w:ascii="宋体" w:hAnsi="宋体"/>
          <w:b/>
          <w:bCs/>
        </w:rPr>
        <w:t>证明响应供应商合格和资格的文件</w:t>
      </w:r>
      <w:bookmarkEnd w:id="217"/>
      <w:bookmarkEnd w:id="218"/>
      <w:bookmarkEnd w:id="219"/>
      <w:bookmarkEnd w:id="220"/>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pPr>
        <w:numPr>
          <w:ilvl w:val="0"/>
          <w:numId w:val="37"/>
        </w:numPr>
        <w:snapToGrid w:val="0"/>
        <w:spacing w:line="360" w:lineRule="auto"/>
        <w:ind w:left="357" w:hanging="357"/>
        <w:jc w:val="both"/>
        <w:rPr>
          <w:rFonts w:ascii="宋体" w:hAnsi="宋体"/>
          <w:b/>
          <w:bCs/>
        </w:rPr>
      </w:pPr>
      <w:bookmarkStart w:id="221" w:name="_Toc410738951"/>
      <w:bookmarkStart w:id="222" w:name="_Toc416771338"/>
      <w:bookmarkStart w:id="223" w:name="_Toc416770228"/>
      <w:bookmarkStart w:id="224" w:name="_Toc410736151"/>
      <w:r>
        <w:rPr>
          <w:rFonts w:hint="eastAsia" w:ascii="宋体" w:hAnsi="宋体"/>
          <w:b/>
          <w:bCs/>
        </w:rPr>
        <w:t>证明货物或服务的合格性和符合竞争性磋商文件规定的文件</w:t>
      </w:r>
      <w:bookmarkEnd w:id="221"/>
      <w:bookmarkEnd w:id="222"/>
      <w:bookmarkEnd w:id="223"/>
      <w:bookmarkEnd w:id="224"/>
    </w:p>
    <w:p>
      <w:pPr>
        <w:numPr>
          <w:ilvl w:val="1"/>
          <w:numId w:val="37"/>
        </w:numPr>
        <w:tabs>
          <w:tab w:val="left" w:pos="798"/>
          <w:tab w:val="clear" w:pos="360"/>
        </w:tabs>
        <w:snapToGrid w:val="0"/>
        <w:spacing w:line="360" w:lineRule="auto"/>
        <w:ind w:left="798" w:hanging="798"/>
        <w:rPr>
          <w:rFonts w:ascii="宋体" w:hAnsi="宋体" w:cs="黑体"/>
          <w:bCs/>
        </w:rPr>
      </w:pPr>
      <w:r>
        <w:rPr>
          <w:rFonts w:hint="eastAsia" w:ascii="宋体" w:hAnsi="宋体" w:cs="宋体"/>
          <w:lang w:eastAsia="zh-TW"/>
        </w:rPr>
        <w:t>响应供应商应提交证明文件</w:t>
      </w:r>
      <w:r>
        <w:rPr>
          <w:rFonts w:hint="eastAsia" w:ascii="宋体" w:hAnsi="宋体" w:cs="宋体"/>
        </w:rPr>
        <w:t>，</w:t>
      </w:r>
      <w:r>
        <w:rPr>
          <w:rFonts w:hint="eastAsia" w:ascii="宋体" w:hAnsi="宋体" w:cs="宋体"/>
          <w:lang w:eastAsia="zh-TW"/>
        </w:rPr>
        <w:t>证明其</w:t>
      </w:r>
      <w:r>
        <w:rPr>
          <w:rFonts w:hint="eastAsia" w:ascii="宋体" w:hAnsi="宋体" w:cs="宋体"/>
        </w:rPr>
        <w:t>磋商</w:t>
      </w:r>
      <w:r>
        <w:rPr>
          <w:rFonts w:hint="eastAsia" w:ascii="宋体" w:hAnsi="宋体" w:cs="宋体"/>
          <w:lang w:eastAsia="zh-TW"/>
        </w:rPr>
        <w:t>的</w:t>
      </w:r>
      <w:r>
        <w:rPr>
          <w:rFonts w:hint="eastAsia" w:ascii="宋体" w:hAnsi="宋体" w:cs="宋体"/>
        </w:rPr>
        <w:t>货物或</w:t>
      </w:r>
      <w:r>
        <w:rPr>
          <w:rFonts w:hint="eastAsia" w:ascii="宋体" w:hAnsi="宋体" w:cs="宋体"/>
          <w:lang w:eastAsia="zh-TW"/>
        </w:rPr>
        <w:t>服务的合格性符合竞争性磋商文件规定。该证明文件作为响应文件的一部分。</w:t>
      </w:r>
    </w:p>
    <w:p>
      <w:pPr>
        <w:numPr>
          <w:ilvl w:val="1"/>
          <w:numId w:val="37"/>
        </w:numPr>
        <w:tabs>
          <w:tab w:val="left" w:pos="798"/>
          <w:tab w:val="clear" w:pos="360"/>
        </w:tabs>
        <w:snapToGrid w:val="0"/>
        <w:spacing w:line="360" w:lineRule="auto"/>
        <w:ind w:left="798" w:hanging="798"/>
        <w:rPr>
          <w:rFonts w:ascii="宋体" w:hAnsi="宋体" w:cs="黑体"/>
          <w:bCs/>
        </w:rPr>
      </w:pPr>
      <w:r>
        <w:rPr>
          <w:rFonts w:hint="eastAsia" w:ascii="宋体" w:hAnsi="宋体" w:cs="宋体"/>
          <w:lang w:eastAsia="zh-TW"/>
        </w:rPr>
        <w:t>证明</w:t>
      </w:r>
      <w:r>
        <w:rPr>
          <w:rFonts w:hint="eastAsia" w:ascii="宋体" w:hAnsi="宋体" w:cs="宋体"/>
        </w:rPr>
        <w:t>货物或</w:t>
      </w:r>
      <w:r>
        <w:rPr>
          <w:rFonts w:hint="eastAsia" w:ascii="宋体" w:hAnsi="宋体" w:cs="宋体"/>
          <w:lang w:eastAsia="zh-TW"/>
        </w:rPr>
        <w:t>服务与竞争性磋商文件的要求相一致的文件，可以是文字资料、图纸和数据，它包括：</w:t>
      </w:r>
    </w:p>
    <w:p>
      <w:pPr>
        <w:numPr>
          <w:ilvl w:val="2"/>
          <w:numId w:val="37"/>
        </w:numPr>
        <w:tabs>
          <w:tab w:val="left" w:pos="851"/>
        </w:tabs>
        <w:snapToGrid w:val="0"/>
        <w:spacing w:line="360" w:lineRule="auto"/>
        <w:jc w:val="both"/>
        <w:rPr>
          <w:rFonts w:ascii="宋体" w:hAnsi="宋体"/>
        </w:rPr>
      </w:pPr>
      <w:r>
        <w:rPr>
          <w:rFonts w:hint="eastAsia" w:ascii="宋体" w:hAnsi="宋体" w:cs="宋体"/>
          <w:lang w:eastAsia="zh-TW"/>
        </w:rPr>
        <w:t>货物主要技术指标和性能的详细说明</w:t>
      </w:r>
      <w:r>
        <w:rPr>
          <w:rFonts w:hint="eastAsia" w:ascii="宋体" w:hAnsi="宋体" w:cs="宋体"/>
        </w:rPr>
        <w:t>；服务</w:t>
      </w:r>
      <w:r>
        <w:rPr>
          <w:rFonts w:hint="eastAsia" w:ascii="宋体" w:hAnsi="宋体" w:cs="宋体"/>
          <w:lang w:eastAsia="zh-TW"/>
        </w:rPr>
        <w:t>主要</w:t>
      </w:r>
      <w:r>
        <w:rPr>
          <w:rFonts w:hint="eastAsia" w:ascii="宋体" w:hAnsi="宋体" w:cs="宋体"/>
        </w:rPr>
        <w:t>内容、方案、质量、标准</w:t>
      </w:r>
      <w:r>
        <w:rPr>
          <w:rFonts w:hint="eastAsia" w:ascii="宋体" w:hAnsi="宋体" w:cs="宋体"/>
          <w:lang w:eastAsia="zh-TW"/>
        </w:rPr>
        <w:t>指标</w:t>
      </w:r>
      <w:r>
        <w:rPr>
          <w:rFonts w:hint="eastAsia" w:ascii="宋体" w:hAnsi="宋体" w:cs="宋体"/>
        </w:rPr>
        <w:t>等</w:t>
      </w:r>
      <w:r>
        <w:rPr>
          <w:rFonts w:hint="eastAsia" w:ascii="宋体" w:hAnsi="宋体" w:cs="宋体"/>
          <w:lang w:eastAsia="zh-TW"/>
        </w:rPr>
        <w:t>的详细说明</w:t>
      </w:r>
      <w:r>
        <w:rPr>
          <w:rFonts w:hint="eastAsia" w:ascii="宋体" w:hAnsi="宋体" w:cs="宋体"/>
        </w:rPr>
        <w:t>；</w:t>
      </w:r>
    </w:p>
    <w:p>
      <w:pPr>
        <w:numPr>
          <w:ilvl w:val="2"/>
          <w:numId w:val="37"/>
        </w:numPr>
        <w:tabs>
          <w:tab w:val="left" w:pos="851"/>
        </w:tabs>
        <w:snapToGrid w:val="0"/>
        <w:spacing w:line="360" w:lineRule="auto"/>
        <w:jc w:val="both"/>
        <w:rPr>
          <w:rFonts w:ascii="宋体" w:hAnsi="宋体"/>
        </w:rPr>
      </w:pPr>
      <w:r>
        <w:rPr>
          <w:rFonts w:hint="eastAsia" w:ascii="宋体" w:hAnsi="宋体" w:cs="宋体"/>
          <w:lang w:eastAsia="zh-TW"/>
        </w:rPr>
        <w:t>货物正常使用所必须的备件和专用工具清单</w:t>
      </w:r>
      <w:r>
        <w:rPr>
          <w:rFonts w:hint="eastAsia" w:ascii="宋体" w:hAnsi="宋体" w:cs="宋体"/>
        </w:rPr>
        <w:t>，</w:t>
      </w:r>
      <w:r>
        <w:rPr>
          <w:rFonts w:hint="eastAsia" w:ascii="宋体" w:hAnsi="宋体" w:cs="宋体"/>
          <w:lang w:eastAsia="zh-TW"/>
        </w:rPr>
        <w:t>包括备件和专用工具的货源及现行价格</w:t>
      </w:r>
      <w:r>
        <w:rPr>
          <w:rFonts w:hint="eastAsia" w:ascii="宋体" w:hAnsi="宋体" w:cs="宋体"/>
        </w:rPr>
        <w:t>；（适用货物类项目）</w:t>
      </w:r>
    </w:p>
    <w:p>
      <w:pPr>
        <w:numPr>
          <w:ilvl w:val="2"/>
          <w:numId w:val="37"/>
        </w:numPr>
        <w:tabs>
          <w:tab w:val="left" w:pos="851"/>
        </w:tabs>
        <w:snapToGrid w:val="0"/>
        <w:spacing w:line="360" w:lineRule="auto"/>
        <w:jc w:val="both"/>
        <w:rPr>
          <w:rFonts w:ascii="宋体" w:hAnsi="宋体"/>
        </w:rPr>
      </w:pPr>
      <w:r>
        <w:rPr>
          <w:rFonts w:hint="eastAsia" w:ascii="宋体" w:hAnsi="宋体" w:cs="宋体"/>
          <w:lang w:eastAsia="zh-TW"/>
        </w:rPr>
        <w:t>对照竞争性磋商文件</w:t>
      </w:r>
      <w:r>
        <w:rPr>
          <w:rFonts w:hint="eastAsia" w:ascii="宋体" w:hAnsi="宋体" w:cs="宋体"/>
        </w:rPr>
        <w:t>货物或服务内容与要求</w:t>
      </w:r>
      <w:r>
        <w:rPr>
          <w:rFonts w:hint="eastAsia" w:ascii="宋体" w:hAnsi="宋体" w:cs="宋体"/>
          <w:lang w:eastAsia="zh-TW"/>
        </w:rPr>
        <w:t>，逐条说明所提供</w:t>
      </w:r>
      <w:r>
        <w:rPr>
          <w:rFonts w:hint="eastAsia" w:ascii="宋体" w:hAnsi="宋体" w:cs="宋体"/>
        </w:rPr>
        <w:t>货物或</w:t>
      </w:r>
      <w:r>
        <w:rPr>
          <w:rFonts w:hint="eastAsia" w:ascii="宋体" w:hAnsi="宋体" w:cs="宋体"/>
          <w:lang w:eastAsia="zh-TW"/>
        </w:rPr>
        <w:t>服务已对竞争性磋商文件的</w:t>
      </w:r>
      <w:r>
        <w:rPr>
          <w:rFonts w:hint="eastAsia" w:ascii="宋体" w:hAnsi="宋体" w:cs="宋体"/>
        </w:rPr>
        <w:t>采购内容与要求</w:t>
      </w:r>
      <w:r>
        <w:rPr>
          <w:rFonts w:hint="eastAsia" w:ascii="宋体" w:hAnsi="宋体" w:cs="宋体"/>
          <w:lang w:eastAsia="zh-TW"/>
        </w:rPr>
        <w:t>作出了实质性的响应</w:t>
      </w:r>
      <w:r>
        <w:rPr>
          <w:rFonts w:hint="eastAsia" w:ascii="宋体" w:hAnsi="宋体" w:cs="宋体"/>
        </w:rPr>
        <w:t>，</w:t>
      </w:r>
      <w:r>
        <w:rPr>
          <w:rFonts w:hint="eastAsia" w:ascii="宋体" w:hAnsi="宋体" w:cs="宋体"/>
          <w:lang w:eastAsia="zh-TW"/>
        </w:rPr>
        <w:t>并申明与</w:t>
      </w:r>
      <w:r>
        <w:rPr>
          <w:rFonts w:hint="eastAsia" w:ascii="宋体" w:hAnsi="宋体" w:cs="宋体"/>
        </w:rPr>
        <w:t>采购内容与要求</w:t>
      </w:r>
      <w:r>
        <w:rPr>
          <w:rFonts w:hint="eastAsia" w:ascii="宋体" w:hAnsi="宋体" w:cs="宋体"/>
          <w:lang w:eastAsia="zh-TW"/>
        </w:rPr>
        <w:t>条文的偏差和例外。特别对有具体参数要求的指标</w:t>
      </w:r>
      <w:r>
        <w:rPr>
          <w:rFonts w:hint="eastAsia" w:ascii="宋体" w:hAnsi="宋体" w:cs="宋体"/>
        </w:rPr>
        <w:t>，</w:t>
      </w:r>
      <w:r>
        <w:rPr>
          <w:rFonts w:hint="eastAsia" w:ascii="宋体" w:hAnsi="宋体" w:cs="宋体"/>
          <w:lang w:eastAsia="zh-TW"/>
        </w:rPr>
        <w:t>响应供应商须提供所投</w:t>
      </w:r>
      <w:r>
        <w:rPr>
          <w:rFonts w:hint="eastAsia" w:ascii="宋体" w:hAnsi="宋体" w:cs="宋体"/>
        </w:rPr>
        <w:t>服务</w:t>
      </w:r>
      <w:r>
        <w:rPr>
          <w:rFonts w:hint="eastAsia" w:ascii="宋体" w:hAnsi="宋体" w:cs="宋体"/>
          <w:lang w:eastAsia="zh-TW"/>
        </w:rPr>
        <w:t>的具体参数值。</w:t>
      </w:r>
      <w:r>
        <w:rPr>
          <w:rFonts w:hint="eastAsia" w:ascii="宋体" w:hAnsi="宋体"/>
        </w:rPr>
        <w:t>响应供应商在阐述</w:t>
      </w:r>
      <w:r>
        <w:rPr>
          <w:rFonts w:hint="eastAsia" w:ascii="宋体" w:hAnsi="宋体" w:cs="宋体"/>
          <w:lang w:eastAsia="zh-TW"/>
        </w:rPr>
        <w:t>时应注意竞争性磋商文件的</w:t>
      </w:r>
      <w:r>
        <w:rPr>
          <w:rFonts w:hint="eastAsia" w:ascii="宋体" w:hAnsi="宋体" w:cs="宋体"/>
        </w:rPr>
        <w:t>采购内容、要求和</w:t>
      </w:r>
      <w:r>
        <w:rPr>
          <w:rFonts w:hint="eastAsia" w:ascii="宋体" w:hAnsi="宋体" w:cs="宋体"/>
          <w:lang w:eastAsia="zh-TW"/>
        </w:rPr>
        <w:t>标准</w:t>
      </w:r>
      <w:r>
        <w:rPr>
          <w:rFonts w:hint="eastAsia" w:ascii="宋体" w:hAnsi="宋体" w:cs="宋体"/>
        </w:rPr>
        <w:t>，</w:t>
      </w:r>
      <w:r>
        <w:rPr>
          <w:rFonts w:hint="eastAsia" w:ascii="宋体" w:hAnsi="宋体" w:cs="宋体"/>
          <w:lang w:eastAsia="zh-TW"/>
        </w:rPr>
        <w:t>响应供应商在磋商中要实质上满足或</w:t>
      </w:r>
      <w:r>
        <w:rPr>
          <w:rFonts w:hint="eastAsia" w:ascii="宋体" w:hAnsi="宋体" w:cs="宋体"/>
        </w:rPr>
        <w:t>优于</w:t>
      </w:r>
      <w:r>
        <w:rPr>
          <w:rFonts w:hint="eastAsia" w:ascii="宋体" w:hAnsi="宋体" w:cs="宋体"/>
          <w:lang w:eastAsia="zh-TW"/>
        </w:rPr>
        <w:t>竞争性磋商文件的要求。</w:t>
      </w:r>
    </w:p>
    <w:p>
      <w:pPr>
        <w:numPr>
          <w:ilvl w:val="0"/>
          <w:numId w:val="37"/>
        </w:numPr>
        <w:snapToGrid w:val="0"/>
        <w:spacing w:line="360" w:lineRule="auto"/>
        <w:ind w:left="357" w:hanging="357"/>
        <w:jc w:val="both"/>
        <w:rPr>
          <w:rFonts w:ascii="宋体" w:hAnsi="宋体"/>
          <w:b/>
          <w:bCs/>
        </w:rPr>
      </w:pPr>
      <w:bookmarkStart w:id="225" w:name="_Toc416771339"/>
      <w:bookmarkStart w:id="226" w:name="_Toc416770229"/>
      <w:r>
        <w:rPr>
          <w:rFonts w:hint="eastAsia" w:ascii="宋体" w:hAnsi="宋体"/>
          <w:b/>
          <w:bCs/>
        </w:rPr>
        <w:t>磋商保证金</w:t>
      </w:r>
      <w:bookmarkEnd w:id="225"/>
      <w:bookmarkEnd w:id="226"/>
    </w:p>
    <w:p>
      <w:pPr>
        <w:numPr>
          <w:ilvl w:val="1"/>
          <w:numId w:val="37"/>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中的规定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pPr>
        <w:numPr>
          <w:ilvl w:val="1"/>
          <w:numId w:val="37"/>
        </w:numPr>
        <w:tabs>
          <w:tab w:val="left" w:pos="709"/>
          <w:tab w:val="clear" w:pos="360"/>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pPr>
        <w:numPr>
          <w:ilvl w:val="1"/>
          <w:numId w:val="37"/>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pPr>
        <w:numPr>
          <w:ilvl w:val="1"/>
          <w:numId w:val="37"/>
        </w:numPr>
        <w:snapToGrid w:val="0"/>
        <w:spacing w:line="360" w:lineRule="auto"/>
        <w:rPr>
          <w:rFonts w:ascii="宋体" w:hAnsi="宋体"/>
        </w:rPr>
      </w:pPr>
      <w:r>
        <w:rPr>
          <w:rFonts w:hint="eastAsia" w:ascii="宋体" w:hAnsi="宋体"/>
        </w:rPr>
        <w:t>有下列情形之一的，磋商保证金不予退还：</w:t>
      </w:r>
    </w:p>
    <w:p>
      <w:pPr>
        <w:numPr>
          <w:ilvl w:val="2"/>
          <w:numId w:val="37"/>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pPr>
        <w:numPr>
          <w:ilvl w:val="2"/>
          <w:numId w:val="37"/>
        </w:numPr>
        <w:tabs>
          <w:tab w:val="left" w:pos="851"/>
        </w:tabs>
        <w:snapToGrid w:val="0"/>
        <w:spacing w:line="360" w:lineRule="auto"/>
        <w:rPr>
          <w:rFonts w:ascii="宋体" w:hAnsi="宋体"/>
        </w:rPr>
      </w:pPr>
      <w:r>
        <w:rPr>
          <w:rFonts w:hint="eastAsia" w:ascii="宋体" w:hAnsi="宋体"/>
        </w:rPr>
        <w:t>供应商在响应文件中提供虚假材料的；</w:t>
      </w:r>
    </w:p>
    <w:p>
      <w:pPr>
        <w:numPr>
          <w:ilvl w:val="2"/>
          <w:numId w:val="37"/>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pPr>
        <w:numPr>
          <w:ilvl w:val="2"/>
          <w:numId w:val="37"/>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pPr>
        <w:numPr>
          <w:ilvl w:val="2"/>
          <w:numId w:val="37"/>
        </w:numPr>
        <w:tabs>
          <w:tab w:val="left" w:pos="851"/>
        </w:tabs>
        <w:snapToGrid w:val="0"/>
        <w:spacing w:line="360" w:lineRule="auto"/>
        <w:rPr>
          <w:rFonts w:ascii="宋体" w:hAnsi="宋体"/>
        </w:rPr>
      </w:pPr>
      <w:r>
        <w:rPr>
          <w:rFonts w:hint="eastAsia" w:ascii="宋体" w:hAnsi="宋体"/>
        </w:rPr>
        <w:t>成交供应商未按本须知规定缴纳招标代理服务费；</w:t>
      </w:r>
    </w:p>
    <w:p>
      <w:pPr>
        <w:numPr>
          <w:ilvl w:val="2"/>
          <w:numId w:val="37"/>
        </w:numPr>
        <w:tabs>
          <w:tab w:val="left" w:pos="851"/>
        </w:tabs>
        <w:snapToGrid w:val="0"/>
        <w:spacing w:line="360" w:lineRule="auto"/>
        <w:jc w:val="both"/>
        <w:rPr>
          <w:rFonts w:ascii="宋体" w:hAnsi="宋体" w:cs="宋体"/>
          <w:lang w:eastAsia="zh-TW"/>
        </w:rPr>
      </w:pPr>
      <w:r>
        <w:rPr>
          <w:rFonts w:hint="eastAsia" w:ascii="宋体" w:hAnsi="宋体" w:cs="宋体"/>
        </w:rPr>
        <w:t>依法取消成交资格；</w:t>
      </w:r>
    </w:p>
    <w:p>
      <w:pPr>
        <w:numPr>
          <w:ilvl w:val="2"/>
          <w:numId w:val="37"/>
        </w:numPr>
        <w:tabs>
          <w:tab w:val="left" w:pos="851"/>
        </w:tabs>
        <w:snapToGrid w:val="0"/>
        <w:spacing w:line="360" w:lineRule="auto"/>
        <w:jc w:val="both"/>
        <w:rPr>
          <w:rFonts w:ascii="宋体" w:hAnsi="宋体" w:cs="宋体"/>
        </w:rPr>
      </w:pPr>
      <w:r>
        <w:rPr>
          <w:rFonts w:hint="eastAsia" w:ascii="宋体" w:hAnsi="宋体" w:cs="宋体"/>
        </w:rPr>
        <w:t>将成交项目转让给他人，或者在竞争性磋商文件中未说明，且未经采购人同意，违反竞争性磋商文件规定，将成交项目分包给他人的；</w:t>
      </w:r>
    </w:p>
    <w:p>
      <w:pPr>
        <w:numPr>
          <w:ilvl w:val="2"/>
          <w:numId w:val="37"/>
        </w:numPr>
        <w:tabs>
          <w:tab w:val="left" w:pos="851"/>
        </w:tabs>
        <w:snapToGrid w:val="0"/>
        <w:spacing w:line="360" w:lineRule="auto"/>
        <w:rPr>
          <w:rFonts w:ascii="宋体" w:hAnsi="宋体"/>
        </w:rPr>
      </w:pPr>
      <w:r>
        <w:rPr>
          <w:rFonts w:hint="eastAsia" w:ascii="宋体" w:hAnsi="宋体"/>
        </w:rPr>
        <w:t>竞争性磋商文件规定的其他情形。</w:t>
      </w:r>
    </w:p>
    <w:p>
      <w:pPr>
        <w:numPr>
          <w:ilvl w:val="0"/>
          <w:numId w:val="37"/>
        </w:numPr>
        <w:snapToGrid w:val="0"/>
        <w:spacing w:line="360" w:lineRule="auto"/>
        <w:ind w:left="357" w:hanging="357"/>
        <w:jc w:val="both"/>
        <w:rPr>
          <w:rFonts w:ascii="宋体" w:hAnsi="宋体"/>
          <w:b/>
          <w:bCs/>
        </w:rPr>
      </w:pPr>
      <w:bookmarkStart w:id="227" w:name="_Toc416770230"/>
      <w:bookmarkStart w:id="228" w:name="_Toc410738953"/>
      <w:bookmarkStart w:id="229" w:name="_Toc410736153"/>
      <w:bookmarkStart w:id="230" w:name="_Toc416771340"/>
      <w:r>
        <w:rPr>
          <w:rFonts w:hint="eastAsia" w:ascii="宋体" w:hAnsi="宋体"/>
          <w:b/>
          <w:bCs/>
        </w:rPr>
        <w:t>磋商有效期</w:t>
      </w:r>
      <w:bookmarkEnd w:id="227"/>
      <w:bookmarkEnd w:id="228"/>
      <w:bookmarkEnd w:id="229"/>
      <w:bookmarkEnd w:id="230"/>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pPr>
        <w:numPr>
          <w:ilvl w:val="0"/>
          <w:numId w:val="37"/>
        </w:numPr>
        <w:snapToGrid w:val="0"/>
        <w:spacing w:line="360" w:lineRule="auto"/>
        <w:ind w:left="357" w:hanging="357"/>
        <w:jc w:val="both"/>
        <w:rPr>
          <w:rFonts w:ascii="宋体" w:hAnsi="宋体"/>
          <w:b/>
          <w:bCs/>
        </w:rPr>
      </w:pPr>
      <w:bookmarkStart w:id="231" w:name="_Toc410738954"/>
      <w:bookmarkStart w:id="232" w:name="_Toc410736154"/>
      <w:bookmarkStart w:id="233" w:name="_Toc416771341"/>
      <w:bookmarkStart w:id="234" w:name="_Toc416770231"/>
      <w:r>
        <w:rPr>
          <w:rFonts w:hint="eastAsia" w:ascii="宋体" w:hAnsi="宋体"/>
          <w:b/>
          <w:bCs/>
        </w:rPr>
        <w:t>响应文件的式样和签署</w:t>
      </w:r>
      <w:bookmarkEnd w:id="231"/>
      <w:bookmarkEnd w:id="232"/>
      <w:bookmarkEnd w:id="233"/>
      <w:bookmarkEnd w:id="234"/>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pPr>
        <w:numPr>
          <w:ilvl w:val="2"/>
          <w:numId w:val="37"/>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代表人或经其正式授权的代表签字</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pPr>
        <w:numPr>
          <w:ilvl w:val="2"/>
          <w:numId w:val="37"/>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响应文件中的任何重要的插字、涂改和增删，必须由法定代表人或经其正式授权的代表在旁边签章或签字才有效。</w:t>
      </w:r>
    </w:p>
    <w:p>
      <w:pPr>
        <w:snapToGrid w:val="0"/>
        <w:spacing w:beforeLines="100" w:afterLines="100" w:line="360" w:lineRule="auto"/>
        <w:jc w:val="center"/>
        <w:outlineLvl w:val="0"/>
        <w:rPr>
          <w:rFonts w:ascii="宋体" w:hAnsi="宋体"/>
          <w:b/>
          <w:sz w:val="28"/>
          <w:szCs w:val="28"/>
          <w:lang w:eastAsia="zh-TW"/>
        </w:rPr>
      </w:pPr>
      <w:bookmarkStart w:id="235" w:name="_Toc502738627"/>
      <w:bookmarkStart w:id="236" w:name="_Toc416771342"/>
      <w:bookmarkStart w:id="237" w:name="_Toc410738955"/>
      <w:bookmarkStart w:id="238" w:name="_Toc523168286"/>
      <w:bookmarkStart w:id="239" w:name="_Toc410736155"/>
      <w:bookmarkStart w:id="240" w:name="_Toc416770232"/>
      <w:r>
        <w:rPr>
          <w:rFonts w:hint="eastAsia" w:ascii="宋体" w:hAnsi="宋体"/>
          <w:b/>
          <w:sz w:val="28"/>
          <w:szCs w:val="28"/>
          <w:lang w:eastAsia="zh-TW"/>
        </w:rPr>
        <w:t>四、响应文件的递交</w:t>
      </w:r>
      <w:bookmarkEnd w:id="235"/>
      <w:bookmarkEnd w:id="236"/>
      <w:bookmarkEnd w:id="237"/>
      <w:bookmarkEnd w:id="238"/>
      <w:bookmarkEnd w:id="239"/>
      <w:bookmarkEnd w:id="240"/>
    </w:p>
    <w:p>
      <w:pPr>
        <w:numPr>
          <w:ilvl w:val="0"/>
          <w:numId w:val="37"/>
        </w:numPr>
        <w:snapToGrid w:val="0"/>
        <w:spacing w:line="360" w:lineRule="auto"/>
        <w:ind w:left="357" w:hanging="357"/>
        <w:jc w:val="both"/>
        <w:rPr>
          <w:rFonts w:ascii="宋体" w:hAnsi="宋体"/>
          <w:b/>
          <w:bCs/>
        </w:rPr>
      </w:pPr>
      <w:bookmarkStart w:id="241" w:name="_Toc416770233"/>
      <w:bookmarkStart w:id="242" w:name="_Toc416771343"/>
      <w:bookmarkStart w:id="243" w:name="_Toc410738956"/>
      <w:bookmarkStart w:id="244" w:name="_Toc410736156"/>
      <w:r>
        <w:rPr>
          <w:rFonts w:hint="eastAsia" w:ascii="宋体" w:hAnsi="宋体"/>
          <w:b/>
          <w:bCs/>
        </w:rPr>
        <w:t>响应文件的密封和标记</w:t>
      </w:r>
      <w:bookmarkEnd w:id="241"/>
      <w:bookmarkEnd w:id="242"/>
      <w:bookmarkEnd w:id="243"/>
      <w:bookmarkEnd w:id="244"/>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表、磋商保证金缴付凭证、电子文件和退磋商保证金说明函，若本项目（或包组）接受联合体投标，则联合体投标，应将各方共同签署的《联合投标协议》一并提交。“报价信封”是响应文件的组成部分。</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的</w:t>
      </w:r>
      <w:r>
        <w:rPr>
          <w:rFonts w:hint="eastAsia" w:ascii="宋体" w:hAnsi="宋体" w:cs="宋体"/>
          <w:lang w:eastAsia="zh-TW"/>
        </w:rPr>
        <w:t>密封</w:t>
      </w:r>
      <w:r>
        <w:rPr>
          <w:rFonts w:hint="eastAsia" w:ascii="宋体" w:hAnsi="宋体"/>
        </w:rPr>
        <w:t>：</w:t>
      </w:r>
    </w:p>
    <w:p>
      <w:pPr>
        <w:numPr>
          <w:ilvl w:val="2"/>
          <w:numId w:val="37"/>
        </w:numPr>
        <w:tabs>
          <w:tab w:val="left" w:pos="851"/>
        </w:tabs>
        <w:snapToGrid w:val="0"/>
        <w:spacing w:line="360" w:lineRule="auto"/>
        <w:jc w:val="both"/>
        <w:rPr>
          <w:rFonts w:ascii="宋体" w:hAnsi="宋体"/>
        </w:rPr>
      </w:pPr>
      <w:r>
        <w:rPr>
          <w:rFonts w:hint="eastAsia" w:ascii="宋体" w:hAnsi="宋体"/>
        </w:rPr>
        <w:t>响应文件正本与副本可以单独密封包装，也可以所有响应文件密封包装在一个密封袋内。密封袋的封口处应粘贴处理。</w:t>
      </w:r>
    </w:p>
    <w:p>
      <w:pPr>
        <w:numPr>
          <w:ilvl w:val="2"/>
          <w:numId w:val="37"/>
        </w:numPr>
        <w:tabs>
          <w:tab w:val="left" w:pos="851"/>
        </w:tabs>
        <w:snapToGrid w:val="0"/>
        <w:spacing w:line="360" w:lineRule="auto"/>
        <w:jc w:val="both"/>
        <w:rPr>
          <w:rFonts w:ascii="宋体" w:hAnsi="宋体"/>
        </w:rPr>
      </w:pPr>
      <w:r>
        <w:rPr>
          <w:rFonts w:hint="eastAsia" w:ascii="宋体" w:hAnsi="宋体" w:cs="宋体"/>
        </w:rPr>
        <w:t>不足以造成响应文件可从外包装内散出而导致响应文件泄密的，不认定为响应文件未密封。</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的标记：</w:t>
      </w:r>
    </w:p>
    <w:p>
      <w:pPr>
        <w:numPr>
          <w:ilvl w:val="2"/>
          <w:numId w:val="37"/>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pPr>
        <w:numPr>
          <w:ilvl w:val="2"/>
          <w:numId w:val="37"/>
        </w:numPr>
        <w:tabs>
          <w:tab w:val="left" w:pos="709"/>
          <w:tab w:val="clear" w:pos="720"/>
        </w:tabs>
        <w:snapToGrid w:val="0"/>
        <w:spacing w:line="360" w:lineRule="auto"/>
        <w:ind w:left="851" w:hanging="851"/>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w:t>
      </w:r>
      <w:r>
        <w:rPr>
          <w:rFonts w:hint="eastAsia" w:ascii="宋体" w:hAnsi="宋体" w:cs="宋体"/>
        </w:rPr>
        <w:t>，</w:t>
      </w:r>
      <w:r>
        <w:rPr>
          <w:rFonts w:hint="eastAsia" w:ascii="宋体" w:hAnsi="宋体" w:cs="宋体"/>
          <w:lang w:eastAsia="zh-TW"/>
        </w:rPr>
        <w:t>采购代理机构对误投或提前启封概不负责</w:t>
      </w:r>
      <w:r>
        <w:rPr>
          <w:rFonts w:hint="eastAsia" w:ascii="宋体" w:hAnsi="宋体" w:cs="宋体"/>
        </w:rPr>
        <w:t>。</w:t>
      </w:r>
    </w:p>
    <w:p>
      <w:pPr>
        <w:numPr>
          <w:ilvl w:val="0"/>
          <w:numId w:val="37"/>
        </w:numPr>
        <w:snapToGrid w:val="0"/>
        <w:spacing w:line="360" w:lineRule="auto"/>
        <w:ind w:left="357" w:hanging="357"/>
        <w:jc w:val="both"/>
        <w:rPr>
          <w:rFonts w:ascii="宋体" w:hAnsi="宋体"/>
          <w:b/>
          <w:bCs/>
        </w:rPr>
      </w:pPr>
      <w:bookmarkStart w:id="245" w:name="_Toc416770234"/>
      <w:bookmarkStart w:id="246" w:name="_Toc410736157"/>
      <w:bookmarkStart w:id="247" w:name="_Toc416771344"/>
      <w:bookmarkStart w:id="248" w:name="_Toc410738957"/>
      <w:r>
        <w:rPr>
          <w:rFonts w:hint="eastAsia" w:ascii="宋体" w:hAnsi="宋体"/>
          <w:b/>
          <w:bCs/>
        </w:rPr>
        <w:t>响应文件递交截止期</w:t>
      </w:r>
      <w:bookmarkEnd w:id="245"/>
      <w:bookmarkEnd w:id="246"/>
      <w:bookmarkEnd w:id="247"/>
      <w:bookmarkEnd w:id="248"/>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在截止时间后送达的响应文件为无效文件，采购人或者磋商小组应当拒绝。</w:t>
      </w:r>
    </w:p>
    <w:p>
      <w:pPr>
        <w:numPr>
          <w:ilvl w:val="0"/>
          <w:numId w:val="37"/>
        </w:numPr>
        <w:snapToGrid w:val="0"/>
        <w:spacing w:line="360" w:lineRule="auto"/>
        <w:ind w:left="357" w:hanging="357"/>
        <w:jc w:val="both"/>
        <w:rPr>
          <w:rFonts w:ascii="宋体" w:hAnsi="宋体"/>
          <w:b/>
          <w:bCs/>
        </w:rPr>
      </w:pPr>
      <w:bookmarkStart w:id="249" w:name="_Toc416771345"/>
      <w:bookmarkStart w:id="250" w:name="_Toc410738958"/>
      <w:bookmarkStart w:id="251" w:name="_Toc410736158"/>
      <w:bookmarkStart w:id="252" w:name="_Toc416770235"/>
      <w:r>
        <w:rPr>
          <w:rFonts w:hint="eastAsia" w:ascii="宋体" w:hAnsi="宋体"/>
          <w:b/>
          <w:bCs/>
        </w:rPr>
        <w:t>响应文件的修改和撤回</w:t>
      </w:r>
      <w:bookmarkEnd w:id="249"/>
      <w:bookmarkEnd w:id="250"/>
      <w:bookmarkEnd w:id="251"/>
      <w:bookmarkEnd w:id="252"/>
      <w:r>
        <w:rPr>
          <w:rFonts w:hint="eastAsia" w:ascii="宋体" w:hAnsi="宋体"/>
          <w:b/>
          <w:bCs/>
        </w:rPr>
        <w:t>、撤销</w:t>
      </w:r>
    </w:p>
    <w:p>
      <w:pPr>
        <w:numPr>
          <w:ilvl w:val="1"/>
          <w:numId w:val="37"/>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前，可以对所递交的响应文件进行补充、修改或者撤回，并书面通知采购人。补充、修改的内容应当按竞争性磋商文件要求签署、盖章，并作为响应文件的组成部分。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pPr>
        <w:numPr>
          <w:ilvl w:val="1"/>
          <w:numId w:val="37"/>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pPr>
        <w:snapToGrid w:val="0"/>
        <w:spacing w:beforeLines="100" w:afterLines="100" w:line="360" w:lineRule="auto"/>
        <w:jc w:val="center"/>
        <w:outlineLvl w:val="0"/>
        <w:rPr>
          <w:rFonts w:ascii="宋体" w:hAnsi="宋体"/>
          <w:b/>
          <w:sz w:val="28"/>
          <w:szCs w:val="28"/>
          <w:lang w:eastAsia="zh-TW"/>
        </w:rPr>
      </w:pPr>
      <w:bookmarkStart w:id="253" w:name="_Toc502738628"/>
      <w:bookmarkStart w:id="254" w:name="_Toc416770236"/>
      <w:bookmarkStart w:id="255" w:name="_Toc416771346"/>
      <w:bookmarkStart w:id="256" w:name="_Toc410736159"/>
      <w:bookmarkStart w:id="257" w:name="_Toc410738959"/>
      <w:bookmarkStart w:id="258" w:name="_Toc523168287"/>
      <w:r>
        <w:rPr>
          <w:rFonts w:hint="eastAsia" w:ascii="宋体" w:hAnsi="宋体"/>
          <w:b/>
          <w:sz w:val="28"/>
          <w:szCs w:val="28"/>
          <w:lang w:eastAsia="zh-TW"/>
        </w:rPr>
        <w:t>五、竞争性磋商流程</w:t>
      </w:r>
      <w:bookmarkEnd w:id="253"/>
      <w:bookmarkEnd w:id="254"/>
      <w:bookmarkEnd w:id="255"/>
      <w:bookmarkEnd w:id="256"/>
      <w:bookmarkEnd w:id="257"/>
      <w:bookmarkEnd w:id="258"/>
    </w:p>
    <w:p>
      <w:pPr>
        <w:numPr>
          <w:ilvl w:val="0"/>
          <w:numId w:val="37"/>
        </w:numPr>
        <w:snapToGrid w:val="0"/>
        <w:spacing w:line="360" w:lineRule="auto"/>
        <w:ind w:left="357" w:hanging="357"/>
        <w:jc w:val="both"/>
        <w:rPr>
          <w:rFonts w:ascii="宋体" w:hAnsi="宋体"/>
          <w:b/>
          <w:bCs/>
        </w:rPr>
      </w:pPr>
      <w:bookmarkStart w:id="259" w:name="_Toc410736160"/>
      <w:bookmarkStart w:id="260" w:name="_Toc410738960"/>
      <w:bookmarkStart w:id="261" w:name="_Toc416771347"/>
      <w:bookmarkStart w:id="262" w:name="_Toc416770237"/>
      <w:r>
        <w:rPr>
          <w:rFonts w:hint="eastAsia" w:ascii="宋体" w:hAnsi="宋体"/>
          <w:b/>
          <w:bCs/>
        </w:rPr>
        <w:t>响应文件的拆封</w:t>
      </w:r>
      <w:bookmarkEnd w:id="259"/>
      <w:bookmarkEnd w:id="260"/>
      <w:bookmarkEnd w:id="261"/>
      <w:bookmarkEnd w:id="262"/>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w:t>
      </w:r>
      <w:r>
        <w:rPr>
          <w:rFonts w:hint="eastAsia" w:ascii="宋体" w:hAnsi="宋体" w:cs="宋体"/>
          <w:b/>
          <w:lang w:eastAsia="zh-TW"/>
        </w:rPr>
        <w:t>磋商邀请</w:t>
      </w:r>
      <w:r>
        <w:rPr>
          <w:rFonts w:hint="eastAsia" w:ascii="宋体" w:hAnsi="宋体" w:cs="宋体"/>
          <w:lang w:eastAsia="zh-TW"/>
        </w:rPr>
        <w:t>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pPr>
        <w:numPr>
          <w:ilvl w:val="1"/>
          <w:numId w:val="37"/>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pPr>
        <w:numPr>
          <w:ilvl w:val="0"/>
          <w:numId w:val="37"/>
        </w:numPr>
        <w:snapToGrid w:val="0"/>
        <w:spacing w:line="360" w:lineRule="auto"/>
        <w:ind w:left="357" w:hanging="357"/>
        <w:jc w:val="both"/>
        <w:rPr>
          <w:rFonts w:ascii="宋体" w:hAnsi="宋体"/>
          <w:b/>
          <w:bCs/>
        </w:rPr>
      </w:pPr>
      <w:bookmarkStart w:id="263" w:name="_Toc416771348"/>
      <w:bookmarkStart w:id="264" w:name="_Toc410736161"/>
      <w:bookmarkStart w:id="265" w:name="_Toc410738961"/>
      <w:bookmarkStart w:id="266" w:name="_Toc416770238"/>
      <w:r>
        <w:rPr>
          <w:rFonts w:hint="eastAsia" w:ascii="宋体" w:hAnsi="宋体"/>
          <w:b/>
          <w:bCs/>
        </w:rPr>
        <w:t>磋商小组</w:t>
      </w:r>
      <w:bookmarkEnd w:id="263"/>
      <w:bookmarkEnd w:id="264"/>
      <w:bookmarkEnd w:id="265"/>
      <w:bookmarkEnd w:id="266"/>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人数构成将按照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pPr>
        <w:numPr>
          <w:ilvl w:val="2"/>
          <w:numId w:val="37"/>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pPr>
        <w:numPr>
          <w:ilvl w:val="2"/>
          <w:numId w:val="37"/>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pPr>
        <w:numPr>
          <w:ilvl w:val="2"/>
          <w:numId w:val="37"/>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pPr>
        <w:numPr>
          <w:ilvl w:val="2"/>
          <w:numId w:val="37"/>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pPr>
        <w:numPr>
          <w:ilvl w:val="2"/>
          <w:numId w:val="37"/>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pPr>
        <w:numPr>
          <w:ilvl w:val="0"/>
          <w:numId w:val="37"/>
        </w:numPr>
        <w:snapToGrid w:val="0"/>
        <w:spacing w:line="360" w:lineRule="auto"/>
        <w:ind w:left="357" w:hanging="357"/>
        <w:jc w:val="both"/>
        <w:rPr>
          <w:rFonts w:ascii="宋体" w:hAnsi="宋体"/>
          <w:b/>
          <w:bCs/>
        </w:rPr>
      </w:pPr>
      <w:bookmarkStart w:id="267" w:name="_Toc416771349"/>
      <w:bookmarkStart w:id="268" w:name="_Toc416770239"/>
      <w:r>
        <w:rPr>
          <w:rFonts w:hint="eastAsia" w:ascii="宋体" w:hAnsi="宋体"/>
          <w:b/>
          <w:bCs/>
        </w:rPr>
        <w:t>磋商过程</w:t>
      </w:r>
      <w:bookmarkEnd w:id="267"/>
      <w:bookmarkEnd w:id="268"/>
    </w:p>
    <w:p>
      <w:pPr>
        <w:numPr>
          <w:ilvl w:val="1"/>
          <w:numId w:val="37"/>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磋商小组要求供应商澄清、说明或者更正响应文件应当以书面形式作出。供应商的澄清、说明或者更正应当由法定代表人或其授权代表签字或者加盖公章。</w:t>
      </w:r>
    </w:p>
    <w:p>
      <w:pPr>
        <w:numPr>
          <w:ilvl w:val="1"/>
          <w:numId w:val="37"/>
        </w:numPr>
        <w:tabs>
          <w:tab w:val="left" w:pos="709"/>
          <w:tab w:val="clear" w:pos="360"/>
        </w:tabs>
        <w:snapToGrid w:val="0"/>
        <w:spacing w:line="360" w:lineRule="auto"/>
        <w:ind w:left="709" w:hanging="709"/>
      </w:pPr>
      <w:r>
        <w:rPr>
          <w:rFonts w:hint="eastAsia"/>
        </w:rPr>
        <w:t>资格、符合性评审详见竞争性磋商文件第三章的《资格、符合性评审表》，未能通过资格、符合性审查被认定为无效响应，磋商小组应当现场告知有关供应商。</w:t>
      </w:r>
      <w:r>
        <w:rPr>
          <w:rFonts w:hint="eastAsia" w:ascii="宋体" w:hAnsi="宋体" w:cs="宋体"/>
        </w:rPr>
        <w:t>只</w:t>
      </w:r>
      <w:r>
        <w:rPr>
          <w:rFonts w:hint="eastAsia"/>
        </w:rPr>
        <w:t>有全部满足《资格、符合性审查表》所列各项要求的投标才是有效投标，只要不满足资格性和符合性条款中所列各项要求之一的，将被认定为无效投标。对投标有效性认定意见不一致的，磋商小组按照少数服从多数的原则确定。</w:t>
      </w:r>
    </w:p>
    <w:p>
      <w:pPr>
        <w:numPr>
          <w:ilvl w:val="1"/>
          <w:numId w:val="37"/>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pPr>
        <w:numPr>
          <w:ilvl w:val="1"/>
          <w:numId w:val="37"/>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签字或者加盖公章。</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cs="宋体"/>
        </w:rPr>
        <w:t>；</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如出现竞争性磋商文件不能详细列明采购标的的技术、服务要求，需经磋商由供应商最终设计方案或解决方案的，</w:t>
      </w:r>
      <w:r>
        <w:rPr>
          <w:rFonts w:hint="eastAsia" w:ascii="宋体" w:hAnsi="宋体" w:cs="宋体"/>
          <w:lang w:eastAsia="zh-TW"/>
        </w:rPr>
        <w:t>磋商结束后，</w:t>
      </w:r>
      <w:r>
        <w:rPr>
          <w:rFonts w:hint="eastAsia" w:ascii="宋体" w:hAnsi="宋体" w:cs="宋体"/>
        </w:rPr>
        <w:t>磋商小组按照少数服从多数的原则，投票推荐3家以上供应商的设计方案或者解决方案</w:t>
      </w:r>
      <w:r>
        <w:rPr>
          <w:rFonts w:hint="eastAsia" w:ascii="宋体" w:hAnsi="宋体" w:cs="宋体"/>
          <w:lang w:eastAsia="zh-TW"/>
        </w:rPr>
        <w:t>在规定的时间内提交最</w:t>
      </w:r>
      <w:r>
        <w:rPr>
          <w:rFonts w:hint="eastAsia" w:ascii="宋体" w:hAnsi="宋体" w:cs="宋体"/>
        </w:rPr>
        <w:t>后</w:t>
      </w:r>
      <w:r>
        <w:rPr>
          <w:rFonts w:hint="eastAsia" w:ascii="宋体" w:hAnsi="宋体" w:cs="宋体"/>
          <w:lang w:eastAsia="zh-TW"/>
        </w:rPr>
        <w:t>报价（最</w:t>
      </w:r>
      <w:r>
        <w:rPr>
          <w:rFonts w:hint="eastAsia" w:ascii="宋体" w:hAnsi="宋体" w:cs="宋体"/>
        </w:rPr>
        <w:t>后</w:t>
      </w:r>
      <w:r>
        <w:rPr>
          <w:rFonts w:hint="eastAsia" w:ascii="宋体" w:hAnsi="宋体" w:cs="宋体"/>
          <w:lang w:eastAsia="zh-TW"/>
        </w:rPr>
        <w:t>报价时间由磋商小组视磋商进程决定）</w:t>
      </w:r>
      <w:r>
        <w:rPr>
          <w:rFonts w:hint="eastAsia" w:ascii="宋体" w:hAnsi="宋体" w:cs="宋体"/>
        </w:rPr>
        <w:t>。</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最后报价对所有响应供应商进行公开唱出。最后报价是供应商响应文件的有效组成部分。</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r>
        <w:rPr>
          <w:rFonts w:hint="eastAsia" w:ascii="宋体" w:hAnsi="宋体" w:cs="宋体"/>
        </w:rPr>
        <w:t>。</w:t>
      </w:r>
    </w:p>
    <w:p>
      <w:pPr>
        <w:numPr>
          <w:ilvl w:val="1"/>
          <w:numId w:val="37"/>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pPr>
        <w:numPr>
          <w:ilvl w:val="2"/>
          <w:numId w:val="37"/>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pPr>
        <w:numPr>
          <w:ilvl w:val="2"/>
          <w:numId w:val="37"/>
        </w:numPr>
        <w:tabs>
          <w:tab w:val="left" w:pos="851"/>
        </w:tabs>
        <w:autoSpaceDE/>
        <w:autoSpaceDN/>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pPr>
        <w:numPr>
          <w:ilvl w:val="2"/>
          <w:numId w:val="37"/>
        </w:numPr>
        <w:tabs>
          <w:tab w:val="left" w:pos="851"/>
        </w:tabs>
        <w:autoSpaceDE/>
        <w:autoSpaceDN/>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pPr>
        <w:tabs>
          <w:tab w:val="left" w:pos="851"/>
        </w:tabs>
        <w:autoSpaceDE/>
        <w:autoSpaceDN/>
        <w:snapToGrid w:val="0"/>
        <w:spacing w:line="360" w:lineRule="auto"/>
        <w:ind w:left="720"/>
        <w:jc w:val="both"/>
        <w:rPr>
          <w:rFonts w:ascii="宋体" w:hAnsi="宋体"/>
          <w:bCs/>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r>
        <w:rPr>
          <w:rFonts w:hint="eastAsia" w:ascii="宋体" w:hAnsi="宋体" w:cs="宋体"/>
        </w:rPr>
        <w:t>。</w:t>
      </w:r>
    </w:p>
    <w:p>
      <w:pPr>
        <w:numPr>
          <w:ilvl w:val="2"/>
          <w:numId w:val="37"/>
        </w:numPr>
        <w:tabs>
          <w:tab w:val="left" w:pos="709"/>
          <w:tab w:val="left" w:pos="851"/>
          <w:tab w:val="clear" w:pos="720"/>
        </w:tabs>
        <w:autoSpaceDE/>
        <w:autoSpaceDN/>
        <w:snapToGrid w:val="0"/>
        <w:spacing w:line="360" w:lineRule="auto"/>
        <w:jc w:val="both"/>
        <w:rPr>
          <w:rFonts w:ascii="宋体" w:hAnsi="宋体"/>
          <w:bCs/>
        </w:rPr>
      </w:pPr>
      <w:r>
        <w:rPr>
          <w:rFonts w:hint="eastAsia" w:ascii="宋体" w:hAnsi="宋体"/>
          <w:bCs/>
        </w:rPr>
        <w:t>对不同文字文本响应文件的解释发生异议的，以中文文本为准；</w:t>
      </w:r>
    </w:p>
    <w:p>
      <w:pPr>
        <w:numPr>
          <w:ilvl w:val="1"/>
          <w:numId w:val="37"/>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numPr>
          <w:ilvl w:val="1"/>
          <w:numId w:val="37"/>
        </w:numPr>
        <w:tabs>
          <w:tab w:val="left" w:pos="709"/>
          <w:tab w:val="clear" w:pos="360"/>
        </w:tabs>
        <w:snapToGrid w:val="0"/>
        <w:spacing w:line="360" w:lineRule="auto"/>
        <w:ind w:left="709" w:hanging="709"/>
        <w:rPr>
          <w:rFonts w:ascii="宋体" w:hAnsi="宋体" w:cs="宋体"/>
        </w:rPr>
      </w:pPr>
      <w:r>
        <w:rPr>
          <w:rFonts w:ascii="宋体" w:hAnsi="宋体" w:cs="宋体"/>
        </w:rPr>
        <w:t>出现下列情形之一的，</w:t>
      </w:r>
      <w:r>
        <w:rPr>
          <w:rFonts w:hint="eastAsia" w:ascii="宋体" w:hAnsi="宋体" w:cs="宋体"/>
        </w:rPr>
        <w:t>采购人终止竞争性磋商采购活动</w:t>
      </w:r>
      <w:r>
        <w:rPr>
          <w:rFonts w:ascii="宋体" w:hAnsi="宋体" w:cs="宋体"/>
        </w:rPr>
        <w:t xml:space="preserve">： </w:t>
      </w:r>
    </w:p>
    <w:p>
      <w:pPr>
        <w:numPr>
          <w:ilvl w:val="2"/>
          <w:numId w:val="37"/>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pPr>
        <w:numPr>
          <w:ilvl w:val="2"/>
          <w:numId w:val="37"/>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pPr>
        <w:numPr>
          <w:ilvl w:val="2"/>
          <w:numId w:val="37"/>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最后报价是供应商响应文件的有效组成部分。符合“市场竞争不充分的科研项目，以及需要扶持的科技成果转化项目”情形的，提交最后报价的供应商可以为2家。</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政府购买服务项目（含政府和社会资本合作项目），在采购过程中符合要求的供应商（社会资本）只有2家的，竞争性磋商采购活动可以继续进行。</w:t>
      </w:r>
      <w:bookmarkStart w:id="269" w:name="_Toc434343677"/>
    </w:p>
    <w:p>
      <w:pPr>
        <w:numPr>
          <w:ilvl w:val="0"/>
          <w:numId w:val="37"/>
        </w:numPr>
        <w:snapToGrid w:val="0"/>
        <w:spacing w:line="360" w:lineRule="auto"/>
        <w:ind w:left="357" w:hanging="357"/>
        <w:jc w:val="both"/>
        <w:rPr>
          <w:rFonts w:ascii="宋体" w:hAnsi="宋体"/>
          <w:b/>
          <w:bCs/>
        </w:rPr>
      </w:pPr>
      <w:r>
        <w:rPr>
          <w:rFonts w:ascii="宋体" w:hAnsi="宋体"/>
          <w:b/>
          <w:bCs/>
        </w:rPr>
        <w:t>评审方法</w:t>
      </w:r>
      <w:r>
        <w:rPr>
          <w:rFonts w:hint="eastAsia" w:ascii="宋体" w:hAnsi="宋体"/>
          <w:b/>
          <w:bCs/>
        </w:rPr>
        <w:t>和标准</w:t>
      </w:r>
      <w:bookmarkEnd w:id="269"/>
    </w:p>
    <w:p>
      <w:pPr>
        <w:numPr>
          <w:ilvl w:val="1"/>
          <w:numId w:val="37"/>
        </w:numPr>
        <w:tabs>
          <w:tab w:val="left" w:pos="709"/>
          <w:tab w:val="clear" w:pos="360"/>
        </w:tabs>
        <w:snapToGrid w:val="0"/>
        <w:spacing w:line="360" w:lineRule="auto"/>
        <w:ind w:left="709" w:hanging="709"/>
        <w:rPr>
          <w:rFonts w:ascii="宋体" w:hAnsi="宋体"/>
          <w:kern w:val="2"/>
        </w:rPr>
      </w:pPr>
      <w:r>
        <w:rPr>
          <w:rFonts w:hint="eastAsia" w:ascii="宋体" w:hAnsi="宋体"/>
          <w:kern w:val="2"/>
        </w:rPr>
        <w:t>磋商结束后，所有作出实质性响应的有效供应商应在规定的时间内集中密封提交最后报价（最后报价时间视磋商进程由磋商小组决定），最后报价是供应商响应文件的有效组成部分。</w:t>
      </w:r>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cs="宋体"/>
          <w:b/>
          <w:lang w:eastAsia="zh-TW"/>
        </w:rPr>
        <w:t>磋商资料表</w:t>
      </w:r>
      <w:r>
        <w:rPr>
          <w:rFonts w:hint="eastAsia" w:ascii="宋体" w:hAnsi="宋体" w:cs="宋体"/>
          <w:lang w:eastAsia="zh-TW"/>
        </w:rPr>
        <w:t>中确定的评标方法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进行评标。</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标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另有规定的，推荐综合得分排名第一的响应供应商为第一成交候选人，排名第二的响应供应商为第二成交候选人，排名第三的响应供应商为第三成交候选人。</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采用综合评分法的，</w:t>
      </w:r>
      <w:r>
        <w:rPr>
          <w:rFonts w:hint="eastAsia" w:ascii="宋体" w:hAnsi="宋体" w:cs="宋体"/>
          <w:lang w:eastAsia="zh-TW"/>
        </w:rPr>
        <w:t>单一产品采购</w:t>
      </w:r>
      <w:r>
        <w:rPr>
          <w:rFonts w:hint="eastAsia" w:ascii="宋体" w:hAnsi="宋体"/>
        </w:rPr>
        <w:t>项目</w:t>
      </w:r>
      <w:r>
        <w:rPr>
          <w:rFonts w:hint="eastAsia" w:ascii="宋体" w:hAnsi="宋体" w:cs="宋体"/>
          <w:lang w:eastAsia="zh-TW"/>
        </w:rPr>
        <w:t>提供相同品牌产品或</w:t>
      </w:r>
      <w:r>
        <w:rPr>
          <w:rFonts w:hint="eastAsia" w:ascii="宋体" w:hAnsi="宋体"/>
        </w:rPr>
        <w:t>非单一产品采购项目多家响应供应商提供的核心产品品牌相同的，</w:t>
      </w:r>
      <w:r>
        <w:rPr>
          <w:rFonts w:hint="eastAsia" w:ascii="宋体" w:hAnsi="宋体" w:cs="宋体"/>
          <w:lang w:eastAsia="zh-TW"/>
        </w:rPr>
        <w:t>且通过资格、符合性审查的不同响应供应商参加同一合同项下投标的，按一家响应供应商计算，评审后得分最高的同品牌响应供应商获得</w:t>
      </w:r>
      <w:r>
        <w:rPr>
          <w:rFonts w:hint="eastAsia" w:ascii="宋体" w:hAnsi="宋体" w:cs="宋体"/>
        </w:rPr>
        <w:t>成交</w:t>
      </w:r>
      <w:r>
        <w:rPr>
          <w:rFonts w:hint="eastAsia" w:ascii="宋体" w:hAnsi="宋体" w:cs="宋体"/>
          <w:lang w:eastAsia="zh-TW"/>
        </w:rPr>
        <w:t>人推荐资格；评审得分相同的，</w:t>
      </w:r>
      <w:r>
        <w:rPr>
          <w:rFonts w:hint="eastAsia" w:ascii="宋体" w:hAnsi="宋体" w:cs="宋体"/>
        </w:rPr>
        <w:t>按27.3中的顺序确定</w:t>
      </w:r>
      <w:r>
        <w:rPr>
          <w:rFonts w:hint="eastAsia" w:ascii="宋体" w:hAnsi="宋体" w:cs="宋体"/>
          <w:lang w:eastAsia="zh-TW"/>
        </w:rPr>
        <w:t>，其他同品牌响应供应商不作为</w:t>
      </w:r>
      <w:r>
        <w:rPr>
          <w:rFonts w:hint="eastAsia" w:ascii="宋体" w:hAnsi="宋体" w:cs="宋体"/>
        </w:rPr>
        <w:t>成交</w:t>
      </w:r>
      <w:r>
        <w:rPr>
          <w:rFonts w:hint="eastAsia" w:ascii="宋体" w:hAnsi="宋体" w:cs="宋体"/>
          <w:lang w:eastAsia="zh-TW"/>
        </w:rPr>
        <w:t>候选人</w:t>
      </w:r>
      <w:r>
        <w:rPr>
          <w:rFonts w:hint="eastAsia" w:ascii="宋体" w:hAnsi="宋体" w:cs="宋体"/>
        </w:rPr>
        <w:t>。</w:t>
      </w:r>
    </w:p>
    <w:p>
      <w:pPr>
        <w:numPr>
          <w:ilvl w:val="1"/>
          <w:numId w:val="37"/>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pPr>
        <w:numPr>
          <w:ilvl w:val="1"/>
          <w:numId w:val="37"/>
        </w:numPr>
        <w:tabs>
          <w:tab w:val="left" w:pos="709"/>
          <w:tab w:val="clear" w:pos="360"/>
        </w:tabs>
        <w:snapToGrid w:val="0"/>
        <w:spacing w:line="360" w:lineRule="auto"/>
        <w:ind w:left="709" w:hanging="709"/>
        <w:rPr>
          <w:rFonts w:ascii="宋体" w:hAnsi="宋体"/>
          <w:b/>
          <w:bCs/>
        </w:rPr>
      </w:pPr>
      <w:r>
        <w:rPr>
          <w:rFonts w:hint="eastAsia" w:ascii="宋体" w:hAnsi="宋体"/>
        </w:rPr>
        <w:t>评审结果确定后，采购人根据需要通知磋商小组推荐的第一成交候选人在2个工作日内，按响应文件中所列清单中的相关证件、证明文件、合同和其他文件的原件送采购人核对与响应供应商响应文件中的复印件是否一致。采购人在接到原件之日起</w:t>
      </w:r>
      <w:r>
        <w:rPr>
          <w:rFonts w:ascii="宋体" w:hAnsi="宋体"/>
        </w:rPr>
        <w:t>3</w:t>
      </w:r>
      <w:r>
        <w:rPr>
          <w:rFonts w:hint="eastAsia" w:ascii="宋体" w:hAnsi="宋体"/>
        </w:rPr>
        <w:t>个工作日内，核对没有不一致的，须确认成交人；核对发现有不一致或第一成交候选人没有按约定提交原件的，报监管部门核实后按按虚假应标处理。</w:t>
      </w:r>
    </w:p>
    <w:p>
      <w:pPr>
        <w:numPr>
          <w:ilvl w:val="0"/>
          <w:numId w:val="37"/>
        </w:numPr>
        <w:snapToGrid w:val="0"/>
        <w:spacing w:line="360" w:lineRule="auto"/>
        <w:ind w:left="357" w:hanging="357"/>
        <w:jc w:val="both"/>
        <w:rPr>
          <w:rFonts w:ascii="宋体" w:hAnsi="宋体"/>
          <w:b/>
          <w:bCs/>
        </w:rPr>
      </w:pPr>
      <w:bookmarkStart w:id="270" w:name="_Toc378586986"/>
      <w:bookmarkStart w:id="271" w:name="_Toc416771350"/>
      <w:bookmarkStart w:id="272" w:name="_Toc410736164"/>
      <w:bookmarkStart w:id="273" w:name="_Toc416770240"/>
      <w:bookmarkStart w:id="274" w:name="_Toc410738964"/>
      <w:r>
        <w:rPr>
          <w:rFonts w:hint="eastAsia" w:ascii="宋体" w:hAnsi="宋体"/>
          <w:b/>
          <w:bCs/>
        </w:rPr>
        <w:t>确定成交结果</w:t>
      </w:r>
      <w:bookmarkEnd w:id="270"/>
      <w:bookmarkEnd w:id="271"/>
      <w:bookmarkEnd w:id="272"/>
      <w:bookmarkEnd w:id="273"/>
      <w:bookmarkEnd w:id="274"/>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布成交结果公告。不在成交名单之列者即为未</w:t>
      </w:r>
      <w:r>
        <w:rPr>
          <w:rFonts w:hint="eastAsia" w:ascii="宋体" w:hAnsi="宋体" w:cs="宋体"/>
        </w:rPr>
        <w:t>成交供应商</w:t>
      </w:r>
      <w:r>
        <w:rPr>
          <w:rFonts w:hint="eastAsia" w:ascii="宋体" w:hAnsi="宋体"/>
        </w:rPr>
        <w:t>，采购代理机构不再以其他方式另行通知。</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成交结果公告后，采购代理机构同时向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pPr>
        <w:numPr>
          <w:ilvl w:val="0"/>
          <w:numId w:val="37"/>
        </w:numPr>
        <w:snapToGrid w:val="0"/>
        <w:spacing w:line="360" w:lineRule="auto"/>
        <w:ind w:left="357" w:hanging="357"/>
        <w:jc w:val="both"/>
        <w:rPr>
          <w:rFonts w:ascii="宋体" w:hAnsi="宋体"/>
          <w:b/>
          <w:bCs/>
        </w:rPr>
      </w:pPr>
      <w:bookmarkStart w:id="275" w:name="_Toc433127783"/>
      <w:bookmarkStart w:id="276" w:name="_Toc410738966"/>
      <w:bookmarkStart w:id="277" w:name="_Toc410736166"/>
      <w:bookmarkStart w:id="278" w:name="_Toc416771352"/>
      <w:bookmarkStart w:id="279" w:name="_Toc416770242"/>
      <w:r>
        <w:rPr>
          <w:rFonts w:hint="eastAsia" w:ascii="宋体" w:hAnsi="宋体"/>
          <w:b/>
          <w:bCs/>
        </w:rPr>
        <w:t>询问、质疑、投诉</w:t>
      </w:r>
      <w:bookmarkEnd w:id="275"/>
    </w:p>
    <w:p>
      <w:pPr>
        <w:numPr>
          <w:ilvl w:val="1"/>
          <w:numId w:val="37"/>
        </w:numPr>
        <w:snapToGrid w:val="0"/>
        <w:spacing w:line="360" w:lineRule="auto"/>
        <w:jc w:val="both"/>
        <w:rPr>
          <w:rFonts w:ascii="宋体" w:hAnsi="宋体" w:cs="黑体"/>
          <w:bCs/>
        </w:rPr>
      </w:pPr>
      <w:r>
        <w:rPr>
          <w:rFonts w:hint="eastAsia" w:ascii="宋体" w:hAnsi="宋体" w:cs="黑体"/>
          <w:bCs/>
        </w:rPr>
        <w:t>询问</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供应商对政府采购活动事项有疑问的，可以向采购人提出询问，询问可以口头方式提出，也可以书面方式提出。</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采购人在三个工作日内对供应商依法提出的询问作出答复。</w:t>
      </w:r>
    </w:p>
    <w:p>
      <w:pPr>
        <w:numPr>
          <w:ilvl w:val="1"/>
          <w:numId w:val="37"/>
        </w:numPr>
        <w:snapToGrid w:val="0"/>
        <w:spacing w:line="360" w:lineRule="auto"/>
        <w:jc w:val="both"/>
        <w:rPr>
          <w:rFonts w:ascii="宋体" w:hAnsi="宋体" w:cs="黑体"/>
          <w:bCs/>
        </w:rPr>
      </w:pPr>
      <w:r>
        <w:rPr>
          <w:rFonts w:hint="eastAsia" w:ascii="宋体" w:hAnsi="宋体" w:cs="黑体"/>
          <w:bCs/>
        </w:rPr>
        <w:t>质疑</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质疑期限：</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采购文件的内容</w:t>
      </w:r>
      <w:r>
        <w:rPr>
          <w:rFonts w:hint="eastAsia" w:ascii="宋体" w:hAnsi="宋体" w:cs="黑体"/>
          <w:bCs/>
        </w:rPr>
        <w:t>损害其权益的，应在收到采购文件之日或者采购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成交或者成交结果</w:t>
      </w:r>
      <w:r>
        <w:rPr>
          <w:rFonts w:hint="eastAsia" w:ascii="宋体" w:hAnsi="宋体" w:cs="黑体"/>
          <w:bCs/>
        </w:rPr>
        <w:t>损害其权益的，应在成交或者成交结果公告期限届满之日起七个工作日内。</w:t>
      </w:r>
    </w:p>
    <w:p>
      <w:pPr>
        <w:numPr>
          <w:ilvl w:val="2"/>
          <w:numId w:val="37"/>
        </w:numPr>
        <w:tabs>
          <w:tab w:val="left" w:pos="709"/>
          <w:tab w:val="clear" w:pos="720"/>
        </w:tabs>
        <w:snapToGrid w:val="0"/>
        <w:spacing w:line="360" w:lineRule="auto"/>
        <w:jc w:val="both"/>
        <w:rPr>
          <w:rFonts w:ascii="宋体" w:hAnsi="宋体" w:cs="黑体"/>
          <w:bCs/>
        </w:rPr>
      </w:pPr>
      <w:r>
        <w:rPr>
          <w:rFonts w:hint="eastAsia" w:ascii="宋体" w:hAnsi="宋体" w:cs="黑体"/>
          <w:bCs/>
        </w:rPr>
        <w:t>提交要求：</w:t>
      </w:r>
    </w:p>
    <w:p>
      <w:pPr>
        <w:numPr>
          <w:ilvl w:val="3"/>
          <w:numId w:val="37"/>
        </w:numPr>
        <w:tabs>
          <w:tab w:val="left" w:pos="993"/>
        </w:tabs>
        <w:snapToGrid w:val="0"/>
        <w:spacing w:line="360" w:lineRule="auto"/>
        <w:jc w:val="both"/>
        <w:rPr>
          <w:rFonts w:ascii="宋体" w:hAnsi="宋体" w:cs="黑体"/>
          <w:bCs/>
        </w:rPr>
      </w:pPr>
      <w:r>
        <w:rPr>
          <w:rFonts w:hint="eastAsia" w:ascii="宋体" w:hAnsi="宋体" w:cs="黑体"/>
          <w:bCs/>
        </w:rPr>
        <w:t>以书面形式向采购人或者采购代理机构</w:t>
      </w:r>
      <w:r>
        <w:rPr>
          <w:rFonts w:hint="eastAsia" w:ascii="宋体" w:hAnsi="宋体" w:cs="宋体"/>
        </w:rPr>
        <w:t>一次性提出针对同一采购程序环节的</w:t>
      </w:r>
      <w:r>
        <w:rPr>
          <w:rFonts w:hint="eastAsia" w:ascii="宋体" w:hAnsi="宋体" w:cs="黑体"/>
          <w:bCs/>
        </w:rPr>
        <w:t>质疑。</w:t>
      </w:r>
    </w:p>
    <w:p>
      <w:pPr>
        <w:numPr>
          <w:ilvl w:val="3"/>
          <w:numId w:val="37"/>
        </w:numPr>
        <w:tabs>
          <w:tab w:val="left" w:pos="993"/>
        </w:tabs>
        <w:snapToGrid w:val="0"/>
        <w:spacing w:line="360" w:lineRule="auto"/>
        <w:jc w:val="both"/>
        <w:rPr>
          <w:rFonts w:ascii="宋体" w:hAnsi="宋体" w:cs="黑体"/>
          <w:bCs/>
        </w:rPr>
      </w:pPr>
      <w:r>
        <w:rPr>
          <w:rFonts w:hint="eastAsia" w:ascii="宋体" w:hAnsi="宋体" w:cs="黑体"/>
          <w:bCs/>
        </w:rPr>
        <w:t>以联合体形式参加政府采购活动的，其质疑应当由组成联合体的所有供应商共同提出。</w:t>
      </w:r>
    </w:p>
    <w:p>
      <w:pPr>
        <w:numPr>
          <w:ilvl w:val="3"/>
          <w:numId w:val="37"/>
        </w:numPr>
        <w:tabs>
          <w:tab w:val="left" w:pos="993"/>
        </w:tabs>
        <w:snapToGrid w:val="0"/>
        <w:spacing w:line="360" w:lineRule="auto"/>
        <w:jc w:val="both"/>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numPr>
          <w:ilvl w:val="3"/>
          <w:numId w:val="37"/>
        </w:numPr>
        <w:tabs>
          <w:tab w:val="left" w:pos="993"/>
        </w:tabs>
        <w:snapToGrid w:val="0"/>
        <w:spacing w:line="360" w:lineRule="auto"/>
        <w:jc w:val="both"/>
        <w:rPr>
          <w:rFonts w:ascii="宋体" w:hAnsi="宋体" w:cs="黑体"/>
          <w:bCs/>
        </w:rPr>
      </w:pPr>
      <w:r>
        <w:rPr>
          <w:rFonts w:hint="eastAsia" w:ascii="宋体" w:hAnsi="宋体" w:cs="黑体"/>
          <w:bCs/>
        </w:rPr>
        <w:t>供应商捏造事实、提供虚假材料或者以非法手段取得证明材料不能作为质疑的证明材料。</w:t>
      </w:r>
    </w:p>
    <w:p>
      <w:pPr>
        <w:numPr>
          <w:ilvl w:val="3"/>
          <w:numId w:val="37"/>
        </w:numPr>
        <w:tabs>
          <w:tab w:val="left" w:pos="993"/>
        </w:tabs>
        <w:snapToGrid w:val="0"/>
        <w:spacing w:line="360" w:lineRule="auto"/>
        <w:jc w:val="both"/>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pPr>
        <w:numPr>
          <w:ilvl w:val="2"/>
          <w:numId w:val="37"/>
        </w:numPr>
        <w:tabs>
          <w:tab w:val="left" w:pos="709"/>
          <w:tab w:val="clear" w:pos="720"/>
        </w:tabs>
        <w:snapToGrid w:val="0"/>
        <w:spacing w:line="360" w:lineRule="auto"/>
        <w:jc w:val="both"/>
        <w:rPr>
          <w:rFonts w:ascii="宋体" w:hAnsi="宋体" w:cs="黑体"/>
          <w:b/>
          <w:bCs/>
        </w:rPr>
      </w:pPr>
      <w:r>
        <w:rPr>
          <w:rFonts w:hint="eastAsia" w:hAnsi="宋体"/>
          <w:snapToGrid w:val="0"/>
        </w:rPr>
        <w:t>采购人或采购代理机构接收以书面形式递交的质疑函，接收质疑函的联系人、联系方式和通讯地址详见第二章</w:t>
      </w:r>
      <w:r>
        <w:rPr>
          <w:rFonts w:hint="eastAsia" w:hAnsi="宋体"/>
          <w:b/>
          <w:snapToGrid w:val="0"/>
        </w:rPr>
        <w:t>磋商资料表</w:t>
      </w:r>
      <w:r>
        <w:rPr>
          <w:rFonts w:hint="eastAsia" w:ascii="宋体" w:hAnsi="宋体"/>
        </w:rPr>
        <w:t>。</w:t>
      </w:r>
    </w:p>
    <w:p>
      <w:pPr>
        <w:numPr>
          <w:ilvl w:val="1"/>
          <w:numId w:val="37"/>
        </w:numPr>
        <w:snapToGrid w:val="0"/>
        <w:spacing w:line="360" w:lineRule="auto"/>
        <w:jc w:val="both"/>
        <w:rPr>
          <w:rFonts w:ascii="宋体" w:hAnsi="宋体" w:cs="黑体"/>
          <w:b/>
          <w:bCs/>
        </w:rPr>
      </w:pPr>
      <w:r>
        <w:rPr>
          <w:rFonts w:hint="eastAsia" w:ascii="宋体" w:hAnsi="宋体"/>
          <w:b/>
        </w:rPr>
        <w:t>投诉</w:t>
      </w:r>
    </w:p>
    <w:p>
      <w:pPr>
        <w:numPr>
          <w:ilvl w:val="2"/>
          <w:numId w:val="37"/>
        </w:numPr>
        <w:tabs>
          <w:tab w:val="left" w:pos="709"/>
          <w:tab w:val="clear" w:pos="720"/>
        </w:tabs>
        <w:snapToGrid w:val="0"/>
        <w:spacing w:line="360" w:lineRule="auto"/>
        <w:jc w:val="both"/>
        <w:rPr>
          <w:rFonts w:ascii="宋体" w:hAnsi="宋体" w:cs="黑体"/>
          <w:b/>
          <w:bCs/>
        </w:rPr>
      </w:pPr>
      <w:r>
        <w:rPr>
          <w:rFonts w:hint="eastAsia" w:ascii="宋体" w:hAnsi="宋体"/>
        </w:rPr>
        <w:t>质疑供应商对采购人的质疑答复不满意，或采购人未在规定期限内作出答复的，可以在答复期满后十五个工作日内向同级监管部门提出投诉。</w:t>
      </w:r>
    </w:p>
    <w:p>
      <w:pPr>
        <w:snapToGrid w:val="0"/>
        <w:spacing w:beforeLines="100" w:afterLines="100" w:line="360" w:lineRule="auto"/>
        <w:jc w:val="center"/>
        <w:outlineLvl w:val="0"/>
        <w:rPr>
          <w:rFonts w:ascii="宋体" w:hAnsi="宋体"/>
          <w:b/>
          <w:sz w:val="28"/>
          <w:szCs w:val="28"/>
          <w:lang w:eastAsia="zh-TW"/>
        </w:rPr>
      </w:pPr>
      <w:bookmarkStart w:id="280" w:name="_Toc523168288"/>
      <w:bookmarkStart w:id="281" w:name="_Toc502738629"/>
      <w:r>
        <w:rPr>
          <w:rFonts w:hint="eastAsia" w:ascii="宋体" w:hAnsi="宋体"/>
          <w:b/>
          <w:sz w:val="28"/>
          <w:szCs w:val="28"/>
          <w:lang w:eastAsia="zh-TW"/>
        </w:rPr>
        <w:t>六、授予合同</w:t>
      </w:r>
      <w:bookmarkEnd w:id="276"/>
      <w:bookmarkEnd w:id="277"/>
      <w:bookmarkEnd w:id="278"/>
      <w:bookmarkEnd w:id="279"/>
      <w:bookmarkEnd w:id="280"/>
      <w:bookmarkEnd w:id="281"/>
    </w:p>
    <w:p>
      <w:pPr>
        <w:numPr>
          <w:ilvl w:val="0"/>
          <w:numId w:val="37"/>
        </w:numPr>
        <w:snapToGrid w:val="0"/>
        <w:spacing w:line="360" w:lineRule="auto"/>
        <w:ind w:left="357" w:hanging="357"/>
        <w:jc w:val="both"/>
        <w:rPr>
          <w:rFonts w:ascii="宋体" w:hAnsi="宋体"/>
          <w:b/>
          <w:bCs/>
        </w:rPr>
      </w:pPr>
      <w:bookmarkStart w:id="282" w:name="_Toc416771353"/>
      <w:bookmarkStart w:id="283" w:name="_Toc410736167"/>
      <w:bookmarkStart w:id="284" w:name="_Toc410738967"/>
      <w:bookmarkStart w:id="285" w:name="_Toc416770243"/>
      <w:r>
        <w:rPr>
          <w:rFonts w:hint="eastAsia" w:ascii="宋体" w:hAnsi="宋体"/>
          <w:b/>
          <w:bCs/>
        </w:rPr>
        <w:t>合同的订立</w:t>
      </w:r>
      <w:bookmarkEnd w:id="282"/>
      <w:bookmarkEnd w:id="283"/>
      <w:bookmarkEnd w:id="284"/>
      <w:bookmarkEnd w:id="285"/>
    </w:p>
    <w:p>
      <w:pPr>
        <w:numPr>
          <w:ilvl w:val="1"/>
          <w:numId w:val="37"/>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pPr>
        <w:numPr>
          <w:ilvl w:val="1"/>
          <w:numId w:val="37"/>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因不可抗力或自身原因不能履行政府采购合同的、不按要求与采购人签订政府采购合同、成交人放弃</w:t>
      </w:r>
      <w:r>
        <w:rPr>
          <w:rFonts w:hint="eastAsia" w:ascii="宋体" w:hAnsi="宋体" w:cs="宋体"/>
        </w:rPr>
        <w:t>成交</w:t>
      </w:r>
      <w:r>
        <w:rPr>
          <w:rFonts w:hint="eastAsia" w:ascii="宋体" w:hAnsi="宋体"/>
        </w:rPr>
        <w:t>、成交资格被依法确认无效的，采购人可以与排位在成交人之后第一位的成交候选人签订政府采购合同，也可以重新开展政府采购活动。</w:t>
      </w:r>
    </w:p>
    <w:p>
      <w:pPr>
        <w:numPr>
          <w:ilvl w:val="1"/>
          <w:numId w:val="37"/>
        </w:numPr>
        <w:tabs>
          <w:tab w:val="left" w:pos="709"/>
          <w:tab w:val="clear" w:pos="360"/>
        </w:tabs>
        <w:snapToGrid w:val="0"/>
        <w:spacing w:line="360" w:lineRule="auto"/>
        <w:ind w:left="709" w:hanging="709"/>
        <w:jc w:val="both"/>
        <w:rPr>
          <w:rFonts w:ascii="宋体" w:hAnsi="宋体" w:cs="宋体"/>
        </w:rPr>
      </w:pPr>
      <w:bookmarkStart w:id="286" w:name="_Toc410736168"/>
      <w:bookmarkStart w:id="287" w:name="_Toc416771354"/>
      <w:bookmarkStart w:id="288" w:name="_Toc416770244"/>
      <w:bookmarkStart w:id="289" w:name="_Toc410738968"/>
      <w:r>
        <w:rPr>
          <w:rFonts w:hint="eastAsia" w:ascii="宋体" w:hAnsi="宋体" w:cs="宋体"/>
        </w:rPr>
        <w:t>自</w:t>
      </w:r>
      <w:r>
        <w:rPr>
          <w:rFonts w:hint="eastAsia" w:ascii="宋体" w:hAnsi="宋体" w:cs="宋体"/>
          <w:lang w:eastAsia="zh-TW"/>
        </w:rPr>
        <w:t>政府采购</w:t>
      </w:r>
      <w:r>
        <w:rPr>
          <w:rFonts w:hint="eastAsia" w:ascii="宋体" w:hAnsi="宋体" w:cs="宋体"/>
        </w:rPr>
        <w:t>合同签订之日起2</w:t>
      </w:r>
      <w:r>
        <w:rPr>
          <w:rFonts w:hint="eastAsia" w:ascii="宋体" w:hAnsi="宋体" w:cs="宋体"/>
          <w:lang w:eastAsia="zh-TW"/>
        </w:rPr>
        <w:t>个工作日内，采购人应将政府采购合同</w:t>
      </w:r>
      <w:r>
        <w:rPr>
          <w:rFonts w:hint="eastAsia" w:ascii="宋体" w:hAnsi="宋体" w:cs="宋体"/>
        </w:rPr>
        <w:t>在省级以上人民政府财政部门指定的媒体上公告，但政府采购合同中涉及国家秘密、商业秘密的内容除外</w:t>
      </w:r>
      <w:r>
        <w:rPr>
          <w:rFonts w:hint="eastAsia" w:ascii="宋体" w:hAnsi="宋体" w:cs="宋体"/>
          <w:lang w:eastAsia="zh-TW"/>
        </w:rPr>
        <w:t>。</w:t>
      </w:r>
    </w:p>
    <w:p>
      <w:pPr>
        <w:numPr>
          <w:ilvl w:val="1"/>
          <w:numId w:val="37"/>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政府采购</w:t>
      </w:r>
      <w:r>
        <w:rPr>
          <w:rFonts w:hint="eastAsia" w:ascii="宋体" w:hAnsi="宋体" w:cs="宋体"/>
        </w:rPr>
        <w:t>合同签订之日起七</w:t>
      </w:r>
      <w:r>
        <w:rPr>
          <w:rFonts w:hint="eastAsia" w:ascii="宋体" w:hAnsi="宋体" w:cs="宋体"/>
          <w:lang w:eastAsia="zh-TW"/>
        </w:rPr>
        <w:t>个工作日内，采购人应将政府采购合同副本报同级监管部门备案</w:t>
      </w:r>
      <w:r>
        <w:rPr>
          <w:rFonts w:hint="eastAsia" w:ascii="宋体" w:hAnsi="宋体" w:cs="宋体"/>
        </w:rPr>
        <w:t>和有关部门备案</w:t>
      </w:r>
      <w:r>
        <w:rPr>
          <w:rFonts w:hint="eastAsia" w:ascii="宋体" w:hAnsi="宋体" w:cs="宋体"/>
          <w:lang w:eastAsia="zh-TW"/>
        </w:rPr>
        <w:t>。</w:t>
      </w:r>
    </w:p>
    <w:p>
      <w:pPr>
        <w:numPr>
          <w:ilvl w:val="0"/>
          <w:numId w:val="37"/>
        </w:numPr>
        <w:snapToGrid w:val="0"/>
        <w:spacing w:line="360" w:lineRule="auto"/>
        <w:ind w:left="357" w:hanging="357"/>
        <w:jc w:val="both"/>
        <w:rPr>
          <w:rFonts w:ascii="宋体" w:hAnsi="宋体"/>
          <w:b/>
          <w:bCs/>
        </w:rPr>
      </w:pPr>
      <w:r>
        <w:rPr>
          <w:rFonts w:hint="eastAsia" w:ascii="宋体" w:hAnsi="宋体"/>
          <w:b/>
          <w:bCs/>
        </w:rPr>
        <w:t>合同的履行</w:t>
      </w:r>
      <w:bookmarkEnd w:id="286"/>
      <w:bookmarkEnd w:id="287"/>
      <w:bookmarkEnd w:id="288"/>
      <w:bookmarkEnd w:id="289"/>
    </w:p>
    <w:p>
      <w:pPr>
        <w:numPr>
          <w:ilvl w:val="1"/>
          <w:numId w:val="37"/>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pPr>
        <w:numPr>
          <w:ilvl w:val="0"/>
          <w:numId w:val="37"/>
        </w:numPr>
        <w:snapToGrid w:val="0"/>
        <w:spacing w:line="360" w:lineRule="auto"/>
        <w:ind w:left="357" w:hanging="357"/>
        <w:jc w:val="both"/>
        <w:rPr>
          <w:rFonts w:ascii="宋体" w:hAnsi="宋体"/>
          <w:b/>
          <w:bCs/>
        </w:rPr>
      </w:pPr>
      <w:bookmarkStart w:id="290" w:name="_Toc410736169"/>
      <w:bookmarkStart w:id="291" w:name="_Toc416771355"/>
      <w:bookmarkStart w:id="292" w:name="_Toc416770245"/>
      <w:bookmarkStart w:id="293" w:name="_Toc410738969"/>
      <w:r>
        <w:rPr>
          <w:rFonts w:hint="eastAsia" w:ascii="宋体" w:hAnsi="宋体"/>
          <w:b/>
          <w:bCs/>
        </w:rPr>
        <w:t>履约保证金</w:t>
      </w:r>
      <w:bookmarkEnd w:id="290"/>
      <w:bookmarkEnd w:id="291"/>
      <w:bookmarkEnd w:id="292"/>
      <w:bookmarkEnd w:id="293"/>
    </w:p>
    <w:p>
      <w:pPr>
        <w:numPr>
          <w:ilvl w:val="1"/>
          <w:numId w:val="37"/>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pPr>
        <w:numPr>
          <w:ilvl w:val="0"/>
          <w:numId w:val="37"/>
        </w:numPr>
        <w:snapToGrid w:val="0"/>
        <w:spacing w:line="360" w:lineRule="auto"/>
        <w:ind w:left="357" w:hanging="357"/>
        <w:jc w:val="both"/>
        <w:rPr>
          <w:rFonts w:ascii="宋体" w:hAnsi="宋体"/>
          <w:b/>
          <w:bCs/>
        </w:rPr>
      </w:pPr>
      <w:bookmarkStart w:id="294" w:name="_Toc416770246"/>
      <w:bookmarkStart w:id="295" w:name="_Toc416771356"/>
      <w:bookmarkStart w:id="296" w:name="_Toc410738970"/>
      <w:bookmarkStart w:id="297" w:name="_Toc410736170"/>
      <w:r>
        <w:rPr>
          <w:rFonts w:hint="eastAsia" w:ascii="宋体" w:hAnsi="宋体"/>
          <w:b/>
          <w:bCs/>
        </w:rPr>
        <w:t>招标代理服务费</w:t>
      </w:r>
      <w:bookmarkEnd w:id="294"/>
      <w:bookmarkEnd w:id="295"/>
      <w:bookmarkEnd w:id="296"/>
      <w:bookmarkEnd w:id="297"/>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成交供应商应按照竞争性磋商文件</w:t>
      </w:r>
      <w:r>
        <w:rPr>
          <w:rFonts w:hint="eastAsia" w:ascii="宋体" w:hAnsi="宋体" w:cs="宋体"/>
          <w:b/>
        </w:rPr>
        <w:t>磋商资料表</w:t>
      </w:r>
      <w:r>
        <w:rPr>
          <w:rFonts w:hint="eastAsia" w:ascii="宋体" w:hAnsi="宋体" w:cs="宋体"/>
        </w:rPr>
        <w:t>中的规定缴纳招标代理服务费。否则，将不予退还其磋商保证金。</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服务费按差额定率累进法计算。</w:t>
      </w:r>
    </w:p>
    <w:tbl>
      <w:tblPr>
        <w:tblStyle w:val="38"/>
        <w:tblW w:w="91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081"/>
        <w:gridCol w:w="2974"/>
        <w:gridCol w:w="30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tcBorders>
              <w:tl2br w:val="single" w:color="auto" w:sz="4" w:space="0"/>
            </w:tcBorders>
          </w:tcPr>
          <w:p>
            <w:pPr>
              <w:spacing w:line="360" w:lineRule="auto"/>
              <w:rPr>
                <w:rFonts w:ascii="宋体" w:hAnsi="宋体"/>
              </w:rPr>
            </w:pPr>
            <w:r>
              <w:rPr>
                <w:rFonts w:hint="eastAsia" w:ascii="宋体" w:hAnsi="宋体"/>
              </w:rPr>
              <w:t xml:space="preserve">                      费率</w:t>
            </w:r>
          </w:p>
          <w:p>
            <w:pPr>
              <w:spacing w:line="360" w:lineRule="auto"/>
              <w:rPr>
                <w:rFonts w:ascii="宋体" w:hAnsi="宋体"/>
              </w:rPr>
            </w:pPr>
            <w:r>
              <w:rPr>
                <w:rFonts w:hint="eastAsia" w:ascii="宋体" w:hAnsi="宋体"/>
              </w:rPr>
              <w:t>成交金额</w:t>
            </w:r>
          </w:p>
        </w:tc>
        <w:tc>
          <w:tcPr>
            <w:tcW w:w="2974" w:type="dxa"/>
            <w:vAlign w:val="center"/>
          </w:tcPr>
          <w:p>
            <w:pPr>
              <w:snapToGrid w:val="0"/>
              <w:jc w:val="center"/>
              <w:rPr>
                <w:rFonts w:ascii="宋体" w:hAnsi="宋体" w:cs="宋体"/>
              </w:rPr>
            </w:pPr>
            <w:r>
              <w:rPr>
                <w:rFonts w:hint="eastAsia" w:ascii="宋体" w:hAnsi="宋体"/>
                <w:bCs/>
              </w:rPr>
              <w:t>货物招标</w:t>
            </w:r>
          </w:p>
        </w:tc>
        <w:tc>
          <w:tcPr>
            <w:tcW w:w="3081" w:type="dxa"/>
            <w:vAlign w:val="center"/>
          </w:tcPr>
          <w:p>
            <w:pPr>
              <w:spacing w:line="360" w:lineRule="auto"/>
              <w:jc w:val="center"/>
              <w:rPr>
                <w:rFonts w:ascii="宋体" w:hAnsi="宋体"/>
              </w:rPr>
            </w:pPr>
            <w:r>
              <w:rPr>
                <w:rFonts w:hint="eastAsia" w:ascii="宋体" w:hAnsi="宋体"/>
              </w:rPr>
              <w:t>服务招标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vAlign w:val="center"/>
          </w:tcPr>
          <w:p>
            <w:pPr>
              <w:spacing w:line="360" w:lineRule="auto"/>
              <w:jc w:val="center"/>
              <w:rPr>
                <w:rFonts w:ascii="宋体" w:hAnsi="宋体"/>
              </w:rPr>
            </w:pPr>
            <w:r>
              <w:rPr>
                <w:rFonts w:hint="eastAsia" w:ascii="宋体" w:hAnsi="宋体"/>
              </w:rPr>
              <w:t>100万元以下</w:t>
            </w:r>
          </w:p>
        </w:tc>
        <w:tc>
          <w:tcPr>
            <w:tcW w:w="2974" w:type="dxa"/>
            <w:vAlign w:val="center"/>
          </w:tcPr>
          <w:p>
            <w:pPr>
              <w:adjustRightInd/>
              <w:jc w:val="center"/>
              <w:rPr>
                <w:rFonts w:ascii="宋体" w:hAnsi="宋体"/>
              </w:rPr>
            </w:pPr>
            <w:r>
              <w:rPr>
                <w:rFonts w:ascii="宋体" w:hAnsi="宋体"/>
              </w:rPr>
              <w:t>1.5%</w:t>
            </w:r>
          </w:p>
        </w:tc>
        <w:tc>
          <w:tcPr>
            <w:tcW w:w="3081" w:type="dxa"/>
            <w:vAlign w:val="center"/>
          </w:tcPr>
          <w:p>
            <w:pPr>
              <w:spacing w:line="360" w:lineRule="auto"/>
              <w:ind w:firstLine="210" w:firstLineChars="100"/>
              <w:jc w:val="center"/>
              <w:rPr>
                <w:rFonts w:ascii="宋体" w:hAnsi="宋体"/>
              </w:rPr>
            </w:pPr>
            <w:r>
              <w:rPr>
                <w:rFonts w:hint="eastAsia" w:ascii="宋体" w:hAnsi="宋体" w:cs="宋体"/>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vAlign w:val="center"/>
          </w:tcPr>
          <w:p>
            <w:pPr>
              <w:spacing w:line="360" w:lineRule="auto"/>
              <w:jc w:val="center"/>
              <w:rPr>
                <w:rFonts w:ascii="宋体" w:hAnsi="宋体"/>
              </w:rPr>
            </w:pPr>
            <w:r>
              <w:rPr>
                <w:rFonts w:hint="eastAsia" w:ascii="宋体" w:hAnsi="宋体"/>
              </w:rPr>
              <w:t>100～500万元</w:t>
            </w:r>
          </w:p>
        </w:tc>
        <w:tc>
          <w:tcPr>
            <w:tcW w:w="2974" w:type="dxa"/>
            <w:vAlign w:val="center"/>
          </w:tcPr>
          <w:p>
            <w:pPr>
              <w:adjustRightInd/>
              <w:jc w:val="center"/>
              <w:rPr>
                <w:rFonts w:ascii="宋体" w:hAnsi="宋体"/>
              </w:rPr>
            </w:pPr>
            <w:r>
              <w:rPr>
                <w:rFonts w:ascii="宋体" w:hAnsi="宋体"/>
              </w:rPr>
              <w:t>1.1%</w:t>
            </w:r>
          </w:p>
        </w:tc>
        <w:tc>
          <w:tcPr>
            <w:tcW w:w="3081" w:type="dxa"/>
            <w:vAlign w:val="center"/>
          </w:tcPr>
          <w:p>
            <w:pPr>
              <w:spacing w:line="360" w:lineRule="auto"/>
              <w:ind w:firstLine="210" w:firstLineChars="100"/>
              <w:jc w:val="center"/>
              <w:rPr>
                <w:rFonts w:ascii="宋体" w:hAnsi="宋体"/>
              </w:rPr>
            </w:pPr>
            <w:r>
              <w:rPr>
                <w:rFonts w:hint="eastAsia" w:ascii="宋体" w:hAnsi="宋体" w:cs="宋体"/>
              </w:rPr>
              <w:t>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vAlign w:val="center"/>
          </w:tcPr>
          <w:p>
            <w:pPr>
              <w:spacing w:line="360" w:lineRule="auto"/>
              <w:jc w:val="center"/>
              <w:rPr>
                <w:rFonts w:ascii="宋体" w:hAnsi="宋体"/>
              </w:rPr>
            </w:pPr>
            <w:r>
              <w:rPr>
                <w:rFonts w:hint="eastAsia" w:ascii="宋体" w:hAnsi="宋体"/>
              </w:rPr>
              <w:t>500～1000万元</w:t>
            </w:r>
          </w:p>
        </w:tc>
        <w:tc>
          <w:tcPr>
            <w:tcW w:w="2974" w:type="dxa"/>
            <w:vAlign w:val="center"/>
          </w:tcPr>
          <w:p>
            <w:pPr>
              <w:adjustRightInd/>
              <w:jc w:val="center"/>
              <w:rPr>
                <w:rFonts w:ascii="宋体" w:hAnsi="宋体"/>
              </w:rPr>
            </w:pPr>
            <w:r>
              <w:rPr>
                <w:rFonts w:ascii="宋体" w:hAnsi="宋体"/>
              </w:rPr>
              <w:t>0.8%</w:t>
            </w:r>
          </w:p>
        </w:tc>
        <w:tc>
          <w:tcPr>
            <w:tcW w:w="3081" w:type="dxa"/>
            <w:vAlign w:val="center"/>
          </w:tcPr>
          <w:p>
            <w:pPr>
              <w:spacing w:line="360" w:lineRule="auto"/>
              <w:ind w:firstLine="210" w:firstLineChars="100"/>
              <w:jc w:val="center"/>
              <w:rPr>
                <w:rFonts w:ascii="宋体" w:hAnsi="宋体"/>
              </w:rPr>
            </w:pPr>
            <w:r>
              <w:rPr>
                <w:rFonts w:hint="eastAsia" w:ascii="宋体" w:hAnsi="宋体" w:cs="宋体"/>
              </w:rPr>
              <w:t>0.45%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vAlign w:val="center"/>
          </w:tcPr>
          <w:p>
            <w:pPr>
              <w:spacing w:line="360" w:lineRule="auto"/>
              <w:jc w:val="center"/>
              <w:rPr>
                <w:rFonts w:ascii="宋体" w:hAnsi="宋体"/>
              </w:rPr>
            </w:pPr>
            <w:r>
              <w:rPr>
                <w:rFonts w:hint="eastAsia" w:ascii="宋体" w:hAnsi="宋体"/>
              </w:rPr>
              <w:t>1000～5000万元</w:t>
            </w:r>
          </w:p>
        </w:tc>
        <w:tc>
          <w:tcPr>
            <w:tcW w:w="2974" w:type="dxa"/>
            <w:vAlign w:val="center"/>
          </w:tcPr>
          <w:p>
            <w:pPr>
              <w:adjustRightInd/>
              <w:jc w:val="center"/>
              <w:rPr>
                <w:rFonts w:ascii="宋体" w:hAnsi="宋体"/>
              </w:rPr>
            </w:pPr>
            <w:r>
              <w:rPr>
                <w:rFonts w:ascii="宋体" w:hAnsi="宋体"/>
              </w:rPr>
              <w:t>0.5%</w:t>
            </w:r>
          </w:p>
        </w:tc>
        <w:tc>
          <w:tcPr>
            <w:tcW w:w="3081" w:type="dxa"/>
            <w:vAlign w:val="center"/>
          </w:tcPr>
          <w:p>
            <w:pPr>
              <w:spacing w:line="360" w:lineRule="auto"/>
              <w:ind w:firstLine="210" w:firstLineChars="100"/>
              <w:jc w:val="center"/>
              <w:rPr>
                <w:rFonts w:ascii="宋体" w:hAnsi="宋体"/>
              </w:rPr>
            </w:pPr>
            <w:r>
              <w:rPr>
                <w:rFonts w:hint="eastAsia" w:ascii="宋体" w:hAnsi="宋体" w:cs="宋体"/>
              </w:rPr>
              <w:t>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vAlign w:val="center"/>
          </w:tcPr>
          <w:p>
            <w:pPr>
              <w:spacing w:line="360" w:lineRule="auto"/>
              <w:jc w:val="center"/>
              <w:rPr>
                <w:rFonts w:ascii="宋体" w:hAnsi="宋体"/>
              </w:rPr>
            </w:pPr>
            <w:r>
              <w:rPr>
                <w:rFonts w:hint="eastAsia" w:ascii="宋体" w:hAnsi="宋体"/>
              </w:rPr>
              <w:t>5000万元～1亿元</w:t>
            </w:r>
          </w:p>
        </w:tc>
        <w:tc>
          <w:tcPr>
            <w:tcW w:w="2974" w:type="dxa"/>
            <w:vAlign w:val="center"/>
          </w:tcPr>
          <w:p>
            <w:pPr>
              <w:adjustRightInd/>
              <w:jc w:val="center"/>
              <w:rPr>
                <w:rFonts w:ascii="宋体" w:hAnsi="宋体"/>
              </w:rPr>
            </w:pPr>
            <w:r>
              <w:rPr>
                <w:rFonts w:ascii="宋体" w:hAnsi="宋体"/>
              </w:rPr>
              <w:t>0.25%</w:t>
            </w:r>
          </w:p>
        </w:tc>
        <w:tc>
          <w:tcPr>
            <w:tcW w:w="3081" w:type="dxa"/>
            <w:vAlign w:val="center"/>
          </w:tcPr>
          <w:p>
            <w:pPr>
              <w:spacing w:line="360" w:lineRule="auto"/>
              <w:ind w:firstLine="210" w:firstLineChars="100"/>
              <w:jc w:val="center"/>
              <w:rPr>
                <w:rFonts w:ascii="宋体" w:hAnsi="宋体"/>
              </w:rPr>
            </w:pPr>
            <w:r>
              <w:rPr>
                <w:rFonts w:hint="eastAsia" w:ascii="宋体" w:hAnsi="宋体" w:cs="宋体"/>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vAlign w:val="center"/>
          </w:tcPr>
          <w:p>
            <w:pPr>
              <w:spacing w:line="360" w:lineRule="auto"/>
              <w:jc w:val="center"/>
              <w:rPr>
                <w:rFonts w:ascii="宋体" w:hAnsi="宋体"/>
              </w:rPr>
            </w:pPr>
            <w:r>
              <w:rPr>
                <w:rFonts w:hint="eastAsia" w:ascii="宋体" w:hAnsi="宋体"/>
              </w:rPr>
              <w:t>1～5亿元</w:t>
            </w:r>
          </w:p>
        </w:tc>
        <w:tc>
          <w:tcPr>
            <w:tcW w:w="2974" w:type="dxa"/>
            <w:vAlign w:val="center"/>
          </w:tcPr>
          <w:p>
            <w:pPr>
              <w:adjustRightInd/>
              <w:jc w:val="center"/>
              <w:rPr>
                <w:rFonts w:ascii="宋体" w:hAnsi="宋体"/>
              </w:rPr>
            </w:pPr>
            <w:r>
              <w:rPr>
                <w:rFonts w:hint="eastAsia" w:ascii="宋体" w:hAnsi="宋体"/>
              </w:rPr>
              <w:t>0.05%</w:t>
            </w:r>
          </w:p>
        </w:tc>
        <w:tc>
          <w:tcPr>
            <w:tcW w:w="3081" w:type="dxa"/>
            <w:vAlign w:val="center"/>
          </w:tcPr>
          <w:p>
            <w:pPr>
              <w:spacing w:line="360" w:lineRule="auto"/>
              <w:jc w:val="center"/>
              <w:rPr>
                <w:rFonts w:ascii="宋体" w:hAnsi="宋体"/>
              </w:rPr>
            </w:pPr>
            <w:r>
              <w:rPr>
                <w:rFonts w:hint="eastAsia" w:ascii="宋体" w:hAnsi="宋体"/>
              </w:rPr>
              <w: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vAlign w:val="center"/>
          </w:tcPr>
          <w:p>
            <w:pPr>
              <w:spacing w:line="360" w:lineRule="auto"/>
              <w:jc w:val="center"/>
              <w:rPr>
                <w:rFonts w:ascii="宋体" w:hAnsi="宋体"/>
              </w:rPr>
            </w:pPr>
            <w:r>
              <w:rPr>
                <w:rFonts w:hint="eastAsia" w:ascii="宋体" w:hAnsi="宋体"/>
              </w:rPr>
              <w:t>5～10亿元</w:t>
            </w:r>
          </w:p>
        </w:tc>
        <w:tc>
          <w:tcPr>
            <w:tcW w:w="2974" w:type="dxa"/>
            <w:vAlign w:val="center"/>
          </w:tcPr>
          <w:p>
            <w:pPr>
              <w:adjustRightInd/>
              <w:jc w:val="center"/>
              <w:rPr>
                <w:rFonts w:ascii="宋体" w:hAnsi="宋体"/>
              </w:rPr>
            </w:pPr>
            <w:r>
              <w:rPr>
                <w:rFonts w:hint="eastAsia" w:ascii="宋体" w:hAnsi="宋体"/>
              </w:rPr>
              <w:t>0.035%</w:t>
            </w:r>
          </w:p>
        </w:tc>
        <w:tc>
          <w:tcPr>
            <w:tcW w:w="3081" w:type="dxa"/>
            <w:vAlign w:val="center"/>
          </w:tcPr>
          <w:p>
            <w:pPr>
              <w:spacing w:line="360" w:lineRule="auto"/>
              <w:jc w:val="center"/>
              <w:rPr>
                <w:rFonts w:ascii="宋体" w:hAnsi="宋体"/>
              </w:rPr>
            </w:pPr>
            <w:r>
              <w:rPr>
                <w:rFonts w:hint="eastAsia" w:ascii="宋体" w:hAnsi="宋体"/>
              </w:rPr>
              <w:t>0.035%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vAlign w:val="center"/>
          </w:tcPr>
          <w:p>
            <w:pPr>
              <w:spacing w:line="360" w:lineRule="auto"/>
              <w:jc w:val="center"/>
              <w:rPr>
                <w:rFonts w:ascii="宋体" w:hAnsi="宋体"/>
              </w:rPr>
            </w:pPr>
            <w:r>
              <w:rPr>
                <w:rFonts w:hint="eastAsia" w:ascii="宋体" w:hAnsi="宋体"/>
              </w:rPr>
              <w:t>10～50亿元</w:t>
            </w:r>
          </w:p>
        </w:tc>
        <w:tc>
          <w:tcPr>
            <w:tcW w:w="2974" w:type="dxa"/>
            <w:vAlign w:val="center"/>
          </w:tcPr>
          <w:p>
            <w:pPr>
              <w:adjustRightInd/>
              <w:jc w:val="center"/>
              <w:rPr>
                <w:rFonts w:ascii="宋体" w:hAnsi="宋体"/>
              </w:rPr>
            </w:pPr>
            <w:r>
              <w:rPr>
                <w:rFonts w:hint="eastAsia" w:ascii="宋体" w:hAnsi="宋体"/>
              </w:rPr>
              <w:t>0.008%</w:t>
            </w:r>
          </w:p>
        </w:tc>
        <w:tc>
          <w:tcPr>
            <w:tcW w:w="3081" w:type="dxa"/>
            <w:vAlign w:val="center"/>
          </w:tcPr>
          <w:p>
            <w:pPr>
              <w:spacing w:line="360" w:lineRule="auto"/>
              <w:ind w:firstLine="210" w:firstLineChars="100"/>
              <w:jc w:val="center"/>
              <w:rPr>
                <w:rFonts w:ascii="宋体" w:hAnsi="宋体"/>
              </w:rPr>
            </w:pPr>
            <w:r>
              <w:rPr>
                <w:rFonts w:hint="eastAsia" w:ascii="宋体" w:hAnsi="宋体"/>
              </w:rPr>
              <w:t>0.008%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vAlign w:val="center"/>
          </w:tcPr>
          <w:p>
            <w:pPr>
              <w:spacing w:line="360" w:lineRule="auto"/>
              <w:jc w:val="center"/>
              <w:rPr>
                <w:rFonts w:ascii="宋体" w:hAnsi="宋体"/>
              </w:rPr>
            </w:pPr>
            <w:r>
              <w:rPr>
                <w:rFonts w:hint="eastAsia" w:ascii="宋体" w:hAnsi="宋体"/>
              </w:rPr>
              <w:t>50～100亿元</w:t>
            </w:r>
          </w:p>
        </w:tc>
        <w:tc>
          <w:tcPr>
            <w:tcW w:w="2974" w:type="dxa"/>
            <w:vAlign w:val="center"/>
          </w:tcPr>
          <w:p>
            <w:pPr>
              <w:adjustRightInd/>
              <w:jc w:val="center"/>
              <w:rPr>
                <w:rFonts w:ascii="宋体" w:hAnsi="宋体"/>
              </w:rPr>
            </w:pPr>
            <w:r>
              <w:rPr>
                <w:rFonts w:hint="eastAsia" w:ascii="宋体" w:hAnsi="宋体"/>
              </w:rPr>
              <w:t>0.006%</w:t>
            </w:r>
          </w:p>
        </w:tc>
        <w:tc>
          <w:tcPr>
            <w:tcW w:w="3081" w:type="dxa"/>
            <w:vAlign w:val="center"/>
          </w:tcPr>
          <w:p>
            <w:pPr>
              <w:spacing w:line="360" w:lineRule="auto"/>
              <w:ind w:firstLine="210" w:firstLineChars="100"/>
              <w:jc w:val="center"/>
              <w:rPr>
                <w:rFonts w:ascii="宋体" w:hAnsi="宋体"/>
              </w:rPr>
            </w:pPr>
            <w:r>
              <w:rPr>
                <w:rFonts w:hint="eastAsia" w:ascii="宋体" w:hAnsi="宋体"/>
              </w:rPr>
              <w:t>0.006%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vAlign w:val="center"/>
          </w:tcPr>
          <w:p>
            <w:pPr>
              <w:spacing w:line="360" w:lineRule="auto"/>
              <w:jc w:val="center"/>
              <w:rPr>
                <w:rFonts w:ascii="宋体" w:hAnsi="宋体"/>
              </w:rPr>
            </w:pPr>
            <w:r>
              <w:rPr>
                <w:rFonts w:hint="eastAsia" w:ascii="宋体" w:hAnsi="宋体"/>
              </w:rPr>
              <w:t>100亿以上</w:t>
            </w:r>
          </w:p>
        </w:tc>
        <w:tc>
          <w:tcPr>
            <w:tcW w:w="2974" w:type="dxa"/>
            <w:vAlign w:val="center"/>
          </w:tcPr>
          <w:p>
            <w:pPr>
              <w:adjustRightInd/>
              <w:jc w:val="center"/>
              <w:rPr>
                <w:rFonts w:ascii="宋体" w:hAnsi="宋体"/>
              </w:rPr>
            </w:pPr>
            <w:r>
              <w:rPr>
                <w:rFonts w:hint="eastAsia" w:ascii="宋体" w:hAnsi="宋体"/>
              </w:rPr>
              <w:t>0.004%</w:t>
            </w:r>
          </w:p>
        </w:tc>
        <w:tc>
          <w:tcPr>
            <w:tcW w:w="3081" w:type="dxa"/>
            <w:vAlign w:val="center"/>
          </w:tcPr>
          <w:p>
            <w:pPr>
              <w:spacing w:line="360" w:lineRule="auto"/>
              <w:ind w:firstLine="210" w:firstLineChars="100"/>
              <w:jc w:val="center"/>
              <w:rPr>
                <w:rFonts w:ascii="宋体" w:hAnsi="宋体"/>
              </w:rPr>
            </w:pPr>
            <w:r>
              <w:rPr>
                <w:rFonts w:hint="eastAsia" w:ascii="宋体" w:hAnsi="宋体"/>
              </w:rPr>
              <w:t>0.004%</w:t>
            </w:r>
          </w:p>
        </w:tc>
      </w:tr>
    </w:tbl>
    <w:p>
      <w:pPr>
        <w:autoSpaceDE/>
        <w:snapToGrid w:val="0"/>
        <w:spacing w:line="360" w:lineRule="auto"/>
        <w:jc w:val="both"/>
        <w:rPr>
          <w:rFonts w:ascii="宋体" w:hAnsi="宋体" w:cs="宋体"/>
        </w:rPr>
      </w:pPr>
      <w:r>
        <w:rPr>
          <w:rFonts w:hint="eastAsia" w:ascii="宋体" w:hAnsi="宋体" w:cs="宋体"/>
        </w:rPr>
        <w:t>例如：某货物招标成交金额为850万元，计算招标代理服务收费额如下：</w:t>
      </w:r>
    </w:p>
    <w:p>
      <w:pPr>
        <w:autoSpaceDE/>
        <w:snapToGrid w:val="0"/>
        <w:spacing w:line="360" w:lineRule="auto"/>
        <w:ind w:left="332" w:leftChars="158" w:firstLine="1012" w:firstLineChars="482"/>
        <w:rPr>
          <w:rFonts w:ascii="宋体" w:hAnsi="宋体" w:cs="宋体"/>
        </w:rPr>
      </w:pPr>
      <w:r>
        <w:rPr>
          <w:rFonts w:hint="eastAsia" w:ascii="宋体" w:hAnsi="宋体" w:cs="宋体"/>
        </w:rPr>
        <w:t>100万元×1.5%=1.5万元</w:t>
      </w:r>
    </w:p>
    <w:p>
      <w:pPr>
        <w:autoSpaceDE/>
        <w:snapToGrid w:val="0"/>
        <w:spacing w:line="360" w:lineRule="auto"/>
        <w:ind w:left="332" w:leftChars="158" w:firstLine="1012" w:firstLineChars="482"/>
        <w:rPr>
          <w:rFonts w:ascii="宋体" w:hAnsi="宋体" w:cs="宋体"/>
        </w:rPr>
      </w:pPr>
      <w:r>
        <w:rPr>
          <w:rFonts w:hint="eastAsia" w:ascii="宋体" w:hAnsi="宋体" w:cs="宋体"/>
        </w:rPr>
        <w:t>（500-100）万元×1.1%=4.4万元</w:t>
      </w:r>
    </w:p>
    <w:p>
      <w:pPr>
        <w:autoSpaceDE/>
        <w:snapToGrid w:val="0"/>
        <w:spacing w:line="360" w:lineRule="auto"/>
        <w:ind w:left="332" w:leftChars="158" w:firstLine="1012" w:firstLineChars="482"/>
        <w:rPr>
          <w:rFonts w:ascii="宋体" w:hAnsi="宋体" w:cs="宋体"/>
        </w:rPr>
      </w:pPr>
      <w:r>
        <w:rPr>
          <w:rFonts w:hint="eastAsia" w:ascii="宋体" w:hAnsi="宋体" w:cs="宋体"/>
        </w:rPr>
        <w:t>（850-500）万元×0.8%=2.8万元</w:t>
      </w:r>
    </w:p>
    <w:p>
      <w:pPr>
        <w:autoSpaceDE/>
        <w:snapToGrid w:val="0"/>
        <w:spacing w:line="360" w:lineRule="auto"/>
        <w:ind w:left="332" w:leftChars="158" w:firstLine="1012" w:firstLineChars="482"/>
        <w:rPr>
          <w:rFonts w:hAnsi="宋体" w:cs="宋体"/>
          <w:sz w:val="24"/>
          <w:szCs w:val="24"/>
        </w:rPr>
      </w:pPr>
      <w:r>
        <w:rPr>
          <w:rFonts w:hint="eastAsia" w:ascii="宋体" w:hAnsi="宋体" w:cs="宋体"/>
        </w:rPr>
        <w:t>合计收费=1.5+4.4+2.8=8.7（万元）</w:t>
      </w:r>
    </w:p>
    <w:p>
      <w:pPr>
        <w:autoSpaceDE/>
        <w:autoSpaceDN/>
        <w:adjustRightInd/>
        <w:snapToGrid w:val="0"/>
        <w:spacing w:line="360" w:lineRule="auto"/>
        <w:jc w:val="both"/>
        <w:rPr>
          <w:rFonts w:ascii="宋体" w:hAnsi="宋体" w:cs="宋体"/>
        </w:rPr>
      </w:pPr>
    </w:p>
    <w:p>
      <w:pPr>
        <w:autoSpaceDE/>
        <w:autoSpaceDN/>
        <w:adjustRightInd/>
        <w:snapToGrid w:val="0"/>
        <w:spacing w:line="360" w:lineRule="auto"/>
        <w:jc w:val="both"/>
        <w:rPr>
          <w:rFonts w:ascii="宋体" w:hAnsi="宋体" w:cs="宋体"/>
        </w:rPr>
      </w:pPr>
      <w:r>
        <w:rPr>
          <w:rFonts w:hint="eastAsia" w:ascii="宋体" w:hAnsi="宋体" w:cs="宋体"/>
        </w:rPr>
        <w:t>例如：某服务招标成交金额为850万元，计算招标代理服务收费额如下：</w:t>
      </w:r>
    </w:p>
    <w:p>
      <w:pPr>
        <w:autoSpaceDE/>
        <w:autoSpaceDN/>
        <w:adjustRightInd/>
        <w:snapToGrid w:val="0"/>
        <w:spacing w:line="360" w:lineRule="auto"/>
        <w:ind w:left="330" w:leftChars="157" w:firstLine="987" w:firstLineChars="470"/>
        <w:rPr>
          <w:rFonts w:ascii="宋体" w:hAnsi="宋体" w:cs="宋体"/>
        </w:rPr>
      </w:pPr>
      <w:r>
        <w:rPr>
          <w:rFonts w:hint="eastAsia" w:ascii="宋体" w:hAnsi="宋体" w:cs="宋体"/>
        </w:rPr>
        <w:t>100万元×1.5%=1.5万元</w:t>
      </w:r>
    </w:p>
    <w:p>
      <w:pPr>
        <w:autoSpaceDE/>
        <w:autoSpaceDN/>
        <w:adjustRightInd/>
        <w:snapToGrid w:val="0"/>
        <w:spacing w:line="360" w:lineRule="auto"/>
        <w:ind w:left="330" w:leftChars="157" w:firstLine="987" w:firstLineChars="470"/>
        <w:rPr>
          <w:rFonts w:ascii="宋体" w:hAnsi="宋体" w:cs="宋体"/>
        </w:rPr>
      </w:pPr>
      <w:r>
        <w:rPr>
          <w:rFonts w:hint="eastAsia" w:ascii="宋体" w:hAnsi="宋体" w:cs="宋体"/>
        </w:rPr>
        <w:t>（500-100）万元×0.8%=3.2万元</w:t>
      </w:r>
    </w:p>
    <w:p>
      <w:pPr>
        <w:autoSpaceDE/>
        <w:autoSpaceDN/>
        <w:adjustRightInd/>
        <w:snapToGrid w:val="0"/>
        <w:spacing w:line="360" w:lineRule="auto"/>
        <w:ind w:left="330" w:leftChars="157" w:firstLine="987" w:firstLineChars="470"/>
        <w:rPr>
          <w:rFonts w:ascii="宋体" w:hAnsi="宋体" w:cs="宋体"/>
        </w:rPr>
      </w:pPr>
      <w:r>
        <w:rPr>
          <w:rFonts w:hint="eastAsia" w:ascii="宋体" w:hAnsi="宋体" w:cs="宋体"/>
        </w:rPr>
        <w:t>（850-500）万元×0.45%=1.575万元</w:t>
      </w:r>
    </w:p>
    <w:p>
      <w:pPr>
        <w:autoSpaceDE/>
        <w:autoSpaceDN/>
        <w:adjustRightInd/>
        <w:snapToGrid w:val="0"/>
        <w:spacing w:line="360" w:lineRule="auto"/>
        <w:ind w:left="330" w:leftChars="157" w:firstLine="987" w:firstLineChars="470"/>
        <w:rPr>
          <w:rFonts w:ascii="宋体" w:hAnsi="宋体" w:cs="宋体"/>
        </w:rPr>
      </w:pPr>
      <w:r>
        <w:rPr>
          <w:rFonts w:hint="eastAsia" w:ascii="宋体" w:hAnsi="宋体" w:cs="宋体"/>
        </w:rPr>
        <w:t>合计收费=1.5+3.2+1.575=6.275（万元）</w:t>
      </w:r>
    </w:p>
    <w:p>
      <w:pPr>
        <w:numPr>
          <w:ilvl w:val="1"/>
          <w:numId w:val="37"/>
        </w:numPr>
        <w:tabs>
          <w:tab w:val="left" w:pos="709"/>
          <w:tab w:val="clear" w:pos="360"/>
        </w:tabs>
        <w:snapToGrid w:val="0"/>
        <w:spacing w:line="360" w:lineRule="auto"/>
        <w:ind w:left="709" w:hanging="709"/>
        <w:rPr>
          <w:rFonts w:ascii="宋体" w:hAnsi="宋体" w:cs="宋体"/>
        </w:rPr>
      </w:pPr>
      <w:r>
        <w:rPr>
          <w:rFonts w:hint="eastAsia" w:ascii="宋体" w:hAnsi="宋体" w:cs="宋体"/>
        </w:rPr>
        <w:t>经依法取消成交资格的，招标代理服务费不予退还。</w:t>
      </w:r>
    </w:p>
    <w:p>
      <w:pPr>
        <w:pStyle w:val="35"/>
        <w:snapToGrid w:val="0"/>
        <w:spacing w:before="0" w:beforeAutospacing="0" w:after="0" w:afterAutospacing="0" w:line="360" w:lineRule="auto"/>
        <w:jc w:val="both"/>
        <w:rPr>
          <w:sz w:val="21"/>
          <w:szCs w:val="21"/>
        </w:rPr>
      </w:pPr>
      <w:r>
        <w:rPr>
          <w:rFonts w:cs="宋体"/>
          <w:sz w:val="21"/>
          <w:szCs w:val="21"/>
        </w:rPr>
        <w:br w:type="page"/>
      </w:r>
      <w:r>
        <w:rPr>
          <w:rFonts w:hint="eastAsia"/>
          <w:sz w:val="21"/>
          <w:szCs w:val="21"/>
        </w:rPr>
        <w:t>1：询问函格式</w:t>
      </w:r>
    </w:p>
    <w:p>
      <w:pPr>
        <w:pStyle w:val="35"/>
        <w:spacing w:before="0" w:beforeAutospacing="0" w:after="0" w:afterAutospacing="0" w:line="360" w:lineRule="auto"/>
        <w:jc w:val="center"/>
        <w:rPr>
          <w:rStyle w:val="41"/>
          <w:sz w:val="21"/>
          <w:szCs w:val="21"/>
        </w:rPr>
      </w:pPr>
      <w:r>
        <w:rPr>
          <w:rStyle w:val="41"/>
          <w:rFonts w:hint="eastAsia"/>
          <w:sz w:val="21"/>
          <w:szCs w:val="21"/>
        </w:rPr>
        <w:t>询问函</w:t>
      </w:r>
    </w:p>
    <w:p>
      <w:pPr>
        <w:widowControl/>
        <w:tabs>
          <w:tab w:val="left" w:pos="6300"/>
        </w:tabs>
        <w:snapToGrid w:val="0"/>
        <w:spacing w:line="360" w:lineRule="auto"/>
        <w:rPr>
          <w:rFonts w:ascii="宋体" w:hAnsi="宋体"/>
        </w:rPr>
      </w:pPr>
      <w:r>
        <w:rPr>
          <w:rFonts w:hint="eastAsia" w:ascii="宋体" w:hAnsi="宋体"/>
          <w:b/>
        </w:rPr>
        <w:t>（采购人单位名称）</w:t>
      </w:r>
      <w:r>
        <w:rPr>
          <w:rFonts w:hint="eastAsia" w:ascii="宋体" w:hAnsi="宋体"/>
        </w:rPr>
        <w:t>：</w:t>
      </w:r>
    </w:p>
    <w:p>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rPr>
        <w:t>2023年度博罗县文化广电旅游体育局博罗县业余体校业训校车接送购买服务项目</w:t>
      </w:r>
      <w:r>
        <w:rPr>
          <w:rFonts w:hint="eastAsia" w:ascii="宋体" w:hAnsi="宋体"/>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pPr>
        <w:widowControl/>
        <w:tabs>
          <w:tab w:val="left" w:pos="6300"/>
        </w:tabs>
        <w:snapToGrid w:val="0"/>
        <w:spacing w:line="360" w:lineRule="auto"/>
        <w:ind w:firstLine="420" w:firstLineChars="200"/>
        <w:rPr>
          <w:rFonts w:ascii="宋体" w:hAnsi="宋体"/>
        </w:rPr>
      </w:pPr>
      <w:r>
        <w:rPr>
          <w:rFonts w:hint="eastAsia" w:ascii="宋体" w:hAnsi="宋体"/>
        </w:rPr>
        <w:t>……</w:t>
      </w:r>
    </w:p>
    <w:p>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pPr>
        <w:tabs>
          <w:tab w:val="left" w:pos="6300"/>
        </w:tabs>
        <w:snapToGrid w:val="0"/>
        <w:spacing w:line="360" w:lineRule="auto"/>
        <w:ind w:firstLine="1260" w:firstLineChars="600"/>
        <w:rPr>
          <w:rFonts w:ascii="宋体" w:hAnsi="宋体"/>
        </w:rPr>
      </w:pPr>
      <w:r>
        <w:rPr>
          <w:rFonts w:hint="eastAsia" w:ascii="宋体" w:hAnsi="宋体"/>
        </w:rPr>
        <w:t>地址/邮编：</w:t>
      </w:r>
    </w:p>
    <w:p>
      <w:pPr>
        <w:tabs>
          <w:tab w:val="left" w:pos="6300"/>
        </w:tabs>
        <w:snapToGrid w:val="0"/>
        <w:spacing w:line="360" w:lineRule="auto"/>
        <w:ind w:firstLine="1260" w:firstLineChars="600"/>
        <w:rPr>
          <w:rFonts w:ascii="宋体" w:hAnsi="宋体"/>
        </w:rPr>
      </w:pPr>
      <w:r>
        <w:rPr>
          <w:rFonts w:hint="eastAsia" w:ascii="宋体" w:hAnsi="宋体"/>
        </w:rPr>
        <w:t>电话/传真：</w:t>
      </w:r>
    </w:p>
    <w:p>
      <w:pPr>
        <w:spacing w:line="360" w:lineRule="auto"/>
        <w:jc w:val="right"/>
        <w:rPr>
          <w:rFonts w:ascii="宋体" w:hAnsi="宋体"/>
        </w:rPr>
      </w:pPr>
      <w:r>
        <w:rPr>
          <w:rFonts w:hint="eastAsia" w:ascii="宋体" w:hAnsi="宋体"/>
        </w:rPr>
        <w:t>年月日</w:t>
      </w:r>
    </w:p>
    <w:p>
      <w:pPr>
        <w:snapToGrid w:val="0"/>
        <w:spacing w:line="360" w:lineRule="auto"/>
        <w:ind w:firstLine="378" w:firstLineChars="180"/>
        <w:rPr>
          <w:rFonts w:ascii="宋体" w:hAnsi="宋体"/>
        </w:rPr>
      </w:pPr>
    </w:p>
    <w:p>
      <w:pPr>
        <w:pStyle w:val="35"/>
        <w:adjustRightInd w:val="0"/>
        <w:snapToGrid w:val="0"/>
        <w:spacing w:before="0" w:beforeAutospacing="0" w:after="0" w:afterAutospacing="0" w:line="360" w:lineRule="auto"/>
        <w:jc w:val="both"/>
        <w:rPr>
          <w:sz w:val="21"/>
          <w:szCs w:val="21"/>
        </w:rPr>
      </w:pPr>
      <w:r>
        <w:rPr>
          <w:sz w:val="21"/>
          <w:szCs w:val="21"/>
        </w:rPr>
        <w:br w:type="page"/>
      </w:r>
      <w:r>
        <w:rPr>
          <w:rFonts w:hint="eastAsia"/>
          <w:sz w:val="21"/>
          <w:szCs w:val="21"/>
        </w:rPr>
        <w:t>2：质疑函格式</w:t>
      </w:r>
    </w:p>
    <w:p>
      <w:pPr>
        <w:jc w:val="center"/>
        <w:rPr>
          <w:rFonts w:ascii="宋体" w:hAnsi="宋体" w:cs="仿宋"/>
          <w:b/>
          <w:bCs/>
        </w:rPr>
      </w:pPr>
      <w:r>
        <w:rPr>
          <w:rFonts w:hint="eastAsia" w:ascii="宋体" w:hAnsi="宋体" w:cs="仿宋"/>
          <w:b/>
          <w:bCs/>
        </w:rPr>
        <w:t>质疑函范本</w:t>
      </w:r>
    </w:p>
    <w:p>
      <w:pPr>
        <w:snapToGrid w:val="0"/>
        <w:spacing w:beforeLines="100" w:line="360" w:lineRule="auto"/>
        <w:rPr>
          <w:rFonts w:ascii="宋体" w:hAnsi="宋体" w:cs="仿宋"/>
          <w:bCs/>
        </w:rPr>
      </w:pPr>
      <w:r>
        <w:rPr>
          <w:rFonts w:hint="eastAsia" w:ascii="宋体" w:hAnsi="宋体" w:cs="仿宋"/>
          <w:bCs/>
        </w:rPr>
        <w:t>一、质疑供应商基本信息</w:t>
      </w:r>
    </w:p>
    <w:p>
      <w:pPr>
        <w:snapToGrid w:val="0"/>
        <w:spacing w:line="360" w:lineRule="auto"/>
        <w:rPr>
          <w:rFonts w:ascii="宋体" w:hAnsi="宋体" w:cs="仿宋"/>
          <w:u w:val="dotted"/>
        </w:rPr>
      </w:pPr>
      <w:r>
        <w:rPr>
          <w:rFonts w:hint="eastAsia" w:ascii="宋体" w:hAnsi="宋体" w:cs="仿宋"/>
        </w:rPr>
        <w:t>质疑供应商：</w:t>
      </w:r>
    </w:p>
    <w:p>
      <w:pPr>
        <w:snapToGrid w:val="0"/>
        <w:spacing w:line="360" w:lineRule="auto"/>
        <w:rPr>
          <w:rFonts w:ascii="宋体" w:hAnsi="宋体" w:cs="仿宋"/>
        </w:rPr>
      </w:pPr>
      <w:r>
        <w:rPr>
          <w:rFonts w:hint="eastAsia" w:ascii="宋体" w:hAnsi="宋体" w:cs="仿宋"/>
        </w:rPr>
        <w:t>地址：邮编：</w:t>
      </w:r>
    </w:p>
    <w:p>
      <w:pPr>
        <w:snapToGrid w:val="0"/>
        <w:spacing w:line="360" w:lineRule="auto"/>
        <w:rPr>
          <w:rFonts w:ascii="宋体" w:hAnsi="宋体" w:cs="仿宋"/>
        </w:rPr>
      </w:pPr>
      <w:r>
        <w:rPr>
          <w:rFonts w:hint="eastAsia" w:ascii="宋体" w:hAnsi="宋体" w:cs="仿宋"/>
        </w:rPr>
        <w:t>联系人：联系电话：</w:t>
      </w:r>
    </w:p>
    <w:p>
      <w:pPr>
        <w:snapToGrid w:val="0"/>
        <w:spacing w:line="360" w:lineRule="auto"/>
        <w:rPr>
          <w:rFonts w:ascii="宋体" w:hAnsi="宋体" w:cs="仿宋"/>
          <w:u w:val="dotted"/>
        </w:rPr>
      </w:pPr>
      <w:r>
        <w:rPr>
          <w:rFonts w:hint="eastAsia" w:ascii="宋体" w:hAnsi="宋体" w:cs="仿宋"/>
        </w:rPr>
        <w:t>授权代表：</w:t>
      </w:r>
    </w:p>
    <w:p>
      <w:pPr>
        <w:snapToGrid w:val="0"/>
        <w:spacing w:line="360" w:lineRule="auto"/>
        <w:rPr>
          <w:rFonts w:ascii="宋体" w:hAnsi="宋体" w:cs="仿宋"/>
        </w:rPr>
      </w:pPr>
      <w:r>
        <w:rPr>
          <w:rFonts w:hint="eastAsia" w:ascii="宋体" w:hAnsi="宋体" w:cs="仿宋"/>
        </w:rPr>
        <w:t>联系电话：</w:t>
      </w:r>
    </w:p>
    <w:p>
      <w:pPr>
        <w:snapToGrid w:val="0"/>
        <w:spacing w:line="360" w:lineRule="auto"/>
        <w:rPr>
          <w:rFonts w:ascii="宋体" w:hAnsi="宋体" w:cs="仿宋"/>
        </w:rPr>
      </w:pPr>
      <w:r>
        <w:rPr>
          <w:rFonts w:hint="eastAsia" w:ascii="宋体" w:hAnsi="宋体" w:cs="仿宋"/>
        </w:rPr>
        <w:t>地址：邮编：</w:t>
      </w:r>
    </w:p>
    <w:p>
      <w:pPr>
        <w:snapToGrid w:val="0"/>
        <w:spacing w:line="360" w:lineRule="auto"/>
        <w:rPr>
          <w:rFonts w:ascii="宋体" w:hAnsi="宋体" w:cs="仿宋"/>
          <w:bCs/>
        </w:rPr>
      </w:pPr>
      <w:r>
        <w:rPr>
          <w:rFonts w:hint="eastAsia" w:ascii="宋体" w:hAnsi="宋体" w:cs="仿宋"/>
          <w:bCs/>
        </w:rPr>
        <w:t>二、质疑项目基本情况</w:t>
      </w:r>
    </w:p>
    <w:p>
      <w:pPr>
        <w:snapToGrid w:val="0"/>
        <w:spacing w:line="360" w:lineRule="auto"/>
        <w:rPr>
          <w:rFonts w:ascii="宋体" w:hAnsi="宋体" w:cs="仿宋"/>
        </w:rPr>
      </w:pPr>
      <w:r>
        <w:rPr>
          <w:rFonts w:hint="eastAsia" w:ascii="宋体" w:hAnsi="宋体" w:cs="仿宋"/>
        </w:rPr>
        <w:t>质疑项目的名称：</w:t>
      </w:r>
    </w:p>
    <w:p>
      <w:pPr>
        <w:snapToGrid w:val="0"/>
        <w:spacing w:line="360" w:lineRule="auto"/>
        <w:rPr>
          <w:rFonts w:ascii="宋体" w:hAnsi="宋体" w:cs="仿宋"/>
        </w:rPr>
      </w:pPr>
      <w:r>
        <w:rPr>
          <w:rFonts w:hint="eastAsia" w:ascii="宋体" w:hAnsi="宋体" w:cs="仿宋"/>
        </w:rPr>
        <w:t>质疑项目的编号：包号：</w:t>
      </w:r>
    </w:p>
    <w:p>
      <w:pPr>
        <w:snapToGrid w:val="0"/>
        <w:spacing w:line="360" w:lineRule="auto"/>
        <w:rPr>
          <w:rFonts w:ascii="宋体" w:hAnsi="宋体" w:cs="仿宋"/>
          <w:u w:val="single"/>
        </w:rPr>
      </w:pPr>
      <w:r>
        <w:rPr>
          <w:rFonts w:hint="eastAsia" w:ascii="宋体" w:hAnsi="宋体" w:cs="仿宋"/>
        </w:rPr>
        <w:t>采购人名称：</w:t>
      </w:r>
    </w:p>
    <w:p>
      <w:pPr>
        <w:snapToGrid w:val="0"/>
        <w:spacing w:line="360" w:lineRule="auto"/>
        <w:rPr>
          <w:rFonts w:ascii="宋体" w:hAnsi="宋体" w:cs="仿宋"/>
          <w:u w:val="single"/>
        </w:rPr>
      </w:pPr>
      <w:r>
        <w:rPr>
          <w:rFonts w:hint="eastAsia" w:ascii="宋体" w:hAnsi="宋体" w:cs="仿宋"/>
        </w:rPr>
        <w:t>采购文件获取日期：</w:t>
      </w:r>
    </w:p>
    <w:p>
      <w:pPr>
        <w:snapToGrid w:val="0"/>
        <w:spacing w:line="360" w:lineRule="auto"/>
        <w:rPr>
          <w:rFonts w:ascii="宋体" w:hAnsi="宋体" w:cs="仿宋"/>
          <w:bCs/>
        </w:rPr>
      </w:pPr>
      <w:r>
        <w:rPr>
          <w:rFonts w:hint="eastAsia" w:ascii="宋体" w:hAnsi="宋体" w:cs="仿宋"/>
          <w:bCs/>
        </w:rPr>
        <w:t>三、质疑事项具体内容</w:t>
      </w:r>
    </w:p>
    <w:p>
      <w:pPr>
        <w:snapToGrid w:val="0"/>
        <w:spacing w:line="360" w:lineRule="auto"/>
        <w:rPr>
          <w:rFonts w:ascii="宋体" w:hAnsi="宋体" w:cs="仿宋"/>
          <w:u w:val="single"/>
        </w:rPr>
      </w:pPr>
      <w:r>
        <w:rPr>
          <w:rFonts w:hint="eastAsia" w:ascii="宋体" w:hAnsi="宋体" w:cs="仿宋"/>
        </w:rPr>
        <w:t>质疑事项1：</w:t>
      </w:r>
    </w:p>
    <w:p>
      <w:pPr>
        <w:snapToGrid w:val="0"/>
        <w:spacing w:line="360" w:lineRule="auto"/>
        <w:rPr>
          <w:rFonts w:ascii="宋体" w:hAnsi="宋体" w:cs="仿宋"/>
          <w:u w:val="single"/>
        </w:rPr>
      </w:pPr>
      <w:r>
        <w:rPr>
          <w:rFonts w:hint="eastAsia" w:ascii="宋体" w:hAnsi="宋体" w:cs="仿宋"/>
        </w:rPr>
        <w:t>事实依据：</w:t>
      </w:r>
    </w:p>
    <w:p>
      <w:pPr>
        <w:snapToGrid w:val="0"/>
        <w:spacing w:line="360" w:lineRule="auto"/>
        <w:rPr>
          <w:rFonts w:ascii="宋体" w:hAnsi="宋体" w:cs="仿宋"/>
          <w:u w:val="single"/>
        </w:rPr>
      </w:pPr>
    </w:p>
    <w:p>
      <w:pPr>
        <w:snapToGrid w:val="0"/>
        <w:spacing w:line="360" w:lineRule="auto"/>
        <w:rPr>
          <w:rFonts w:ascii="宋体" w:hAnsi="宋体" w:cs="仿宋"/>
          <w:u w:val="single"/>
        </w:rPr>
      </w:pPr>
      <w:r>
        <w:rPr>
          <w:rFonts w:hint="eastAsia" w:ascii="宋体" w:hAnsi="宋体" w:cs="仿宋"/>
        </w:rPr>
        <w:t>法律依据：</w:t>
      </w:r>
    </w:p>
    <w:p>
      <w:pPr>
        <w:snapToGrid w:val="0"/>
        <w:spacing w:line="360" w:lineRule="auto"/>
        <w:rPr>
          <w:rFonts w:ascii="宋体" w:hAnsi="宋体" w:cs="仿宋"/>
          <w:u w:val="single"/>
        </w:rPr>
      </w:pPr>
    </w:p>
    <w:p>
      <w:pPr>
        <w:snapToGrid w:val="0"/>
        <w:spacing w:line="360" w:lineRule="auto"/>
        <w:rPr>
          <w:rFonts w:ascii="宋体" w:hAnsi="宋体" w:cs="仿宋"/>
          <w:u w:val="dotted"/>
        </w:rPr>
      </w:pPr>
      <w:r>
        <w:rPr>
          <w:rFonts w:hint="eastAsia" w:ascii="宋体" w:hAnsi="宋体" w:cs="仿宋"/>
        </w:rPr>
        <w:t>质疑事项2</w:t>
      </w:r>
    </w:p>
    <w:p>
      <w:pPr>
        <w:snapToGrid w:val="0"/>
        <w:spacing w:line="360" w:lineRule="auto"/>
        <w:rPr>
          <w:rFonts w:ascii="宋体" w:hAnsi="宋体" w:cs="仿宋"/>
        </w:rPr>
      </w:pPr>
      <w:r>
        <w:rPr>
          <w:rFonts w:hint="eastAsia" w:ascii="宋体" w:hAnsi="宋体" w:cs="仿宋"/>
        </w:rPr>
        <w:t>……</w:t>
      </w:r>
    </w:p>
    <w:p>
      <w:pPr>
        <w:snapToGrid w:val="0"/>
        <w:spacing w:line="360" w:lineRule="auto"/>
        <w:rPr>
          <w:rFonts w:ascii="宋体" w:hAnsi="宋体" w:cs="仿宋"/>
          <w:bCs/>
        </w:rPr>
      </w:pPr>
      <w:r>
        <w:rPr>
          <w:rFonts w:hint="eastAsia" w:ascii="宋体" w:hAnsi="宋体" w:cs="仿宋"/>
          <w:bCs/>
        </w:rPr>
        <w:t>四、与质疑事项相关的质疑请求</w:t>
      </w:r>
    </w:p>
    <w:p>
      <w:pPr>
        <w:snapToGrid w:val="0"/>
        <w:spacing w:line="360" w:lineRule="auto"/>
        <w:rPr>
          <w:rFonts w:ascii="宋体" w:hAnsi="宋体" w:cs="仿宋"/>
          <w:u w:val="dotted"/>
        </w:rPr>
      </w:pPr>
      <w:r>
        <w:rPr>
          <w:rFonts w:hint="eastAsia" w:ascii="宋体" w:hAnsi="宋体" w:cs="仿宋"/>
        </w:rPr>
        <w:t>请求：</w:t>
      </w:r>
    </w:p>
    <w:p>
      <w:pPr>
        <w:spacing w:line="360" w:lineRule="auto"/>
        <w:rPr>
          <w:rFonts w:ascii="宋体" w:hAnsi="宋体"/>
        </w:rPr>
      </w:pPr>
      <w:r>
        <w:rPr>
          <w:rFonts w:hint="eastAsia" w:ascii="宋体" w:hAnsi="宋体"/>
        </w:rPr>
        <w:t xml:space="preserve">签字(签章)：                   公章：                      </w:t>
      </w:r>
    </w:p>
    <w:p>
      <w:pPr>
        <w:spacing w:line="360" w:lineRule="auto"/>
        <w:rPr>
          <w:rFonts w:ascii="宋体" w:hAnsi="宋体"/>
        </w:rPr>
      </w:pPr>
      <w:r>
        <w:rPr>
          <w:rFonts w:hint="eastAsia" w:ascii="宋体" w:hAnsi="宋体"/>
        </w:rPr>
        <w:t xml:space="preserve">日期：    </w:t>
      </w:r>
    </w:p>
    <w:p>
      <w:pPr>
        <w:snapToGrid w:val="0"/>
        <w:spacing w:line="360" w:lineRule="auto"/>
        <w:rPr>
          <w:rFonts w:ascii="宋体" w:hAnsi="宋体" w:cs="仿宋"/>
        </w:rPr>
      </w:pPr>
      <w:r>
        <w:rPr>
          <w:rFonts w:hint="eastAsia" w:ascii="宋体" w:hAnsi="宋体" w:cs="仿宋"/>
        </w:rPr>
        <w:t>附件：</w:t>
      </w:r>
    </w:p>
    <w:tbl>
      <w:tblPr>
        <w:tblStyle w:val="38"/>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ascii="宋体" w:hAnsi="宋体" w:cs="仿宋"/>
              </w:rPr>
              <w:t>序号</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ascii="宋体" w:hAnsi="宋体" w:cs="仿宋"/>
              </w:rPr>
              <w:t>证明对象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ascii="宋体" w:hAnsi="宋体" w:cs="仿宋"/>
              </w:rPr>
              <w:t xml:space="preserve">1 </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ascii="宋体" w:hAnsi="宋体" w:cs="仿宋"/>
              </w:rPr>
              <w:t xml:space="preserve">2 </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ascii="宋体" w:hAnsi="宋体" w:cs="仿宋"/>
              </w:rPr>
              <w:t>……</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r>
    </w:tbl>
    <w:p>
      <w:pPr>
        <w:snapToGrid w:val="0"/>
        <w:spacing w:line="360" w:lineRule="auto"/>
        <w:rPr>
          <w:rFonts w:ascii="宋体" w:hAnsi="宋体" w:cs="仿宋"/>
        </w:rPr>
      </w:pPr>
    </w:p>
    <w:p>
      <w:pPr>
        <w:snapToGrid w:val="0"/>
        <w:spacing w:line="360" w:lineRule="auto"/>
        <w:rPr>
          <w:rFonts w:ascii="宋体" w:hAnsi="宋体" w:cs="仿宋"/>
        </w:rPr>
      </w:pPr>
    </w:p>
    <w:p>
      <w:pPr>
        <w:spacing w:line="360" w:lineRule="auto"/>
        <w:rPr>
          <w:rFonts w:ascii="宋体" w:hAnsi="宋体"/>
          <w:b/>
        </w:rPr>
      </w:pPr>
      <w:r>
        <w:rPr>
          <w:rFonts w:hint="eastAsia" w:ascii="宋体" w:hAnsi="宋体"/>
          <w:b/>
        </w:rPr>
        <w:t>质疑函制作说明：</w:t>
      </w:r>
    </w:p>
    <w:p>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pPr>
        <w:widowControl/>
        <w:spacing w:line="360" w:lineRule="auto"/>
        <w:ind w:firstLine="420" w:firstLineChars="200"/>
        <w:rPr>
          <w:rFonts w:ascii="宋体" w:hAnsi="宋体"/>
        </w:rPr>
      </w:pPr>
      <w:r>
        <w:rPr>
          <w:rFonts w:hint="eastAsia" w:ascii="宋体" w:hAnsi="宋体"/>
        </w:rPr>
        <w:t>5.质疑函的质疑请求应与质疑事项相关。</w:t>
      </w:r>
    </w:p>
    <w:p>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pPr>
        <w:pStyle w:val="36"/>
        <w:rPr>
          <w:rFonts w:ascii="宋体" w:hAnsi="宋体"/>
          <w:b w:val="0"/>
          <w:bCs w:val="0"/>
          <w:sz w:val="28"/>
        </w:rPr>
      </w:pPr>
    </w:p>
    <w:sectPr>
      <w:footerReference r:id="rId6" w:type="default"/>
      <w:type w:val="continuous"/>
      <w:pgSz w:w="11907" w:h="16839"/>
      <w:pgMar w:top="1134" w:right="1134" w:bottom="1134" w:left="1134"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375960"/>
    </w:sdtPr>
    <w:sdtContent>
      <w:p>
        <w:pPr>
          <w:pStyle w:val="25"/>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jc w:val="both"/>
      <w:rPr>
        <w:rFonts w:ascii="宋体"/>
        <w:bCs/>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2"/>
    <w:multiLevelType w:val="multilevel"/>
    <w:tmpl w:val="00000012"/>
    <w:lvl w:ilvl="0" w:tentative="0">
      <w:start w:val="1"/>
      <w:numFmt w:val="japaneseCounting"/>
      <w:lvlText w:val="%1、"/>
      <w:lvlJc w:val="left"/>
      <w:pPr>
        <w:ind w:left="502"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3">
    <w:nsid w:val="12CF4FE0"/>
    <w:multiLevelType w:val="multilevel"/>
    <w:tmpl w:val="12CF4FE0"/>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09B1F07"/>
    <w:multiLevelType w:val="multilevel"/>
    <w:tmpl w:val="209B1F07"/>
    <w:lvl w:ilvl="0" w:tentative="0">
      <w:start w:val="7"/>
      <w:numFmt w:val="decimal"/>
      <w:lvlText w:val="%1."/>
      <w:lvlJc w:val="left"/>
      <w:pPr>
        <w:tabs>
          <w:tab w:val="left" w:pos="425"/>
        </w:tabs>
        <w:ind w:left="425" w:hanging="425"/>
      </w:pPr>
      <w:rPr>
        <w:rFonts w:hint="eastAsia" w:ascii="宋体" w:hAnsi="宋体" w:eastAsia="宋体"/>
        <w:b w:val="0"/>
        <w:color w:val="auto"/>
      </w:rPr>
    </w:lvl>
    <w:lvl w:ilvl="1" w:tentative="0">
      <w:start w:val="1"/>
      <w:numFmt w:val="decimal"/>
      <w:lvlText w:val="%2."/>
      <w:lvlJc w:val="left"/>
      <w:pPr>
        <w:tabs>
          <w:tab w:val="left" w:pos="567"/>
        </w:tabs>
        <w:ind w:left="567" w:hanging="567"/>
      </w:pPr>
      <w:rPr>
        <w:rFonts w:hint="eastAsia"/>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25462ED4"/>
    <w:multiLevelType w:val="multilevel"/>
    <w:tmpl w:val="25462ED4"/>
    <w:lvl w:ilvl="0" w:tentative="0">
      <w:start w:val="1"/>
      <w:numFmt w:val="decimal"/>
      <w:lvlText w:val="%1)"/>
      <w:lvlJc w:val="left"/>
      <w:pPr>
        <w:ind w:left="786" w:hanging="360"/>
      </w:pPr>
      <w:rPr>
        <w:rFonts w:hint="default"/>
        <w:color w:val="auto"/>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
    <w:nsid w:val="28E464FA"/>
    <w:multiLevelType w:val="multilevel"/>
    <w:tmpl w:val="28E464FA"/>
    <w:lvl w:ilvl="0" w:tentative="0">
      <w:start w:val="7"/>
      <w:numFmt w:val="decimal"/>
      <w:lvlText w:val="%1."/>
      <w:lvlJc w:val="left"/>
      <w:pPr>
        <w:tabs>
          <w:tab w:val="left" w:pos="420"/>
        </w:tabs>
        <w:ind w:left="420" w:hanging="420"/>
      </w:pPr>
      <w:rPr>
        <w:rFonts w:hint="eastAsia"/>
      </w:rPr>
    </w:lvl>
    <w:lvl w:ilvl="1" w:tentative="0">
      <w:start w:val="0"/>
      <w:numFmt w:val="none"/>
      <w:pStyle w:val="92"/>
      <w:lvlText w:val=""/>
      <w:lvlJc w:val="left"/>
      <w:pPr>
        <w:tabs>
          <w:tab w:val="left" w:pos="360"/>
        </w:tabs>
      </w:pPr>
    </w:lvl>
    <w:lvl w:ilvl="2" w:tentative="0">
      <w:start w:val="0"/>
      <w:numFmt w:val="none"/>
      <w:pStyle w:val="94"/>
      <w:lvlText w:val=""/>
      <w:lvlJc w:val="left"/>
      <w:pPr>
        <w:tabs>
          <w:tab w:val="left" w:pos="360"/>
        </w:tabs>
      </w:pPr>
    </w:lvl>
    <w:lvl w:ilvl="3" w:tentative="0">
      <w:start w:val="0"/>
      <w:numFmt w:val="none"/>
      <w:pStyle w:val="93"/>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10">
    <w:nsid w:val="35525164"/>
    <w:multiLevelType w:val="multilevel"/>
    <w:tmpl w:val="35525164"/>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1">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3A580101"/>
    <w:multiLevelType w:val="multilevel"/>
    <w:tmpl w:val="3A580101"/>
    <w:lvl w:ilvl="0" w:tentative="0">
      <w:start w:val="2"/>
      <w:numFmt w:val="decimal"/>
      <w:lvlText w:val="%1."/>
      <w:lvlJc w:val="left"/>
      <w:pPr>
        <w:ind w:left="425" w:hanging="425"/>
      </w:pPr>
      <w:rPr>
        <w:rFonts w:hint="eastAsia"/>
        <w:color w:val="auto"/>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
    <w:nsid w:val="3D34215B"/>
    <w:multiLevelType w:val="multilevel"/>
    <w:tmpl w:val="3D34215B"/>
    <w:lvl w:ilvl="0" w:tentative="0">
      <w:start w:val="2"/>
      <w:numFmt w:val="chineseCountingThousand"/>
      <w:lvlText w:val="%1、"/>
      <w:lvlJc w:val="left"/>
      <w:pPr>
        <w:tabs>
          <w:tab w:val="left" w:pos="420"/>
        </w:tabs>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18832CF"/>
    <w:multiLevelType w:val="multilevel"/>
    <w:tmpl w:val="418832C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5">
    <w:nsid w:val="437F1085"/>
    <w:multiLevelType w:val="multilevel"/>
    <w:tmpl w:val="437F1085"/>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6">
    <w:nsid w:val="44DA1CD7"/>
    <w:multiLevelType w:val="multilevel"/>
    <w:tmpl w:val="44DA1CD7"/>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7">
    <w:nsid w:val="46A61FC5"/>
    <w:multiLevelType w:val="multilevel"/>
    <w:tmpl w:val="46A61FC5"/>
    <w:lvl w:ilvl="0" w:tentative="0">
      <w:start w:val="1"/>
      <w:numFmt w:val="decimal"/>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7DD2253"/>
    <w:multiLevelType w:val="multilevel"/>
    <w:tmpl w:val="47DD2253"/>
    <w:lvl w:ilvl="0" w:tentative="0">
      <w:start w:val="1"/>
      <w:numFmt w:val="decimal"/>
      <w:lvlText w:val="%1."/>
      <w:lvlJc w:val="left"/>
      <w:pPr>
        <w:ind w:left="425" w:hanging="425"/>
      </w:pPr>
    </w:lvl>
    <w:lvl w:ilvl="1" w:tentative="0">
      <w:start w:val="1"/>
      <w:numFmt w:val="decimal"/>
      <w:lvlText w:val="%1.%2."/>
      <w:lvlJc w:val="left"/>
      <w:pPr>
        <w:ind w:left="567" w:hanging="567"/>
      </w:pPr>
      <w:rPr>
        <w:rFonts w:ascii="宋体" w:hAnsi="宋体" w:eastAsia="宋体"/>
        <w:color w:val="auto"/>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9">
    <w:nsid w:val="48800F0F"/>
    <w:multiLevelType w:val="multilevel"/>
    <w:tmpl w:val="48800F0F"/>
    <w:lvl w:ilvl="0" w:tentative="0">
      <w:start w:val="1"/>
      <w:numFmt w:val="decimal"/>
      <w:pStyle w:val="70"/>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69"/>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49381DA6"/>
    <w:multiLevelType w:val="multilevel"/>
    <w:tmpl w:val="49381DA6"/>
    <w:lvl w:ilvl="0" w:tentative="0">
      <w:start w:val="1"/>
      <w:numFmt w:val="decimal"/>
      <w:lvlText w:val="%1."/>
      <w:lvlJc w:val="left"/>
      <w:pPr>
        <w:tabs>
          <w:tab w:val="left" w:pos="600"/>
        </w:tabs>
        <w:ind w:left="6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CDC6284"/>
    <w:multiLevelType w:val="multilevel"/>
    <w:tmpl w:val="4CDC6284"/>
    <w:lvl w:ilvl="0" w:tentative="0">
      <w:start w:val="1"/>
      <w:numFmt w:val="chineseCountingThousand"/>
      <w:lvlText w:val="%1、"/>
      <w:lvlJc w:val="left"/>
      <w:pPr>
        <w:ind w:left="620" w:hanging="420"/>
      </w:pPr>
      <w:rPr>
        <w:color w:val="auto"/>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22">
    <w:nsid w:val="4D8940A5"/>
    <w:multiLevelType w:val="multilevel"/>
    <w:tmpl w:val="4D8940A5"/>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3">
    <w:nsid w:val="503C550D"/>
    <w:multiLevelType w:val="multilevel"/>
    <w:tmpl w:val="503C550D"/>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4">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5">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6">
    <w:nsid w:val="570B05D5"/>
    <w:multiLevelType w:val="multilevel"/>
    <w:tmpl w:val="570B05D5"/>
    <w:lvl w:ilvl="0" w:tentative="0">
      <w:start w:val="3"/>
      <w:numFmt w:val="chineseCountingThousand"/>
      <w:lvlText w:val="%1、"/>
      <w:lvlJc w:val="left"/>
      <w:pPr>
        <w:tabs>
          <w:tab w:val="left" w:pos="420"/>
        </w:tabs>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57714C59"/>
    <w:multiLevelType w:val="multilevel"/>
    <w:tmpl w:val="57714C5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6785DDE"/>
    <w:multiLevelType w:val="multilevel"/>
    <w:tmpl w:val="66785DDE"/>
    <w:lvl w:ilvl="0" w:tentative="0">
      <w:start w:val="1"/>
      <w:numFmt w:val="decimal"/>
      <w:pStyle w:val="95"/>
      <w:lvlText w:val="%1."/>
      <w:lvlJc w:val="left"/>
      <w:pPr>
        <w:tabs>
          <w:tab w:val="left" w:pos="425"/>
        </w:tabs>
        <w:ind w:left="425" w:hanging="425"/>
      </w:pPr>
    </w:lvl>
    <w:lvl w:ilvl="1" w:tentative="0">
      <w:start w:val="7"/>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30">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7BC6897"/>
    <w:multiLevelType w:val="multilevel"/>
    <w:tmpl w:val="67BC6897"/>
    <w:lvl w:ilvl="0" w:tentative="0">
      <w:start w:val="1"/>
      <w:numFmt w:val="chineseCountingThousand"/>
      <w:lvlText w:val="%1、"/>
      <w:lvlJc w:val="left"/>
      <w:pPr>
        <w:tabs>
          <w:tab w:val="left" w:pos="420"/>
        </w:tabs>
        <w:ind w:left="42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2">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6DAF3289"/>
    <w:multiLevelType w:val="multilevel"/>
    <w:tmpl w:val="6DAF3289"/>
    <w:lvl w:ilvl="0" w:tentative="0">
      <w:start w:val="2"/>
      <w:numFmt w:val="decimal"/>
      <w:lvlText w:val="%1."/>
      <w:lvlJc w:val="left"/>
      <w:pPr>
        <w:ind w:left="425" w:hanging="425"/>
      </w:pPr>
      <w:rPr>
        <w:rFonts w:hint="eastAsia"/>
        <w:color w:val="auto"/>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4">
    <w:nsid w:val="76502C50"/>
    <w:multiLevelType w:val="multilevel"/>
    <w:tmpl w:val="76502C50"/>
    <w:lvl w:ilvl="0" w:tentative="0">
      <w:start w:val="1"/>
      <w:numFmt w:val="decimal"/>
      <w:lvlText w:val="%1."/>
      <w:lvlJc w:val="left"/>
      <w:pPr>
        <w:tabs>
          <w:tab w:val="left" w:pos="3904"/>
        </w:tabs>
        <w:ind w:left="3904" w:hanging="360"/>
      </w:pPr>
      <w:rPr>
        <w:rFonts w:hint="default" w:ascii="宋体" w:hAnsi="宋体" w:eastAsia="宋体" w:cs="Times New Roman"/>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35">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6">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9"/>
  </w:num>
  <w:num w:numId="2">
    <w:abstractNumId w:val="9"/>
  </w:num>
  <w:num w:numId="3">
    <w:abstractNumId w:val="29"/>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4"/>
  </w:num>
  <w:num w:numId="7">
    <w:abstractNumId w:val="5"/>
  </w:num>
  <w:num w:numId="8">
    <w:abstractNumId w:val="18"/>
  </w:num>
  <w:num w:numId="9">
    <w:abstractNumId w:val="27"/>
  </w:num>
  <w:num w:numId="10">
    <w:abstractNumId w:val="8"/>
  </w:num>
  <w:num w:numId="11">
    <w:abstractNumId w:val="11"/>
  </w:num>
  <w:num w:numId="12">
    <w:abstractNumId w:val="21"/>
  </w:num>
  <w:num w:numId="13">
    <w:abstractNumId w:val="7"/>
  </w:num>
  <w:num w:numId="14">
    <w:abstractNumId w:val="32"/>
  </w:num>
  <w:num w:numId="15">
    <w:abstractNumId w:val="17"/>
  </w:num>
  <w:num w:numId="16">
    <w:abstractNumId w:val="14"/>
  </w:num>
  <w:num w:numId="17">
    <w:abstractNumId w:val="24"/>
  </w:num>
  <w:num w:numId="18">
    <w:abstractNumId w:val="20"/>
  </w:num>
  <w:num w:numId="19">
    <w:abstractNumId w:val="13"/>
  </w:num>
  <w:num w:numId="20">
    <w:abstractNumId w:val="26"/>
  </w:num>
  <w:num w:numId="21">
    <w:abstractNumId w:val="23"/>
  </w:num>
  <w:num w:numId="22">
    <w:abstractNumId w:val="33"/>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12"/>
  </w:num>
  <w:num w:numId="26">
    <w:abstractNumId w:val="36"/>
  </w:num>
  <w:num w:numId="27">
    <w:abstractNumId w:val="28"/>
  </w:num>
  <w:num w:numId="28">
    <w:abstractNumId w:val="4"/>
  </w:num>
  <w:num w:numId="29">
    <w:abstractNumId w:val="35"/>
  </w:num>
  <w:num w:numId="30">
    <w:abstractNumId w:val="15"/>
  </w:num>
  <w:num w:numId="31">
    <w:abstractNumId w:val="22"/>
  </w:num>
  <w:num w:numId="32">
    <w:abstractNumId w:val="6"/>
  </w:num>
  <w:num w:numId="33">
    <w:abstractNumId w:val="3"/>
  </w:num>
  <w:num w:numId="34">
    <w:abstractNumId w:val="1"/>
  </w:num>
  <w:num w:numId="35">
    <w:abstractNumId w:val="30"/>
  </w:num>
  <w:num w:numId="36">
    <w:abstractNumId w:val="16"/>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ZmEyMDRmN2YwOWFmOGIzZDIwYWQyM2M5ZjM4MzIifQ=="/>
  </w:docVars>
  <w:rsids>
    <w:rsidRoot w:val="00264311"/>
    <w:rsid w:val="000361D3"/>
    <w:rsid w:val="00056643"/>
    <w:rsid w:val="00071E01"/>
    <w:rsid w:val="000848B7"/>
    <w:rsid w:val="00092503"/>
    <w:rsid w:val="000B73D7"/>
    <w:rsid w:val="000C3391"/>
    <w:rsid w:val="000C60F0"/>
    <w:rsid w:val="000F2727"/>
    <w:rsid w:val="0013752F"/>
    <w:rsid w:val="00141CF6"/>
    <w:rsid w:val="001431B2"/>
    <w:rsid w:val="001561D8"/>
    <w:rsid w:val="0018361E"/>
    <w:rsid w:val="001B70B0"/>
    <w:rsid w:val="001E21B8"/>
    <w:rsid w:val="001F183F"/>
    <w:rsid w:val="00224333"/>
    <w:rsid w:val="00234ACC"/>
    <w:rsid w:val="00242C0A"/>
    <w:rsid w:val="00264311"/>
    <w:rsid w:val="002A2393"/>
    <w:rsid w:val="002B377B"/>
    <w:rsid w:val="002E0F80"/>
    <w:rsid w:val="00300EA8"/>
    <w:rsid w:val="003237CB"/>
    <w:rsid w:val="00334D17"/>
    <w:rsid w:val="0034187B"/>
    <w:rsid w:val="00367131"/>
    <w:rsid w:val="00367BF3"/>
    <w:rsid w:val="00375E2A"/>
    <w:rsid w:val="00384723"/>
    <w:rsid w:val="003A1E12"/>
    <w:rsid w:val="003B135F"/>
    <w:rsid w:val="003C642D"/>
    <w:rsid w:val="003E0F07"/>
    <w:rsid w:val="003E64A2"/>
    <w:rsid w:val="003E7146"/>
    <w:rsid w:val="003F2C76"/>
    <w:rsid w:val="00413318"/>
    <w:rsid w:val="0041783C"/>
    <w:rsid w:val="00445B96"/>
    <w:rsid w:val="00463405"/>
    <w:rsid w:val="00493065"/>
    <w:rsid w:val="004A767C"/>
    <w:rsid w:val="004E33BF"/>
    <w:rsid w:val="004F7655"/>
    <w:rsid w:val="00522B32"/>
    <w:rsid w:val="00526514"/>
    <w:rsid w:val="005376CE"/>
    <w:rsid w:val="00547C79"/>
    <w:rsid w:val="005500CD"/>
    <w:rsid w:val="00587D42"/>
    <w:rsid w:val="005E69B6"/>
    <w:rsid w:val="005E7C09"/>
    <w:rsid w:val="005F05DC"/>
    <w:rsid w:val="006154BC"/>
    <w:rsid w:val="006323CD"/>
    <w:rsid w:val="00655E54"/>
    <w:rsid w:val="00684E23"/>
    <w:rsid w:val="006B792A"/>
    <w:rsid w:val="006C162D"/>
    <w:rsid w:val="006D22F1"/>
    <w:rsid w:val="006F21D2"/>
    <w:rsid w:val="00712FF4"/>
    <w:rsid w:val="0072128B"/>
    <w:rsid w:val="00732196"/>
    <w:rsid w:val="00766A18"/>
    <w:rsid w:val="0079589E"/>
    <w:rsid w:val="00797C12"/>
    <w:rsid w:val="007A6227"/>
    <w:rsid w:val="007B572A"/>
    <w:rsid w:val="007C2274"/>
    <w:rsid w:val="007F3C53"/>
    <w:rsid w:val="008030FC"/>
    <w:rsid w:val="0081657A"/>
    <w:rsid w:val="008356D9"/>
    <w:rsid w:val="0085430B"/>
    <w:rsid w:val="00862601"/>
    <w:rsid w:val="00881402"/>
    <w:rsid w:val="0088272C"/>
    <w:rsid w:val="0088611F"/>
    <w:rsid w:val="008A16E6"/>
    <w:rsid w:val="008A34E0"/>
    <w:rsid w:val="008C6E16"/>
    <w:rsid w:val="00906EBF"/>
    <w:rsid w:val="00914593"/>
    <w:rsid w:val="00916E9F"/>
    <w:rsid w:val="00925BC4"/>
    <w:rsid w:val="00953D54"/>
    <w:rsid w:val="00960E11"/>
    <w:rsid w:val="00965C2D"/>
    <w:rsid w:val="009822C2"/>
    <w:rsid w:val="00986A97"/>
    <w:rsid w:val="009A3EF5"/>
    <w:rsid w:val="009B2D35"/>
    <w:rsid w:val="009B613A"/>
    <w:rsid w:val="009E08CF"/>
    <w:rsid w:val="009F51C0"/>
    <w:rsid w:val="00A0132E"/>
    <w:rsid w:val="00A60EF1"/>
    <w:rsid w:val="00A74DD9"/>
    <w:rsid w:val="00A80565"/>
    <w:rsid w:val="00A850A8"/>
    <w:rsid w:val="00AE4095"/>
    <w:rsid w:val="00B02C78"/>
    <w:rsid w:val="00B04874"/>
    <w:rsid w:val="00B25C70"/>
    <w:rsid w:val="00B336BA"/>
    <w:rsid w:val="00B63408"/>
    <w:rsid w:val="00B6775A"/>
    <w:rsid w:val="00B9310B"/>
    <w:rsid w:val="00B9364B"/>
    <w:rsid w:val="00B95A35"/>
    <w:rsid w:val="00C34FD2"/>
    <w:rsid w:val="00C510A1"/>
    <w:rsid w:val="00C61EEB"/>
    <w:rsid w:val="00C659B7"/>
    <w:rsid w:val="00C70E5C"/>
    <w:rsid w:val="00C72F47"/>
    <w:rsid w:val="00C9049F"/>
    <w:rsid w:val="00C90953"/>
    <w:rsid w:val="00C9729E"/>
    <w:rsid w:val="00CA3FBB"/>
    <w:rsid w:val="00CA4AEE"/>
    <w:rsid w:val="00CA6F93"/>
    <w:rsid w:val="00CC468A"/>
    <w:rsid w:val="00CC4AC4"/>
    <w:rsid w:val="00CD493B"/>
    <w:rsid w:val="00CF3F68"/>
    <w:rsid w:val="00D21EA8"/>
    <w:rsid w:val="00D33E2D"/>
    <w:rsid w:val="00D60937"/>
    <w:rsid w:val="00D9292C"/>
    <w:rsid w:val="00DB1AD6"/>
    <w:rsid w:val="00DE1188"/>
    <w:rsid w:val="00E4246E"/>
    <w:rsid w:val="00E557BB"/>
    <w:rsid w:val="00EB5E96"/>
    <w:rsid w:val="00EC4B8E"/>
    <w:rsid w:val="00EE1FE1"/>
    <w:rsid w:val="00EE373C"/>
    <w:rsid w:val="00EF1B48"/>
    <w:rsid w:val="00EF2F9F"/>
    <w:rsid w:val="00F0360B"/>
    <w:rsid w:val="00F23FB5"/>
    <w:rsid w:val="00F27F48"/>
    <w:rsid w:val="00F477E3"/>
    <w:rsid w:val="00F5173A"/>
    <w:rsid w:val="00FB25FA"/>
    <w:rsid w:val="00FB2690"/>
    <w:rsid w:val="00FB3445"/>
    <w:rsid w:val="00FB4C5B"/>
    <w:rsid w:val="00FC61C8"/>
    <w:rsid w:val="00FE713F"/>
    <w:rsid w:val="079E6400"/>
    <w:rsid w:val="0AB51287"/>
    <w:rsid w:val="13C807A8"/>
    <w:rsid w:val="275705BA"/>
    <w:rsid w:val="3E923605"/>
    <w:rsid w:val="58B3156B"/>
    <w:rsid w:val="622469C3"/>
    <w:rsid w:val="7AC04635"/>
    <w:rsid w:val="7C3C72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2">
    <w:name w:val="heading 1"/>
    <w:basedOn w:val="1"/>
    <w:next w:val="1"/>
    <w:link w:val="49"/>
    <w:qFormat/>
    <w:uiPriority w:val="0"/>
    <w:pPr>
      <w:keepNext/>
      <w:widowControl/>
      <w:autoSpaceDE/>
      <w:autoSpaceDN/>
      <w:adjustRightInd/>
      <w:outlineLvl w:val="0"/>
    </w:pPr>
    <w:rPr>
      <w:b/>
      <w:bCs/>
      <w:sz w:val="24"/>
      <w:szCs w:val="24"/>
    </w:rPr>
  </w:style>
  <w:style w:type="paragraph" w:styleId="3">
    <w:name w:val="heading 2"/>
    <w:basedOn w:val="1"/>
    <w:next w:val="1"/>
    <w:link w:val="50"/>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paragraph" w:styleId="4">
    <w:name w:val="heading 3"/>
    <w:basedOn w:val="1"/>
    <w:next w:val="1"/>
    <w:link w:val="51"/>
    <w:qFormat/>
    <w:uiPriority w:val="0"/>
    <w:pPr>
      <w:keepNext/>
      <w:autoSpaceDE/>
      <w:autoSpaceDN/>
      <w:adjustRightInd/>
      <w:jc w:val="both"/>
      <w:outlineLvl w:val="2"/>
    </w:pPr>
    <w:rPr>
      <w:rFonts w:ascii="楷体_GB2312" w:hAnsi="宋体" w:eastAsia="楷体_GB2312"/>
      <w:b/>
      <w:bCs/>
      <w:kern w:val="2"/>
      <w:sz w:val="32"/>
      <w:szCs w:val="24"/>
    </w:rPr>
  </w:style>
  <w:style w:type="paragraph" w:styleId="5">
    <w:name w:val="heading 4"/>
    <w:basedOn w:val="1"/>
    <w:next w:val="1"/>
    <w:link w:val="52"/>
    <w:qFormat/>
    <w:uiPriority w:val="0"/>
    <w:pPr>
      <w:keepNext/>
      <w:keepLines/>
      <w:widowControl/>
      <w:autoSpaceDE/>
      <w:autoSpaceDN/>
      <w:adjustRightInd/>
      <w:spacing w:before="280" w:after="290" w:line="376" w:lineRule="auto"/>
      <w:outlineLvl w:val="3"/>
    </w:pPr>
    <w:rPr>
      <w:rFonts w:ascii="Arial" w:hAnsi="Arial" w:eastAsia="黑体"/>
      <w:b/>
      <w:bCs/>
      <w:sz w:val="28"/>
      <w:szCs w:val="28"/>
    </w:rPr>
  </w:style>
  <w:style w:type="paragraph" w:styleId="6">
    <w:name w:val="heading 5"/>
    <w:basedOn w:val="1"/>
    <w:next w:val="1"/>
    <w:link w:val="53"/>
    <w:qFormat/>
    <w:uiPriority w:val="0"/>
    <w:pPr>
      <w:keepNext/>
      <w:keepLines/>
      <w:widowControl/>
      <w:autoSpaceDE/>
      <w:autoSpaceDN/>
      <w:adjustRightInd/>
      <w:spacing w:before="280" w:after="290" w:line="376" w:lineRule="auto"/>
      <w:outlineLvl w:val="4"/>
    </w:pPr>
    <w:rPr>
      <w:b/>
      <w:bCs/>
      <w:sz w:val="28"/>
      <w:szCs w:val="28"/>
    </w:rPr>
  </w:style>
  <w:style w:type="paragraph" w:styleId="7">
    <w:name w:val="heading 6"/>
    <w:basedOn w:val="1"/>
    <w:next w:val="1"/>
    <w:link w:val="54"/>
    <w:qFormat/>
    <w:uiPriority w:val="0"/>
    <w:pPr>
      <w:keepNext/>
      <w:keepLines/>
      <w:widowControl/>
      <w:autoSpaceDE/>
      <w:autoSpaceDN/>
      <w:adjustRightInd/>
      <w:spacing w:before="240" w:after="64" w:line="320" w:lineRule="auto"/>
      <w:outlineLvl w:val="5"/>
    </w:pPr>
    <w:rPr>
      <w:rFonts w:ascii="Arial" w:hAnsi="Arial" w:eastAsia="黑体"/>
      <w:b/>
      <w:bCs/>
      <w:sz w:val="24"/>
      <w:szCs w:val="24"/>
    </w:rPr>
  </w:style>
  <w:style w:type="paragraph" w:styleId="8">
    <w:name w:val="heading 7"/>
    <w:basedOn w:val="1"/>
    <w:next w:val="1"/>
    <w:link w:val="55"/>
    <w:qFormat/>
    <w:uiPriority w:val="0"/>
    <w:pPr>
      <w:keepNext/>
      <w:keepLines/>
      <w:widowControl/>
      <w:autoSpaceDE/>
      <w:autoSpaceDN/>
      <w:adjustRightInd/>
      <w:spacing w:before="240" w:after="64" w:line="320" w:lineRule="auto"/>
      <w:outlineLvl w:val="6"/>
    </w:pPr>
    <w:rPr>
      <w:b/>
      <w:bCs/>
      <w:sz w:val="24"/>
      <w:szCs w:val="24"/>
    </w:rPr>
  </w:style>
  <w:style w:type="paragraph" w:styleId="9">
    <w:name w:val="heading 8"/>
    <w:basedOn w:val="1"/>
    <w:next w:val="1"/>
    <w:link w:val="56"/>
    <w:qFormat/>
    <w:uiPriority w:val="0"/>
    <w:pPr>
      <w:keepNext/>
      <w:keepLines/>
      <w:widowControl/>
      <w:autoSpaceDE/>
      <w:autoSpaceDN/>
      <w:adjustRightInd/>
      <w:spacing w:before="240" w:after="64" w:line="320" w:lineRule="auto"/>
      <w:outlineLvl w:val="7"/>
    </w:pPr>
    <w:rPr>
      <w:rFonts w:ascii="Arial" w:hAnsi="Arial" w:eastAsia="黑体"/>
      <w:sz w:val="24"/>
      <w:szCs w:val="24"/>
    </w:rPr>
  </w:style>
  <w:style w:type="paragraph" w:styleId="10">
    <w:name w:val="heading 9"/>
    <w:basedOn w:val="1"/>
    <w:next w:val="1"/>
    <w:link w:val="57"/>
    <w:qFormat/>
    <w:uiPriority w:val="0"/>
    <w:pPr>
      <w:keepNext/>
      <w:keepLines/>
      <w:widowControl/>
      <w:autoSpaceDE/>
      <w:autoSpaceDN/>
      <w:adjustRightInd/>
      <w:spacing w:before="240" w:after="64" w:line="320" w:lineRule="auto"/>
      <w:outlineLvl w:val="8"/>
    </w:pPr>
    <w:rPr>
      <w:rFonts w:ascii="Arial" w:hAnsi="Arial" w:eastAsia="黑体"/>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autoSpaceDE/>
      <w:autoSpaceDN/>
      <w:adjustRightInd/>
      <w:ind w:left="2520" w:leftChars="1200"/>
      <w:jc w:val="both"/>
    </w:pPr>
    <w:rPr>
      <w:kern w:val="2"/>
      <w:szCs w:val="24"/>
    </w:rPr>
  </w:style>
  <w:style w:type="paragraph" w:styleId="12">
    <w:name w:val="Normal Indent"/>
    <w:basedOn w:val="1"/>
    <w:link w:val="62"/>
    <w:qFormat/>
    <w:uiPriority w:val="0"/>
    <w:pPr>
      <w:autoSpaceDE/>
      <w:autoSpaceDN/>
      <w:adjustRightInd/>
      <w:ind w:firstLine="420"/>
      <w:jc w:val="both"/>
    </w:pPr>
    <w:rPr>
      <w:kern w:val="2"/>
      <w:szCs w:val="20"/>
    </w:rPr>
  </w:style>
  <w:style w:type="paragraph" w:styleId="13">
    <w:name w:val="Document Map"/>
    <w:basedOn w:val="1"/>
    <w:link w:val="58"/>
    <w:qFormat/>
    <w:uiPriority w:val="0"/>
    <w:pPr>
      <w:shd w:val="clear" w:color="auto" w:fill="000080"/>
    </w:pPr>
  </w:style>
  <w:style w:type="paragraph" w:styleId="14">
    <w:name w:val="annotation text"/>
    <w:basedOn w:val="1"/>
    <w:link w:val="67"/>
    <w:qFormat/>
    <w:uiPriority w:val="0"/>
  </w:style>
  <w:style w:type="paragraph" w:styleId="15">
    <w:name w:val="Body Text 3"/>
    <w:basedOn w:val="1"/>
    <w:link w:val="100"/>
    <w:qFormat/>
    <w:uiPriority w:val="0"/>
    <w:pPr>
      <w:autoSpaceDE/>
      <w:autoSpaceDN/>
      <w:adjustRightInd/>
      <w:spacing w:after="120"/>
      <w:jc w:val="both"/>
    </w:pPr>
    <w:rPr>
      <w:kern w:val="2"/>
      <w:sz w:val="16"/>
      <w:szCs w:val="16"/>
    </w:rPr>
  </w:style>
  <w:style w:type="paragraph" w:styleId="16">
    <w:name w:val="Body Text"/>
    <w:basedOn w:val="1"/>
    <w:link w:val="72"/>
    <w:qFormat/>
    <w:uiPriority w:val="0"/>
    <w:pPr>
      <w:autoSpaceDE/>
      <w:autoSpaceDN/>
      <w:adjustRightInd/>
      <w:spacing w:after="120"/>
      <w:jc w:val="both"/>
    </w:pPr>
    <w:rPr>
      <w:kern w:val="2"/>
      <w:szCs w:val="24"/>
    </w:rPr>
  </w:style>
  <w:style w:type="paragraph" w:styleId="17">
    <w:name w:val="Body Text Indent"/>
    <w:basedOn w:val="1"/>
    <w:link w:val="73"/>
    <w:qFormat/>
    <w:uiPriority w:val="0"/>
    <w:pPr>
      <w:autoSpaceDE/>
      <w:autoSpaceDN/>
      <w:adjustRightInd/>
      <w:spacing w:line="560" w:lineRule="exact"/>
      <w:ind w:left="300"/>
      <w:jc w:val="both"/>
    </w:pPr>
    <w:rPr>
      <w:kern w:val="2"/>
      <w:sz w:val="24"/>
      <w:szCs w:val="24"/>
    </w:rPr>
  </w:style>
  <w:style w:type="paragraph" w:styleId="18">
    <w:name w:val="toc 5"/>
    <w:basedOn w:val="1"/>
    <w:next w:val="1"/>
    <w:qFormat/>
    <w:uiPriority w:val="0"/>
    <w:pPr>
      <w:autoSpaceDE/>
      <w:autoSpaceDN/>
      <w:adjustRightInd/>
      <w:ind w:left="1680" w:leftChars="800"/>
      <w:jc w:val="both"/>
    </w:pPr>
    <w:rPr>
      <w:kern w:val="2"/>
      <w:szCs w:val="24"/>
    </w:rPr>
  </w:style>
  <w:style w:type="paragraph" w:styleId="19">
    <w:name w:val="toc 3"/>
    <w:basedOn w:val="1"/>
    <w:next w:val="1"/>
    <w:semiHidden/>
    <w:qFormat/>
    <w:uiPriority w:val="39"/>
    <w:pPr>
      <w:ind w:left="840" w:leftChars="400"/>
    </w:pPr>
  </w:style>
  <w:style w:type="paragraph" w:styleId="20">
    <w:name w:val="Plain Text"/>
    <w:basedOn w:val="1"/>
    <w:link w:val="64"/>
    <w:qFormat/>
    <w:uiPriority w:val="0"/>
    <w:pPr>
      <w:autoSpaceDE/>
      <w:autoSpaceDN/>
      <w:adjustRightInd/>
      <w:jc w:val="both"/>
    </w:pPr>
    <w:rPr>
      <w:rFonts w:ascii="宋体" w:hAnsi="Courier New" w:cs="Courier New"/>
      <w:kern w:val="2"/>
    </w:rPr>
  </w:style>
  <w:style w:type="paragraph" w:styleId="21">
    <w:name w:val="toc 8"/>
    <w:basedOn w:val="1"/>
    <w:next w:val="1"/>
    <w:qFormat/>
    <w:uiPriority w:val="0"/>
    <w:pPr>
      <w:autoSpaceDE/>
      <w:autoSpaceDN/>
      <w:adjustRightInd/>
      <w:ind w:left="2940" w:leftChars="1400"/>
      <w:jc w:val="both"/>
    </w:pPr>
    <w:rPr>
      <w:kern w:val="2"/>
      <w:szCs w:val="24"/>
    </w:rPr>
  </w:style>
  <w:style w:type="paragraph" w:styleId="22">
    <w:name w:val="Date"/>
    <w:basedOn w:val="1"/>
    <w:next w:val="1"/>
    <w:link w:val="65"/>
    <w:qFormat/>
    <w:uiPriority w:val="0"/>
    <w:pPr>
      <w:ind w:left="100" w:leftChars="2500"/>
    </w:pPr>
  </w:style>
  <w:style w:type="paragraph" w:styleId="23">
    <w:name w:val="Body Text Indent 2"/>
    <w:basedOn w:val="1"/>
    <w:link w:val="74"/>
    <w:qFormat/>
    <w:uiPriority w:val="0"/>
    <w:pPr>
      <w:autoSpaceDE/>
      <w:autoSpaceDN/>
      <w:adjustRightInd/>
      <w:spacing w:line="540" w:lineRule="exact"/>
      <w:ind w:left="462" w:leftChars="220"/>
      <w:jc w:val="both"/>
    </w:pPr>
    <w:rPr>
      <w:kern w:val="2"/>
      <w:sz w:val="24"/>
      <w:szCs w:val="24"/>
    </w:rPr>
  </w:style>
  <w:style w:type="paragraph" w:styleId="24">
    <w:name w:val="Balloon Text"/>
    <w:basedOn w:val="1"/>
    <w:link w:val="59"/>
    <w:qFormat/>
    <w:uiPriority w:val="0"/>
    <w:rPr>
      <w:sz w:val="18"/>
      <w:szCs w:val="18"/>
    </w:rPr>
  </w:style>
  <w:style w:type="paragraph" w:styleId="25">
    <w:name w:val="footer"/>
    <w:basedOn w:val="1"/>
    <w:link w:val="48"/>
    <w:unhideWhenUsed/>
    <w:qFormat/>
    <w:uiPriority w:val="99"/>
    <w:pPr>
      <w:tabs>
        <w:tab w:val="center" w:pos="4153"/>
        <w:tab w:val="right" w:pos="8306"/>
      </w:tabs>
      <w:snapToGrid w:val="0"/>
    </w:pPr>
    <w:rPr>
      <w:sz w:val="18"/>
      <w:szCs w:val="18"/>
    </w:rPr>
  </w:style>
  <w:style w:type="paragraph" w:styleId="26">
    <w:name w:val="header"/>
    <w:basedOn w:val="1"/>
    <w:link w:val="47"/>
    <w:unhideWhenUsed/>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tabs>
        <w:tab w:val="left" w:pos="420"/>
        <w:tab w:val="right" w:leader="dot" w:pos="8943"/>
      </w:tabs>
      <w:spacing w:line="360" w:lineRule="auto"/>
    </w:pPr>
    <w:rPr>
      <w:rFonts w:ascii="宋体" w:hAnsi="宋体"/>
      <w:b/>
    </w:rPr>
  </w:style>
  <w:style w:type="paragraph" w:styleId="28">
    <w:name w:val="toc 4"/>
    <w:basedOn w:val="1"/>
    <w:next w:val="1"/>
    <w:qFormat/>
    <w:uiPriority w:val="0"/>
    <w:pPr>
      <w:autoSpaceDE/>
      <w:autoSpaceDN/>
      <w:adjustRightInd/>
      <w:ind w:left="1260" w:leftChars="600"/>
      <w:jc w:val="both"/>
    </w:pPr>
    <w:rPr>
      <w:kern w:val="2"/>
      <w:szCs w:val="24"/>
    </w:rPr>
  </w:style>
  <w:style w:type="paragraph" w:styleId="29">
    <w:name w:val="footnote text"/>
    <w:basedOn w:val="1"/>
    <w:link w:val="66"/>
    <w:qFormat/>
    <w:uiPriority w:val="0"/>
    <w:pPr>
      <w:snapToGrid w:val="0"/>
    </w:pPr>
    <w:rPr>
      <w:sz w:val="18"/>
      <w:szCs w:val="18"/>
    </w:rPr>
  </w:style>
  <w:style w:type="paragraph" w:styleId="30">
    <w:name w:val="toc 6"/>
    <w:basedOn w:val="1"/>
    <w:next w:val="1"/>
    <w:qFormat/>
    <w:uiPriority w:val="0"/>
    <w:pPr>
      <w:autoSpaceDE/>
      <w:autoSpaceDN/>
      <w:adjustRightInd/>
      <w:ind w:left="2100" w:leftChars="1000"/>
      <w:jc w:val="both"/>
    </w:pPr>
    <w:rPr>
      <w:kern w:val="2"/>
      <w:szCs w:val="24"/>
    </w:rPr>
  </w:style>
  <w:style w:type="paragraph" w:styleId="31">
    <w:name w:val="Body Text Indent 3"/>
    <w:basedOn w:val="1"/>
    <w:link w:val="78"/>
    <w:qFormat/>
    <w:uiPriority w:val="0"/>
    <w:pPr>
      <w:autoSpaceDE/>
      <w:autoSpaceDN/>
      <w:adjustRightInd/>
      <w:spacing w:after="120"/>
      <w:ind w:left="420" w:leftChars="200"/>
      <w:jc w:val="both"/>
    </w:pPr>
    <w:rPr>
      <w:kern w:val="2"/>
      <w:sz w:val="16"/>
      <w:szCs w:val="16"/>
    </w:rPr>
  </w:style>
  <w:style w:type="paragraph" w:styleId="32">
    <w:name w:val="toc 2"/>
    <w:basedOn w:val="1"/>
    <w:next w:val="1"/>
    <w:qFormat/>
    <w:uiPriority w:val="39"/>
    <w:pPr>
      <w:tabs>
        <w:tab w:val="right" w:leader="dot" w:pos="8931"/>
      </w:tabs>
    </w:pPr>
  </w:style>
  <w:style w:type="paragraph" w:styleId="33">
    <w:name w:val="toc 9"/>
    <w:basedOn w:val="1"/>
    <w:next w:val="1"/>
    <w:qFormat/>
    <w:uiPriority w:val="0"/>
    <w:pPr>
      <w:autoSpaceDE/>
      <w:autoSpaceDN/>
      <w:adjustRightInd/>
      <w:ind w:left="3360" w:leftChars="1600"/>
      <w:jc w:val="both"/>
    </w:pPr>
    <w:rPr>
      <w:kern w:val="2"/>
      <w:szCs w:val="24"/>
    </w:rPr>
  </w:style>
  <w:style w:type="paragraph" w:styleId="34">
    <w:name w:val="HTML Preformatted"/>
    <w:basedOn w:val="1"/>
    <w:link w:val="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黑体" w:hAnsi="Courier New" w:eastAsia="黑体"/>
      <w:sz w:val="20"/>
      <w:szCs w:val="20"/>
    </w:rPr>
  </w:style>
  <w:style w:type="paragraph" w:styleId="35">
    <w:name w:val="Normal (Web)"/>
    <w:basedOn w:val="1"/>
    <w:qFormat/>
    <w:uiPriority w:val="99"/>
    <w:pPr>
      <w:widowControl/>
      <w:autoSpaceDE/>
      <w:autoSpaceDN/>
      <w:adjustRightInd/>
      <w:spacing w:before="100" w:beforeAutospacing="1" w:after="100" w:afterAutospacing="1"/>
    </w:pPr>
    <w:rPr>
      <w:rFonts w:ascii="宋体" w:hAnsi="宋体"/>
      <w:sz w:val="24"/>
      <w:szCs w:val="24"/>
    </w:rPr>
  </w:style>
  <w:style w:type="paragraph" w:styleId="36">
    <w:name w:val="Title"/>
    <w:basedOn w:val="1"/>
    <w:next w:val="1"/>
    <w:link w:val="102"/>
    <w:qFormat/>
    <w:uiPriority w:val="0"/>
    <w:pPr>
      <w:spacing w:before="240" w:after="60"/>
      <w:jc w:val="center"/>
      <w:outlineLvl w:val="0"/>
    </w:pPr>
    <w:rPr>
      <w:rFonts w:ascii="Cambria" w:hAnsi="Cambria"/>
      <w:b/>
      <w:bCs/>
      <w:sz w:val="32"/>
      <w:szCs w:val="32"/>
    </w:rPr>
  </w:style>
  <w:style w:type="paragraph" w:styleId="37">
    <w:name w:val="annotation subject"/>
    <w:basedOn w:val="14"/>
    <w:next w:val="14"/>
    <w:link w:val="68"/>
    <w:qFormat/>
    <w:uiPriority w:val="0"/>
    <w:rPr>
      <w:b/>
      <w:bCs/>
      <w:sz w:val="20"/>
      <w:szCs w:val="20"/>
    </w:rPr>
  </w:style>
  <w:style w:type="table" w:styleId="39">
    <w:name w:val="Table Grid"/>
    <w:basedOn w:val="38"/>
    <w:qFormat/>
    <w:uiPriority w:val="0"/>
    <w:pPr>
      <w:widowControl w:val="0"/>
      <w:autoSpaceDE w:val="0"/>
      <w:autoSpaceDN w:val="0"/>
      <w:adjustRightInd w:val="0"/>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Strong"/>
    <w:qFormat/>
    <w:uiPriority w:val="22"/>
    <w:rPr>
      <w:b/>
      <w:bCs/>
    </w:rPr>
  </w:style>
  <w:style w:type="character" w:styleId="42">
    <w:name w:val="page number"/>
    <w:basedOn w:val="40"/>
    <w:qFormat/>
    <w:uiPriority w:val="0"/>
  </w:style>
  <w:style w:type="character" w:styleId="43">
    <w:name w:val="FollowedHyperlink"/>
    <w:qFormat/>
    <w:uiPriority w:val="0"/>
    <w:rPr>
      <w:color w:val="800080"/>
      <w:u w:val="single"/>
    </w:rPr>
  </w:style>
  <w:style w:type="character" w:styleId="44">
    <w:name w:val="Hyperlink"/>
    <w:qFormat/>
    <w:uiPriority w:val="99"/>
    <w:rPr>
      <w:color w:val="0000FF"/>
      <w:u w:val="single"/>
    </w:rPr>
  </w:style>
  <w:style w:type="character" w:styleId="45">
    <w:name w:val="annotation reference"/>
    <w:qFormat/>
    <w:uiPriority w:val="0"/>
    <w:rPr>
      <w:sz w:val="21"/>
      <w:szCs w:val="21"/>
    </w:rPr>
  </w:style>
  <w:style w:type="character" w:styleId="46">
    <w:name w:val="footnote reference"/>
    <w:qFormat/>
    <w:uiPriority w:val="0"/>
    <w:rPr>
      <w:vertAlign w:val="superscript"/>
    </w:rPr>
  </w:style>
  <w:style w:type="character" w:customStyle="1" w:styleId="47">
    <w:name w:val="页眉 Char"/>
    <w:basedOn w:val="40"/>
    <w:link w:val="26"/>
    <w:qFormat/>
    <w:uiPriority w:val="0"/>
    <w:rPr>
      <w:sz w:val="18"/>
      <w:szCs w:val="18"/>
    </w:rPr>
  </w:style>
  <w:style w:type="character" w:customStyle="1" w:styleId="48">
    <w:name w:val="页脚 Char"/>
    <w:basedOn w:val="40"/>
    <w:link w:val="25"/>
    <w:qFormat/>
    <w:uiPriority w:val="99"/>
    <w:rPr>
      <w:sz w:val="18"/>
      <w:szCs w:val="18"/>
    </w:rPr>
  </w:style>
  <w:style w:type="character" w:customStyle="1" w:styleId="49">
    <w:name w:val="标题 1 Char"/>
    <w:basedOn w:val="40"/>
    <w:link w:val="2"/>
    <w:qFormat/>
    <w:uiPriority w:val="0"/>
    <w:rPr>
      <w:rFonts w:ascii="Times New Roman" w:hAnsi="Times New Roman" w:eastAsia="宋体" w:cs="Times New Roman"/>
      <w:b/>
      <w:bCs/>
      <w:kern w:val="0"/>
      <w:sz w:val="24"/>
      <w:szCs w:val="24"/>
    </w:rPr>
  </w:style>
  <w:style w:type="character" w:customStyle="1" w:styleId="50">
    <w:name w:val="标题 2 Char"/>
    <w:basedOn w:val="40"/>
    <w:link w:val="3"/>
    <w:qFormat/>
    <w:uiPriority w:val="0"/>
    <w:rPr>
      <w:rFonts w:ascii="Arial" w:hAnsi="Arial" w:eastAsia="黑体" w:cs="Times New Roman"/>
      <w:b/>
      <w:bCs/>
      <w:sz w:val="32"/>
      <w:szCs w:val="32"/>
    </w:rPr>
  </w:style>
  <w:style w:type="character" w:customStyle="1" w:styleId="51">
    <w:name w:val="标题 3 Char"/>
    <w:basedOn w:val="40"/>
    <w:link w:val="4"/>
    <w:qFormat/>
    <w:uiPriority w:val="0"/>
    <w:rPr>
      <w:rFonts w:ascii="楷体_GB2312" w:hAnsi="宋体" w:eastAsia="楷体_GB2312" w:cs="Times New Roman"/>
      <w:b/>
      <w:bCs/>
      <w:sz w:val="32"/>
      <w:szCs w:val="24"/>
    </w:rPr>
  </w:style>
  <w:style w:type="character" w:customStyle="1" w:styleId="52">
    <w:name w:val="标题 4 Char"/>
    <w:basedOn w:val="40"/>
    <w:link w:val="5"/>
    <w:qFormat/>
    <w:uiPriority w:val="0"/>
    <w:rPr>
      <w:rFonts w:ascii="Arial" w:hAnsi="Arial" w:eastAsia="黑体" w:cs="Times New Roman"/>
      <w:b/>
      <w:bCs/>
      <w:kern w:val="0"/>
      <w:sz w:val="28"/>
      <w:szCs w:val="28"/>
    </w:rPr>
  </w:style>
  <w:style w:type="character" w:customStyle="1" w:styleId="53">
    <w:name w:val="标题 5 Char"/>
    <w:basedOn w:val="40"/>
    <w:link w:val="6"/>
    <w:qFormat/>
    <w:uiPriority w:val="0"/>
    <w:rPr>
      <w:rFonts w:ascii="Times New Roman" w:hAnsi="Times New Roman" w:eastAsia="宋体" w:cs="Times New Roman"/>
      <w:b/>
      <w:bCs/>
      <w:kern w:val="0"/>
      <w:sz w:val="28"/>
      <w:szCs w:val="28"/>
    </w:rPr>
  </w:style>
  <w:style w:type="character" w:customStyle="1" w:styleId="54">
    <w:name w:val="标题 6 Char"/>
    <w:basedOn w:val="40"/>
    <w:link w:val="7"/>
    <w:qFormat/>
    <w:uiPriority w:val="0"/>
    <w:rPr>
      <w:rFonts w:ascii="Arial" w:hAnsi="Arial" w:eastAsia="黑体" w:cs="Times New Roman"/>
      <w:b/>
      <w:bCs/>
      <w:kern w:val="0"/>
      <w:sz w:val="24"/>
      <w:szCs w:val="24"/>
    </w:rPr>
  </w:style>
  <w:style w:type="character" w:customStyle="1" w:styleId="55">
    <w:name w:val="标题 7 Char"/>
    <w:basedOn w:val="40"/>
    <w:link w:val="8"/>
    <w:qFormat/>
    <w:uiPriority w:val="0"/>
    <w:rPr>
      <w:rFonts w:ascii="Times New Roman" w:hAnsi="Times New Roman" w:eastAsia="宋体" w:cs="Times New Roman"/>
      <w:b/>
      <w:bCs/>
      <w:kern w:val="0"/>
      <w:sz w:val="24"/>
      <w:szCs w:val="24"/>
    </w:rPr>
  </w:style>
  <w:style w:type="character" w:customStyle="1" w:styleId="56">
    <w:name w:val="标题 8 Char"/>
    <w:basedOn w:val="40"/>
    <w:link w:val="9"/>
    <w:qFormat/>
    <w:uiPriority w:val="0"/>
    <w:rPr>
      <w:rFonts w:ascii="Arial" w:hAnsi="Arial" w:eastAsia="黑体" w:cs="Times New Roman"/>
      <w:kern w:val="0"/>
      <w:sz w:val="24"/>
      <w:szCs w:val="24"/>
    </w:rPr>
  </w:style>
  <w:style w:type="character" w:customStyle="1" w:styleId="57">
    <w:name w:val="标题 9 Char"/>
    <w:basedOn w:val="40"/>
    <w:link w:val="10"/>
    <w:qFormat/>
    <w:uiPriority w:val="0"/>
    <w:rPr>
      <w:rFonts w:ascii="Arial" w:hAnsi="Arial" w:eastAsia="黑体" w:cs="Times New Roman"/>
      <w:kern w:val="0"/>
      <w:szCs w:val="21"/>
    </w:rPr>
  </w:style>
  <w:style w:type="character" w:customStyle="1" w:styleId="58">
    <w:name w:val="文档结构图 Char"/>
    <w:basedOn w:val="40"/>
    <w:link w:val="13"/>
    <w:qFormat/>
    <w:uiPriority w:val="0"/>
    <w:rPr>
      <w:rFonts w:ascii="Times New Roman" w:hAnsi="Times New Roman" w:eastAsia="宋体" w:cs="Times New Roman"/>
      <w:kern w:val="0"/>
      <w:szCs w:val="21"/>
      <w:shd w:val="clear" w:color="auto" w:fill="000080"/>
    </w:rPr>
  </w:style>
  <w:style w:type="character" w:customStyle="1" w:styleId="59">
    <w:name w:val="批注框文本 Char"/>
    <w:basedOn w:val="40"/>
    <w:link w:val="24"/>
    <w:qFormat/>
    <w:uiPriority w:val="0"/>
    <w:rPr>
      <w:rFonts w:ascii="Times New Roman" w:hAnsi="Times New Roman" w:eastAsia="宋体" w:cs="Times New Roman"/>
      <w:kern w:val="0"/>
      <w:sz w:val="18"/>
      <w:szCs w:val="18"/>
    </w:rPr>
  </w:style>
  <w:style w:type="paragraph" w:customStyle="1" w:styleId="60">
    <w:name w:val="Char Char2 Char"/>
    <w:basedOn w:val="1"/>
    <w:qFormat/>
    <w:uiPriority w:val="0"/>
    <w:pPr>
      <w:autoSpaceDE/>
      <w:autoSpaceDN/>
      <w:adjustRightInd/>
      <w:jc w:val="both"/>
    </w:pPr>
    <w:rPr>
      <w:rFonts w:ascii="宋体" w:hAnsi="宋体"/>
      <w:b/>
      <w:kern w:val="2"/>
      <w:sz w:val="28"/>
      <w:szCs w:val="28"/>
    </w:rPr>
  </w:style>
  <w:style w:type="paragraph" w:customStyle="1" w:styleId="61">
    <w:name w:val="默认段落字体 Para Char Char Char Char"/>
    <w:basedOn w:val="1"/>
    <w:qFormat/>
    <w:uiPriority w:val="0"/>
    <w:pPr>
      <w:autoSpaceDE/>
      <w:autoSpaceDN/>
      <w:adjustRightInd/>
      <w:jc w:val="both"/>
    </w:pPr>
    <w:rPr>
      <w:kern w:val="2"/>
    </w:rPr>
  </w:style>
  <w:style w:type="character" w:customStyle="1" w:styleId="62">
    <w:name w:val="正文缩进 Char"/>
    <w:link w:val="12"/>
    <w:qFormat/>
    <w:uiPriority w:val="0"/>
    <w:rPr>
      <w:rFonts w:ascii="Times New Roman" w:hAnsi="Times New Roman" w:eastAsia="宋体" w:cs="Times New Roman"/>
      <w:szCs w:val="20"/>
    </w:rPr>
  </w:style>
  <w:style w:type="character" w:customStyle="1" w:styleId="63">
    <w:name w:val="纯文本 Char"/>
    <w:basedOn w:val="40"/>
    <w:link w:val="20"/>
    <w:qFormat/>
    <w:uiPriority w:val="0"/>
    <w:rPr>
      <w:rFonts w:ascii="宋体" w:hAnsi="Courier New" w:eastAsia="宋体" w:cs="Courier New"/>
      <w:kern w:val="0"/>
      <w:szCs w:val="21"/>
    </w:rPr>
  </w:style>
  <w:style w:type="character" w:customStyle="1" w:styleId="64">
    <w:name w:val="纯文本 Char1"/>
    <w:link w:val="20"/>
    <w:qFormat/>
    <w:uiPriority w:val="0"/>
    <w:rPr>
      <w:rFonts w:ascii="宋体" w:hAnsi="Courier New" w:eastAsia="宋体" w:cs="Courier New"/>
      <w:szCs w:val="21"/>
    </w:rPr>
  </w:style>
  <w:style w:type="character" w:customStyle="1" w:styleId="65">
    <w:name w:val="日期 Char"/>
    <w:basedOn w:val="40"/>
    <w:link w:val="22"/>
    <w:qFormat/>
    <w:uiPriority w:val="0"/>
    <w:rPr>
      <w:rFonts w:ascii="Times New Roman" w:hAnsi="Times New Roman" w:eastAsia="宋体" w:cs="Times New Roman"/>
      <w:kern w:val="0"/>
      <w:szCs w:val="21"/>
    </w:rPr>
  </w:style>
  <w:style w:type="character" w:customStyle="1" w:styleId="66">
    <w:name w:val="脚注文本 Char"/>
    <w:basedOn w:val="40"/>
    <w:link w:val="29"/>
    <w:qFormat/>
    <w:uiPriority w:val="0"/>
    <w:rPr>
      <w:rFonts w:ascii="Times New Roman" w:hAnsi="Times New Roman" w:eastAsia="宋体" w:cs="Times New Roman"/>
      <w:kern w:val="0"/>
      <w:sz w:val="18"/>
      <w:szCs w:val="18"/>
    </w:rPr>
  </w:style>
  <w:style w:type="character" w:customStyle="1" w:styleId="67">
    <w:name w:val="批注文字 Char"/>
    <w:basedOn w:val="40"/>
    <w:link w:val="14"/>
    <w:qFormat/>
    <w:uiPriority w:val="0"/>
    <w:rPr>
      <w:rFonts w:ascii="Times New Roman" w:hAnsi="Times New Roman" w:eastAsia="宋体" w:cs="Times New Roman"/>
      <w:kern w:val="0"/>
      <w:szCs w:val="21"/>
    </w:rPr>
  </w:style>
  <w:style w:type="character" w:customStyle="1" w:styleId="68">
    <w:name w:val="批注主题 Char"/>
    <w:basedOn w:val="67"/>
    <w:link w:val="37"/>
    <w:qFormat/>
    <w:uiPriority w:val="0"/>
    <w:rPr>
      <w:b/>
      <w:bCs/>
      <w:sz w:val="20"/>
      <w:szCs w:val="20"/>
    </w:rPr>
  </w:style>
  <w:style w:type="paragraph" w:customStyle="1" w:styleId="69">
    <w:name w:val="样式4"/>
    <w:basedOn w:val="1"/>
    <w:qFormat/>
    <w:uiPriority w:val="0"/>
    <w:pPr>
      <w:numPr>
        <w:ilvl w:val="3"/>
        <w:numId w:val="1"/>
      </w:numPr>
      <w:autoSpaceDE/>
      <w:autoSpaceDN/>
      <w:adjustRightInd/>
      <w:jc w:val="both"/>
    </w:pPr>
    <w:rPr>
      <w:kern w:val="2"/>
      <w:szCs w:val="24"/>
    </w:rPr>
  </w:style>
  <w:style w:type="paragraph" w:customStyle="1" w:styleId="70">
    <w:name w:val="样式1"/>
    <w:basedOn w:val="1"/>
    <w:qFormat/>
    <w:uiPriority w:val="0"/>
    <w:pPr>
      <w:numPr>
        <w:ilvl w:val="0"/>
        <w:numId w:val="1"/>
      </w:numPr>
      <w:tabs>
        <w:tab w:val="left" w:pos="709"/>
      </w:tabs>
      <w:autoSpaceDE/>
      <w:autoSpaceDN/>
      <w:jc w:val="both"/>
      <w:textAlignment w:val="baseline"/>
    </w:pPr>
    <w:rPr>
      <w:rFonts w:ascii="宋体" w:hAnsi="宋体"/>
    </w:rPr>
  </w:style>
  <w:style w:type="paragraph" w:customStyle="1" w:styleId="71">
    <w:name w:val="默认段落字体 Para Char"/>
    <w:basedOn w:val="1"/>
    <w:qFormat/>
    <w:uiPriority w:val="0"/>
    <w:pPr>
      <w:autoSpaceDE/>
      <w:autoSpaceDN/>
      <w:adjustRightInd/>
      <w:jc w:val="both"/>
    </w:pPr>
    <w:rPr>
      <w:kern w:val="2"/>
      <w:szCs w:val="24"/>
    </w:rPr>
  </w:style>
  <w:style w:type="character" w:customStyle="1" w:styleId="72">
    <w:name w:val="正文文本 Char"/>
    <w:basedOn w:val="40"/>
    <w:link w:val="16"/>
    <w:qFormat/>
    <w:uiPriority w:val="0"/>
    <w:rPr>
      <w:rFonts w:ascii="Times New Roman" w:hAnsi="Times New Roman" w:eastAsia="宋体" w:cs="Times New Roman"/>
      <w:szCs w:val="24"/>
    </w:rPr>
  </w:style>
  <w:style w:type="character" w:customStyle="1" w:styleId="73">
    <w:name w:val="正文文本缩进 Char"/>
    <w:basedOn w:val="40"/>
    <w:link w:val="17"/>
    <w:qFormat/>
    <w:uiPriority w:val="0"/>
    <w:rPr>
      <w:rFonts w:ascii="Times New Roman" w:hAnsi="Times New Roman" w:eastAsia="宋体" w:cs="Times New Roman"/>
      <w:sz w:val="24"/>
      <w:szCs w:val="24"/>
    </w:rPr>
  </w:style>
  <w:style w:type="character" w:customStyle="1" w:styleId="74">
    <w:name w:val="正文文本缩进 2 Char"/>
    <w:basedOn w:val="40"/>
    <w:link w:val="23"/>
    <w:qFormat/>
    <w:uiPriority w:val="0"/>
    <w:rPr>
      <w:rFonts w:ascii="Times New Roman" w:hAnsi="Times New Roman" w:eastAsia="宋体" w:cs="Times New Roman"/>
      <w:sz w:val="24"/>
      <w:szCs w:val="24"/>
    </w:rPr>
  </w:style>
  <w:style w:type="paragraph" w:customStyle="1" w:styleId="75">
    <w:name w:val="Char"/>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76">
    <w:name w:val="Char11"/>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77">
    <w:name w:val="3 Char"/>
    <w:basedOn w:val="1"/>
    <w:qFormat/>
    <w:uiPriority w:val="0"/>
    <w:pPr>
      <w:widowControl/>
      <w:autoSpaceDE/>
      <w:autoSpaceDN/>
      <w:adjustRightInd/>
      <w:spacing w:line="400" w:lineRule="exact"/>
      <w:jc w:val="center"/>
    </w:pPr>
    <w:rPr>
      <w:rFonts w:ascii="Verdana" w:hAnsi="Verdana"/>
      <w:lang w:eastAsia="en-US"/>
    </w:rPr>
  </w:style>
  <w:style w:type="character" w:customStyle="1" w:styleId="78">
    <w:name w:val="正文文本缩进 3 Char"/>
    <w:basedOn w:val="40"/>
    <w:link w:val="31"/>
    <w:qFormat/>
    <w:uiPriority w:val="0"/>
    <w:rPr>
      <w:rFonts w:ascii="Times New Roman" w:hAnsi="Times New Roman" w:eastAsia="宋体" w:cs="Times New Roman"/>
      <w:sz w:val="16"/>
      <w:szCs w:val="16"/>
    </w:rPr>
  </w:style>
  <w:style w:type="paragraph" w:customStyle="1" w:styleId="79">
    <w:name w:val="Char Char Char Char"/>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80">
    <w:name w:val="图"/>
    <w:basedOn w:val="1"/>
    <w:qFormat/>
    <w:uiPriority w:val="0"/>
    <w:pPr>
      <w:keepNext/>
      <w:autoSpaceDE/>
      <w:autoSpaceDN/>
      <w:spacing w:before="60" w:after="60" w:line="300" w:lineRule="auto"/>
      <w:jc w:val="center"/>
      <w:textAlignment w:val="center"/>
    </w:pPr>
    <w:rPr>
      <w:snapToGrid w:val="0"/>
      <w:spacing w:val="20"/>
      <w:sz w:val="24"/>
    </w:rPr>
  </w:style>
  <w:style w:type="paragraph" w:customStyle="1" w:styleId="81">
    <w:name w:val="表格"/>
    <w:basedOn w:val="1"/>
    <w:qFormat/>
    <w:uiPriority w:val="0"/>
    <w:pPr>
      <w:autoSpaceDE/>
      <w:autoSpaceDN/>
      <w:adjustRightInd/>
      <w:spacing w:line="420" w:lineRule="exact"/>
      <w:ind w:left="84" w:leftChars="40"/>
      <w:jc w:val="center"/>
    </w:pPr>
    <w:rPr>
      <w:rFonts w:ascii="宋体" w:hAnsi="宋体"/>
      <w:bCs/>
      <w:spacing w:val="-12"/>
      <w:kern w:val="2"/>
      <w:szCs w:val="24"/>
    </w:rPr>
  </w:style>
  <w:style w:type="paragraph" w:customStyle="1" w:styleId="82">
    <w:name w:val="head"/>
    <w:basedOn w:val="1"/>
    <w:qFormat/>
    <w:uiPriority w:val="0"/>
    <w:pPr>
      <w:widowControl/>
      <w:autoSpaceDE/>
      <w:autoSpaceDN/>
      <w:adjustRightInd/>
      <w:spacing w:before="100" w:beforeAutospacing="1" w:after="100" w:afterAutospacing="1"/>
      <w:jc w:val="center"/>
    </w:pPr>
    <w:rPr>
      <w:rFonts w:hint="eastAsia" w:ascii="黑体" w:hAnsi="宋体" w:eastAsia="黑体"/>
      <w:b/>
      <w:bCs/>
      <w:sz w:val="28"/>
      <w:szCs w:val="28"/>
    </w:rPr>
  </w:style>
  <w:style w:type="paragraph" w:customStyle="1" w:styleId="83">
    <w:name w:val="xl29"/>
    <w:basedOn w:val="1"/>
    <w:qFormat/>
    <w:uiPriority w:val="0"/>
    <w:pPr>
      <w:widowControl/>
      <w:autoSpaceDE/>
      <w:autoSpaceDN/>
      <w:adjustRightInd/>
      <w:spacing w:before="100" w:beforeAutospacing="1" w:after="100" w:afterAutospacing="1"/>
      <w:jc w:val="center"/>
    </w:pPr>
    <w:rPr>
      <w:rFonts w:ascii="宋体" w:hAnsi="宋体"/>
      <w:sz w:val="28"/>
      <w:szCs w:val="28"/>
    </w:rPr>
  </w:style>
  <w:style w:type="character" w:customStyle="1" w:styleId="84">
    <w:name w:val="s10pv000000"/>
    <w:basedOn w:val="40"/>
    <w:qFormat/>
    <w:uiPriority w:val="0"/>
  </w:style>
  <w:style w:type="paragraph" w:customStyle="1" w:styleId="85">
    <w:name w:val="font0"/>
    <w:basedOn w:val="1"/>
    <w:qFormat/>
    <w:uiPriority w:val="0"/>
    <w:pPr>
      <w:widowControl/>
      <w:autoSpaceDE/>
      <w:autoSpaceDN/>
      <w:adjustRightInd/>
      <w:spacing w:before="100" w:beforeAutospacing="1" w:after="100" w:afterAutospacing="1"/>
    </w:pPr>
    <w:rPr>
      <w:rFonts w:hint="eastAsia" w:ascii="宋体" w:hAnsi="宋体"/>
      <w:sz w:val="24"/>
      <w:szCs w:val="24"/>
    </w:rPr>
  </w:style>
  <w:style w:type="paragraph" w:customStyle="1" w:styleId="86">
    <w:name w:val="font5"/>
    <w:basedOn w:val="1"/>
    <w:qFormat/>
    <w:uiPriority w:val="0"/>
    <w:pPr>
      <w:widowControl/>
      <w:autoSpaceDE/>
      <w:autoSpaceDN/>
      <w:adjustRightInd/>
      <w:spacing w:before="100" w:beforeAutospacing="1" w:after="100" w:afterAutospacing="1"/>
    </w:pPr>
    <w:rPr>
      <w:rFonts w:hint="eastAsia" w:ascii="宋体" w:hAnsi="宋体"/>
      <w:sz w:val="18"/>
      <w:szCs w:val="18"/>
    </w:rPr>
  </w:style>
  <w:style w:type="paragraph" w:customStyle="1" w:styleId="87">
    <w:name w:val="font6"/>
    <w:basedOn w:val="1"/>
    <w:qFormat/>
    <w:uiPriority w:val="0"/>
    <w:pPr>
      <w:widowControl/>
      <w:autoSpaceDE/>
      <w:autoSpaceDN/>
      <w:adjustRightInd/>
      <w:spacing w:before="100" w:beforeAutospacing="1" w:after="100" w:afterAutospacing="1"/>
    </w:pPr>
    <w:rPr>
      <w:rFonts w:hint="eastAsia" w:ascii="宋体" w:hAnsi="宋体"/>
      <w:sz w:val="24"/>
      <w:szCs w:val="24"/>
    </w:rPr>
  </w:style>
  <w:style w:type="paragraph" w:customStyle="1" w:styleId="88">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sz w:val="24"/>
      <w:szCs w:val="24"/>
    </w:rPr>
  </w:style>
  <w:style w:type="paragraph" w:customStyle="1" w:styleId="89">
    <w:name w:val="基准标题"/>
    <w:basedOn w:val="16"/>
    <w:next w:val="16"/>
    <w:qFormat/>
    <w:uiPriority w:val="0"/>
    <w:pPr>
      <w:keepNext/>
      <w:keepLines/>
      <w:widowControl/>
      <w:spacing w:after="0" w:line="240" w:lineRule="atLeast"/>
      <w:jc w:val="left"/>
    </w:pPr>
    <w:rPr>
      <w:rFonts w:ascii="Garamond" w:hAnsi="Garamond"/>
      <w:kern w:val="20"/>
      <w:sz w:val="22"/>
      <w:szCs w:val="20"/>
      <w:lang w:bidi="he-IL"/>
    </w:rPr>
  </w:style>
  <w:style w:type="character" w:customStyle="1" w:styleId="90">
    <w:name w:val="HTML 预设格式 Char"/>
    <w:basedOn w:val="40"/>
    <w:link w:val="34"/>
    <w:qFormat/>
    <w:uiPriority w:val="0"/>
    <w:rPr>
      <w:rFonts w:ascii="黑体" w:hAnsi="Courier New" w:eastAsia="黑体" w:cs="Times New Roman"/>
      <w:kern w:val="0"/>
      <w:sz w:val="20"/>
      <w:szCs w:val="20"/>
    </w:rPr>
  </w:style>
  <w:style w:type="character" w:customStyle="1" w:styleId="91">
    <w:name w:val="f141"/>
    <w:qFormat/>
    <w:uiPriority w:val="0"/>
    <w:rPr>
      <w:sz w:val="21"/>
      <w:szCs w:val="21"/>
    </w:rPr>
  </w:style>
  <w:style w:type="paragraph" w:customStyle="1" w:styleId="92">
    <w:name w:val="样式 标题 2 + 宋体 五号 非加粗 黑色"/>
    <w:basedOn w:val="3"/>
    <w:qFormat/>
    <w:uiPriority w:val="0"/>
    <w:pPr>
      <w:numPr>
        <w:ilvl w:val="1"/>
        <w:numId w:val="2"/>
      </w:numPr>
      <w:adjustRightInd w:val="0"/>
      <w:spacing w:line="416" w:lineRule="atLeast"/>
      <w:jc w:val="left"/>
      <w:textAlignment w:val="baseline"/>
    </w:pPr>
    <w:rPr>
      <w:rFonts w:ascii="宋体" w:hAnsi="宋体" w:eastAsia="宋体"/>
      <w:b w:val="0"/>
      <w:bCs w:val="0"/>
      <w:color w:val="000000"/>
      <w:kern w:val="0"/>
      <w:sz w:val="21"/>
      <w:szCs w:val="20"/>
    </w:rPr>
  </w:style>
  <w:style w:type="paragraph" w:customStyle="1" w:styleId="93">
    <w:name w:val="样式 标题 4 + 段前: 5 磅 段后: 5 磅 行距: 单倍行距"/>
    <w:basedOn w:val="5"/>
    <w:qFormat/>
    <w:uiPriority w:val="0"/>
    <w:pPr>
      <w:widowControl w:val="0"/>
      <w:numPr>
        <w:ilvl w:val="3"/>
        <w:numId w:val="2"/>
      </w:numPr>
      <w:adjustRightInd w:val="0"/>
      <w:spacing w:before="100" w:after="100" w:line="240" w:lineRule="auto"/>
      <w:textAlignment w:val="baseline"/>
    </w:pPr>
    <w:rPr>
      <w:bCs w:val="0"/>
      <w:szCs w:val="20"/>
    </w:rPr>
  </w:style>
  <w:style w:type="paragraph" w:customStyle="1" w:styleId="94">
    <w:name w:val="样式 标题 3h3H3sect1.2.3 + 五号 段前: 6 磅 段后: 6 磅 行距: 单倍行距"/>
    <w:basedOn w:val="4"/>
    <w:qFormat/>
    <w:uiPriority w:val="0"/>
    <w:pPr>
      <w:keepLines/>
      <w:numPr>
        <w:ilvl w:val="2"/>
        <w:numId w:val="2"/>
      </w:numPr>
      <w:adjustRightInd w:val="0"/>
      <w:spacing w:before="120" w:after="120"/>
      <w:jc w:val="left"/>
      <w:textAlignment w:val="baseline"/>
    </w:pPr>
    <w:rPr>
      <w:rFonts w:ascii="Times New Roman" w:hAnsi="Times New Roman" w:eastAsia="宋体"/>
      <w:bCs w:val="0"/>
      <w:kern w:val="0"/>
      <w:sz w:val="21"/>
      <w:szCs w:val="20"/>
    </w:rPr>
  </w:style>
  <w:style w:type="paragraph" w:customStyle="1" w:styleId="95">
    <w:name w:val="设计方案"/>
    <w:basedOn w:val="1"/>
    <w:qFormat/>
    <w:uiPriority w:val="0"/>
    <w:pPr>
      <w:widowControl/>
      <w:numPr>
        <w:ilvl w:val="0"/>
        <w:numId w:val="3"/>
      </w:numPr>
      <w:autoSpaceDE/>
      <w:autoSpaceDN/>
      <w:adjustRightInd/>
      <w:spacing w:after="160" w:line="240" w:lineRule="exact"/>
    </w:pPr>
    <w:rPr>
      <w:rFonts w:ascii="Verdana" w:hAnsi="Verdana"/>
      <w:lang w:eastAsia="en-US"/>
    </w:rPr>
  </w:style>
  <w:style w:type="paragraph" w:customStyle="1" w:styleId="96">
    <w:name w:val="Char Char Char Char Char Char Char"/>
    <w:basedOn w:val="1"/>
    <w:qFormat/>
    <w:uiPriority w:val="0"/>
    <w:pPr>
      <w:autoSpaceDE/>
      <w:autoSpaceDN/>
      <w:adjustRightInd/>
      <w:jc w:val="both"/>
    </w:pPr>
    <w:rPr>
      <w:rFonts w:ascii="Tahoma" w:hAnsi="Tahoma" w:cs="Tahoma"/>
      <w:kern w:val="2"/>
      <w:sz w:val="30"/>
      <w:szCs w:val="30"/>
    </w:rPr>
  </w:style>
  <w:style w:type="paragraph" w:customStyle="1" w:styleId="97">
    <w:name w:val="Char1 Char Char Char"/>
    <w:basedOn w:val="1"/>
    <w:qFormat/>
    <w:uiPriority w:val="0"/>
    <w:pPr>
      <w:autoSpaceDE/>
      <w:autoSpaceDN/>
      <w:adjustRightInd/>
      <w:jc w:val="both"/>
    </w:pPr>
    <w:rPr>
      <w:kern w:val="2"/>
    </w:rPr>
  </w:style>
  <w:style w:type="paragraph" w:customStyle="1" w:styleId="98">
    <w:name w:val="Char1"/>
    <w:basedOn w:val="1"/>
    <w:qFormat/>
    <w:uiPriority w:val="0"/>
    <w:pPr>
      <w:widowControl/>
      <w:autoSpaceDE/>
      <w:autoSpaceDN/>
      <w:adjustRightInd/>
      <w:spacing w:after="160" w:line="240" w:lineRule="exact"/>
    </w:pPr>
    <w:rPr>
      <w:kern w:val="2"/>
      <w:sz w:val="24"/>
      <w:szCs w:val="24"/>
    </w:rPr>
  </w:style>
  <w:style w:type="character" w:customStyle="1" w:styleId="99">
    <w:name w:val="p141"/>
    <w:qFormat/>
    <w:uiPriority w:val="0"/>
    <w:rPr>
      <w:sz w:val="21"/>
      <w:szCs w:val="21"/>
    </w:rPr>
  </w:style>
  <w:style w:type="character" w:customStyle="1" w:styleId="100">
    <w:name w:val="正文文本 3 Char"/>
    <w:basedOn w:val="40"/>
    <w:link w:val="15"/>
    <w:qFormat/>
    <w:uiPriority w:val="0"/>
    <w:rPr>
      <w:rFonts w:ascii="Times New Roman" w:hAnsi="Times New Roman" w:eastAsia="宋体" w:cs="Times New Roman"/>
      <w:sz w:val="16"/>
      <w:szCs w:val="16"/>
    </w:rPr>
  </w:style>
  <w:style w:type="paragraph" w:customStyle="1" w:styleId="101">
    <w:name w:val="TOC 标题1"/>
    <w:basedOn w:val="2"/>
    <w:next w:val="1"/>
    <w:semiHidden/>
    <w:unhideWhenUsed/>
    <w:qFormat/>
    <w:uiPriority w:val="39"/>
    <w:pPr>
      <w:keepLines/>
      <w:spacing w:before="480" w:line="276" w:lineRule="auto"/>
      <w:outlineLvl w:val="9"/>
    </w:pPr>
    <w:rPr>
      <w:rFonts w:ascii="Cambria" w:hAnsi="Cambria"/>
      <w:color w:val="365F91"/>
      <w:sz w:val="28"/>
      <w:szCs w:val="28"/>
    </w:rPr>
  </w:style>
  <w:style w:type="character" w:customStyle="1" w:styleId="102">
    <w:name w:val="标题 Char"/>
    <w:basedOn w:val="40"/>
    <w:link w:val="36"/>
    <w:qFormat/>
    <w:uiPriority w:val="0"/>
    <w:rPr>
      <w:rFonts w:ascii="Cambria" w:hAnsi="Cambria" w:eastAsia="宋体" w:cs="Times New Roman"/>
      <w:b/>
      <w:bCs/>
      <w:kern w:val="0"/>
      <w:sz w:val="32"/>
      <w:szCs w:val="32"/>
    </w:rPr>
  </w:style>
  <w:style w:type="paragraph" w:styleId="103">
    <w:name w:val="List Paragraph"/>
    <w:basedOn w:val="1"/>
    <w:qFormat/>
    <w:uiPriority w:val="34"/>
    <w:pPr>
      <w:autoSpaceDE/>
      <w:autoSpaceDN/>
      <w:adjustRightInd/>
      <w:ind w:firstLine="420" w:firstLineChars="200"/>
      <w:jc w:val="both"/>
    </w:pPr>
    <w:rPr>
      <w:rFonts w:eastAsia="黑体"/>
      <w:bCs/>
      <w:kern w:val="2"/>
      <w:sz w:val="30"/>
      <w:szCs w:val="30"/>
    </w:rPr>
  </w:style>
  <w:style w:type="paragraph" w:customStyle="1" w:styleId="10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05">
    <w:name w:val="网格型1"/>
    <w:basedOn w:val="3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6">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6FFCE9-FC59-4583-9F04-A5455544CABB}">
  <ds:schemaRefs/>
</ds:datastoreItem>
</file>

<file path=docProps/app.xml><?xml version="1.0" encoding="utf-8"?>
<Properties xmlns="http://schemas.openxmlformats.org/officeDocument/2006/extended-properties" xmlns:vt="http://schemas.openxmlformats.org/officeDocument/2006/docPropsVTypes">
  <Template>Normal</Template>
  <Company>Win10ZhiJia.Net</Company>
  <Pages>55</Pages>
  <Words>29063</Words>
  <Characters>30190</Characters>
  <Lines>235</Lines>
  <Paragraphs>66</Paragraphs>
  <TotalTime>1542</TotalTime>
  <ScaleCrop>false</ScaleCrop>
  <LinksUpToDate>false</LinksUpToDate>
  <CharactersWithSpaces>31029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2021-11-24T03:35:00Z</dcterms:created>
  <dc:creator>Administrator</dc:creator>
  <cp:lastModifiedBy>Administrator</cp:lastModifiedBy>
  <cp:lastPrinted>2023-04-11T10:00:00Z</cp:lastPrinted>
  <dcterms:modified xsi:type="dcterms:W3CDTF">2023-04-12T02:11:16Z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0B243A44C964465DBAF41B63369A9832_13</vt:lpwstr>
  </property>
</Properties>
</file>